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E7B41">
      <w:pPr>
        <w:divId w:val="1076441410"/>
        <w:rPr>
          <w:rFonts w:eastAsia="Times New Roman"/>
          <w:vanish/>
        </w:rPr>
      </w:pPr>
      <w:r>
        <w:rPr>
          <w:rFonts w:eastAsia="Times New Roman"/>
          <w:vanish/>
        </w:rPr>
        <w:t>000001583107--12-312020Q15701500063004000false0001583107us-gaap:CommonStockMember2019-01-012019-03-3100015831072020-02-142020-02-140001583107us-gaap:RetainedEarningsMember2020-03-310001583107</w:t>
      </w:r>
      <w:r>
        <w:rPr>
          <w:rFonts w:eastAsia="Times New Roman"/>
          <w:vanish/>
        </w:rPr>
        <w:t>us-gaap:AdditionalPaidInCapitalMember2020-03-310001583107us-gaap:AccumulatedOtherComprehensiveIncomeMember2020-03-310001583107us-gaap:RetainedEarningsMember2019-12-310001583107us-gaap:AdditionalPaidInCapitalMember2019-12-310001583107us-gaap:AccumulatedOthe</w:t>
      </w:r>
      <w:r>
        <w:rPr>
          <w:rFonts w:eastAsia="Times New Roman"/>
          <w:vanish/>
        </w:rPr>
        <w:t>rComprehensiveIncomeMember2019-12-310001583107us-gaap:RetainedEarningsMember2019-03-310001583107us-gaap:AdditionalPaidInCapitalMember2019-03-310001583107us-gaap:AccumulatedOtherComprehensiveIncomeMember2019-03-310001583107us-gaap:RetainedEarningsMember2018</w:t>
      </w:r>
      <w:r>
        <w:rPr>
          <w:rFonts w:eastAsia="Times New Roman"/>
          <w:vanish/>
        </w:rPr>
        <w:t>-12-310001583107us-gaap:AdditionalPaidInCapitalMember2018-12-310001583107us-gaap:AccumulatedOtherComprehensiveIncomeMember2018-12-3100015831072018-12-310001583107us-gaap:CommonStockMember2020-01-012020-03-3100015831072020-02-140001583107srt:ManagementMembe</w:t>
      </w:r>
      <w:r>
        <w:rPr>
          <w:rFonts w:eastAsia="Times New Roman"/>
          <w:vanish/>
        </w:rPr>
        <w:t>rtbph:EmployeePerformanceRestrictedStockUnitsRSUMember2016-12-310001583107tbph:EmployeePerformanceRestrictedStockMember2016-12-310001583107tbph:EmployeePerformanceRestrictedStockUnitsRSUMember2020-03-310001583107tbph:EmployeePerformanceRestrictedStockUnits</w:t>
      </w:r>
      <w:r>
        <w:rPr>
          <w:rFonts w:eastAsia="Times New Roman"/>
          <w:vanish/>
        </w:rPr>
        <w:t>RsuAndCashBonusMilestonesMember2020-03-310001583107tbph:EmployeePerformanceRestrictedStockMember2020-03-310001583107tbph:EmployeePerformanceRestrictedStockUnitsRSUMember2019-03-310001583107tbph:EmployeePerformanceRestrictedStockMember2019-03-310001583107tb</w:t>
      </w:r>
      <w:r>
        <w:rPr>
          <w:rFonts w:eastAsia="Times New Roman"/>
          <w:vanish/>
        </w:rPr>
        <w:t>ph:EmployeePerformanceRestrictedStockMember2016-01-012016-12-310001583107tbph:TheravanceRespiratoryCompanyLlcMember2019-01-012019-03-310001583107us-gaap:LicenseMember2020-01-012020-03-310001583107tbph:CoPromoteAgreementMember2020-01-012020-03-310001583107t</w:t>
      </w:r>
      <w:r>
        <w:rPr>
          <w:rFonts w:eastAsia="Times New Roman"/>
          <w:vanish/>
        </w:rPr>
        <w:t>bph:PfizerInc.Membertbph:SalesMilestonesMember2019-12-012019-12-310001583107tbph:MylanMembertbph:Milestone50PercentEnrollmentInPhase3Memberus-gaap:CollaborativeArrangementMember2016-01-012016-12-3100015831072019-07-012019-09-3000015831072019-01-012019-09-3</w:t>
      </w:r>
      <w:r>
        <w:rPr>
          <w:rFonts w:eastAsia="Times New Roman"/>
          <w:vanish/>
        </w:rPr>
        <w:t>000015831072018-07-012018-09-3000015831072018-01-012018-09-300001583107us-gaap:AccumulatedOtherComprehensiveIncomeMember2020-01-012020-03-310001583107us-gaap:AccumulatedOtherComprehensiveIncomeMember2019-01-012019-03-310001583107us-gaap:RetainedEarningsMem</w:t>
      </w:r>
      <w:r>
        <w:rPr>
          <w:rFonts w:eastAsia="Times New Roman"/>
          <w:vanish/>
        </w:rPr>
        <w:t>ber2020-01-012020-03-310001583107us-gaap:RetainedEarningsMember2019-01-012019-03-310001583107tbph:TheravanceRespiratoryCompanyLlcMember2019-12-310001583107tbph:TheravanceRespiratoryCompanyLlcMember2020-03-310001583107tbph:IssuerTwoClassCUnitsMember2020-02-</w:t>
      </w:r>
      <w:r>
        <w:rPr>
          <w:rFonts w:eastAsia="Times New Roman"/>
          <w:vanish/>
        </w:rPr>
        <w:t>210001583107us-gaap:EstimateOfFairValueFairValueDisclosureMember2020-03-310001583107us-gaap:CorporateNoteSecuritiesMember2020-03-310001583107us-gaap:CommercialPaperMember2020-03-310001583107us-gaap:CorporateNoteSecuritiesMember2019-12-310001583107us-gaap:C</w:t>
      </w:r>
      <w:r>
        <w:rPr>
          <w:rFonts w:eastAsia="Times New Roman"/>
          <w:vanish/>
        </w:rPr>
        <w:t>ommercialPaperMember2019-12-310001583107tbph:NonRecourseDebt2033Member2020-03-310001583107tbph:NonRecourseDebt2033Member2018-11-300001583107tbph:TermNotesDue2035Member2020-03-310001583107us-gaap:SeniorNotesMember2020-03-310001583107tbph:PfizerInc.Member201</w:t>
      </w:r>
      <w:r>
        <w:rPr>
          <w:rFonts w:eastAsia="Times New Roman"/>
          <w:vanish/>
        </w:rPr>
        <w:t>9-10-012019-12-310001583107tbph:MylanMember2019-06-012019-06-300001583107tbph:JanssenBiotechIncMember2020-03-310001583107us-gaap:CommonStockMember2020-03-310001583107us-gaap:CommonStockMember2019-12-310001583107us-gaap:CommonStockMember2019-03-310001583107</w:t>
      </w:r>
      <w:r>
        <w:rPr>
          <w:rFonts w:eastAsia="Times New Roman"/>
          <w:vanish/>
        </w:rPr>
        <w:t>us-gaap:CommonStockMember2018-12-3100015831072017-12-3100015831072019-03-310001583107tbph:MylanMembertbph:YupelriMonotherapyMembertbph:SalesMilestonesMember2020-03-310001583107tbph:MylanMembertbph:YupelriMonotherapyMembertbph:DevelopmentAndSalesMilestonesM</w:t>
      </w:r>
      <w:r>
        <w:rPr>
          <w:rFonts w:eastAsia="Times New Roman"/>
          <w:vanish/>
        </w:rPr>
        <w:t>ember2020-03-310001583107tbph:MylanMembertbph:FuturePotentialCombinationProductsMembertbph:EuropeanUnionRegulatoryIssuesMember2020-03-310001583107tbph:MylanMembertbph:SalesMilestonesMember2020-03-310001583107tbph:MylanMembertbph:FuturePotentialCombinationP</w:t>
      </w:r>
      <w:r>
        <w:rPr>
          <w:rFonts w:eastAsia="Times New Roman"/>
          <w:vanish/>
        </w:rPr>
        <w:t>roductsMember2020-03-310001583107tbph:MylanMembertbph:EuropeanUnionRegulatoryIssuesMember2020-03-310001583107tbph:MylanMembertbph:DevelopmentAndSalesMilestonesMember2020-03-310001583107tbph:MylanMember2020-03-310001583107tbph:MylanMembertbph:YupelriMonothe</w:t>
      </w:r>
      <w:r>
        <w:rPr>
          <w:rFonts w:eastAsia="Times New Roman"/>
          <w:vanish/>
        </w:rPr>
        <w:t>rapyMembertbph:SalesMilestonesMember2019-06-300001583107tbph:MylanMembertbph:FuturePotentialCombinationProductsMembertbph:DevelopmentAndSalesMilestonesMember2019-06-300001583107tbph:MylanMembertbph:YupelriMonotherapyMember2019-06-300001583107tbph:MylanMemb</w:t>
      </w:r>
      <w:r>
        <w:rPr>
          <w:rFonts w:eastAsia="Times New Roman"/>
          <w:vanish/>
        </w:rPr>
        <w:t>ertbph:FuturePotentialCombinationProductsMember2019-06-300001583107us-gaap:FairValueInputsLevel1Memberus-gaap:MoneyMarketFundsMember2020-03-310001583107us-gaap:FairValueInputsLevel1Memberus-gaap:MoneyMarketFundsMember2019-12-310001583107us-gaap:FairValueIn</w:t>
      </w:r>
      <w:r>
        <w:rPr>
          <w:rFonts w:eastAsia="Times New Roman"/>
          <w:vanish/>
        </w:rPr>
        <w:t>putsLevel2Memberus-gaap:CorporateNoteSecuritiesMember2020-03-310001583107us-gaap:FairValueInputsLevel2Memberus-gaap:USGovernmentAgenciesDebtSecuritiesMember2020-03-310001583107us-gaap:FairValueInputsLevel2Memberus-gaap:CommercialPaperMember2020-03-31000158</w:t>
      </w:r>
      <w:r>
        <w:rPr>
          <w:rFonts w:eastAsia="Times New Roman"/>
          <w:vanish/>
        </w:rPr>
        <w:t>3107us-gaap:FairValueInputsLevel1Memberus-gaap:USTreasuryAndGovernmentMember2020-03-310001583107tbph:MarketableSecuritiesMember2020-03-310001583107us-gaap:FairValueInputsLevel2Memberus-gaap:CorporateNoteSecuritiesMember2019-12-310001583107us-gaap:FairValue</w:t>
      </w:r>
      <w:r>
        <w:rPr>
          <w:rFonts w:eastAsia="Times New Roman"/>
          <w:vanish/>
        </w:rPr>
        <w:t>InputsLevel2Memberus-gaap:CommercialPaperMember2019-12-310001583107us-gaap:FairValueInputsLevel1Memberus-gaap:USTreasuryAndGovernmentMember2019-12-310001583107tbph:MarketableSecuritiesMember2019-12-310001583107us-gaap:StockCompensationPlanMember2020-01-012</w:t>
      </w:r>
      <w:r>
        <w:rPr>
          <w:rFonts w:eastAsia="Times New Roman"/>
          <w:vanish/>
        </w:rPr>
        <w:t>020-03-310001583107us-gaap:ConvertibleSubordinatedDebtMember2020-01-012020-03-310001583107us-gaap:StockCompensationPlanMember2019-01-012019-03-310001583107us-gaap:RestrictedStockMember2019-01-012019-03-310001583107us-gaap:PerformanceSharesMember2019-01-012</w:t>
      </w:r>
      <w:r>
        <w:rPr>
          <w:rFonts w:eastAsia="Times New Roman"/>
          <w:vanish/>
        </w:rPr>
        <w:t>019-03-310001583107us-gaap:ConvertibleSubordinatedDebtMember2019-01-012019-03-310001583107us-gaap:ScenarioPlanMemberus-gaap:SellingGeneralAndAdministrativeExpensesMemberus-gaap:ShareBasedCompensationAwardTrancheThreeMember2020-01-012020-03-310001583107us-g</w:t>
      </w:r>
      <w:r>
        <w:rPr>
          <w:rFonts w:eastAsia="Times New Roman"/>
          <w:vanish/>
        </w:rPr>
        <w:t>aap:ScenarioPlanMemberus-gaap:ResearchAndDevelopmentExpenseMemberus-gaap:ShareBasedCompensationAwardTrancheThreeMember2020-01-012020-03-310001583107us-gaap:ScenarioPlanMemberus-gaap:ShareBasedCompensationAwardTrancheThreeMember2020-01-012020-03-31000158310</w:t>
      </w:r>
      <w:r>
        <w:rPr>
          <w:rFonts w:eastAsia="Times New Roman"/>
          <w:vanish/>
        </w:rPr>
        <w:t>7us-gaap:ScenarioPlanMembertbph:EmployeePerformanceRestrictedStockUnitsRsuAndCashBonusMilestonesMember2020-01-012020-03-310001583107us-gaap:ShareBasedCompensationAwardTrancheTwoMember2020-01-012020-03-310001583107us-gaap:ShareBasedCompensationAwardTrancheT</w:t>
      </w:r>
      <w:r>
        <w:rPr>
          <w:rFonts w:eastAsia="Times New Roman"/>
          <w:vanish/>
        </w:rPr>
        <w:t>hreeMember2020-01-012020-03-310001583107us-gaap:SellingGeneralAndAdministrativeExpensesMember2020-01-012020-03-310001583107us-gaap:ResearchAndDevelopmentExpenseMember2020-01-012020-03-310001583107tbph:EmployeePerformanceRestrictedStockUnitsRsuAndCashBonusM</w:t>
      </w:r>
      <w:r>
        <w:rPr>
          <w:rFonts w:eastAsia="Times New Roman"/>
          <w:vanish/>
        </w:rPr>
        <w:t>ilestonesMember2020-01-012020-03-310001583107us-gaap:ShareBasedCompensationAwardTrancheTwoMember2019-01-012019-03-310001583107us-gaap:SellingGeneralAndAdministrativeExpensesMember2019-01-012019-03-310001583107us-gaap:ResearchAndDevelopmentExpenseMember2019</w:t>
      </w:r>
      <w:r>
        <w:rPr>
          <w:rFonts w:eastAsia="Times New Roman"/>
          <w:vanish/>
        </w:rPr>
        <w:t>-01-012019-03-310001583107us-gaap:AdditionalPaidInCapitalMember2020-01-012020-03-310001583107us-gaap:AdditionalPaidInCapitalMember2019-01-012019-03-310001583107tbph:MylanMembertbph:OrdinarySharePurchaseAgreementMember2020-01-012020-03-310001583107tbph:Pfiz</w:t>
      </w:r>
      <w:r>
        <w:rPr>
          <w:rFonts w:eastAsia="Times New Roman"/>
          <w:vanish/>
        </w:rPr>
        <w:t>erInc.Member2019-12-012019-12-310001583107tbph:MylanMember2015-01-012015-01-3100015831072018-02-012018-02-280001583107srt:MinimumMembertbph:TheravanceRespiratoryCompanyLlcMember2020-02-212020-02-210001583107srt:MaximumMembertbph:TheravanceRespiratoryCompan</w:t>
      </w:r>
      <w:r>
        <w:rPr>
          <w:rFonts w:eastAsia="Times New Roman"/>
          <w:vanish/>
        </w:rPr>
        <w:t>yLlcMember2020-02-212020-02-210001583107tbph:TermNotesDue2035Member2020-02-210001583107tbph:MylanMembertbph:DevelopmentAndCommercializationAgreementMember2015-01-012016-12-310001583107tbph:MylanMembertbph:DevelopmentAndCommercializationAgreementMember2015-</w:t>
      </w:r>
      <w:r>
        <w:rPr>
          <w:rFonts w:eastAsia="Times New Roman"/>
          <w:vanish/>
        </w:rPr>
        <w:t>01-012015-12-310001583107tbph:TheravanceRespiratoryCompanyLlcMembertbph:IssuerTwoClassCUnitsMember2020-02-212020-02-210001583107tbph:TheravanceRespiratoryCompanyLlcMember2020-02-212020-02-210001583107tbph:TheravanceRespiratoryCompanyLlcMember2020-01-012020</w:t>
      </w:r>
      <w:r>
        <w:rPr>
          <w:rFonts w:eastAsia="Times New Roman"/>
          <w:vanish/>
        </w:rPr>
        <w:t>-03-310001583107tbph:NonRecourseDebt2033Member2018-11-012018-11-300001583107tbph:OthersMember2020-01-012020-03-310001583107tbph:CoPromoteAgreementMember2020-01-012020-03-310001583107tbph:CollaborativeArrangementRevenueMember2020-01-012020-03-310001583107tb</w:t>
      </w:r>
      <w:r>
        <w:rPr>
          <w:rFonts w:eastAsia="Times New Roman"/>
          <w:vanish/>
        </w:rPr>
        <w:t>ph:OthersMember2019-01-012019-03-310001583107tbph:CollaborativeArrangementRevenueMember2019-01-012019-03-310001583107tbph:MylanMember2020-01-012020-03-310001583107tbph:JanssenBiotechIncMember2020-01-012020-03-310001583107tbph:MylanMember2019-01-012019-03-3</w:t>
      </w:r>
      <w:r>
        <w:rPr>
          <w:rFonts w:eastAsia="Times New Roman"/>
          <w:vanish/>
        </w:rPr>
        <w:t>10001583107tbph:JanssenBiotechIncMember2019-01-012019-03-310001583107tbph:JanssenBiotechIncMembertbph:Td1473Memberus-gaap:CollaborativeArrangementMember2018-02-012018-02-280001583107tbph:JanssenBiotechIncMemberus-gaap:CollaborativeArrangementMember2018-02-</w:t>
      </w:r>
      <w:r>
        <w:rPr>
          <w:rFonts w:eastAsia="Times New Roman"/>
          <w:vanish/>
        </w:rPr>
        <w:t>012018-02-280001583107tbph:CoPromoteAgreementMember2019-01-012019-03-310001583107tbph:JanssenBiotechIncMember2018-02-012018-02-2800015831072019-01-012019-03-3100015831072020-03-3100015831072019-12-3100015831072020-04-3000015831072020-01-012020-03-31xbrli:s</w:t>
      </w:r>
      <w:r>
        <w:rPr>
          <w:rFonts w:eastAsia="Times New Roman"/>
          <w:vanish/>
        </w:rPr>
        <w:t>haresiso4217:USDxbrli:puretbph:plantbph:itemiso4217:USDxbrli:shares</w:t>
      </w:r>
    </w:p>
    <w:p w:rsidR="00000000" w:rsidRDefault="00DE7B41">
      <w:pPr>
        <w:pStyle w:val="a3"/>
        <w:spacing w:before="0" w:beforeAutospacing="0" w:after="120" w:afterAutospacing="0"/>
        <w:divId w:val="1458722744"/>
        <w:rPr>
          <w:sz w:val="20"/>
          <w:szCs w:val="20"/>
        </w:rPr>
      </w:pPr>
      <w:hyperlink w:anchor="TOC" w:history="1">
        <w:r>
          <w:rPr>
            <w:rStyle w:val="a4"/>
            <w:sz w:val="20"/>
            <w:szCs w:val="20"/>
          </w:rPr>
          <w:t>Table of Contents</w:t>
        </w:r>
      </w:hyperlink>
    </w:p>
    <w:p w:rsidR="00000000" w:rsidRDefault="00DE7B41">
      <w:pPr>
        <w:pStyle w:val="a3"/>
        <w:pBdr>
          <w:top w:val="single" w:sz="24" w:space="1" w:color="000000"/>
          <w:bottom w:val="single" w:sz="8" w:space="1" w:color="000000"/>
        </w:pBdr>
        <w:spacing w:before="0" w:beforeAutospacing="0" w:after="0" w:afterAutospacing="0"/>
        <w:divId w:val="1434714399"/>
        <w:rPr>
          <w:sz w:val="20"/>
          <w:szCs w:val="20"/>
        </w:rPr>
      </w:pPr>
      <w:r>
        <w:rPr>
          <w:sz w:val="2"/>
          <w:szCs w:val="2"/>
        </w:rPr>
        <w:t>​</w:t>
      </w:r>
    </w:p>
    <w:p w:rsidR="00000000" w:rsidRDefault="00DE7B41">
      <w:pPr>
        <w:pStyle w:val="a3"/>
        <w:spacing w:before="0" w:beforeAutospacing="0" w:after="0" w:afterAutospacing="0"/>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20"/>
          <w:szCs w:val="20"/>
        </w:rPr>
      </w:pPr>
      <w:r>
        <w:rPr>
          <w:b/>
          <w:bCs/>
          <w:sz w:val="34"/>
          <w:szCs w:val="34"/>
        </w:rPr>
        <w:t>UNITED STATES</w:t>
      </w:r>
    </w:p>
    <w:p w:rsidR="00000000" w:rsidRDefault="00DE7B41">
      <w:pPr>
        <w:pStyle w:val="a3"/>
        <w:spacing w:before="0" w:beforeAutospacing="0" w:after="0" w:afterAutospacing="0"/>
        <w:jc w:val="center"/>
        <w:divId w:val="1434714399"/>
        <w:rPr>
          <w:sz w:val="20"/>
          <w:szCs w:val="20"/>
        </w:rPr>
      </w:pPr>
      <w:r>
        <w:rPr>
          <w:b/>
          <w:bCs/>
          <w:sz w:val="34"/>
          <w:szCs w:val="34"/>
        </w:rPr>
        <w:t>SECURITIES AND EXCHANGE COMMISSION</w:t>
      </w:r>
    </w:p>
    <w:p w:rsidR="00000000" w:rsidRDefault="00DE7B41">
      <w:pPr>
        <w:pStyle w:val="a3"/>
        <w:spacing w:before="0" w:beforeAutospacing="0" w:after="0" w:afterAutospacing="0"/>
        <w:jc w:val="center"/>
        <w:divId w:val="1434714399"/>
        <w:rPr>
          <w:sz w:val="18"/>
          <w:szCs w:val="18"/>
        </w:rPr>
      </w:pPr>
      <w:r>
        <w:rPr>
          <w:b/>
          <w:bCs/>
          <w:sz w:val="18"/>
          <w:szCs w:val="18"/>
        </w:rPr>
        <w:t>Washington, D.C. 20549</w:t>
      </w:r>
    </w:p>
    <w:p w:rsidR="00000000" w:rsidRDefault="00DE7B41">
      <w:pPr>
        <w:pStyle w:val="a3"/>
        <w:spacing w:before="0" w:beforeAutospacing="0" w:after="0" w:afterAutospacing="0"/>
        <w:jc w:val="center"/>
        <w:divId w:val="1434714399"/>
        <w:rPr>
          <w:sz w:val="20"/>
          <w:szCs w:val="20"/>
        </w:rPr>
      </w:pPr>
      <w:r>
        <w:rPr>
          <w:b/>
          <w:bCs/>
          <w:sz w:val="10"/>
          <w:szCs w:val="10"/>
        </w:rPr>
        <w:t>​</w:t>
      </w:r>
    </w:p>
    <w:p w:rsidR="00000000" w:rsidRDefault="00DE7B41">
      <w:pPr>
        <w:pStyle w:val="a3"/>
        <w:spacing w:before="0" w:beforeAutospacing="0" w:after="0" w:afterAutospacing="0"/>
        <w:jc w:val="center"/>
        <w:divId w:val="1434714399"/>
        <w:rPr>
          <w:sz w:val="34"/>
          <w:szCs w:val="34"/>
        </w:rPr>
      </w:pPr>
      <w:r>
        <w:rPr>
          <w:b/>
          <w:bCs/>
          <w:sz w:val="34"/>
          <w:szCs w:val="34"/>
        </w:rPr>
        <w:t>Form 10-Q</w:t>
      </w:r>
    </w:p>
    <w:p w:rsidR="00000000" w:rsidRDefault="00DE7B41">
      <w:pPr>
        <w:pStyle w:val="a3"/>
        <w:spacing w:before="0" w:beforeAutospacing="0" w:after="0" w:afterAutospacing="0"/>
        <w:divId w:val="1434714399"/>
        <w:rPr>
          <w:sz w:val="20"/>
          <w:szCs w:val="20"/>
        </w:rPr>
      </w:pPr>
      <w:r>
        <w:rPr>
          <w:b/>
          <w:bCs/>
          <w:sz w:val="10"/>
          <w:szCs w:val="10"/>
        </w:rPr>
        <w:t>​</w:t>
      </w:r>
    </w:p>
    <w:p w:rsidR="00000000" w:rsidRDefault="00DE7B41">
      <w:pPr>
        <w:pStyle w:val="a3"/>
        <w:spacing w:before="0" w:beforeAutospacing="0" w:after="0" w:afterAutospacing="0"/>
        <w:divId w:val="1434714399"/>
        <w:rPr>
          <w:sz w:val="18"/>
          <w:szCs w:val="18"/>
        </w:rPr>
      </w:pPr>
      <w:r>
        <w:rPr>
          <w:b/>
          <w:bCs/>
          <w:sz w:val="18"/>
          <w:szCs w:val="18"/>
        </w:rPr>
        <w:t>(Mark One)</w:t>
      </w:r>
    </w:p>
    <w:p w:rsidR="00000000" w:rsidRDefault="00DE7B41">
      <w:pPr>
        <w:pStyle w:val="a3"/>
        <w:spacing w:before="0" w:beforeAutospacing="0" w:after="0" w:afterAutospacing="0"/>
        <w:ind w:left="360" w:hanging="360"/>
        <w:divId w:val="1434714399"/>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434714399"/>
        </w:trPr>
        <w:tc>
          <w:tcPr>
            <w:tcW w:w="360" w:type="dxa"/>
            <w:tcMar>
              <w:top w:w="0" w:type="dxa"/>
              <w:left w:w="0" w:type="dxa"/>
              <w:bottom w:w="0" w:type="dxa"/>
              <w:right w:w="0" w:type="dxa"/>
            </w:tcMar>
            <w:vAlign w:val="center"/>
            <w:hideMark/>
          </w:tcPr>
          <w:p w:rsidR="00000000" w:rsidRDefault="00DE7B41">
            <w:pPr>
              <w:rPr>
                <w:sz w:val="20"/>
                <w:szCs w:val="20"/>
              </w:rPr>
            </w:pPr>
          </w:p>
        </w:tc>
        <w:tc>
          <w:tcPr>
            <w:tcW w:w="357" w:type="dxa"/>
            <w:noWrap/>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b/>
                <w:bCs/>
                <w:sz w:val="18"/>
                <w:szCs w:val="18"/>
              </w:rPr>
              <w:t>QUARTERLY REPORT PURSUANT TO SECTION 1</w:t>
            </w:r>
            <w:r>
              <w:rPr>
                <w:b/>
                <w:bCs/>
                <w:sz w:val="18"/>
                <w:szCs w:val="18"/>
              </w:rPr>
              <w:t>3 OR 15(d) OF THE SECURITIES EXCHANGE ACT OF 1934</w:t>
            </w:r>
          </w:p>
        </w:tc>
      </w:tr>
    </w:tbl>
    <w:p w:rsidR="00000000" w:rsidRDefault="00DE7B41">
      <w:pPr>
        <w:pStyle w:val="a3"/>
        <w:spacing w:before="0" w:beforeAutospacing="0" w:after="0" w:afterAutospacing="0"/>
        <w:jc w:val="center"/>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20"/>
          <w:szCs w:val="20"/>
        </w:rPr>
      </w:pPr>
      <w:r>
        <w:rPr>
          <w:b/>
          <w:bCs/>
          <w:sz w:val="18"/>
          <w:szCs w:val="18"/>
        </w:rPr>
        <w:t>For the quarterly period ended March 31, 2020</w:t>
      </w:r>
    </w:p>
    <w:p w:rsidR="00000000" w:rsidRDefault="00DE7B41">
      <w:pPr>
        <w:pStyle w:val="a3"/>
        <w:spacing w:before="0" w:beforeAutospacing="0" w:after="0" w:afterAutospacing="0"/>
        <w:jc w:val="center"/>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18"/>
          <w:szCs w:val="18"/>
        </w:rPr>
      </w:pPr>
      <w:r>
        <w:rPr>
          <w:b/>
          <w:bCs/>
          <w:sz w:val="18"/>
          <w:szCs w:val="18"/>
        </w:rPr>
        <w:t>OR</w:t>
      </w:r>
    </w:p>
    <w:p w:rsidR="00000000" w:rsidRDefault="00DE7B41">
      <w:pPr>
        <w:pStyle w:val="a3"/>
        <w:spacing w:before="0" w:beforeAutospacing="0" w:after="0" w:afterAutospacing="0"/>
        <w:jc w:val="center"/>
        <w:divId w:val="1434714399"/>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434714399"/>
        </w:trPr>
        <w:tc>
          <w:tcPr>
            <w:tcW w:w="360" w:type="dxa"/>
            <w:tcMar>
              <w:top w:w="0" w:type="dxa"/>
              <w:left w:w="0" w:type="dxa"/>
              <w:bottom w:w="0" w:type="dxa"/>
              <w:right w:w="0" w:type="dxa"/>
            </w:tcMar>
            <w:vAlign w:val="center"/>
            <w:hideMark/>
          </w:tcPr>
          <w:p w:rsidR="00000000" w:rsidRDefault="00DE7B41">
            <w:pPr>
              <w:rPr>
                <w:sz w:val="20"/>
                <w:szCs w:val="20"/>
              </w:rPr>
            </w:pPr>
          </w:p>
        </w:tc>
        <w:tc>
          <w:tcPr>
            <w:tcW w:w="359" w:type="dxa"/>
            <w:noWrap/>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DE7B41">
      <w:pPr>
        <w:pStyle w:val="a3"/>
        <w:spacing w:before="0" w:beforeAutospacing="0" w:after="0" w:afterAutospacing="0"/>
        <w:ind w:hanging="490"/>
        <w:jc w:val="center"/>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18"/>
          <w:szCs w:val="18"/>
        </w:rPr>
      </w:pPr>
      <w:r>
        <w:rPr>
          <w:b/>
          <w:bCs/>
          <w:sz w:val="18"/>
          <w:szCs w:val="18"/>
        </w:rPr>
        <w:t>For the transition period from                  to</w:t>
      </w:r>
    </w:p>
    <w:p w:rsidR="00000000" w:rsidRDefault="00DE7B41">
      <w:pPr>
        <w:pStyle w:val="a3"/>
        <w:spacing w:before="0" w:beforeAutospacing="0" w:after="0" w:afterAutospacing="0"/>
        <w:jc w:val="center"/>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20"/>
          <w:szCs w:val="20"/>
        </w:rPr>
      </w:pPr>
      <w:r>
        <w:rPr>
          <w:b/>
          <w:bCs/>
          <w:sz w:val="18"/>
          <w:szCs w:val="18"/>
        </w:rPr>
        <w:t>Commission file number: 001-36033</w:t>
      </w:r>
    </w:p>
    <w:p w:rsidR="00000000" w:rsidRDefault="00DE7B41">
      <w:pPr>
        <w:pStyle w:val="a3"/>
        <w:spacing w:before="0" w:beforeAutospacing="0" w:after="0" w:afterAutospacing="0"/>
        <w:jc w:val="center"/>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34"/>
          <w:szCs w:val="34"/>
        </w:rPr>
      </w:pPr>
      <w:r>
        <w:rPr>
          <w:b/>
          <w:bCs/>
          <w:sz w:val="34"/>
          <w:szCs w:val="34"/>
        </w:rPr>
        <w:t>THERAVANCE BIOPHARMA, INC.</w:t>
      </w:r>
    </w:p>
    <w:p w:rsidR="00000000" w:rsidRDefault="00DE7B41">
      <w:pPr>
        <w:pStyle w:val="a3"/>
        <w:spacing w:before="0" w:beforeAutospacing="0" w:after="0" w:afterAutospacing="0"/>
        <w:jc w:val="center"/>
        <w:divId w:val="1434714399"/>
        <w:rPr>
          <w:sz w:val="18"/>
          <w:szCs w:val="18"/>
        </w:rPr>
      </w:pPr>
      <w:r>
        <w:rPr>
          <w:sz w:val="18"/>
          <w:szCs w:val="18"/>
        </w:rPr>
        <w:t>(Exact Name of Registrant as Specified in its Charter)</w:t>
      </w:r>
    </w:p>
    <w:p w:rsidR="00000000" w:rsidRDefault="00DE7B41">
      <w:pPr>
        <w:pStyle w:val="a3"/>
        <w:spacing w:before="0" w:beforeAutospacing="0" w:after="0" w:afterAutospacing="0"/>
        <w:jc w:val="center"/>
        <w:divId w:val="1434714399"/>
        <w:rPr>
          <w:sz w:val="20"/>
          <w:szCs w:val="20"/>
        </w:rPr>
      </w:pPr>
      <w:r>
        <w:rPr>
          <w:sz w:val="10"/>
          <w:szCs w:val="10"/>
        </w:rPr>
        <w:t>​</w:t>
      </w:r>
    </w:p>
    <w:p w:rsidR="00000000" w:rsidRDefault="00DE7B41">
      <w:pPr>
        <w:pStyle w:val="a3"/>
        <w:spacing w:before="0" w:beforeAutospacing="0" w:after="0" w:afterAutospacing="0"/>
        <w:divId w:val="1434714399"/>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
                <w:szCs w:val="2"/>
              </w:rPr>
              <w:t>​</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b/>
                <w:bCs/>
                <w:sz w:val="18"/>
                <w:szCs w:val="18"/>
              </w:rPr>
              <w:t>98-1226628</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18"/>
                <w:szCs w:val="18"/>
              </w:rPr>
            </w:pPr>
            <w:r>
              <w:rPr>
                <w:sz w:val="18"/>
                <w:szCs w:val="18"/>
              </w:rPr>
              <w:t>(I.R.S. Employer</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18"/>
                <w:szCs w:val="18"/>
              </w:rPr>
            </w:pPr>
            <w:r>
              <w:rPr>
                <w:sz w:val="18"/>
                <w:szCs w:val="18"/>
              </w:rPr>
              <w:t>Identification No.)</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0"/>
                <w:szCs w:val="10"/>
              </w:rPr>
              <w:t>​</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b/>
                <w:bCs/>
                <w:sz w:val="18"/>
                <w:szCs w:val="18"/>
              </w:rPr>
              <w:t>​</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b/>
                <w:bCs/>
                <w:sz w:val="18"/>
                <w:szCs w:val="18"/>
              </w:rPr>
              <w:t>KY1-1104</w:t>
            </w:r>
          </w:p>
        </w:tc>
      </w:tr>
      <w:tr w:rsidR="00000000">
        <w:trPr>
          <w:divId w:val="1434714399"/>
        </w:trPr>
        <w:tc>
          <w:tcPr>
            <w:tcW w:w="2449" w:type="pct"/>
            <w:tcMar>
              <w:top w:w="0" w:type="dxa"/>
              <w:left w:w="0" w:type="dxa"/>
              <w:bottom w:w="0" w:type="dxa"/>
              <w:right w:w="0" w:type="dxa"/>
            </w:tcMar>
            <w:hideMark/>
          </w:tcPr>
          <w:p w:rsidR="00000000" w:rsidRDefault="00DE7B41">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DE7B41">
            <w:pPr>
              <w:pStyle w:val="a3"/>
              <w:spacing w:before="0" w:beforeAutospacing="0" w:after="0" w:afterAutospacing="0"/>
              <w:jc w:val="center"/>
              <w:rPr>
                <w:sz w:val="18"/>
                <w:szCs w:val="18"/>
              </w:rPr>
            </w:pPr>
            <w:r>
              <w:rPr>
                <w:sz w:val="18"/>
                <w:szCs w:val="18"/>
              </w:rPr>
              <w:t>(Zip Code)</w:t>
            </w:r>
          </w:p>
        </w:tc>
      </w:tr>
    </w:tbl>
    <w:p w:rsidR="00000000" w:rsidRDefault="00DE7B41">
      <w:pPr>
        <w:pStyle w:val="a3"/>
        <w:spacing w:before="0" w:beforeAutospacing="0" w:after="0" w:afterAutospacing="0"/>
        <w:divId w:val="1434714399"/>
        <w:rPr>
          <w:sz w:val="20"/>
          <w:szCs w:val="20"/>
        </w:rPr>
      </w:pPr>
      <w:r>
        <w:rPr>
          <w:sz w:val="10"/>
          <w:szCs w:val="10"/>
        </w:rPr>
        <w:t>​</w:t>
      </w:r>
    </w:p>
    <w:p w:rsidR="00000000" w:rsidRDefault="00DE7B41">
      <w:pPr>
        <w:pStyle w:val="a3"/>
        <w:spacing w:before="0" w:beforeAutospacing="0" w:after="0" w:afterAutospacing="0"/>
        <w:jc w:val="center"/>
        <w:divId w:val="1434714399"/>
        <w:rPr>
          <w:sz w:val="20"/>
          <w:szCs w:val="20"/>
        </w:rPr>
      </w:pPr>
      <w:r>
        <w:rPr>
          <w:b/>
          <w:bCs/>
          <w:sz w:val="18"/>
          <w:szCs w:val="18"/>
        </w:rPr>
        <w:t>(650) 808-6000</w:t>
      </w:r>
    </w:p>
    <w:p w:rsidR="00000000" w:rsidRDefault="00DE7B41">
      <w:pPr>
        <w:pStyle w:val="a3"/>
        <w:spacing w:before="0" w:beforeAutospacing="0" w:after="0" w:afterAutospacing="0"/>
        <w:jc w:val="center"/>
        <w:divId w:val="1434714399"/>
        <w:rPr>
          <w:sz w:val="18"/>
          <w:szCs w:val="18"/>
        </w:rPr>
      </w:pPr>
      <w:r>
        <w:rPr>
          <w:sz w:val="18"/>
          <w:szCs w:val="18"/>
        </w:rPr>
        <w:t>(Registrant’s Telephone Number, Including Area Code)</w:t>
      </w:r>
    </w:p>
    <w:p w:rsidR="00000000" w:rsidRDefault="00DE7B41">
      <w:pPr>
        <w:pStyle w:val="a3"/>
        <w:spacing w:before="0" w:beforeAutospacing="0" w:after="0" w:afterAutospacing="0"/>
        <w:jc w:val="center"/>
        <w:divId w:val="1434714399"/>
        <w:rPr>
          <w:sz w:val="20"/>
          <w:szCs w:val="20"/>
        </w:rPr>
      </w:pPr>
      <w:r>
        <w:rPr>
          <w:sz w:val="18"/>
          <w:szCs w:val="18"/>
        </w:rPr>
        <w:t>​</w:t>
      </w:r>
    </w:p>
    <w:p w:rsidR="00000000" w:rsidRDefault="00DE7B41">
      <w:pPr>
        <w:pStyle w:val="a3"/>
        <w:spacing w:before="0" w:beforeAutospacing="0" w:after="60" w:afterAutospacing="0"/>
        <w:ind w:firstLine="490"/>
        <w:divId w:val="1434714399"/>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1434714399"/>
          <w:trHeight w:val="20"/>
        </w:trPr>
        <w:tc>
          <w:tcPr>
            <w:tcW w:w="1648" w:type="pct"/>
            <w:noWrap/>
            <w:tcMar>
              <w:top w:w="0" w:type="dxa"/>
              <w:left w:w="0" w:type="dxa"/>
              <w:bottom w:w="0" w:type="dxa"/>
              <w:right w:w="0" w:type="dxa"/>
            </w:tcMar>
            <w:vAlign w:val="bottom"/>
            <w:hideMark/>
          </w:tcPr>
          <w:p w:rsidR="00000000" w:rsidRDefault="00DE7B41">
            <w:pPr>
              <w:rPr>
                <w:sz w:val="18"/>
                <w:szCs w:val="18"/>
              </w:rPr>
            </w:pPr>
          </w:p>
        </w:tc>
        <w:tc>
          <w:tcPr>
            <w:tcW w:w="111" w:type="pct"/>
            <w:tcMar>
              <w:top w:w="0" w:type="dxa"/>
              <w:left w:w="0" w:type="dxa"/>
              <w:bottom w:w="0" w:type="dxa"/>
              <w:right w:w="0" w:type="dxa"/>
            </w:tcMar>
            <w:hideMark/>
          </w:tcPr>
          <w:p w:rsidR="00000000" w:rsidRDefault="00DE7B41">
            <w:pPr>
              <w:pStyle w:val="a3"/>
              <w:spacing w:before="0" w:beforeAutospacing="0" w:after="0" w:afterAutospacing="0"/>
              <w:divId w:val="1355767115"/>
              <w:rPr>
                <w:sz w:val="20"/>
                <w:szCs w:val="20"/>
              </w:rPr>
            </w:pPr>
            <w:r>
              <w:rPr>
                <w:sz w:val="2"/>
                <w:szCs w:val="2"/>
              </w:rPr>
              <w:t>​</w:t>
            </w:r>
          </w:p>
        </w:tc>
        <w:tc>
          <w:tcPr>
            <w:tcW w:w="111" w:type="pct"/>
            <w:tcMar>
              <w:top w:w="0" w:type="dxa"/>
              <w:left w:w="0" w:type="dxa"/>
              <w:bottom w:w="0" w:type="dxa"/>
              <w:right w:w="0" w:type="dxa"/>
            </w:tcMar>
            <w:hideMark/>
          </w:tcPr>
          <w:p w:rsidR="00000000" w:rsidRDefault="00DE7B41">
            <w:pPr>
              <w:rPr>
                <w:sz w:val="20"/>
                <w:szCs w:val="20"/>
              </w:rPr>
            </w:pPr>
          </w:p>
        </w:tc>
        <w:tc>
          <w:tcPr>
            <w:tcW w:w="823" w:type="pct"/>
            <w:noWrap/>
            <w:tcMar>
              <w:top w:w="0" w:type="dxa"/>
              <w:left w:w="0" w:type="dxa"/>
              <w:bottom w:w="0" w:type="dxa"/>
              <w:right w:w="0" w:type="dxa"/>
            </w:tcMar>
            <w:vAlign w:val="bottom"/>
            <w:hideMark/>
          </w:tcPr>
          <w:p w:rsidR="00000000" w:rsidRDefault="00DE7B41">
            <w:pPr>
              <w:rPr>
                <w:rFonts w:eastAsia="Times New Roman"/>
                <w:sz w:val="20"/>
                <w:szCs w:val="20"/>
              </w:rPr>
            </w:pPr>
          </w:p>
        </w:tc>
        <w:tc>
          <w:tcPr>
            <w:tcW w:w="110" w:type="pct"/>
            <w:tcMar>
              <w:top w:w="0" w:type="dxa"/>
              <w:left w:w="0" w:type="dxa"/>
              <w:bottom w:w="0" w:type="dxa"/>
              <w:right w:w="0" w:type="dxa"/>
            </w:tcMar>
            <w:hideMark/>
          </w:tcPr>
          <w:p w:rsidR="00000000" w:rsidRDefault="00DE7B41">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DE7B41">
            <w:pPr>
              <w:rPr>
                <w:rFonts w:eastAsia="Times New Roman"/>
                <w:sz w:val="20"/>
                <w:szCs w:val="20"/>
              </w:rPr>
            </w:pPr>
          </w:p>
        </w:tc>
      </w:tr>
      <w:tr w:rsidR="00000000">
        <w:trPr>
          <w:divId w:val="1434714399"/>
        </w:trPr>
        <w:tc>
          <w:tcPr>
            <w:tcW w:w="1648"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DE7B41">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rsidR="00000000" w:rsidRDefault="00DE7B41">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u w:val="single"/>
              </w:rPr>
              <w:t>Name of each exchange on which registered</w:t>
            </w:r>
          </w:p>
        </w:tc>
      </w:tr>
      <w:tr w:rsidR="00000000">
        <w:trPr>
          <w:divId w:val="1434714399"/>
        </w:trPr>
        <w:tc>
          <w:tcPr>
            <w:tcW w:w="1648"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The Nasdaq Global Market</w:t>
            </w:r>
          </w:p>
        </w:tc>
      </w:tr>
    </w:tbl>
    <w:p w:rsidR="00000000" w:rsidRDefault="00DE7B41">
      <w:pPr>
        <w:pStyle w:val="a3"/>
        <w:spacing w:before="0" w:beforeAutospacing="0" w:after="0" w:afterAutospacing="0"/>
        <w:jc w:val="center"/>
        <w:divId w:val="1434714399"/>
        <w:rPr>
          <w:sz w:val="20"/>
          <w:szCs w:val="20"/>
        </w:rPr>
      </w:pPr>
      <w:r>
        <w:rPr>
          <w:sz w:val="10"/>
          <w:szCs w:val="10"/>
        </w:rPr>
        <w:t>​</w:t>
      </w:r>
    </w:p>
    <w:p w:rsidR="00000000" w:rsidRDefault="00DE7B41">
      <w:pPr>
        <w:pStyle w:val="a3"/>
        <w:spacing w:before="0" w:beforeAutospacing="0" w:after="0" w:afterAutospacing="0"/>
        <w:ind w:firstLine="490"/>
        <w:divId w:val="1434714399"/>
        <w:rPr>
          <w:sz w:val="20"/>
          <w:szCs w:val="20"/>
        </w:rPr>
      </w:pPr>
      <w:r>
        <w:rPr>
          <w:sz w:val="18"/>
          <w:szCs w:val="18"/>
        </w:rPr>
        <w:t>Indicate by check mark whether the registrant: (1) </w:t>
      </w:r>
      <w:r>
        <w:rPr>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sz w:val="18"/>
          <w:szCs w:val="18"/>
        </w:rPr>
        <w:t>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DE7B41">
      <w:pPr>
        <w:pStyle w:val="a3"/>
        <w:spacing w:before="0" w:beforeAutospacing="0" w:after="0" w:afterAutospacing="0"/>
        <w:ind w:firstLine="490"/>
        <w:divId w:val="1434714399"/>
        <w:rPr>
          <w:sz w:val="20"/>
          <w:szCs w:val="20"/>
        </w:rPr>
      </w:pPr>
      <w:r>
        <w:rPr>
          <w:sz w:val="10"/>
          <w:szCs w:val="10"/>
        </w:rPr>
        <w:t>​</w:t>
      </w:r>
    </w:p>
    <w:p w:rsidR="00000000" w:rsidRDefault="00DE7B41">
      <w:pPr>
        <w:pStyle w:val="a3"/>
        <w:spacing w:before="0" w:beforeAutospacing="0" w:after="0" w:afterAutospacing="0"/>
        <w:ind w:firstLine="490"/>
        <w:divId w:val="1434714399"/>
        <w:rPr>
          <w:sz w:val="20"/>
          <w:szCs w:val="20"/>
        </w:rPr>
      </w:pPr>
      <w:r>
        <w:rPr>
          <w:sz w:val="18"/>
          <w:szCs w:val="18"/>
        </w:rPr>
        <w:t>Indicate by check mark whether the registrant has submitted electronically every Interactive Data File required to be submitted pursuant to Rule 405 of Regulation S-T (§ 232.405 of this chapter)</w:t>
      </w:r>
      <w:r>
        <w:rPr>
          <w:sz w:val="16"/>
          <w:szCs w:val="16"/>
        </w:rPr>
        <w:t xml:space="preserve"> </w:t>
      </w:r>
      <w:r>
        <w:rPr>
          <w:sz w:val="18"/>
          <w:szCs w:val="18"/>
        </w:rPr>
        <w:t xml:space="preserve">during </w:t>
      </w:r>
      <w:r>
        <w:rPr>
          <w:sz w:val="18"/>
          <w:szCs w:val="18"/>
        </w:rPr>
        <w:t>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DE7B41">
      <w:pPr>
        <w:pStyle w:val="a3"/>
        <w:spacing w:before="0" w:beforeAutospacing="0" w:after="0" w:afterAutospacing="0"/>
        <w:ind w:firstLine="490"/>
        <w:divId w:val="1434714399"/>
        <w:rPr>
          <w:sz w:val="20"/>
          <w:szCs w:val="20"/>
        </w:rPr>
      </w:pPr>
      <w:r>
        <w:rPr>
          <w:sz w:val="10"/>
          <w:szCs w:val="10"/>
        </w:rPr>
        <w:t>​</w:t>
      </w:r>
    </w:p>
    <w:p w:rsidR="00000000" w:rsidRDefault="00DE7B41">
      <w:pPr>
        <w:pStyle w:val="a3"/>
        <w:spacing w:before="0" w:beforeAutospacing="0" w:after="0" w:afterAutospacing="0"/>
        <w:ind w:firstLine="490"/>
        <w:divId w:val="1434714399"/>
        <w:rPr>
          <w:sz w:val="18"/>
          <w:szCs w:val="18"/>
        </w:rPr>
      </w:pPr>
      <w:r>
        <w:rPr>
          <w:sz w:val="18"/>
          <w:szCs w:val="18"/>
        </w:rPr>
        <w:t>Indicate by check mark whether the registrant is a large accelerated filer, an accelerated filer, a non-accelerated filer, a smaller r</w:t>
      </w:r>
      <w:r>
        <w:rPr>
          <w:sz w:val="18"/>
          <w:szCs w:val="18"/>
        </w:rPr>
        <w:t xml:space="preserve">eporting company, or emerging growth company. See the definitions of “large </w:t>
      </w:r>
      <w:r>
        <w:rPr>
          <w:sz w:val="18"/>
          <w:szCs w:val="18"/>
        </w:rPr>
        <w:lastRenderedPageBreak/>
        <w:t xml:space="preserve">accelerated filer,” “accelerated filer,” “smaller reporting company,” and “emerging growth company” in Rule 12b-2 of the Exchange Act. </w:t>
      </w:r>
    </w:p>
    <w:p w:rsidR="00000000" w:rsidRDefault="00DE7B41">
      <w:pPr>
        <w:pStyle w:val="a3"/>
        <w:spacing w:before="0" w:beforeAutospacing="0" w:after="0" w:afterAutospacing="0"/>
        <w:divId w:val="1434714399"/>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1434714399"/>
          <w:trHeight w:val="20"/>
        </w:trPr>
        <w:tc>
          <w:tcPr>
            <w:tcW w:w="2288" w:type="pct"/>
            <w:tcMar>
              <w:top w:w="0" w:type="dxa"/>
              <w:left w:w="0" w:type="dxa"/>
              <w:bottom w:w="0" w:type="dxa"/>
              <w:right w:w="0" w:type="dxa"/>
            </w:tcMar>
            <w:hideMark/>
          </w:tcPr>
          <w:p w:rsidR="00000000" w:rsidRDefault="00DE7B41">
            <w:pPr>
              <w:pStyle w:val="a3"/>
              <w:spacing w:before="0" w:beforeAutospacing="0" w:after="0" w:afterAutospacing="0"/>
              <w:divId w:val="389887090"/>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DE7B41">
            <w:pPr>
              <w:pStyle w:val="a3"/>
              <w:spacing w:before="0" w:beforeAutospacing="0" w:after="0" w:afterAutospacing="0"/>
              <w:divId w:val="640960368"/>
              <w:rPr>
                <w:sz w:val="20"/>
                <w:szCs w:val="20"/>
              </w:rPr>
            </w:pPr>
            <w:r>
              <w:rPr>
                <w:sz w:val="2"/>
                <w:szCs w:val="2"/>
              </w:rPr>
              <w:t>​</w:t>
            </w:r>
          </w:p>
        </w:tc>
        <w:tc>
          <w:tcPr>
            <w:tcW w:w="2599" w:type="pct"/>
            <w:tcMar>
              <w:top w:w="0" w:type="dxa"/>
              <w:left w:w="0" w:type="dxa"/>
              <w:bottom w:w="0" w:type="dxa"/>
              <w:right w:w="0" w:type="dxa"/>
            </w:tcMar>
            <w:hideMark/>
          </w:tcPr>
          <w:p w:rsidR="00000000" w:rsidRDefault="00DE7B41">
            <w:pPr>
              <w:pStyle w:val="a3"/>
              <w:spacing w:before="0" w:beforeAutospacing="0" w:after="0" w:afterAutospacing="0"/>
              <w:divId w:val="1154835529"/>
              <w:rPr>
                <w:sz w:val="20"/>
                <w:szCs w:val="20"/>
              </w:rPr>
            </w:pPr>
            <w:r>
              <w:rPr>
                <w:sz w:val="2"/>
                <w:szCs w:val="2"/>
              </w:rPr>
              <w:t>​</w:t>
            </w:r>
          </w:p>
        </w:tc>
      </w:tr>
      <w:tr w:rsidR="00000000">
        <w:trPr>
          <w:divId w:val="1434714399"/>
        </w:trPr>
        <w:tc>
          <w:tcPr>
            <w:tcW w:w="2288"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Large</w:t>
            </w:r>
            <w:r>
              <w:rPr>
                <w:rFonts w:ascii="Helvetica" w:hAnsi="Helvetica"/>
                <w:sz w:val="16"/>
                <w:szCs w:val="16"/>
              </w:rPr>
              <w:t xml:space="preserve"> </w:t>
            </w:r>
            <w:r>
              <w:rPr>
                <w:sz w:val="18"/>
                <w:szCs w:val="18"/>
              </w:rPr>
              <w:t>Accelerated</w:t>
            </w:r>
            <w:r>
              <w:rPr>
                <w:rFonts w:ascii="Helvetica" w:hAnsi="Helvetica"/>
                <w:sz w:val="16"/>
                <w:szCs w:val="16"/>
              </w:rPr>
              <w:t xml:space="preserve"> </w:t>
            </w:r>
            <w:r>
              <w:rPr>
                <w:sz w:val="18"/>
                <w:szCs w:val="18"/>
              </w:rPr>
              <w:t>Filer</w:t>
            </w:r>
            <w:r>
              <w:rPr>
                <w:rFonts w:ascii="Helvetica" w:hAnsi="Helvetica"/>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1434714399"/>
        </w:trPr>
        <w:tc>
          <w:tcPr>
            <w:tcW w:w="2288" w:type="pct"/>
            <w:tcMar>
              <w:top w:w="0" w:type="dxa"/>
              <w:left w:w="0" w:type="dxa"/>
              <w:bottom w:w="0" w:type="dxa"/>
              <w:right w:w="0" w:type="dxa"/>
            </w:tcMar>
            <w:hideMark/>
          </w:tcPr>
          <w:p w:rsidR="00000000" w:rsidRDefault="00DE7B41">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1434714399"/>
        </w:trPr>
        <w:tc>
          <w:tcPr>
            <w:tcW w:w="2288" w:type="pct"/>
            <w:tcMar>
              <w:top w:w="0" w:type="dxa"/>
              <w:left w:w="0" w:type="dxa"/>
              <w:bottom w:w="0" w:type="dxa"/>
              <w:right w:w="0" w:type="dxa"/>
            </w:tcMar>
            <w:hideMark/>
          </w:tcPr>
          <w:p w:rsidR="00000000" w:rsidRDefault="00DE7B41">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18"/>
                <w:szCs w:val="18"/>
              </w:rPr>
              <w:t>​</w:t>
            </w:r>
          </w:p>
        </w:tc>
      </w:tr>
    </w:tbl>
    <w:p w:rsidR="00000000" w:rsidRDefault="00DE7B41">
      <w:pPr>
        <w:pStyle w:val="a3"/>
        <w:spacing w:before="0" w:beforeAutospacing="0" w:after="0" w:afterAutospacing="0"/>
        <w:divId w:val="1434714399"/>
        <w:rPr>
          <w:sz w:val="20"/>
          <w:szCs w:val="20"/>
        </w:rPr>
      </w:pPr>
      <w:r>
        <w:rPr>
          <w:sz w:val="10"/>
          <w:szCs w:val="10"/>
        </w:rPr>
        <w:t>​</w:t>
      </w:r>
    </w:p>
    <w:p w:rsidR="00000000" w:rsidRDefault="00DE7B41">
      <w:pPr>
        <w:pStyle w:val="a3"/>
        <w:spacing w:before="0" w:beforeAutospacing="0" w:after="0" w:afterAutospacing="0"/>
        <w:ind w:firstLine="490"/>
        <w:divId w:val="1434714399"/>
        <w:rPr>
          <w:sz w:val="18"/>
          <w:szCs w:val="18"/>
        </w:rPr>
      </w:pPr>
      <w:r>
        <w:rPr>
          <w:sz w:val="18"/>
          <w:szCs w:val="18"/>
        </w:rPr>
        <w:t>If an emerging growth company, indicate by check mark if the registrant has elected not to use the extended transition period for complying with an</w:t>
      </w:r>
      <w:r>
        <w:rPr>
          <w:sz w:val="18"/>
          <w:szCs w:val="18"/>
        </w:rPr>
        <w:t xml:space="preserve">y new or revised financial accounting standards provided pursuant to Section 13(a) of the Exchange Act. </w:t>
      </w:r>
      <w:r>
        <w:rPr>
          <w:rFonts w:ascii="Segoe UI Symbol" w:hAnsi="Segoe UI Symbol"/>
          <w:sz w:val="18"/>
          <w:szCs w:val="18"/>
        </w:rPr>
        <w:t>☐</w:t>
      </w:r>
    </w:p>
    <w:p w:rsidR="00000000" w:rsidRDefault="00DE7B41">
      <w:pPr>
        <w:pStyle w:val="a3"/>
        <w:spacing w:before="0" w:beforeAutospacing="0" w:after="0" w:afterAutospacing="0"/>
        <w:ind w:firstLine="490"/>
        <w:divId w:val="1434714399"/>
        <w:rPr>
          <w:sz w:val="20"/>
          <w:szCs w:val="20"/>
        </w:rPr>
      </w:pPr>
      <w:r>
        <w:rPr>
          <w:sz w:val="10"/>
          <w:szCs w:val="10"/>
        </w:rPr>
        <w:t>​</w:t>
      </w:r>
    </w:p>
    <w:p w:rsidR="00000000" w:rsidRDefault="00DE7B41">
      <w:pPr>
        <w:pStyle w:val="a3"/>
        <w:spacing w:before="0" w:beforeAutospacing="0" w:after="0" w:afterAutospacing="0"/>
        <w:ind w:firstLine="490"/>
        <w:divId w:val="1434714399"/>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DE7B41">
      <w:pPr>
        <w:pStyle w:val="a3"/>
        <w:spacing w:before="0" w:beforeAutospacing="0" w:after="0" w:afterAutospacing="0"/>
        <w:divId w:val="1434714399"/>
        <w:rPr>
          <w:sz w:val="20"/>
          <w:szCs w:val="20"/>
        </w:rPr>
      </w:pPr>
      <w:r>
        <w:rPr>
          <w:sz w:val="10"/>
          <w:szCs w:val="10"/>
        </w:rPr>
        <w:t>​</w:t>
      </w:r>
    </w:p>
    <w:p w:rsidR="00000000" w:rsidRDefault="00DE7B41">
      <w:pPr>
        <w:pStyle w:val="a3"/>
        <w:spacing w:before="0" w:beforeAutospacing="0" w:after="0" w:afterAutospacing="0"/>
        <w:ind w:firstLine="490"/>
        <w:divId w:val="1434714399"/>
        <w:rPr>
          <w:sz w:val="18"/>
          <w:szCs w:val="18"/>
        </w:rPr>
      </w:pPr>
      <w:r>
        <w:rPr>
          <w:sz w:val="18"/>
          <w:szCs w:val="18"/>
        </w:rPr>
        <w:t>As of April 30, 2020, the number of the registrant’s outstanding ordinary shares was 63,088,131</w:t>
      </w:r>
      <w:r>
        <w:rPr>
          <w:sz w:val="20"/>
          <w:szCs w:val="20"/>
        </w:rPr>
        <w:t>.</w:t>
      </w:r>
    </w:p>
    <w:p w:rsidR="00000000" w:rsidRDefault="00DE7B41">
      <w:pPr>
        <w:pStyle w:val="a3"/>
        <w:pBdr>
          <w:top w:val="single" w:sz="8" w:space="1" w:color="000000"/>
          <w:bottom w:val="single" w:sz="24" w:space="1" w:color="000000"/>
        </w:pBdr>
        <w:spacing w:before="0" w:beforeAutospacing="0" w:after="0" w:afterAutospacing="0"/>
        <w:divId w:val="1434714399"/>
        <w:rPr>
          <w:sz w:val="20"/>
          <w:szCs w:val="20"/>
        </w:rPr>
      </w:pPr>
      <w:r>
        <w:rPr>
          <w:sz w:val="2"/>
          <w:szCs w:val="2"/>
        </w:rPr>
        <w:t>​</w:t>
      </w:r>
    </w:p>
    <w:p w:rsidR="00000000" w:rsidRDefault="00DE7B41">
      <w:pPr>
        <w:pStyle w:val="a3"/>
        <w:spacing w:before="0" w:beforeAutospacing="0" w:after="0" w:afterAutospacing="0" w:line="0" w:lineRule="atLeast"/>
        <w:jc w:val="center"/>
        <w:divId w:val="1434714399"/>
        <w:rPr>
          <w:vanish/>
        </w:rPr>
      </w:pPr>
      <w:r>
        <w:rPr>
          <w:vanish/>
          <w:sz w:val="2"/>
          <w:szCs w:val="2"/>
        </w:rPr>
        <w:t>​</w:t>
      </w:r>
    </w:p>
    <w:p w:rsidR="00000000" w:rsidRDefault="00DE7B41">
      <w:pPr>
        <w:pStyle w:val="a3"/>
        <w:spacing w:before="0" w:beforeAutospacing="0" w:after="600" w:afterAutospacing="0"/>
        <w:divId w:val="1061517611"/>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jc w:val="center"/>
        <w:divId w:val="1333266362"/>
        <w:rPr>
          <w:sz w:val="20"/>
          <w:szCs w:val="20"/>
        </w:rPr>
      </w:pPr>
      <w:r>
        <w:rPr>
          <w:b/>
          <w:bCs/>
          <w:sz w:val="20"/>
          <w:szCs w:val="20"/>
        </w:rPr>
        <w:t>THERAVANCE BIOPHARMA, INC.</w:t>
      </w:r>
    </w:p>
    <w:p w:rsidR="00000000" w:rsidRDefault="00DE7B41">
      <w:pPr>
        <w:pStyle w:val="a3"/>
        <w:spacing w:before="0" w:beforeAutospacing="0" w:after="0" w:afterAutospacing="0"/>
        <w:jc w:val="center"/>
        <w:divId w:val="1333266362"/>
        <w:rPr>
          <w:sz w:val="20"/>
          <w:szCs w:val="20"/>
        </w:rPr>
      </w:pPr>
      <w:r>
        <w:rPr>
          <w:b/>
          <w:bCs/>
          <w:sz w:val="20"/>
          <w:szCs w:val="20"/>
        </w:rPr>
        <w:t>TABLE OF CONTENTS</w:t>
      </w:r>
    </w:p>
    <w:p w:rsidR="00000000" w:rsidRDefault="00DE7B41">
      <w:pPr>
        <w:pStyle w:val="a3"/>
        <w:spacing w:before="0" w:beforeAutospacing="0" w:after="0" w:afterAutospacing="0"/>
        <w:divId w:val="13332663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trPr>
          <w:divId w:val="1333266362"/>
          <w:trHeight w:val="20"/>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divId w:val="318584738"/>
              <w:rPr>
                <w:sz w:val="20"/>
                <w:szCs w:val="20"/>
              </w:rPr>
            </w:pPr>
            <w:r>
              <w:rPr>
                <w:sz w:val="2"/>
                <w:szCs w:val="2"/>
              </w:rPr>
              <w:t>​</w:t>
            </w:r>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divId w:val="1308704752"/>
              <w:rPr>
                <w:sz w:val="20"/>
                <w:szCs w:val="20"/>
              </w:rPr>
            </w:pPr>
            <w:r>
              <w:rPr>
                <w:sz w:val="2"/>
                <w:szCs w:val="2"/>
              </w:rPr>
              <w:t>​</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rFonts w:ascii="Times New Roman Bold" w:hAnsi="Times New Roman Bold"/>
                <w:b/>
                <w:bCs/>
                <w:sz w:val="16"/>
                <w:szCs w:val="16"/>
              </w:rPr>
              <w:t>Page No.</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March 31, 2020 and December 31, 2019 (unaudited)</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3</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months ended March 31, 2020 and 2019 (unaudited)</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4</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Defici</w:t>
              </w:r>
              <w:r>
                <w:rPr>
                  <w:rStyle w:val="a4"/>
                  <w:sz w:val="20"/>
                  <w:szCs w:val="20"/>
                </w:rPr>
                <w:t>t for the three months ended March 31, 2020 and 2019 (unaudited)</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5</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three months ended March 31, 2020 and 2019 (unaudited)</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6</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7</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MANAGEMENTSDISCUSSIONANDANALYSIS_237225" w:history="1">
              <w:r>
                <w:rPr>
                  <w:rStyle w:val="a4"/>
                  <w:sz w:val="20"/>
                  <w:szCs w:val="20"/>
                </w:rPr>
                <w:t>Item 2. Management’</w:t>
              </w:r>
              <w:r>
                <w:rPr>
                  <w:rStyle w:val="a4"/>
                  <w:sz w:val="20"/>
                  <w:szCs w:val="20"/>
                </w:rPr>
                <w:t>s Discussion and Analysis of Financial Condition and Results of Operations</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19</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Qualitative Disclosures About Market Risk</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34</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34</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35</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35</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69</w:t>
            </w:r>
          </w:p>
        </w:tc>
      </w:tr>
      <w:tr w:rsidR="00000000">
        <w:trPr>
          <w:divId w:val="1333266362"/>
        </w:trPr>
        <w:tc>
          <w:tcPr>
            <w:tcW w:w="46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70</w:t>
            </w:r>
          </w:p>
        </w:tc>
      </w:tr>
      <w:tr w:rsidR="00000000">
        <w:trPr>
          <w:divId w:val="1333266362"/>
        </w:trPr>
        <w:tc>
          <w:tcPr>
            <w:tcW w:w="46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71</w:t>
            </w:r>
          </w:p>
        </w:tc>
      </w:tr>
    </w:tbl>
    <w:p w:rsidR="00000000" w:rsidRDefault="00DE7B41">
      <w:pPr>
        <w:pStyle w:val="a3"/>
        <w:spacing w:before="0" w:beforeAutospacing="0" w:after="0" w:afterAutospacing="0"/>
        <w:divId w:val="1333266362"/>
        <w:rPr>
          <w:sz w:val="20"/>
          <w:szCs w:val="20"/>
        </w:rPr>
      </w:pPr>
      <w:r>
        <w:rPr>
          <w:sz w:val="20"/>
          <w:szCs w:val="20"/>
        </w:rPr>
        <w:t>​</w:t>
      </w:r>
    </w:p>
    <w:p w:rsidR="00000000" w:rsidRDefault="00DE7B41">
      <w:pPr>
        <w:pStyle w:val="a3"/>
        <w:spacing w:before="0" w:beforeAutospacing="0" w:after="0" w:afterAutospacing="0"/>
        <w:divId w:val="1333266362"/>
        <w:rPr>
          <w:sz w:val="20"/>
          <w:szCs w:val="20"/>
        </w:rPr>
      </w:pPr>
      <w:r>
        <w:rPr>
          <w:sz w:val="20"/>
          <w:szCs w:val="20"/>
        </w:rPr>
        <w:t>​</w:t>
      </w:r>
    </w:p>
    <w:p w:rsidR="00000000" w:rsidRDefault="00DE7B41">
      <w:pPr>
        <w:pStyle w:val="a3"/>
        <w:spacing w:before="0" w:beforeAutospacing="0" w:after="0" w:afterAutospacing="0"/>
        <w:divId w:val="1333266362"/>
        <w:rPr>
          <w:sz w:val="20"/>
          <w:szCs w:val="20"/>
        </w:rPr>
      </w:pPr>
      <w:r>
        <w:rPr>
          <w:sz w:val="20"/>
          <w:szCs w:val="20"/>
        </w:rPr>
        <w:t>​</w:t>
      </w:r>
    </w:p>
    <w:p w:rsidR="00000000" w:rsidRDefault="00DE7B41">
      <w:pPr>
        <w:pStyle w:val="a3"/>
        <w:spacing w:before="360" w:beforeAutospacing="0" w:after="0" w:afterAutospacing="0"/>
        <w:jc w:val="center"/>
        <w:divId w:val="1789277510"/>
        <w:rPr>
          <w:sz w:val="20"/>
          <w:szCs w:val="20"/>
        </w:rPr>
      </w:pPr>
      <w:r>
        <w:rPr>
          <w:sz w:val="20"/>
          <w:szCs w:val="20"/>
        </w:rPr>
        <w:t>2</w:t>
      </w:r>
    </w:p>
    <w:p w:rsidR="00000000" w:rsidRDefault="00DE7B41">
      <w:pPr>
        <w:pStyle w:val="a3"/>
        <w:spacing w:before="0" w:beforeAutospacing="0" w:after="600" w:afterAutospacing="0"/>
        <w:divId w:val="1100951582"/>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2120876425"/>
        <w:rPr>
          <w:sz w:val="20"/>
          <w:szCs w:val="20"/>
        </w:rPr>
      </w:pPr>
      <w:r>
        <w:rPr>
          <w:b/>
          <w:bCs/>
          <w:sz w:val="20"/>
          <w:szCs w:val="20"/>
        </w:rPr>
        <w:lastRenderedPageBreak/>
        <w:t>PART I. FINANCIAL INFORMATION</w:t>
      </w:r>
    </w:p>
    <w:p w:rsidR="00000000" w:rsidRDefault="00DE7B41">
      <w:pPr>
        <w:pStyle w:val="a3"/>
        <w:spacing w:before="0" w:beforeAutospacing="0" w:after="240" w:afterAutospacing="0"/>
        <w:ind w:hanging="1008"/>
        <w:divId w:val="2120876425"/>
        <w:rPr>
          <w:sz w:val="20"/>
          <w:szCs w:val="20"/>
        </w:rPr>
      </w:pPr>
      <w:r>
        <w:rPr>
          <w:b/>
          <w:bCs/>
          <w:sz w:val="20"/>
          <w:szCs w:val="20"/>
        </w:rPr>
        <w:t>ITEM 1.    FINANCIAL STATEMENTS</w:t>
      </w:r>
    </w:p>
    <w:p w:rsidR="00000000" w:rsidRDefault="00DE7B41">
      <w:pPr>
        <w:pStyle w:val="a3"/>
        <w:spacing w:before="0" w:beforeAutospacing="0" w:after="0" w:afterAutospacing="0"/>
        <w:jc w:val="center"/>
        <w:divId w:val="2120876425"/>
        <w:rPr>
          <w:sz w:val="20"/>
          <w:szCs w:val="20"/>
        </w:rPr>
      </w:pPr>
      <w:r>
        <w:rPr>
          <w:b/>
          <w:bCs/>
          <w:sz w:val="20"/>
          <w:szCs w:val="20"/>
        </w:rPr>
        <w:t>THERAVANCE BIOPHARMA, INC.</w:t>
      </w:r>
    </w:p>
    <w:p w:rsidR="00000000" w:rsidRDefault="00DE7B41">
      <w:pPr>
        <w:pStyle w:val="a3"/>
        <w:spacing w:before="0" w:beforeAutospacing="0" w:after="0" w:afterAutospacing="0"/>
        <w:jc w:val="center"/>
        <w:divId w:val="2120876425"/>
        <w:rPr>
          <w:sz w:val="20"/>
          <w:szCs w:val="20"/>
        </w:rPr>
      </w:pPr>
      <w:r>
        <w:rPr>
          <w:b/>
          <w:bCs/>
          <w:sz w:val="20"/>
          <w:szCs w:val="20"/>
        </w:rPr>
        <w:t>CONDENSED CONSOLIDATED BALANCE SHEETS</w:t>
      </w:r>
    </w:p>
    <w:p w:rsidR="00000000" w:rsidRDefault="00DE7B41">
      <w:pPr>
        <w:pStyle w:val="a3"/>
        <w:spacing w:before="0" w:beforeAutospacing="0" w:after="0" w:afterAutospacing="0"/>
        <w:jc w:val="center"/>
        <w:divId w:val="2120876425"/>
        <w:rPr>
          <w:sz w:val="20"/>
          <w:szCs w:val="20"/>
        </w:rPr>
      </w:pPr>
      <w:r>
        <w:rPr>
          <w:b/>
          <w:bCs/>
          <w:sz w:val="20"/>
          <w:szCs w:val="20"/>
        </w:rPr>
        <w:t>(Unaudited)</w:t>
      </w:r>
    </w:p>
    <w:p w:rsidR="00000000" w:rsidRDefault="00DE7B41">
      <w:pPr>
        <w:pStyle w:val="a3"/>
        <w:spacing w:before="0" w:beforeAutospacing="0" w:after="120" w:afterAutospacing="0"/>
        <w:jc w:val="center"/>
        <w:divId w:val="2120876425"/>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817"/>
        <w:gridCol w:w="202"/>
        <w:gridCol w:w="202"/>
        <w:gridCol w:w="840"/>
        <w:gridCol w:w="202"/>
        <w:gridCol w:w="203"/>
        <w:gridCol w:w="840"/>
      </w:tblGrid>
      <w:tr w:rsidR="00000000">
        <w:trPr>
          <w:divId w:val="2120876425"/>
          <w:trHeight w:val="20"/>
        </w:trPr>
        <w:tc>
          <w:tcPr>
            <w:tcW w:w="3503" w:type="pct"/>
            <w:tcMar>
              <w:top w:w="0" w:type="dxa"/>
              <w:left w:w="0" w:type="dxa"/>
              <w:bottom w:w="0" w:type="dxa"/>
              <w:right w:w="0" w:type="dxa"/>
            </w:tcMar>
            <w:hideMark/>
          </w:tcPr>
          <w:p w:rsidR="00000000" w:rsidRDefault="00DE7B41">
            <w:pPr>
              <w:pStyle w:val="a3"/>
              <w:spacing w:before="0" w:beforeAutospacing="0" w:after="0" w:afterAutospacing="0"/>
              <w:divId w:val="1938709817"/>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19839598"/>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37715026"/>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63475576"/>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649401691"/>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7460721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41445504"/>
              <w:rPr>
                <w:sz w:val="20"/>
                <w:szCs w:val="20"/>
              </w:rPr>
            </w:pPr>
            <w:r>
              <w:rPr>
                <w:sz w:val="2"/>
                <w:szCs w:val="2"/>
              </w:rPr>
              <w:t>​</w:t>
            </w:r>
          </w:p>
        </w:tc>
      </w:tr>
      <w:tr w:rsidR="00000000">
        <w:trPr>
          <w:divId w:val="2120876425"/>
        </w:trPr>
        <w:tc>
          <w:tcPr>
            <w:tcW w:w="3503"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622"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March 31, </w:t>
            </w:r>
          </w:p>
        </w:tc>
        <w:tc>
          <w:tcPr>
            <w:tcW w:w="12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622"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December 31, </w:t>
            </w:r>
          </w:p>
        </w:tc>
      </w:tr>
      <w:tr w:rsidR="00000000">
        <w:trPr>
          <w:divId w:val="2120876425"/>
        </w:trPr>
        <w:tc>
          <w:tcPr>
            <w:tcW w:w="3503"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2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332,798</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58,064</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154,233</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222,767</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14,214</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11,996</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Receivables from licensing arrangements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1,200</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10,000</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Amounts due from TRC, LLC</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26,282</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28,574</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5,491</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7,087</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Total current assets </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534,218</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338,488</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 xml:space="preserve">Property and equipment, net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13,905</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12,644</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Long-term marketable securities</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5,067</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4,985</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Operating lease assets</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46,106</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46,604</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Tax receivable</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3,972</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3,682</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 xml:space="preserve">Restricted cash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833</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833</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Other assets</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1,308</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1,590</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Total assets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605,409</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408,826</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Liabilities and Shareholders' Deficit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Current liabilities:</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Accounts payable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6,645</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4,758</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Accrued personnel-related expenses </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24,708</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28,180</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22,658</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17,587</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Accrued interest payable</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6,323</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5,659</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Non-recourse notes due 2033, net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9,851</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Operating lease liabilities</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7,954</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7,762</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Deferred revenue</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23,193</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31,575</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Other accrued liabilities </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6,559</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6,331</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Total current liabilities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98,040</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111,703</w:t>
            </w:r>
          </w:p>
        </w:tc>
      </w:tr>
      <w:tr w:rsidR="00000000">
        <w:trPr>
          <w:divId w:val="2120876425"/>
        </w:trPr>
        <w:tc>
          <w:tcPr>
            <w:tcW w:w="3503"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Convertible senior notes due 2023, net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226,158</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225,890</w:t>
            </w:r>
          </w:p>
        </w:tc>
      </w:tr>
      <w:tr w:rsidR="00000000">
        <w:trPr>
          <w:divId w:val="2120876425"/>
        </w:trPr>
        <w:tc>
          <w:tcPr>
            <w:tcW w:w="3503"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Non-recourse notes due 2035, net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373,854</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2120876425"/>
        </w:trPr>
        <w:tc>
          <w:tcPr>
            <w:tcW w:w="3503"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219,300</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Long-term operating lease liabilities</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47,199</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47,725</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Long-term deferred revenue</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8,511</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6,761</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Other long-term liabilities</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9,583</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21,287</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Commitments and contingencies</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Shareholders’ Deficit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Preferred shares, $0.00001 par value: 230 shares authorized, no shares issued or outstanding</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hanging="270"/>
              <w:rPr>
                <w:sz w:val="20"/>
                <w:szCs w:val="20"/>
              </w:rPr>
            </w:pPr>
            <w:r>
              <w:rPr>
                <w:sz w:val="18"/>
                <w:szCs w:val="18"/>
              </w:rPr>
              <w:t xml:space="preserve">Ordinary shares, $0.00001 par value: 200,000 </w:t>
            </w:r>
            <w:r>
              <w:rPr>
                <w:sz w:val="18"/>
                <w:szCs w:val="18"/>
              </w:rPr>
              <w:t>shares authorized; 63,004 and 57,015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at March 31, 2020 and December 31, 2019, respectively</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Additional paid-in capital</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1,173,204</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1,024,614</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Accumulated other comprehensive income</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512</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145</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 xml:space="preserve">Accumulated deficit </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(1,331,653)</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(1,248,600)</w:t>
            </w:r>
          </w:p>
        </w:tc>
      </w:tr>
      <w:tr w:rsidR="00000000">
        <w:trPr>
          <w:divId w:val="2120876425"/>
        </w:trPr>
        <w:tc>
          <w:tcPr>
            <w:tcW w:w="350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Total shareholders’ deficit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(157,936)</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(223,840)</w:t>
            </w:r>
          </w:p>
        </w:tc>
      </w:tr>
      <w:tr w:rsidR="00000000">
        <w:trPr>
          <w:divId w:val="2120876425"/>
        </w:trPr>
        <w:tc>
          <w:tcPr>
            <w:tcW w:w="350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Total liabilities and shareholders’ deficit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605,409</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408,826</w:t>
            </w:r>
          </w:p>
        </w:tc>
      </w:tr>
    </w:tbl>
    <w:p w:rsidR="00000000" w:rsidRDefault="00DE7B41">
      <w:pPr>
        <w:pStyle w:val="a3"/>
        <w:spacing w:before="240" w:beforeAutospacing="0" w:after="0" w:afterAutospacing="0"/>
        <w:jc w:val="center"/>
        <w:divId w:val="2120876425"/>
        <w:rPr>
          <w:sz w:val="20"/>
          <w:szCs w:val="20"/>
        </w:rPr>
      </w:pPr>
      <w:r>
        <w:rPr>
          <w:i/>
          <w:iCs/>
          <w:sz w:val="20"/>
          <w:szCs w:val="20"/>
        </w:rPr>
        <w:t>See accompanying notes to condensed consolidated financial statements.</w:t>
      </w:r>
    </w:p>
    <w:p w:rsidR="00000000" w:rsidRDefault="00DE7B41">
      <w:pPr>
        <w:pStyle w:val="a3"/>
        <w:spacing w:before="360" w:beforeAutospacing="0" w:after="0" w:afterAutospacing="0"/>
        <w:jc w:val="center"/>
        <w:divId w:val="1975520987"/>
        <w:rPr>
          <w:sz w:val="20"/>
          <w:szCs w:val="20"/>
        </w:rPr>
      </w:pPr>
      <w:r>
        <w:rPr>
          <w:sz w:val="20"/>
          <w:szCs w:val="20"/>
        </w:rPr>
        <w:lastRenderedPageBreak/>
        <w:t>3</w:t>
      </w:r>
    </w:p>
    <w:p w:rsidR="00000000" w:rsidRDefault="00DE7B41">
      <w:pPr>
        <w:pStyle w:val="a3"/>
        <w:spacing w:before="0" w:beforeAutospacing="0" w:after="600" w:afterAutospacing="0"/>
        <w:divId w:val="1143935978"/>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jc w:val="center"/>
        <w:divId w:val="1723676376"/>
        <w:rPr>
          <w:sz w:val="20"/>
          <w:szCs w:val="20"/>
        </w:rPr>
      </w:pPr>
      <w:r>
        <w:rPr>
          <w:b/>
          <w:bCs/>
          <w:sz w:val="20"/>
          <w:szCs w:val="20"/>
        </w:rPr>
        <w:t>THERAVANCE BIOPHARMA, INC.</w:t>
      </w:r>
    </w:p>
    <w:p w:rsidR="00000000" w:rsidRDefault="00DE7B41">
      <w:pPr>
        <w:pStyle w:val="a3"/>
        <w:spacing w:before="0" w:beforeAutospacing="0" w:after="0" w:afterAutospacing="0"/>
        <w:jc w:val="center"/>
        <w:divId w:val="1723676376"/>
        <w:rPr>
          <w:sz w:val="20"/>
          <w:szCs w:val="20"/>
        </w:rPr>
      </w:pPr>
      <w:r>
        <w:rPr>
          <w:b/>
          <w:bCs/>
          <w:sz w:val="20"/>
          <w:szCs w:val="20"/>
        </w:rPr>
        <w:t>CONDENSED CONSOLIDATED STATEMENTS OF OPERATIONS AND COMPREHENSIVE LOSS</w:t>
      </w:r>
    </w:p>
    <w:p w:rsidR="00000000" w:rsidRDefault="00DE7B41">
      <w:pPr>
        <w:pStyle w:val="a3"/>
        <w:spacing w:before="0" w:beforeAutospacing="0" w:after="0" w:afterAutospacing="0"/>
        <w:jc w:val="center"/>
        <w:divId w:val="1723676376"/>
        <w:rPr>
          <w:sz w:val="20"/>
          <w:szCs w:val="20"/>
        </w:rPr>
      </w:pPr>
      <w:r>
        <w:rPr>
          <w:b/>
          <w:bCs/>
          <w:sz w:val="20"/>
          <w:szCs w:val="20"/>
        </w:rPr>
        <w:t>(Unaudited)</w:t>
      </w:r>
    </w:p>
    <w:p w:rsidR="00000000" w:rsidRDefault="00DE7B41">
      <w:pPr>
        <w:pStyle w:val="a3"/>
        <w:spacing w:before="0" w:beforeAutospacing="0" w:after="0" w:afterAutospacing="0"/>
        <w:jc w:val="center"/>
        <w:divId w:val="1723676376"/>
        <w:rPr>
          <w:sz w:val="20"/>
          <w:szCs w:val="20"/>
        </w:rPr>
      </w:pPr>
      <w:r>
        <w:rPr>
          <w:b/>
          <w:bCs/>
          <w:sz w:val="20"/>
          <w:szCs w:val="20"/>
        </w:rPr>
        <w:t>(In thousands, except per sha</w:t>
      </w:r>
      <w:r>
        <w:rPr>
          <w:b/>
          <w:bCs/>
          <w:sz w:val="20"/>
          <w:szCs w:val="20"/>
        </w:rPr>
        <w:t>re data)</w:t>
      </w:r>
    </w:p>
    <w:p w:rsidR="00000000" w:rsidRDefault="00DE7B41">
      <w:pPr>
        <w:pStyle w:val="a3"/>
        <w:spacing w:before="0" w:beforeAutospacing="0" w:after="0" w:afterAutospacing="0"/>
        <w:jc w:val="center"/>
        <w:divId w:val="1723676376"/>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5840"/>
        <w:gridCol w:w="210"/>
        <w:gridCol w:w="210"/>
        <w:gridCol w:w="827"/>
        <w:gridCol w:w="210"/>
        <w:gridCol w:w="210"/>
        <w:gridCol w:w="829"/>
      </w:tblGrid>
      <w:tr w:rsidR="00000000">
        <w:trPr>
          <w:divId w:val="1723676376"/>
          <w:trHeight w:val="20"/>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divId w:val="271518839"/>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02485287"/>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96195576"/>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80198466"/>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89106519"/>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8114280"/>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66691389"/>
              <w:rPr>
                <w:sz w:val="20"/>
                <w:szCs w:val="20"/>
              </w:rPr>
            </w:pPr>
            <w:r>
              <w:rPr>
                <w:sz w:val="2"/>
                <w:szCs w:val="2"/>
              </w:rPr>
              <w:t>​</w:t>
            </w:r>
          </w:p>
        </w:tc>
      </w:tr>
      <w:tr w:rsidR="00000000">
        <w:trPr>
          <w:divId w:val="1723676376"/>
        </w:trPr>
        <w:tc>
          <w:tcPr>
            <w:tcW w:w="350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371"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1723676376"/>
        </w:trPr>
        <w:tc>
          <w:tcPr>
            <w:tcW w:w="350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2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723676376"/>
        </w:trPr>
        <w:tc>
          <w:tcPr>
            <w:tcW w:w="35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12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49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b/>
                <w:bCs/>
                <w:sz w:val="18"/>
                <w:szCs w:val="18"/>
              </w:rPr>
              <w:t>​</w:t>
            </w:r>
          </w:p>
        </w:tc>
        <w:tc>
          <w:tcPr>
            <w:tcW w:w="12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623"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8"/>
                <w:szCs w:val="18"/>
              </w:rPr>
              <w:t>​</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Revenue:</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b/>
                <w:bCs/>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8"/>
                <w:szCs w:val="18"/>
              </w:rPr>
              <w:t>​</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Collaboration revenue</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6,632</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5,338</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Licensing revenue</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1,500</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Mylan collaboration agreement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11,730</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360"/>
              <w:rPr>
                <w:sz w:val="18"/>
                <w:szCs w:val="18"/>
              </w:rPr>
            </w:pPr>
            <w:r>
              <w:rPr>
                <w:sz w:val="18"/>
                <w:szCs w:val="18"/>
              </w:rPr>
              <w:t>Total revenue</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19,862</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5,338</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Costs and expenses:</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Research and development (1)</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66,013</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53,818</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Selling, general and administrative (1)</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26,325</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25,186</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ind w:left="360"/>
              <w:rPr>
                <w:sz w:val="18"/>
                <w:szCs w:val="18"/>
              </w:rPr>
            </w:pPr>
            <w:r>
              <w:rPr>
                <w:sz w:val="18"/>
                <w:szCs w:val="18"/>
              </w:rPr>
              <w:t xml:space="preserve">Total costs and expenses </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92,338</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79,004</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xml:space="preserve">Loss from operations </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(72,476)</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(73,666)</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Income from investment in TRC, LLC</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13,515</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6,229</w:t>
            </w:r>
          </w:p>
        </w:tc>
      </w:tr>
      <w:tr w:rsidR="00000000">
        <w:trPr>
          <w:divId w:val="1723676376"/>
        </w:trPr>
        <w:tc>
          <w:tcPr>
            <w:tcW w:w="350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Interest expense</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(9,941)</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(7,858)</w:t>
            </w:r>
          </w:p>
        </w:tc>
      </w:tr>
      <w:tr w:rsidR="00000000">
        <w:trPr>
          <w:divId w:val="1723676376"/>
        </w:trPr>
        <w:tc>
          <w:tcPr>
            <w:tcW w:w="35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Loss on extinguishment of debt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(15,464)</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Interest and other income, net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1,460</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2,795</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xml:space="preserve">Loss before income taxes </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(82,906)</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(72,500)</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Provision for income tax expense</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(147)</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(80)</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xml:space="preserve">Net loss </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(83,053)</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(72,580)</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Net unrealized gain on available-for-sale investments</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367</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130</w:t>
            </w:r>
          </w:p>
        </w:tc>
      </w:tr>
      <w:tr w:rsidR="00000000">
        <w:trPr>
          <w:divId w:val="1723676376"/>
        </w:trPr>
        <w:tc>
          <w:tcPr>
            <w:tcW w:w="350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Total comprehensive loss</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(82,686)</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7"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(72,450)</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Net loss per share:</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1723676376"/>
        </w:trPr>
        <w:tc>
          <w:tcPr>
            <w:tcW w:w="350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Basic and diluted net loss per share</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(1.40)</w:t>
            </w:r>
          </w:p>
        </w:tc>
        <w:tc>
          <w:tcPr>
            <w:tcW w:w="12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(1.32)</w:t>
            </w:r>
          </w:p>
        </w:tc>
      </w:tr>
      <w:tr w:rsidR="00000000">
        <w:trPr>
          <w:divId w:val="1723676376"/>
        </w:trPr>
        <w:tc>
          <w:tcPr>
            <w:tcW w:w="3502"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Shares used to compute basic and diluted net loss per share</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59,463</w:t>
            </w:r>
          </w:p>
        </w:tc>
        <w:tc>
          <w:tcPr>
            <w:tcW w:w="12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97"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54,938</w:t>
            </w:r>
          </w:p>
        </w:tc>
      </w:tr>
    </w:tbl>
    <w:p w:rsidR="00000000" w:rsidRDefault="00DE7B41">
      <w:pPr>
        <w:divId w:val="17236763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3676376"/>
        </w:trPr>
        <w:tc>
          <w:tcPr>
            <w:tcW w:w="360" w:type="dxa"/>
            <w:noWrap/>
            <w:tcMar>
              <w:top w:w="0" w:type="dxa"/>
              <w:left w:w="0" w:type="dxa"/>
              <w:bottom w:w="0" w:type="dxa"/>
              <w:right w:w="0" w:type="dxa"/>
            </w:tcMar>
            <w:hideMark/>
          </w:tcPr>
          <w:p w:rsidR="00000000" w:rsidRDefault="00DE7B41">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DE7B41">
            <w:pPr>
              <w:rPr>
                <w:rFonts w:eastAsia="Times New Roman"/>
                <w:sz w:val="20"/>
                <w:szCs w:val="20"/>
              </w:rPr>
            </w:pPr>
            <w:r>
              <w:rPr>
                <w:rFonts w:eastAsia="Times New Roman"/>
                <w:color w:val="000000"/>
                <w:sz w:val="18"/>
                <w:szCs w:val="18"/>
              </w:rPr>
              <w:t>Amounts include share-based compensation expense as follows:</w:t>
            </w:r>
          </w:p>
        </w:tc>
      </w:tr>
    </w:tbl>
    <w:p w:rsidR="00000000" w:rsidRDefault="00DE7B41">
      <w:pPr>
        <w:pStyle w:val="a3"/>
        <w:spacing w:before="0" w:beforeAutospacing="0" w:after="0" w:afterAutospacing="0"/>
        <w:divId w:val="17236763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206"/>
        <w:gridCol w:w="811"/>
        <w:gridCol w:w="206"/>
        <w:gridCol w:w="205"/>
        <w:gridCol w:w="812"/>
      </w:tblGrid>
      <w:tr w:rsidR="00000000">
        <w:trPr>
          <w:divId w:val="1723676376"/>
          <w:trHeight w:val="20"/>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divId w:val="159208531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6750369"/>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353070697"/>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097092789"/>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3484153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6502656"/>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502626643"/>
              <w:rPr>
                <w:sz w:val="20"/>
                <w:szCs w:val="20"/>
              </w:rPr>
            </w:pPr>
            <w:r>
              <w:rPr>
                <w:sz w:val="2"/>
                <w:szCs w:val="2"/>
              </w:rPr>
              <w:t>​</w:t>
            </w:r>
          </w:p>
        </w:tc>
      </w:tr>
      <w:tr w:rsidR="00000000">
        <w:trPr>
          <w:divId w:val="1723676376"/>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1723676376"/>
        </w:trPr>
        <w:tc>
          <w:tcPr>
            <w:tcW w:w="3629"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723676376"/>
        </w:trPr>
        <w:tc>
          <w:tcPr>
            <w:tcW w:w="3629"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xml:space="preserve">Research and development </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18"/>
                <w:szCs w:val="18"/>
              </w:rPr>
            </w:pPr>
            <w:r>
              <w:rPr>
                <w:sz w:val="18"/>
                <w:szCs w:val="18"/>
              </w:rPr>
              <w:t>7,865</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18"/>
                <w:szCs w:val="18"/>
              </w:rPr>
            </w:pPr>
            <w:r>
              <w:rPr>
                <w:sz w:val="18"/>
                <w:szCs w:val="18"/>
              </w:rPr>
              <w:t>6,159</w:t>
            </w:r>
          </w:p>
        </w:tc>
      </w:tr>
      <w:tr w:rsidR="00000000">
        <w:trPr>
          <w:divId w:val="1723676376"/>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xml:space="preserve">Selling, general and administrative </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18"/>
                <w:szCs w:val="18"/>
              </w:rPr>
            </w:pPr>
            <w:r>
              <w:rPr>
                <w:sz w:val="18"/>
                <w:szCs w:val="18"/>
              </w:rPr>
              <w:t>7,411</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18"/>
                <w:szCs w:val="18"/>
              </w:rPr>
            </w:pPr>
            <w:r>
              <w:rPr>
                <w:sz w:val="18"/>
                <w:szCs w:val="18"/>
              </w:rPr>
              <w:t>6,061</w:t>
            </w:r>
          </w:p>
        </w:tc>
      </w:tr>
      <w:tr w:rsidR="00000000">
        <w:trPr>
          <w:divId w:val="1723676376"/>
        </w:trPr>
        <w:tc>
          <w:tcPr>
            <w:tcW w:w="3629"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8"/>
                <w:szCs w:val="18"/>
              </w:rPr>
            </w:pPr>
            <w:r>
              <w:rPr>
                <w:sz w:val="18"/>
                <w:szCs w:val="18"/>
              </w:rPr>
              <w:t xml:space="preserve">Total share-based compensation expense </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18"/>
                <w:szCs w:val="18"/>
              </w:rPr>
            </w:pPr>
            <w:r>
              <w:rPr>
                <w:sz w:val="18"/>
                <w:szCs w:val="18"/>
              </w:rPr>
              <w:t>15,276</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18"/>
                <w:szCs w:val="18"/>
              </w:rPr>
            </w:pPr>
            <w:r>
              <w:rPr>
                <w:sz w:val="18"/>
                <w:szCs w:val="18"/>
              </w:rPr>
              <w:t>12,220</w:t>
            </w:r>
          </w:p>
        </w:tc>
      </w:tr>
    </w:tbl>
    <w:p w:rsidR="00000000" w:rsidRDefault="00DE7B41">
      <w:pPr>
        <w:pStyle w:val="a3"/>
        <w:spacing w:before="0" w:beforeAutospacing="0" w:after="0" w:afterAutospacing="0"/>
        <w:divId w:val="1723676376"/>
        <w:rPr>
          <w:sz w:val="20"/>
          <w:szCs w:val="20"/>
        </w:rPr>
      </w:pPr>
      <w:r>
        <w:rPr>
          <w:sz w:val="20"/>
          <w:szCs w:val="20"/>
        </w:rPr>
        <w:t>​</w:t>
      </w:r>
    </w:p>
    <w:p w:rsidR="00000000" w:rsidRDefault="00DE7B41">
      <w:pPr>
        <w:pStyle w:val="a3"/>
        <w:spacing w:before="0" w:beforeAutospacing="0" w:after="0" w:afterAutospacing="0"/>
        <w:jc w:val="center"/>
        <w:divId w:val="1723676376"/>
        <w:rPr>
          <w:sz w:val="20"/>
          <w:szCs w:val="20"/>
        </w:rPr>
      </w:pPr>
      <w:r>
        <w:rPr>
          <w:i/>
          <w:iCs/>
          <w:sz w:val="20"/>
          <w:szCs w:val="20"/>
        </w:rPr>
        <w:t>See accompanying notes to condensed consolidated financial statements.</w:t>
      </w:r>
    </w:p>
    <w:p w:rsidR="00000000" w:rsidRDefault="00DE7B41">
      <w:pPr>
        <w:pStyle w:val="a3"/>
        <w:spacing w:before="0" w:beforeAutospacing="0" w:after="0" w:afterAutospacing="0"/>
        <w:divId w:val="1723676376"/>
        <w:rPr>
          <w:sz w:val="20"/>
          <w:szCs w:val="20"/>
        </w:rPr>
      </w:pPr>
      <w:r>
        <w:rPr>
          <w:sz w:val="20"/>
          <w:szCs w:val="20"/>
        </w:rPr>
        <w:t>​</w:t>
      </w:r>
    </w:p>
    <w:p w:rsidR="00000000" w:rsidRDefault="00DE7B41">
      <w:pPr>
        <w:pStyle w:val="a3"/>
        <w:spacing w:before="360" w:beforeAutospacing="0" w:after="0" w:afterAutospacing="0"/>
        <w:jc w:val="center"/>
        <w:divId w:val="648822880"/>
        <w:rPr>
          <w:sz w:val="20"/>
          <w:szCs w:val="20"/>
        </w:rPr>
      </w:pPr>
      <w:r>
        <w:rPr>
          <w:sz w:val="20"/>
          <w:szCs w:val="20"/>
        </w:rPr>
        <w:t>4</w:t>
      </w:r>
    </w:p>
    <w:p w:rsidR="00000000" w:rsidRDefault="00DE7B41">
      <w:pPr>
        <w:pStyle w:val="a3"/>
        <w:spacing w:before="0" w:beforeAutospacing="0" w:after="600" w:afterAutospacing="0"/>
        <w:divId w:val="83172160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jc w:val="center"/>
        <w:divId w:val="195626038"/>
        <w:rPr>
          <w:sz w:val="20"/>
          <w:szCs w:val="20"/>
        </w:rPr>
      </w:pPr>
      <w:r>
        <w:rPr>
          <w:b/>
          <w:bCs/>
          <w:sz w:val="20"/>
          <w:szCs w:val="20"/>
        </w:rPr>
        <w:t>THERAVANCE BIOPHARMA, INC.</w:t>
      </w:r>
    </w:p>
    <w:p w:rsidR="00000000" w:rsidRDefault="00DE7B41">
      <w:pPr>
        <w:pStyle w:val="a3"/>
        <w:spacing w:before="0" w:beforeAutospacing="0" w:after="0" w:afterAutospacing="0"/>
        <w:jc w:val="center"/>
        <w:divId w:val="195626038"/>
        <w:rPr>
          <w:sz w:val="20"/>
          <w:szCs w:val="20"/>
        </w:rPr>
      </w:pPr>
      <w:r>
        <w:rPr>
          <w:b/>
          <w:bCs/>
          <w:sz w:val="20"/>
          <w:szCs w:val="20"/>
        </w:rPr>
        <w:t>CONDENSED CONSOLIDATED STATEMENTS OF SHAREHOLDERS’ DEFICIT</w:t>
      </w:r>
    </w:p>
    <w:p w:rsidR="00000000" w:rsidRDefault="00DE7B41">
      <w:pPr>
        <w:pStyle w:val="a3"/>
        <w:spacing w:before="0" w:beforeAutospacing="0" w:after="0" w:afterAutospacing="0"/>
        <w:jc w:val="center"/>
        <w:divId w:val="195626038"/>
        <w:rPr>
          <w:sz w:val="20"/>
          <w:szCs w:val="20"/>
        </w:rPr>
      </w:pPr>
      <w:r>
        <w:rPr>
          <w:b/>
          <w:bCs/>
          <w:sz w:val="20"/>
          <w:szCs w:val="20"/>
        </w:rPr>
        <w:t>(Unaudited)</w:t>
      </w:r>
    </w:p>
    <w:p w:rsidR="00000000" w:rsidRDefault="00DE7B41">
      <w:pPr>
        <w:pStyle w:val="a3"/>
        <w:spacing w:before="0" w:beforeAutospacing="0" w:after="0" w:afterAutospacing="0"/>
        <w:jc w:val="center"/>
        <w:divId w:val="195626038"/>
        <w:rPr>
          <w:sz w:val="20"/>
          <w:szCs w:val="20"/>
        </w:rPr>
      </w:pPr>
      <w:r>
        <w:rPr>
          <w:b/>
          <w:bCs/>
          <w:sz w:val="20"/>
          <w:szCs w:val="20"/>
        </w:rPr>
        <w:t>(In thousands)</w:t>
      </w:r>
    </w:p>
    <w:p w:rsidR="00000000" w:rsidRDefault="00DE7B41">
      <w:pPr>
        <w:pStyle w:val="a3"/>
        <w:spacing w:before="0" w:beforeAutospacing="0" w:after="0" w:afterAutospacing="0"/>
        <w:divId w:val="195626038"/>
        <w:rPr>
          <w:sz w:val="20"/>
          <w:szCs w:val="20"/>
        </w:rPr>
      </w:pPr>
      <w:r>
        <w:rPr>
          <w:b/>
          <w:bCs/>
          <w:sz w:val="14"/>
          <w:szCs w:val="14"/>
        </w:rPr>
        <w:t>​</w:t>
      </w:r>
    </w:p>
    <w:p w:rsidR="00000000" w:rsidRDefault="00DE7B41">
      <w:pPr>
        <w:pStyle w:val="a3"/>
        <w:spacing w:before="0" w:beforeAutospacing="0" w:after="0" w:afterAutospacing="0"/>
        <w:divId w:val="195626038"/>
        <w:rPr>
          <w:sz w:val="20"/>
          <w:szCs w:val="20"/>
        </w:rPr>
      </w:pPr>
      <w:r>
        <w:rPr>
          <w:b/>
          <w:bCs/>
          <w:sz w:val="14"/>
          <w:szCs w:val="14"/>
        </w:rPr>
        <w:t>​</w:t>
      </w:r>
    </w:p>
    <w:tbl>
      <w:tblPr>
        <w:tblW w:w="5045" w:type="pct"/>
        <w:tblCellMar>
          <w:top w:w="15" w:type="dxa"/>
          <w:left w:w="0" w:type="dxa"/>
          <w:bottom w:w="15" w:type="dxa"/>
          <w:right w:w="0" w:type="dxa"/>
        </w:tblCellMar>
        <w:tblLook w:val="04A0" w:firstRow="1" w:lastRow="0" w:firstColumn="1" w:lastColumn="0" w:noHBand="0" w:noVBand="1"/>
      </w:tblPr>
      <w:tblGrid>
        <w:gridCol w:w="2878"/>
        <w:gridCol w:w="120"/>
        <w:gridCol w:w="491"/>
        <w:gridCol w:w="121"/>
        <w:gridCol w:w="104"/>
        <w:gridCol w:w="479"/>
        <w:gridCol w:w="120"/>
        <w:gridCol w:w="80"/>
        <w:gridCol w:w="690"/>
        <w:gridCol w:w="120"/>
        <w:gridCol w:w="218"/>
        <w:gridCol w:w="849"/>
        <w:gridCol w:w="120"/>
        <w:gridCol w:w="172"/>
        <w:gridCol w:w="747"/>
        <w:gridCol w:w="120"/>
        <w:gridCol w:w="176"/>
        <w:gridCol w:w="776"/>
      </w:tblGrid>
      <w:tr w:rsidR="00000000">
        <w:trPr>
          <w:divId w:val="195626038"/>
          <w:trHeight w:val="20"/>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r>
      <w:tr w:rsidR="00000000">
        <w:trPr>
          <w:divId w:val="195626038"/>
        </w:trPr>
        <w:tc>
          <w:tcPr>
            <w:tcW w:w="181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color w:val="0563C1"/>
                <w:sz w:val="16"/>
                <w:szCs w:val="16"/>
                <w:u w:val="single"/>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5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Accumulated</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r>
      <w:tr w:rsidR="00000000">
        <w:trPr>
          <w:divId w:val="195626038"/>
        </w:trPr>
        <w:tc>
          <w:tcPr>
            <w:tcW w:w="181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41"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5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3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Additional</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Other</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0"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8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10"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Total</w:t>
            </w:r>
          </w:p>
        </w:tc>
      </w:tr>
      <w:tr w:rsidR="00000000">
        <w:trPr>
          <w:divId w:val="195626038"/>
        </w:trPr>
        <w:tc>
          <w:tcPr>
            <w:tcW w:w="181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848"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Ordinary Shares</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3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Paid-In</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Comprehensive</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77"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Accumulated</w:t>
            </w:r>
          </w:p>
        </w:tc>
        <w:tc>
          <w:tcPr>
            <w:tcW w:w="7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10"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Shareholders'</w:t>
            </w:r>
          </w:p>
        </w:tc>
      </w:tr>
      <w:tr w:rsidR="00000000">
        <w:trPr>
          <w:divId w:val="195626038"/>
        </w:trPr>
        <w:tc>
          <w:tcPr>
            <w:tcW w:w="181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34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Shares</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43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Amount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4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Capital</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5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Income (Loss)</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Deficit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51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Deficit</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Balances at December 31, 2019</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57,015</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1,024,614</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145</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(1,248,600)</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(223,840)</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Net proceeds from sale of ordinary shares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5,500</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139,915</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139,915</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Employee share-based compensation expense</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15,276</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15,276</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Issuance of restricted shares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744</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Option exercises</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203</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203</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Repurchase of shares to satisfy tax withholding</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(263)</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(6,804)</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(6,804)</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Net unrealized gain on marketable securities</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367</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367</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Net loss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(83,053)</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(83,053)</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Balances at March 31, 2020</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63,004</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1,173,204</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512</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(1,331,653)</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(157,936)</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5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5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1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5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5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1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526"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36"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10"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Total</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848" w:type="pct"/>
            <w:gridSpan w:val="4"/>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36"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510" w:type="pct"/>
            <w:gridSpan w:val="2"/>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Shareholders'</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   </w:t>
            </w:r>
          </w:p>
        </w:tc>
        <w:tc>
          <w:tcPr>
            <w:tcW w:w="510" w:type="pct"/>
            <w:gridSpan w:val="2"/>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Deficit</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Balances at December 31, 2018</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55,681</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960,721</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(166)</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w:t>
            </w:r>
            <w:r>
              <w:rPr>
                <w:sz w:val="16"/>
                <w:szCs w:val="16"/>
              </w:rPr>
              <w:t>1,012,145)</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(51,589)</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Employee share-based compensation expense</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12,220</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12,220</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Issuance of restricted shares</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426</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Option exercises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15</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254</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254</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Repurchase of shares to satisfy tax withholding</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(1,687)</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(1,687)</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Net unrealized gain on marketable securities</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130</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130</w:t>
            </w:r>
          </w:p>
        </w:tc>
      </w:tr>
      <w:tr w:rsidR="00000000">
        <w:trPr>
          <w:divId w:val="195626038"/>
        </w:trPr>
        <w:tc>
          <w:tcPr>
            <w:tcW w:w="181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16"/>
                <w:szCs w:val="16"/>
              </w:rPr>
            </w:pPr>
            <w:r>
              <w:rPr>
                <w:sz w:val="16"/>
                <w:szCs w:val="16"/>
              </w:rPr>
              <w:t>Net loss</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Borders>
              <w:bottom w:val="single" w:sz="6" w:space="0" w:color="000000"/>
            </w:tcBorders>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2" w:type="pct"/>
            <w:tcBorders>
              <w:bottom w:val="single" w:sz="6" w:space="0" w:color="000000"/>
            </w:tcBorders>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58" w:type="pct"/>
            <w:tcBorders>
              <w:bottom w:val="single" w:sz="6" w:space="0" w:color="000000"/>
            </w:tcBorders>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8" w:type="pct"/>
            <w:tcBorders>
              <w:bottom w:val="single" w:sz="6" w:space="0" w:color="000000"/>
            </w:tcBorders>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86" w:type="pct"/>
            <w:tcBorders>
              <w:bottom w:val="single" w:sz="6" w:space="0" w:color="000000"/>
            </w:tcBorders>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(72,580)</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415" w:type="pct"/>
            <w:tcBorders>
              <w:bottom w:val="single" w:sz="6" w:space="0" w:color="000000"/>
            </w:tcBorders>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(72,580)</w:t>
            </w:r>
          </w:p>
        </w:tc>
      </w:tr>
      <w:tr w:rsidR="00000000">
        <w:trPr>
          <w:divId w:val="195626038"/>
        </w:trPr>
        <w:tc>
          <w:tcPr>
            <w:tcW w:w="1814" w:type="pct"/>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Balances at March 31, 2019</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341"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56,122</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2"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1</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50"/>
              <w:jc w:val="right"/>
              <w:rPr>
                <w:sz w:val="16"/>
                <w:szCs w:val="16"/>
              </w:rPr>
            </w:pPr>
            <w:r>
              <w:rPr>
                <w:sz w:val="16"/>
                <w:szCs w:val="16"/>
              </w:rPr>
              <w:t>971,508</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07"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(36)</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(1,084,725)</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sz w:val="16"/>
                <w:szCs w:val="16"/>
              </w:rPr>
              <w:t>$</w:t>
            </w:r>
          </w:p>
        </w:tc>
        <w:tc>
          <w:tcPr>
            <w:tcW w:w="41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6"/>
                <w:szCs w:val="16"/>
              </w:rPr>
            </w:pPr>
            <w:r>
              <w:rPr>
                <w:sz w:val="16"/>
                <w:szCs w:val="16"/>
              </w:rPr>
              <w:t>(113,252)</w:t>
            </w:r>
          </w:p>
        </w:tc>
      </w:tr>
    </w:tbl>
    <w:p w:rsidR="00000000" w:rsidRDefault="00DE7B41">
      <w:pPr>
        <w:pStyle w:val="a3"/>
        <w:spacing w:before="0" w:beforeAutospacing="0" w:after="0" w:afterAutospacing="0"/>
        <w:ind w:firstLine="720"/>
        <w:jc w:val="center"/>
        <w:divId w:val="195626038"/>
        <w:rPr>
          <w:sz w:val="20"/>
          <w:szCs w:val="20"/>
        </w:rPr>
      </w:pPr>
      <w:r>
        <w:rPr>
          <w:i/>
          <w:iCs/>
          <w:sz w:val="20"/>
          <w:szCs w:val="20"/>
        </w:rPr>
        <w:t>​</w:t>
      </w:r>
    </w:p>
    <w:p w:rsidR="00000000" w:rsidRDefault="00DE7B41">
      <w:pPr>
        <w:pStyle w:val="a3"/>
        <w:spacing w:before="0" w:beforeAutospacing="0" w:after="0" w:afterAutospacing="0"/>
        <w:ind w:firstLine="720"/>
        <w:jc w:val="center"/>
        <w:divId w:val="195626038"/>
        <w:rPr>
          <w:sz w:val="20"/>
          <w:szCs w:val="20"/>
        </w:rPr>
      </w:pPr>
      <w:r>
        <w:rPr>
          <w:i/>
          <w:iCs/>
          <w:sz w:val="20"/>
          <w:szCs w:val="20"/>
        </w:rPr>
        <w:t>See accompanying notes to condensed consolidated financial statements.</w:t>
      </w:r>
    </w:p>
    <w:p w:rsidR="00000000" w:rsidRDefault="00DE7B41">
      <w:pPr>
        <w:pStyle w:val="a3"/>
        <w:spacing w:before="360" w:beforeAutospacing="0" w:after="0" w:afterAutospacing="0"/>
        <w:jc w:val="center"/>
        <w:divId w:val="618339374"/>
        <w:rPr>
          <w:sz w:val="20"/>
          <w:szCs w:val="20"/>
        </w:rPr>
      </w:pPr>
      <w:r>
        <w:rPr>
          <w:sz w:val="20"/>
          <w:szCs w:val="20"/>
        </w:rPr>
        <w:t>5</w:t>
      </w:r>
    </w:p>
    <w:p w:rsidR="00000000" w:rsidRDefault="00DE7B41">
      <w:pPr>
        <w:pStyle w:val="a3"/>
        <w:spacing w:before="0" w:beforeAutospacing="0" w:after="600" w:afterAutospacing="0"/>
        <w:divId w:val="1083648618"/>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jc w:val="center"/>
        <w:divId w:val="566768407"/>
        <w:rPr>
          <w:sz w:val="20"/>
          <w:szCs w:val="20"/>
        </w:rPr>
      </w:pPr>
      <w:r>
        <w:rPr>
          <w:b/>
          <w:bCs/>
          <w:sz w:val="20"/>
          <w:szCs w:val="20"/>
        </w:rPr>
        <w:t>THERAVANCE BIOPHARMA, INC.</w:t>
      </w:r>
    </w:p>
    <w:p w:rsidR="00000000" w:rsidRDefault="00DE7B41">
      <w:pPr>
        <w:pStyle w:val="a3"/>
        <w:spacing w:before="0" w:beforeAutospacing="0" w:after="0" w:afterAutospacing="0"/>
        <w:jc w:val="center"/>
        <w:divId w:val="566768407"/>
        <w:rPr>
          <w:sz w:val="20"/>
          <w:szCs w:val="20"/>
        </w:rPr>
      </w:pPr>
      <w:r>
        <w:rPr>
          <w:b/>
          <w:bCs/>
          <w:sz w:val="20"/>
          <w:szCs w:val="20"/>
        </w:rPr>
        <w:t>CONDENSED CONSOLIDATED STATEMENTS OF CASH FLOWS</w:t>
      </w:r>
    </w:p>
    <w:p w:rsidR="00000000" w:rsidRDefault="00DE7B41">
      <w:pPr>
        <w:pStyle w:val="a3"/>
        <w:spacing w:before="0" w:beforeAutospacing="0" w:after="0" w:afterAutospacing="0"/>
        <w:jc w:val="center"/>
        <w:divId w:val="566768407"/>
        <w:rPr>
          <w:sz w:val="20"/>
          <w:szCs w:val="20"/>
        </w:rPr>
      </w:pPr>
      <w:r>
        <w:rPr>
          <w:b/>
          <w:bCs/>
          <w:sz w:val="20"/>
          <w:szCs w:val="20"/>
        </w:rPr>
        <w:t>(Unaudited)</w:t>
      </w:r>
    </w:p>
    <w:p w:rsidR="00000000" w:rsidRDefault="00DE7B41">
      <w:pPr>
        <w:pStyle w:val="a3"/>
        <w:spacing w:before="0" w:beforeAutospacing="0" w:after="0" w:afterAutospacing="0"/>
        <w:jc w:val="center"/>
        <w:divId w:val="566768407"/>
        <w:rPr>
          <w:sz w:val="20"/>
          <w:szCs w:val="20"/>
        </w:rPr>
      </w:pPr>
      <w:r>
        <w:rPr>
          <w:b/>
          <w:bCs/>
          <w:sz w:val="20"/>
          <w:szCs w:val="20"/>
        </w:rPr>
        <w:t>(In thousands)</w:t>
      </w:r>
    </w:p>
    <w:p w:rsidR="00000000" w:rsidRDefault="00DE7B41">
      <w:pPr>
        <w:pStyle w:val="a3"/>
        <w:spacing w:before="0" w:beforeAutospacing="0" w:after="0" w:afterAutospacing="0"/>
        <w:jc w:val="center"/>
        <w:divId w:val="56676840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886"/>
        <w:gridCol w:w="180"/>
        <w:gridCol w:w="146"/>
        <w:gridCol w:w="865"/>
        <w:gridCol w:w="218"/>
        <w:gridCol w:w="145"/>
        <w:gridCol w:w="866"/>
      </w:tblGrid>
      <w:tr w:rsidR="00000000">
        <w:trPr>
          <w:divId w:val="566768407"/>
          <w:trHeight w:val="20"/>
        </w:trPr>
        <w:tc>
          <w:tcPr>
            <w:tcW w:w="3563" w:type="pct"/>
            <w:tcMar>
              <w:top w:w="0" w:type="dxa"/>
              <w:left w:w="0" w:type="dxa"/>
              <w:bottom w:w="0" w:type="dxa"/>
              <w:right w:w="0" w:type="dxa"/>
            </w:tcMar>
            <w:hideMark/>
          </w:tcPr>
          <w:p w:rsidR="00000000" w:rsidRDefault="00DE7B41">
            <w:pPr>
              <w:pStyle w:val="a3"/>
              <w:spacing w:before="0" w:beforeAutospacing="0" w:after="0" w:afterAutospacing="0"/>
              <w:divId w:val="1250888041"/>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3900463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93468596"/>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69819952"/>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1072620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66833739"/>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973173367"/>
              <w:rPr>
                <w:sz w:val="20"/>
                <w:szCs w:val="20"/>
              </w:rPr>
            </w:pPr>
            <w:r>
              <w:rPr>
                <w:sz w:val="2"/>
                <w:szCs w:val="2"/>
              </w:rPr>
              <w:t>​</w:t>
            </w:r>
          </w:p>
        </w:tc>
      </w:tr>
      <w:tr w:rsidR="00000000">
        <w:trPr>
          <w:divId w:val="566768407"/>
        </w:trPr>
        <w:tc>
          <w:tcPr>
            <w:tcW w:w="356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12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t>​</w:t>
            </w:r>
          </w:p>
        </w:tc>
        <w:tc>
          <w:tcPr>
            <w:tcW w:w="130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566768407"/>
        </w:trPr>
        <w:tc>
          <w:tcPr>
            <w:tcW w:w="356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8"/>
                <w:szCs w:val="18"/>
              </w:rPr>
              <w:lastRenderedPageBreak/>
              <w:t>​</w:t>
            </w:r>
          </w:p>
        </w:tc>
        <w:tc>
          <w:tcPr>
            <w:tcW w:w="12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b/>
                <w:bCs/>
                <w:sz w:val="18"/>
                <w:szCs w:val="18"/>
              </w:rPr>
              <w:t>    </w:t>
            </w:r>
          </w:p>
        </w:tc>
        <w:tc>
          <w:tcPr>
            <w:tcW w:w="59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2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8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Operating activities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 xml:space="preserve">Net loss </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(83,053)</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(72,580)</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Adjustments to reconcile net loss to net cash used in operating activities: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Depreciation and amortization</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2,424</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1,316</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Amortization and accretion income, net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(536)</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(629)</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 xml:space="preserve">Share-based compensation </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15,276</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12,220</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Amortization of right-of-use assets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457</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986</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Amounts due from TRC, LLC</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2,295</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(6,229)</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Loss on extinguishment of debt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15,464</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Other</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9</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16</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18"/>
                <w:szCs w:val="18"/>
              </w:rPr>
            </w:pPr>
            <w:r>
              <w:rPr>
                <w:sz w:val="18"/>
                <w:szCs w:val="18"/>
              </w:rPr>
              <w:t>Changes in operating assets and liabilities: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Accounts receivable </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507</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Receivables from collaborative and licensing arrangements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6,582</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2,229</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Other prepaid and current assets</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1,592</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(2,135)</w:t>
            </w:r>
          </w:p>
        </w:tc>
      </w:tr>
      <w:tr w:rsidR="00000000">
        <w:trPr>
          <w:divId w:val="566768407"/>
        </w:trPr>
        <w:tc>
          <w:tcPr>
            <w:tcW w:w="3563"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360"/>
              <w:rPr>
                <w:sz w:val="18"/>
                <w:szCs w:val="18"/>
              </w:rPr>
            </w:pPr>
            <w:r>
              <w:rPr>
                <w:sz w:val="18"/>
                <w:szCs w:val="18"/>
              </w:rPr>
              <w:t>Other assets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(99)</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Accounts payable </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1,154</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(3,440)</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Accrued personnel-related expenses, accrued clinical and development expenses, and </w:t>
            </w:r>
            <w:r>
              <w:rPr>
                <w:sz w:val="18"/>
                <w:szCs w:val="18"/>
              </w:rPr>
              <w:br/>
            </w:r>
            <w:r>
              <w:rPr>
                <w:sz w:val="18"/>
                <w:szCs w:val="18"/>
              </w:rPr>
              <w:t>other accrued liabilities</w:t>
            </w:r>
            <w:r>
              <w:rPr>
                <w:sz w:val="18"/>
                <w:szCs w:val="18"/>
              </w:rPr>
              <w:t xml:space="preserve">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(10,549)</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(2,703)</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Accrued interest payable</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664</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(4,581)</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 xml:space="preserve">Deferred revenue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(6,632)</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(5,333)</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Operating lease liabilities</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(293)</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(910)</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360"/>
              <w:rPr>
                <w:sz w:val="18"/>
                <w:szCs w:val="18"/>
              </w:rPr>
            </w:pPr>
            <w:r>
              <w:rPr>
                <w:sz w:val="18"/>
                <w:szCs w:val="18"/>
              </w:rPr>
              <w:t>Other long-term liabilities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144</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73</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ind w:left="480"/>
              <w:rPr>
                <w:sz w:val="18"/>
                <w:szCs w:val="18"/>
              </w:rPr>
            </w:pPr>
            <w:r>
              <w:rPr>
                <w:sz w:val="18"/>
                <w:szCs w:val="18"/>
              </w:rPr>
              <w:t xml:space="preserve">Net cash used in operating activities </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(55,101)</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(81,193)</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Investing activities</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Purchases of property and equipment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(954)</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(1,220)</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 xml:space="preserve">Purchases of marketable securities </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(64,778)</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(148,138)</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 xml:space="preserve">Maturities of marketable securities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119,203</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77,198</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Proceeds from the sale of marketable securities</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14,932</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480"/>
              <w:rPr>
                <w:sz w:val="18"/>
                <w:szCs w:val="18"/>
              </w:rPr>
            </w:pPr>
            <w:r>
              <w:rPr>
                <w:sz w:val="18"/>
                <w:szCs w:val="18"/>
              </w:rPr>
              <w:t xml:space="preserve">Net cash provided by (used in) investing activities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68,403</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(72,160)</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Financing activities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Proceeds from the sale of ordinary shares, net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139,915</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Proceeds from issuance of 2035 notes, net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380,000</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Payment of issuance costs on 2035 notes</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(5,065)</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Payment of redemption premium on 2033 notes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(11,470)</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Principal payment on 2033 notes</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(235,347)</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Proceeds from option exercises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203</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254</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Repurchase of shares to satisfy tax withholding</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(6,804)</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(1,687)</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480"/>
              <w:rPr>
                <w:sz w:val="18"/>
                <w:szCs w:val="18"/>
              </w:rPr>
            </w:pPr>
            <w:r>
              <w:rPr>
                <w:sz w:val="18"/>
                <w:szCs w:val="18"/>
              </w:rPr>
              <w:t>Net cash provided by (used in) financing activities</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261,432</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(1,433)</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Net increase (decrease) in cash, cash equivalents, and restricted cash</w:t>
            </w:r>
            <w:r>
              <w:rPr>
                <w:sz w:val="18"/>
                <w:szCs w:val="18"/>
              </w:rPr>
              <w:t xml:space="preserve">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274,734</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(154,786)</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Cash, cash equivalents, and restricted cash at beginning of period</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58,897</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378,854</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Cash, cash equivalents, and restricted cash at end of period</w:t>
            </w:r>
            <w:r>
              <w:rPr>
                <w:sz w:val="18"/>
                <w:szCs w:val="18"/>
              </w:rPr>
              <w:t xml:space="preserve"> </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333,631</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224,068</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b/>
                <w:bCs/>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b/>
                <w:bCs/>
                <w:sz w:val="18"/>
                <w:szCs w:val="18"/>
              </w:rPr>
              <w:t>Supplemental disclosure of cash flow information</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Cash paid for interest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7,891</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Cash paid (received) for income taxes, net</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18"/>
                <w:szCs w:val="18"/>
              </w:rPr>
            </w:pPr>
            <w:r>
              <w:rPr>
                <w:sz w:val="18"/>
                <w:szCs w:val="18"/>
              </w:rPr>
              <w:t>(9)</w:t>
            </w:r>
          </w:p>
        </w:tc>
        <w:tc>
          <w:tcPr>
            <w:tcW w:w="12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r>
      <w:tr w:rsidR="00000000">
        <w:trPr>
          <w:divId w:val="566768407"/>
        </w:trPr>
        <w:tc>
          <w:tcPr>
            <w:tcW w:w="3563" w:type="pct"/>
            <w:tcMar>
              <w:top w:w="0" w:type="dxa"/>
              <w:left w:w="0" w:type="dxa"/>
              <w:bottom w:w="0" w:type="dxa"/>
              <w:right w:w="0" w:type="dxa"/>
            </w:tcMar>
            <w:hideMark/>
          </w:tcPr>
          <w:p w:rsidR="00000000" w:rsidRDefault="00DE7B41">
            <w:pPr>
              <w:pStyle w:val="a3"/>
              <w:spacing w:before="0" w:beforeAutospacing="0" w:after="0" w:afterAutospacing="0"/>
              <w:rPr>
                <w:sz w:val="18"/>
                <w:szCs w:val="18"/>
              </w:rPr>
            </w:pPr>
            <w:r>
              <w:rPr>
                <w:sz w:val="18"/>
                <w:szCs w:val="18"/>
              </w:rPr>
              <w:t>Right-of-use assets obtained in exchange for lease obligations (1)</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w:t>
            </w:r>
          </w:p>
        </w:tc>
        <w:tc>
          <w:tcPr>
            <w:tcW w:w="12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18"/>
                <w:szCs w:val="18"/>
              </w:rPr>
            </w:pPr>
            <w:r>
              <w:rPr>
                <w:sz w:val="18"/>
                <w:szCs w:val="18"/>
              </w:rPr>
              <w:t>$</w:t>
            </w:r>
          </w:p>
        </w:tc>
        <w:tc>
          <w:tcPr>
            <w:tcW w:w="5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18"/>
                <w:szCs w:val="18"/>
              </w:rPr>
            </w:pPr>
            <w:r>
              <w:rPr>
                <w:sz w:val="18"/>
                <w:szCs w:val="18"/>
              </w:rPr>
              <w:t>49,847</w:t>
            </w:r>
          </w:p>
        </w:tc>
      </w:tr>
    </w:tbl>
    <w:p w:rsidR="00000000" w:rsidRDefault="00DE7B41">
      <w:pPr>
        <w:divId w:val="1572815480"/>
        <w:rPr>
          <w:rFonts w:eastAsia="Times New Roman"/>
          <w:sz w:val="20"/>
          <w:szCs w:val="20"/>
        </w:rPr>
      </w:pPr>
      <w:r>
        <w:rPr>
          <w:rFonts w:eastAsia="Times New Roman"/>
          <w:sz w:val="18"/>
          <w:szCs w:val="18"/>
        </w:rPr>
        <w:t>(1</w:t>
      </w:r>
      <w:r>
        <w:rPr>
          <w:rFonts w:eastAsia="Times New Roman"/>
          <w:sz w:val="18"/>
          <w:szCs w:val="18"/>
        </w:rPr>
        <w:t>)</w:t>
      </w:r>
      <w:r>
        <w:rPr>
          <w:rFonts w:eastAsia="Times New Roman"/>
          <w:sz w:val="18"/>
          <w:szCs w:val="18"/>
        </w:rPr>
        <w:t>Amounts for the three months ended March 31, 2019 include the transition adjustment for the adoption of ASC 842.</w:t>
      </w:r>
    </w:p>
    <w:p w:rsidR="00000000" w:rsidRDefault="00DE7B41">
      <w:pPr>
        <w:pStyle w:val="a3"/>
        <w:spacing w:before="0" w:beforeAutospacing="0" w:after="0" w:afterAutospacing="0"/>
        <w:jc w:val="center"/>
        <w:divId w:val="566768407"/>
        <w:rPr>
          <w:sz w:val="20"/>
          <w:szCs w:val="20"/>
        </w:rPr>
      </w:pPr>
      <w:r>
        <w:rPr>
          <w:i/>
          <w:iCs/>
          <w:sz w:val="20"/>
          <w:szCs w:val="20"/>
        </w:rPr>
        <w:t>See accompanying notes to condensed consolidated financial statements</w:t>
      </w:r>
      <w:r>
        <w:rPr>
          <w:sz w:val="20"/>
          <w:szCs w:val="20"/>
        </w:rPr>
        <w:t>.</w:t>
      </w:r>
    </w:p>
    <w:p w:rsidR="00000000" w:rsidRDefault="00DE7B41">
      <w:pPr>
        <w:pStyle w:val="a3"/>
        <w:spacing w:before="360" w:beforeAutospacing="0" w:after="0" w:afterAutospacing="0"/>
        <w:jc w:val="center"/>
        <w:divId w:val="20252335"/>
        <w:rPr>
          <w:sz w:val="20"/>
          <w:szCs w:val="20"/>
        </w:rPr>
      </w:pPr>
      <w:r>
        <w:rPr>
          <w:sz w:val="20"/>
          <w:szCs w:val="20"/>
        </w:rPr>
        <w:t>6</w:t>
      </w:r>
    </w:p>
    <w:p w:rsidR="00000000" w:rsidRDefault="00DE7B41">
      <w:pPr>
        <w:pStyle w:val="a3"/>
        <w:spacing w:before="0" w:beforeAutospacing="0" w:after="600" w:afterAutospacing="0"/>
        <w:divId w:val="156888239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jc w:val="center"/>
        <w:divId w:val="535702655"/>
        <w:rPr>
          <w:sz w:val="20"/>
          <w:szCs w:val="20"/>
        </w:rPr>
      </w:pPr>
      <w:r>
        <w:rPr>
          <w:b/>
          <w:bCs/>
          <w:sz w:val="20"/>
          <w:szCs w:val="20"/>
        </w:rPr>
        <w:t>THERAVANCE BIOPHARMA, INC.</w:t>
      </w:r>
    </w:p>
    <w:p w:rsidR="00000000" w:rsidRDefault="00DE7B41">
      <w:pPr>
        <w:pStyle w:val="a3"/>
        <w:spacing w:before="0" w:beforeAutospacing="0" w:after="0" w:afterAutospacing="0"/>
        <w:jc w:val="center"/>
        <w:divId w:val="535702655"/>
        <w:rPr>
          <w:sz w:val="20"/>
          <w:szCs w:val="20"/>
        </w:rPr>
      </w:pPr>
      <w:r>
        <w:rPr>
          <w:b/>
          <w:bCs/>
          <w:sz w:val="20"/>
          <w:szCs w:val="20"/>
        </w:rPr>
        <w:t>NOTES TO CONDENSED CONSOLIDATED FINANCIAL STATEMENTS</w:t>
      </w:r>
    </w:p>
    <w:p w:rsidR="00000000" w:rsidRDefault="00DE7B41">
      <w:pPr>
        <w:pStyle w:val="a3"/>
        <w:spacing w:before="0" w:beforeAutospacing="0" w:after="0" w:afterAutospacing="0"/>
        <w:jc w:val="center"/>
        <w:divId w:val="535702655"/>
        <w:rPr>
          <w:sz w:val="20"/>
          <w:szCs w:val="20"/>
        </w:rPr>
      </w:pPr>
      <w:r>
        <w:rPr>
          <w:b/>
          <w:bCs/>
          <w:sz w:val="20"/>
          <w:szCs w:val="20"/>
        </w:rPr>
        <w:t>(Unaudited)</w:t>
      </w:r>
    </w:p>
    <w:p w:rsidR="00000000" w:rsidRDefault="00DE7B41">
      <w:pPr>
        <w:pStyle w:val="a3"/>
        <w:spacing w:before="0" w:beforeAutospacing="0" w:after="0" w:afterAutospacing="0"/>
        <w:jc w:val="center"/>
        <w:divId w:val="535702655"/>
        <w:rPr>
          <w:sz w:val="20"/>
          <w:szCs w:val="20"/>
        </w:rPr>
      </w:pPr>
      <w:r>
        <w:rPr>
          <w:sz w:val="20"/>
          <w:szCs w:val="20"/>
        </w:rPr>
        <w:t>​</w:t>
      </w:r>
    </w:p>
    <w:p w:rsidR="00000000" w:rsidRDefault="00DE7B41">
      <w:pPr>
        <w:pStyle w:val="a3"/>
        <w:spacing w:before="0" w:beforeAutospacing="0" w:after="0" w:afterAutospacing="0"/>
        <w:divId w:val="535702655"/>
        <w:rPr>
          <w:sz w:val="20"/>
          <w:szCs w:val="20"/>
        </w:rPr>
      </w:pPr>
      <w:r>
        <w:rPr>
          <w:sz w:val="20"/>
          <w:szCs w:val="20"/>
        </w:rPr>
        <w:t>​</w:t>
      </w:r>
    </w:p>
    <w:p w:rsidR="00000000" w:rsidRDefault="00DE7B41">
      <w:pPr>
        <w:pStyle w:val="a3"/>
        <w:spacing w:before="0" w:beforeAutospacing="0" w:after="0" w:afterAutospacing="0"/>
        <w:divId w:val="535702655"/>
        <w:rPr>
          <w:sz w:val="20"/>
          <w:szCs w:val="20"/>
        </w:rPr>
      </w:pPr>
      <w:r>
        <w:rPr>
          <w:b/>
          <w:bCs/>
          <w:sz w:val="20"/>
          <w:szCs w:val="20"/>
        </w:rPr>
        <w:t>1. Organization and Summary of Significant Accounting Policies</w:t>
      </w:r>
    </w:p>
    <w:p w:rsidR="00000000" w:rsidRDefault="00DE7B41">
      <w:pPr>
        <w:pStyle w:val="a3"/>
        <w:spacing w:before="0" w:beforeAutospacing="0" w:after="0" w:afterAutospacing="0"/>
        <w:divId w:val="535702655"/>
        <w:rPr>
          <w:sz w:val="20"/>
          <w:szCs w:val="20"/>
        </w:rPr>
      </w:pPr>
      <w:r>
        <w:rPr>
          <w:sz w:val="10"/>
          <w:szCs w:val="10"/>
        </w:rPr>
        <w:t>​</w:t>
      </w:r>
    </w:p>
    <w:p w:rsidR="00000000" w:rsidRDefault="00DE7B41">
      <w:pPr>
        <w:pStyle w:val="a3"/>
        <w:spacing w:before="0" w:beforeAutospacing="0" w:after="0" w:afterAutospacing="0"/>
        <w:ind w:firstLine="720"/>
        <w:divId w:val="535702655"/>
        <w:rPr>
          <w:sz w:val="20"/>
          <w:szCs w:val="20"/>
        </w:rPr>
      </w:pPr>
      <w:r>
        <w:rPr>
          <w:sz w:val="20"/>
          <w:szCs w:val="20"/>
        </w:rPr>
        <w:t>Theravance Biopharma, Inc. (“Theravance Biopharma” or the “Company”</w:t>
      </w:r>
      <w:r>
        <w:rPr>
          <w:sz w:val="20"/>
          <w:szCs w:val="20"/>
        </w:rPr>
        <w:t>) is a diversified biopharmaceutical company primarily focused on the discovery, development and commercialization of organ-selective medicines. The Company’s purpose is to create transformational medicines to improve the lives of patients suffering from s</w:t>
      </w:r>
      <w:r>
        <w:rPr>
          <w:sz w:val="20"/>
          <w:szCs w:val="20"/>
        </w:rPr>
        <w:t>erious illnesses. The Company’s research is focused in the areas of inflammation and immunology.</w:t>
      </w:r>
    </w:p>
    <w:p w:rsidR="00000000" w:rsidRDefault="00DE7B41">
      <w:pPr>
        <w:pStyle w:val="a3"/>
        <w:spacing w:before="0" w:beforeAutospacing="0" w:after="0" w:afterAutospacing="0"/>
        <w:divId w:val="535702655"/>
        <w:rPr>
          <w:sz w:val="20"/>
          <w:szCs w:val="20"/>
        </w:rPr>
      </w:pPr>
      <w:r>
        <w:rPr>
          <w:sz w:val="20"/>
          <w:szCs w:val="20"/>
        </w:rPr>
        <w:t>​</w:t>
      </w:r>
    </w:p>
    <w:p w:rsidR="00000000" w:rsidRDefault="00DE7B41">
      <w:pPr>
        <w:pStyle w:val="a3"/>
        <w:spacing w:before="0" w:beforeAutospacing="0" w:after="0" w:afterAutospacing="0"/>
        <w:divId w:val="535702655"/>
        <w:rPr>
          <w:sz w:val="20"/>
          <w:szCs w:val="20"/>
        </w:rPr>
      </w:pPr>
      <w:r>
        <w:rPr>
          <w:b/>
          <w:bCs/>
          <w:i/>
          <w:iCs/>
          <w:sz w:val="20"/>
          <w:szCs w:val="20"/>
        </w:rPr>
        <w:t>Basis of Presentation</w:t>
      </w:r>
    </w:p>
    <w:p w:rsidR="00000000" w:rsidRDefault="00DE7B41">
      <w:pPr>
        <w:pStyle w:val="a3"/>
        <w:spacing w:before="0" w:beforeAutospacing="0" w:after="0" w:afterAutospacing="0"/>
        <w:divId w:val="535702655"/>
        <w:rPr>
          <w:sz w:val="20"/>
          <w:szCs w:val="20"/>
        </w:rPr>
      </w:pPr>
      <w:r>
        <w:rPr>
          <w:sz w:val="10"/>
          <w:szCs w:val="10"/>
        </w:rPr>
        <w:t>​</w:t>
      </w:r>
    </w:p>
    <w:p w:rsidR="00000000" w:rsidRDefault="00DE7B41">
      <w:pPr>
        <w:pStyle w:val="a3"/>
        <w:spacing w:before="0" w:beforeAutospacing="0" w:after="0" w:afterAutospacing="0"/>
        <w:ind w:firstLine="720"/>
        <w:divId w:val="535702655"/>
        <w:rPr>
          <w:sz w:val="20"/>
          <w:szCs w:val="20"/>
        </w:rPr>
      </w:pPr>
      <w:r>
        <w:rPr>
          <w:sz w:val="20"/>
          <w:szCs w:val="20"/>
        </w:rPr>
        <w:t>The Company’s condensed consolidated financial information as of March 31, 2020, and the three months ended March 31, 2020 and 2019 i</w:t>
      </w:r>
      <w:r>
        <w:rPr>
          <w:sz w:val="20"/>
          <w:szCs w:val="20"/>
        </w:rPr>
        <w:t>s unaudited but includes all adjustments (consisting only of normal recurring adjustments), which are considered necessary for a fair presentation of the financial position at such date and of the operating results and cash flows for those periods, and hav</w:t>
      </w:r>
      <w:r>
        <w:rPr>
          <w:sz w:val="20"/>
          <w:szCs w:val="20"/>
        </w:rPr>
        <w:t>e been prepared in accordance with United States (“US”) generally accepted accounting principles (“GAAP”) for interim financial information. Accordingly, they do not include all of the information and notes required by GAAP for complete financial statement</w:t>
      </w:r>
      <w:r>
        <w:rPr>
          <w:sz w:val="20"/>
          <w:szCs w:val="20"/>
        </w:rPr>
        <w:t>s. The accompanying unaudited condensed consolidated financial statements should be read in conjunction with the audited consolidated December 31, 2019 financial statements and notes thereto included in the Company’s Annual Report on Form 10-K for the year</w:t>
      </w:r>
      <w:r>
        <w:rPr>
          <w:sz w:val="20"/>
          <w:szCs w:val="20"/>
        </w:rPr>
        <w:t xml:space="preserve"> ended December 31, 2019, filed with the Securities and Exchange Commission (“SEC”) on February 27, 2020.</w:t>
      </w:r>
    </w:p>
    <w:p w:rsidR="00000000" w:rsidRDefault="00DE7B41">
      <w:pPr>
        <w:pStyle w:val="a3"/>
        <w:spacing w:before="0" w:beforeAutospacing="0" w:after="0" w:afterAutospacing="0"/>
        <w:ind w:firstLine="720"/>
        <w:divId w:val="535702655"/>
        <w:rPr>
          <w:sz w:val="20"/>
          <w:szCs w:val="20"/>
        </w:rPr>
      </w:pPr>
      <w:r>
        <w:rPr>
          <w:sz w:val="20"/>
          <w:szCs w:val="20"/>
        </w:rPr>
        <w:t>​</w:t>
      </w:r>
    </w:p>
    <w:p w:rsidR="00000000" w:rsidRDefault="00DE7B41">
      <w:pPr>
        <w:pStyle w:val="a3"/>
        <w:spacing w:before="0" w:beforeAutospacing="0" w:after="0" w:afterAutospacing="0"/>
        <w:ind w:firstLine="720"/>
        <w:divId w:val="535702655"/>
        <w:rPr>
          <w:sz w:val="20"/>
          <w:szCs w:val="20"/>
        </w:rPr>
      </w:pPr>
      <w:r>
        <w:rPr>
          <w:rFonts w:ascii="inherit" w:hAnsi="inherit"/>
          <w:sz w:val="20"/>
          <w:szCs w:val="20"/>
        </w:rPr>
        <w:t xml:space="preserve">The results for the three months ended March 31, 2020 are not necessarily indicative of the results to be expected for the year ending December 31, </w:t>
      </w:r>
      <w:r>
        <w:rPr>
          <w:rFonts w:ascii="inherit" w:hAnsi="inherit"/>
          <w:sz w:val="20"/>
          <w:szCs w:val="20"/>
        </w:rPr>
        <w:t>2020, or for any other interim period or for any future period. These condensed consolidated financial statements include the accounts of the Company and its subsidiaries, and intercompany transactions and balances have been eliminated.</w:t>
      </w:r>
    </w:p>
    <w:p w:rsidR="00000000" w:rsidRDefault="00DE7B41">
      <w:pPr>
        <w:pStyle w:val="a3"/>
        <w:spacing w:before="0" w:beforeAutospacing="0" w:after="0" w:afterAutospacing="0"/>
        <w:ind w:firstLine="720"/>
        <w:divId w:val="535702655"/>
        <w:rPr>
          <w:sz w:val="20"/>
          <w:szCs w:val="20"/>
        </w:rPr>
      </w:pPr>
      <w:r>
        <w:rPr>
          <w:sz w:val="20"/>
          <w:szCs w:val="20"/>
        </w:rPr>
        <w:t>​</w:t>
      </w:r>
    </w:p>
    <w:p w:rsidR="00000000" w:rsidRDefault="00DE7B41">
      <w:pPr>
        <w:pStyle w:val="a3"/>
        <w:spacing w:before="0" w:beforeAutospacing="0" w:after="0" w:afterAutospacing="0"/>
        <w:divId w:val="535702655"/>
        <w:rPr>
          <w:sz w:val="20"/>
          <w:szCs w:val="20"/>
        </w:rPr>
      </w:pPr>
      <w:r>
        <w:rPr>
          <w:rFonts w:ascii="inherit" w:hAnsi="inherit"/>
          <w:b/>
          <w:bCs/>
          <w:i/>
          <w:iCs/>
          <w:sz w:val="20"/>
          <w:szCs w:val="20"/>
        </w:rPr>
        <w:t>Use of Estimates</w:t>
      </w:r>
    </w:p>
    <w:p w:rsidR="00000000" w:rsidRDefault="00DE7B41">
      <w:pPr>
        <w:pStyle w:val="a3"/>
        <w:spacing w:before="0" w:beforeAutospacing="0" w:after="0" w:afterAutospacing="0"/>
        <w:divId w:val="535702655"/>
        <w:rPr>
          <w:sz w:val="20"/>
          <w:szCs w:val="20"/>
        </w:rPr>
      </w:pPr>
      <w:r>
        <w:rPr>
          <w:sz w:val="10"/>
          <w:szCs w:val="10"/>
        </w:rPr>
        <w:t>​</w:t>
      </w:r>
    </w:p>
    <w:p w:rsidR="00000000" w:rsidRDefault="00DE7B41">
      <w:pPr>
        <w:pStyle w:val="a3"/>
        <w:spacing w:before="0" w:beforeAutospacing="0" w:after="0" w:afterAutospacing="0"/>
        <w:ind w:firstLine="720"/>
        <w:divId w:val="535702655"/>
        <w:rPr>
          <w:sz w:val="20"/>
          <w:szCs w:val="20"/>
        </w:rPr>
      </w:pPr>
      <w:r>
        <w:rPr>
          <w:rFonts w:ascii="inherit" w:hAnsi="inherit"/>
          <w:sz w:val="20"/>
          <w:szCs w:val="20"/>
        </w:rPr>
        <w:t>The preparation of financial statements in conformity with GAAP requires management to make estimates and assumptions that affect the reported amounts of assets, liabilities, revenues and expenses, and related disclosures in the condensed consolidated fi</w:t>
      </w:r>
      <w:r>
        <w:rPr>
          <w:rFonts w:ascii="inherit" w:hAnsi="inherit"/>
          <w:sz w:val="20"/>
          <w:szCs w:val="20"/>
        </w:rPr>
        <w:t>nancial statements and accompanying notes. Management bases its estimates on historical experience and on assumptions believed to be reasonable under the circumstances. Actual results could differ materially from those estimates.</w:t>
      </w:r>
    </w:p>
    <w:p w:rsidR="00000000" w:rsidRDefault="00DE7B41">
      <w:pPr>
        <w:pStyle w:val="a3"/>
        <w:spacing w:before="0" w:beforeAutospacing="0" w:after="0" w:afterAutospacing="0"/>
        <w:divId w:val="535702655"/>
        <w:rPr>
          <w:sz w:val="20"/>
          <w:szCs w:val="20"/>
        </w:rPr>
      </w:pPr>
      <w:r>
        <w:rPr>
          <w:b/>
          <w:bCs/>
          <w:color w:val="FF0000"/>
          <w:sz w:val="20"/>
          <w:szCs w:val="20"/>
        </w:rPr>
        <w:t>​</w:t>
      </w:r>
    </w:p>
    <w:p w:rsidR="00000000" w:rsidRDefault="00DE7B41">
      <w:pPr>
        <w:pStyle w:val="a3"/>
        <w:spacing w:before="0" w:beforeAutospacing="0" w:after="0" w:afterAutospacing="0"/>
        <w:ind w:firstLine="720"/>
        <w:divId w:val="535702655"/>
        <w:rPr>
          <w:sz w:val="20"/>
          <w:szCs w:val="20"/>
        </w:rPr>
      </w:pPr>
      <w:r>
        <w:rPr>
          <w:rFonts w:ascii="inherit" w:hAnsi="inherit"/>
          <w:sz w:val="20"/>
          <w:szCs w:val="20"/>
        </w:rPr>
        <w:t>Furthermore,</w:t>
      </w:r>
      <w:r>
        <w:rPr>
          <w:rFonts w:ascii="inherit" w:hAnsi="inherit"/>
          <w:sz w:val="20"/>
          <w:szCs w:val="20"/>
        </w:rPr>
        <w:t xml:space="preserve"> </w:t>
      </w:r>
      <w:r>
        <w:rPr>
          <w:sz w:val="20"/>
          <w:szCs w:val="20"/>
        </w:rPr>
        <w:t>the estimat</w:t>
      </w:r>
      <w:r>
        <w:rPr>
          <w:sz w:val="20"/>
          <w:szCs w:val="20"/>
        </w:rPr>
        <w:t>es used in the preparation of the Company’s condensed consolidated financial statements may change due to current political and economic conditions resulting from the public health concerns related to the novel coronavirus (“COVID-19”) pandemic. The durati</w:t>
      </w:r>
      <w:r>
        <w:rPr>
          <w:sz w:val="20"/>
          <w:szCs w:val="20"/>
        </w:rPr>
        <w:t>on and intensity of the impact of COVID-19 pandemic on the Company's business will depend on future developments, which are highly uncertain and cannot be predicted with confidence at this time.</w:t>
      </w:r>
    </w:p>
    <w:p w:rsidR="00000000" w:rsidRDefault="00DE7B41">
      <w:pPr>
        <w:pStyle w:val="a3"/>
        <w:spacing w:before="0" w:beforeAutospacing="0" w:after="0" w:afterAutospacing="0"/>
        <w:divId w:val="535702655"/>
        <w:rPr>
          <w:sz w:val="20"/>
          <w:szCs w:val="20"/>
        </w:rPr>
      </w:pPr>
      <w:r>
        <w:rPr>
          <w:sz w:val="20"/>
          <w:szCs w:val="20"/>
        </w:rPr>
        <w:t>​</w:t>
      </w:r>
    </w:p>
    <w:p w:rsidR="00000000" w:rsidRDefault="00DE7B41">
      <w:pPr>
        <w:pStyle w:val="a3"/>
        <w:spacing w:before="0" w:beforeAutospacing="0" w:after="0" w:afterAutospacing="0"/>
        <w:divId w:val="535702655"/>
        <w:rPr>
          <w:sz w:val="20"/>
          <w:szCs w:val="20"/>
        </w:rPr>
      </w:pPr>
      <w:r>
        <w:rPr>
          <w:rFonts w:ascii="inherit" w:hAnsi="inherit"/>
          <w:b/>
          <w:bCs/>
          <w:i/>
          <w:iCs/>
          <w:sz w:val="20"/>
          <w:szCs w:val="20"/>
        </w:rPr>
        <w:t>Significant Accounting Policies</w:t>
      </w:r>
    </w:p>
    <w:p w:rsidR="00000000" w:rsidRDefault="00DE7B41">
      <w:pPr>
        <w:pStyle w:val="a3"/>
        <w:spacing w:before="0" w:beforeAutospacing="0" w:after="0" w:afterAutospacing="0"/>
        <w:divId w:val="535702655"/>
        <w:rPr>
          <w:sz w:val="20"/>
          <w:szCs w:val="20"/>
        </w:rPr>
      </w:pPr>
      <w:r>
        <w:rPr>
          <w:rFonts w:ascii="inherit" w:hAnsi="inherit"/>
          <w:sz w:val="10"/>
          <w:szCs w:val="10"/>
        </w:rPr>
        <w:t>​</w:t>
      </w:r>
    </w:p>
    <w:p w:rsidR="00000000" w:rsidRDefault="00DE7B41">
      <w:pPr>
        <w:pStyle w:val="a3"/>
        <w:spacing w:before="0" w:beforeAutospacing="0" w:after="0" w:afterAutospacing="0"/>
        <w:ind w:firstLine="720"/>
        <w:divId w:val="535702655"/>
        <w:rPr>
          <w:sz w:val="20"/>
          <w:szCs w:val="20"/>
        </w:rPr>
      </w:pPr>
      <w:r>
        <w:rPr>
          <w:rFonts w:ascii="inherit" w:hAnsi="inherit"/>
          <w:sz w:val="20"/>
          <w:szCs w:val="20"/>
        </w:rPr>
        <w:t>Other than the recently a</w:t>
      </w:r>
      <w:r>
        <w:rPr>
          <w:rFonts w:ascii="inherit" w:hAnsi="inherit"/>
          <w:sz w:val="20"/>
          <w:szCs w:val="20"/>
        </w:rPr>
        <w:t>dopted accounting pronouncements below, there have been no material revisions in the Company’s significant accounting policies described in Note 1 to the consolidated financial statements included in its Annual Report on Form 10-K for the year ended Decemb</w:t>
      </w:r>
      <w:r>
        <w:rPr>
          <w:rFonts w:ascii="inherit" w:hAnsi="inherit"/>
          <w:sz w:val="20"/>
          <w:szCs w:val="20"/>
        </w:rPr>
        <w:t>er 31, 2019.</w:t>
      </w:r>
    </w:p>
    <w:p w:rsidR="00000000" w:rsidRDefault="00DE7B41">
      <w:pPr>
        <w:pStyle w:val="a3"/>
        <w:spacing w:before="0" w:beforeAutospacing="0" w:after="0" w:afterAutospacing="0"/>
        <w:divId w:val="535702655"/>
        <w:rPr>
          <w:sz w:val="20"/>
          <w:szCs w:val="20"/>
        </w:rPr>
      </w:pPr>
      <w:r>
        <w:rPr>
          <w:rFonts w:ascii="inherit" w:hAnsi="inherit"/>
          <w:sz w:val="20"/>
          <w:szCs w:val="20"/>
        </w:rPr>
        <w:t>​</w:t>
      </w:r>
    </w:p>
    <w:p w:rsidR="00000000" w:rsidRDefault="00DE7B41">
      <w:pPr>
        <w:pStyle w:val="a3"/>
        <w:spacing w:before="0" w:beforeAutospacing="0" w:after="0" w:afterAutospacing="0"/>
        <w:divId w:val="535702655"/>
        <w:rPr>
          <w:sz w:val="20"/>
          <w:szCs w:val="20"/>
        </w:rPr>
      </w:pPr>
      <w:r>
        <w:rPr>
          <w:b/>
          <w:bCs/>
          <w:i/>
          <w:iCs/>
          <w:sz w:val="20"/>
          <w:szCs w:val="20"/>
        </w:rPr>
        <w:t>Recently Adopted Accounting Pronouncements</w:t>
      </w:r>
    </w:p>
    <w:p w:rsidR="00000000" w:rsidRDefault="00DE7B41">
      <w:pPr>
        <w:pStyle w:val="a3"/>
        <w:spacing w:before="0" w:beforeAutospacing="0" w:after="0" w:afterAutospacing="0"/>
        <w:divId w:val="535702655"/>
        <w:rPr>
          <w:sz w:val="20"/>
          <w:szCs w:val="20"/>
        </w:rPr>
      </w:pPr>
      <w:r>
        <w:rPr>
          <w:b/>
          <w:bCs/>
          <w:i/>
          <w:iCs/>
          <w:sz w:val="10"/>
          <w:szCs w:val="10"/>
        </w:rPr>
        <w:t>​</w:t>
      </w:r>
    </w:p>
    <w:p w:rsidR="00000000" w:rsidRDefault="00DE7B41">
      <w:pPr>
        <w:pStyle w:val="a3"/>
        <w:spacing w:before="0" w:beforeAutospacing="0" w:after="0" w:afterAutospacing="0"/>
        <w:ind w:firstLine="720"/>
        <w:divId w:val="535702655"/>
        <w:rPr>
          <w:sz w:val="20"/>
          <w:szCs w:val="20"/>
        </w:rPr>
      </w:pPr>
      <w:r>
        <w:rPr>
          <w:sz w:val="20"/>
          <w:szCs w:val="20"/>
          <w:shd w:val="clear" w:color="auto" w:fill="FFFFFF"/>
        </w:rPr>
        <w:t>In June 2016, the Financial Accounting Standards Board (“FASB”) issued ASU 2016-13, </w:t>
      </w:r>
      <w:r>
        <w:rPr>
          <w:i/>
          <w:iCs/>
          <w:sz w:val="20"/>
          <w:szCs w:val="20"/>
          <w:shd w:val="clear" w:color="auto" w:fill="FFFFFF"/>
        </w:rPr>
        <w:t>Financial Instruments - Credit Losses (Topic 326): Measurement of Credit Losses on Financial Instruments</w:t>
      </w:r>
      <w:r>
        <w:rPr>
          <w:sz w:val="20"/>
          <w:szCs w:val="20"/>
          <w:shd w:val="clear" w:color="auto" w:fill="FFFFFF"/>
        </w:rPr>
        <w:t> (“ASU 2</w:t>
      </w:r>
      <w:r>
        <w:rPr>
          <w:sz w:val="20"/>
          <w:szCs w:val="20"/>
          <w:shd w:val="clear" w:color="auto" w:fill="FFFFFF"/>
        </w:rPr>
        <w:t>016-13"). This guidance requires that financial assets measured at amortized cost be presented at the net amount expected to be collected. The measurement of expected credit losses is based on historical experience, current conditions, and reasonable and s</w:t>
      </w:r>
      <w:r>
        <w:rPr>
          <w:sz w:val="20"/>
          <w:szCs w:val="20"/>
          <w:shd w:val="clear" w:color="auto" w:fill="FFFFFF"/>
        </w:rPr>
        <w:t xml:space="preserve">upportable forecasts that affect collectability. </w:t>
      </w:r>
      <w:r>
        <w:rPr>
          <w:sz w:val="20"/>
          <w:szCs w:val="20"/>
        </w:rPr>
        <w:t xml:space="preserve">ASU 2016-13 also eliminates the concept of “other-than-temporary” impairment when </w:t>
      </w:r>
    </w:p>
    <w:p w:rsidR="00000000" w:rsidRDefault="00DE7B41">
      <w:pPr>
        <w:pStyle w:val="a3"/>
        <w:spacing w:before="360" w:beforeAutospacing="0" w:after="0" w:afterAutospacing="0"/>
        <w:jc w:val="center"/>
        <w:divId w:val="491221316"/>
        <w:rPr>
          <w:sz w:val="20"/>
          <w:szCs w:val="20"/>
        </w:rPr>
      </w:pPr>
      <w:r>
        <w:rPr>
          <w:sz w:val="20"/>
          <w:szCs w:val="20"/>
        </w:rPr>
        <w:t>7</w:t>
      </w:r>
    </w:p>
    <w:p w:rsidR="00000000" w:rsidRDefault="00DE7B41">
      <w:pPr>
        <w:pStyle w:val="a3"/>
        <w:spacing w:before="0" w:beforeAutospacing="0" w:after="600" w:afterAutospacing="0"/>
        <w:divId w:val="27564526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368410181"/>
        <w:rPr>
          <w:sz w:val="20"/>
          <w:szCs w:val="20"/>
        </w:rPr>
      </w:pPr>
      <w:r>
        <w:rPr>
          <w:sz w:val="20"/>
          <w:szCs w:val="20"/>
        </w:rPr>
        <w:t>evaluating available-for-sale debt securities and instead focuses on determining whether any impairment is a result of a credit loss or other factors. An entity will recognize an allowance for credit losses on available-for-sale debt securities rather than</w:t>
      </w:r>
      <w:r>
        <w:rPr>
          <w:sz w:val="20"/>
          <w:szCs w:val="20"/>
        </w:rPr>
        <w:t xml:space="preserve"> an other-than-temporary impairment that reduces the cost basis of the investment. </w:t>
      </w:r>
      <w:r>
        <w:rPr>
          <w:sz w:val="20"/>
          <w:szCs w:val="20"/>
          <w:shd w:val="clear" w:color="auto" w:fill="FFFFFF"/>
        </w:rPr>
        <w:t>ASU 2016-13 became effective on January 1, 2020, and the adoption did not have a material impact on the Company’s condensed consolidated financial statements and related dis</w:t>
      </w:r>
      <w:r>
        <w:rPr>
          <w:sz w:val="20"/>
          <w:szCs w:val="20"/>
          <w:shd w:val="clear" w:color="auto" w:fill="FFFFFF"/>
        </w:rPr>
        <w:t>closures primarily due to the high credit quality and short-term maturities of the Company’s marketable securities.</w:t>
      </w:r>
    </w:p>
    <w:p w:rsidR="00000000" w:rsidRDefault="00DE7B41">
      <w:pPr>
        <w:pStyle w:val="a3"/>
        <w:spacing w:before="0" w:beforeAutospacing="0" w:after="0" w:afterAutospacing="0"/>
        <w:ind w:firstLine="720"/>
        <w:divId w:val="368410181"/>
        <w:rPr>
          <w:sz w:val="20"/>
          <w:szCs w:val="20"/>
        </w:rPr>
      </w:pPr>
      <w:r>
        <w:rPr>
          <w:sz w:val="20"/>
          <w:szCs w:val="20"/>
          <w:shd w:val="clear" w:color="auto" w:fill="FFFFFF"/>
        </w:rPr>
        <w:t>​</w:t>
      </w:r>
    </w:p>
    <w:p w:rsidR="00000000" w:rsidRDefault="00DE7B41">
      <w:pPr>
        <w:pStyle w:val="a3"/>
        <w:spacing w:before="0" w:beforeAutospacing="0" w:after="0" w:afterAutospacing="0"/>
        <w:ind w:firstLine="720"/>
        <w:divId w:val="368410181"/>
        <w:rPr>
          <w:sz w:val="20"/>
          <w:szCs w:val="20"/>
        </w:rPr>
      </w:pPr>
      <w:r>
        <w:rPr>
          <w:sz w:val="20"/>
          <w:szCs w:val="20"/>
          <w:shd w:val="clear" w:color="auto" w:fill="FFFFFF"/>
        </w:rPr>
        <w:t>In August 2018, the FASB issued ASU 2018-15, </w:t>
      </w:r>
      <w:r>
        <w:rPr>
          <w:i/>
          <w:iCs/>
          <w:sz w:val="20"/>
          <w:szCs w:val="20"/>
          <w:shd w:val="clear" w:color="auto" w:fill="FFFFFF"/>
        </w:rPr>
        <w:t>Intangibles-Goodwill and Other-Internal-Use Software (Subtopic 350-40): Customer's Accounting</w:t>
      </w:r>
      <w:r>
        <w:rPr>
          <w:i/>
          <w:iCs/>
          <w:sz w:val="20"/>
          <w:szCs w:val="20"/>
          <w:shd w:val="clear" w:color="auto" w:fill="FFFFFF"/>
        </w:rPr>
        <w:t xml:space="preserve"> for Implementation Costs Incurred in a Cloud Computing Arrangement That Is a Service Contract</w:t>
      </w:r>
      <w:r>
        <w:rPr>
          <w:sz w:val="20"/>
          <w:szCs w:val="20"/>
          <w:shd w:val="clear" w:color="auto" w:fill="FFFFFF"/>
        </w:rPr>
        <w:t xml:space="preserve"> (“ASU 2018-15”). ASU 2018-15 aligns the requirements for capitalizing implementation costs incurred in a hosting arrangement that is a service contract with the </w:t>
      </w:r>
      <w:r>
        <w:rPr>
          <w:sz w:val="20"/>
          <w:szCs w:val="20"/>
          <w:shd w:val="clear" w:color="auto" w:fill="FFFFFF"/>
        </w:rPr>
        <w:t xml:space="preserve">requirements for capitalizing implementation costs incurred to develop or obtain internal-use software. Accordingly, ASU 2018-15 requires a customer in a hosting arrangement that is a service contract to follow the guidance in Subtopic 350-40 to determine </w:t>
      </w:r>
      <w:r>
        <w:rPr>
          <w:sz w:val="20"/>
          <w:szCs w:val="20"/>
          <w:shd w:val="clear" w:color="auto" w:fill="FFFFFF"/>
        </w:rPr>
        <w:t>which implementation costs to capitalize as an asset related to the service contract and which costs to expense. ASU 2018-15 became effective on January 1, 2020, and the adoption did not have a material impact on the Company’s condensed consolidated financ</w:t>
      </w:r>
      <w:r>
        <w:rPr>
          <w:sz w:val="20"/>
          <w:szCs w:val="20"/>
          <w:shd w:val="clear" w:color="auto" w:fill="FFFFFF"/>
        </w:rPr>
        <w:t>ial statements and related disclosures. However, the adoption of ASU 2018-15 may result in an increase in capitalized assets related to qualifying cloud computing arrangement implementation costs in the future.</w:t>
      </w:r>
    </w:p>
    <w:p w:rsidR="00000000" w:rsidRDefault="00DE7B41">
      <w:pPr>
        <w:pStyle w:val="a3"/>
        <w:spacing w:before="0" w:beforeAutospacing="0" w:after="0" w:afterAutospacing="0"/>
        <w:ind w:firstLine="720"/>
        <w:divId w:val="368410181"/>
        <w:rPr>
          <w:sz w:val="20"/>
          <w:szCs w:val="20"/>
        </w:rPr>
      </w:pPr>
      <w:r>
        <w:rPr>
          <w:color w:val="FF0000"/>
          <w:sz w:val="20"/>
          <w:szCs w:val="20"/>
          <w:shd w:val="clear" w:color="auto" w:fill="FFFFFF"/>
        </w:rPr>
        <w:t>​</w:t>
      </w:r>
    </w:p>
    <w:p w:rsidR="00000000" w:rsidRDefault="00DE7B41">
      <w:pPr>
        <w:pStyle w:val="a3"/>
        <w:spacing w:before="0" w:beforeAutospacing="0" w:after="0" w:afterAutospacing="0"/>
        <w:ind w:firstLine="720"/>
        <w:divId w:val="368410181"/>
        <w:rPr>
          <w:sz w:val="20"/>
          <w:szCs w:val="20"/>
        </w:rPr>
      </w:pPr>
      <w:r>
        <w:rPr>
          <w:sz w:val="20"/>
          <w:szCs w:val="20"/>
          <w:shd w:val="clear" w:color="auto" w:fill="FFFFFF"/>
        </w:rPr>
        <w:t>In November 2018, the FASB issued ASU 2018-</w:t>
      </w:r>
      <w:r>
        <w:rPr>
          <w:sz w:val="20"/>
          <w:szCs w:val="20"/>
          <w:shd w:val="clear" w:color="auto" w:fill="FFFFFF"/>
        </w:rPr>
        <w:t xml:space="preserve">18, </w:t>
      </w:r>
      <w:r>
        <w:rPr>
          <w:i/>
          <w:iCs/>
          <w:sz w:val="20"/>
          <w:szCs w:val="20"/>
          <w:shd w:val="clear" w:color="auto" w:fill="FFFFFF"/>
        </w:rPr>
        <w:t xml:space="preserve">Collaboration Arrangements: Clarifying the Interaction between Topic 808 and Topic 606 </w:t>
      </w:r>
      <w:r>
        <w:rPr>
          <w:sz w:val="20"/>
          <w:szCs w:val="20"/>
          <w:shd w:val="clear" w:color="auto" w:fill="FFFFFF"/>
        </w:rPr>
        <w:t>(“ASU 2018-18”). The issuance of Topic 606 raised questions about the interaction between the guidance on collaborative arrangements and revenue recognition. </w:t>
      </w:r>
      <w:r>
        <w:rPr>
          <w:sz w:val="20"/>
          <w:szCs w:val="20"/>
        </w:rPr>
        <w:t>ASU 201</w:t>
      </w:r>
      <w:r>
        <w:rPr>
          <w:sz w:val="20"/>
          <w:szCs w:val="20"/>
        </w:rPr>
        <w:t>8-18 </w:t>
      </w:r>
      <w:r>
        <w:rPr>
          <w:sz w:val="20"/>
          <w:szCs w:val="20"/>
          <w:shd w:val="clear" w:color="auto" w:fill="FFFFFF"/>
        </w:rPr>
        <w:t>addresses this uncertainty by: (i) clarifying that certain transactions between collaborative arrangement participants should be accounted for as revenue under Topic 606 when the collaboration arrangement participant is a customer; (ii) adding unit of</w:t>
      </w:r>
      <w:r>
        <w:rPr>
          <w:sz w:val="20"/>
          <w:szCs w:val="20"/>
          <w:shd w:val="clear" w:color="auto" w:fill="FFFFFF"/>
        </w:rPr>
        <w:t xml:space="preserve"> account guidance to assess whether the collaboration arrangement or a part of the arrangement is with a customer; and (iii) precluding a company from presenting transactions with collaboration arrangement participants that are not directly related to sale</w:t>
      </w:r>
      <w:r>
        <w:rPr>
          <w:sz w:val="20"/>
          <w:szCs w:val="20"/>
          <w:shd w:val="clear" w:color="auto" w:fill="FFFFFF"/>
        </w:rPr>
        <w:t>s to third parties together with revenue from contracts with customers. ASU 2018-18 became effective on January 1, 2020, and the Company elected to adopt ASU 2018-18, retrospectively, only for contracts that were not completed as of January 1, 2020. The ad</w:t>
      </w:r>
      <w:r>
        <w:rPr>
          <w:sz w:val="20"/>
          <w:szCs w:val="20"/>
          <w:shd w:val="clear" w:color="auto" w:fill="FFFFFF"/>
        </w:rPr>
        <w:t>option of ASU 2018-18 did not have a material impact on the Company’s condensed consolidated financial statements and related disclosures.</w:t>
      </w:r>
    </w:p>
    <w:p w:rsidR="00000000" w:rsidRDefault="00DE7B41">
      <w:pPr>
        <w:pStyle w:val="a3"/>
        <w:spacing w:before="0" w:beforeAutospacing="0" w:after="0" w:afterAutospacing="0"/>
        <w:divId w:val="368410181"/>
        <w:rPr>
          <w:sz w:val="20"/>
          <w:szCs w:val="20"/>
        </w:rPr>
      </w:pPr>
      <w:r>
        <w:rPr>
          <w:sz w:val="20"/>
          <w:szCs w:val="20"/>
        </w:rPr>
        <w:t>​</w:t>
      </w:r>
    </w:p>
    <w:p w:rsidR="00000000" w:rsidRDefault="00DE7B41">
      <w:pPr>
        <w:pStyle w:val="a3"/>
        <w:spacing w:before="0" w:beforeAutospacing="0" w:after="0" w:afterAutospacing="0"/>
        <w:divId w:val="368410181"/>
        <w:rPr>
          <w:sz w:val="20"/>
          <w:szCs w:val="20"/>
        </w:rPr>
      </w:pPr>
      <w:r>
        <w:rPr>
          <w:b/>
          <w:bCs/>
          <w:i/>
          <w:iCs/>
          <w:sz w:val="20"/>
          <w:szCs w:val="20"/>
        </w:rPr>
        <w:t xml:space="preserve">Recently Issued Accounting Pronouncements Not Yet Adopted </w:t>
      </w:r>
    </w:p>
    <w:p w:rsidR="00000000" w:rsidRDefault="00DE7B41">
      <w:pPr>
        <w:pStyle w:val="a3"/>
        <w:spacing w:before="0" w:beforeAutospacing="0" w:after="0" w:afterAutospacing="0"/>
        <w:divId w:val="368410181"/>
        <w:rPr>
          <w:sz w:val="20"/>
          <w:szCs w:val="20"/>
        </w:rPr>
      </w:pPr>
      <w:r>
        <w:rPr>
          <w:b/>
          <w:bCs/>
          <w:i/>
          <w:iCs/>
          <w:sz w:val="10"/>
          <w:szCs w:val="10"/>
        </w:rPr>
        <w:t>​</w:t>
      </w:r>
    </w:p>
    <w:p w:rsidR="00000000" w:rsidRDefault="00DE7B41">
      <w:pPr>
        <w:pStyle w:val="a3"/>
        <w:spacing w:before="0" w:beforeAutospacing="0" w:after="0" w:afterAutospacing="0"/>
        <w:ind w:firstLine="720"/>
        <w:divId w:val="368410181"/>
        <w:rPr>
          <w:sz w:val="20"/>
          <w:szCs w:val="20"/>
        </w:rPr>
      </w:pPr>
      <w:r>
        <w:rPr>
          <w:sz w:val="20"/>
          <w:szCs w:val="20"/>
        </w:rPr>
        <w:t xml:space="preserve">On December 18, 2019, the FASB issued ASU 2019-12, </w:t>
      </w:r>
      <w:r>
        <w:rPr>
          <w:i/>
          <w:iCs/>
          <w:sz w:val="20"/>
          <w:szCs w:val="20"/>
        </w:rPr>
        <w:t>Income Taxes (Topic 740): Simplifying the Accounting for Income Taxes</w:t>
      </w:r>
      <w:r>
        <w:rPr>
          <w:sz w:val="20"/>
          <w:szCs w:val="20"/>
        </w:rPr>
        <w:t xml:space="preserve"> (“ASU 2019-12”) as part of its overall simplification initiative to reduce costs and complexity of applying accounting standards. ASU 2</w:t>
      </w:r>
      <w:r>
        <w:rPr>
          <w:sz w:val="20"/>
          <w:szCs w:val="20"/>
        </w:rPr>
        <w:t xml:space="preserve">019-12 removes certain exceptions from Topic 740, </w:t>
      </w:r>
      <w:r>
        <w:rPr>
          <w:i/>
          <w:iCs/>
          <w:sz w:val="20"/>
          <w:szCs w:val="20"/>
        </w:rPr>
        <w:t>Income Taxes</w:t>
      </w:r>
      <w:r>
        <w:rPr>
          <w:sz w:val="20"/>
          <w:szCs w:val="20"/>
        </w:rPr>
        <w:t>, including (i) the exception to the incremental approach for intra period tax allocation when there is a loss from continuing operations and income or a gain from other items such as discontinu</w:t>
      </w:r>
      <w:r>
        <w:rPr>
          <w:sz w:val="20"/>
          <w:szCs w:val="20"/>
        </w:rPr>
        <w:t xml:space="preserve">ed operations or other comprehensive income; (ii) the exception to accounting for outside basis differences of equity method investments and foreign subsidiaries; and (iii) the exception to limit tax benefit recognized in interim periods in cases when the </w:t>
      </w:r>
      <w:r>
        <w:rPr>
          <w:sz w:val="20"/>
          <w:szCs w:val="20"/>
        </w:rPr>
        <w:t>year-to-date losses exceed anticipated losses. ASU 2019-12 also simplifies GAAP in several other areas of Topic 740 such as (i) franchise taxes and other taxes partially based on income; (ii) step-up in tax basis goodwill considered part of a business comb</w:t>
      </w:r>
      <w:r>
        <w:rPr>
          <w:sz w:val="20"/>
          <w:szCs w:val="20"/>
        </w:rPr>
        <w:t>ination in which the book goodwill was originally recognized or should be considered a separate transaction; (iii) separate financial statements of entities not subject to tax; and (iv) interim recognition of enactment of tax laws or rate changes. ASU 2019</w:t>
      </w:r>
      <w:r>
        <w:rPr>
          <w:sz w:val="20"/>
          <w:szCs w:val="20"/>
        </w:rPr>
        <w:t>-12 is effective for annual reporting periods and interim periods within those years beginning after December 15, 2020, and early adoption is permitted. The Company is currently evaluating the impact of adopting ASU 2019-12 on its condensed consolidated fi</w:t>
      </w:r>
      <w:r>
        <w:rPr>
          <w:sz w:val="20"/>
          <w:szCs w:val="20"/>
        </w:rPr>
        <w:t>nancial statements and related disclosures.</w:t>
      </w:r>
    </w:p>
    <w:p w:rsidR="00000000" w:rsidRDefault="00DE7B41">
      <w:pPr>
        <w:pStyle w:val="a3"/>
        <w:spacing w:before="0" w:beforeAutospacing="0" w:after="0" w:afterAutospacing="0"/>
        <w:divId w:val="368410181"/>
        <w:rPr>
          <w:sz w:val="20"/>
          <w:szCs w:val="20"/>
        </w:rPr>
      </w:pPr>
      <w:r>
        <w:rPr>
          <w:sz w:val="20"/>
          <w:szCs w:val="20"/>
        </w:rPr>
        <w:t>​</w:t>
      </w:r>
    </w:p>
    <w:p w:rsidR="00000000" w:rsidRDefault="00DE7B41">
      <w:pPr>
        <w:pStyle w:val="a3"/>
        <w:spacing w:before="0" w:beforeAutospacing="0" w:after="0" w:afterAutospacing="0"/>
        <w:ind w:firstLine="720"/>
        <w:jc w:val="both"/>
        <w:divId w:val="368410181"/>
        <w:rPr>
          <w:sz w:val="20"/>
          <w:szCs w:val="20"/>
        </w:rPr>
      </w:pPr>
      <w:r>
        <w:rPr>
          <w:sz w:val="20"/>
          <w:szCs w:val="20"/>
        </w:rPr>
        <w:t>The Company has evaluated other recently issued accounting pronouncements and does not currently believe that any of these pronouncements will have a material impact on its condensed consolidated financial stat</w:t>
      </w:r>
      <w:r>
        <w:rPr>
          <w:sz w:val="20"/>
          <w:szCs w:val="20"/>
        </w:rPr>
        <w:t>ements and related disclosures.</w:t>
      </w:r>
    </w:p>
    <w:p w:rsidR="00000000" w:rsidRDefault="00DE7B41">
      <w:pPr>
        <w:pStyle w:val="a3"/>
        <w:spacing w:before="0" w:beforeAutospacing="0" w:after="0" w:afterAutospacing="0"/>
        <w:ind w:firstLine="720"/>
        <w:jc w:val="both"/>
        <w:divId w:val="368410181"/>
        <w:rPr>
          <w:sz w:val="20"/>
          <w:szCs w:val="20"/>
        </w:rPr>
      </w:pPr>
      <w:r>
        <w:rPr>
          <w:sz w:val="20"/>
          <w:szCs w:val="20"/>
        </w:rPr>
        <w:t>​</w:t>
      </w:r>
    </w:p>
    <w:p w:rsidR="00000000" w:rsidRDefault="00DE7B41">
      <w:pPr>
        <w:pStyle w:val="a3"/>
        <w:spacing w:before="0" w:beforeAutospacing="0" w:after="0" w:afterAutospacing="0"/>
        <w:divId w:val="368410181"/>
        <w:rPr>
          <w:sz w:val="20"/>
          <w:szCs w:val="20"/>
        </w:rPr>
      </w:pPr>
      <w:r>
        <w:rPr>
          <w:sz w:val="2"/>
          <w:szCs w:val="2"/>
        </w:rPr>
        <w:t>​</w:t>
      </w:r>
    </w:p>
    <w:p w:rsidR="00000000" w:rsidRDefault="00DE7B41">
      <w:pPr>
        <w:pStyle w:val="a3"/>
        <w:spacing w:before="0" w:beforeAutospacing="0" w:after="0" w:afterAutospacing="0"/>
        <w:divId w:val="368410181"/>
        <w:rPr>
          <w:sz w:val="20"/>
          <w:szCs w:val="20"/>
        </w:rPr>
      </w:pPr>
      <w:r>
        <w:rPr>
          <w:b/>
          <w:bCs/>
          <w:sz w:val="20"/>
          <w:szCs w:val="20"/>
        </w:rPr>
        <w:t>2. Net Loss per Share</w:t>
      </w:r>
    </w:p>
    <w:p w:rsidR="00000000" w:rsidRDefault="00DE7B41">
      <w:pPr>
        <w:pStyle w:val="a3"/>
        <w:spacing w:before="0" w:beforeAutospacing="0" w:after="0" w:afterAutospacing="0"/>
        <w:divId w:val="368410181"/>
        <w:rPr>
          <w:sz w:val="20"/>
          <w:szCs w:val="20"/>
        </w:rPr>
      </w:pPr>
      <w:r>
        <w:rPr>
          <w:sz w:val="10"/>
          <w:szCs w:val="10"/>
        </w:rPr>
        <w:t>​</w:t>
      </w:r>
    </w:p>
    <w:p w:rsidR="00000000" w:rsidRDefault="00DE7B41">
      <w:pPr>
        <w:pStyle w:val="a3"/>
        <w:spacing w:before="0" w:beforeAutospacing="0" w:after="0" w:afterAutospacing="0"/>
        <w:ind w:firstLine="720"/>
        <w:divId w:val="368410181"/>
        <w:rPr>
          <w:sz w:val="20"/>
          <w:szCs w:val="20"/>
        </w:rPr>
      </w:pPr>
      <w:r>
        <w:rPr>
          <w:sz w:val="20"/>
          <w:szCs w:val="20"/>
        </w:rPr>
        <w:t>Basic net loss per share is computed by dividing net loss by the weighted-average number of shares outstanding, less ordinary shares subject to forfeiture. Diluted net loss per share is computed b</w:t>
      </w:r>
      <w:r>
        <w:rPr>
          <w:sz w:val="20"/>
          <w:szCs w:val="20"/>
        </w:rPr>
        <w:t>y dividing net loss by the weighted-average number of shares outstanding, less ordinary shares subject to forfeiture, plus all additional ordinary shares that would have been outstanding, assuming dilutive potential ordinary shares had been issued for othe</w:t>
      </w:r>
      <w:r>
        <w:rPr>
          <w:sz w:val="20"/>
          <w:szCs w:val="20"/>
        </w:rPr>
        <w:t>r dilutive securities.</w:t>
      </w:r>
    </w:p>
    <w:p w:rsidR="00000000" w:rsidRDefault="00DE7B41">
      <w:pPr>
        <w:pStyle w:val="a3"/>
        <w:spacing w:before="0" w:beforeAutospacing="0" w:after="0" w:afterAutospacing="0"/>
        <w:ind w:firstLine="720"/>
        <w:divId w:val="368410181"/>
        <w:rPr>
          <w:sz w:val="20"/>
          <w:szCs w:val="20"/>
        </w:rPr>
      </w:pPr>
      <w:r>
        <w:rPr>
          <w:sz w:val="20"/>
          <w:szCs w:val="20"/>
        </w:rPr>
        <w:t>​</w:t>
      </w:r>
    </w:p>
    <w:p w:rsidR="00000000" w:rsidRDefault="00DE7B41">
      <w:pPr>
        <w:pStyle w:val="a3"/>
        <w:spacing w:before="360" w:beforeAutospacing="0" w:after="0" w:afterAutospacing="0"/>
        <w:jc w:val="center"/>
        <w:divId w:val="1380713672"/>
        <w:rPr>
          <w:sz w:val="20"/>
          <w:szCs w:val="20"/>
        </w:rPr>
      </w:pPr>
      <w:r>
        <w:rPr>
          <w:sz w:val="20"/>
          <w:szCs w:val="20"/>
        </w:rPr>
        <w:t>8</w:t>
      </w:r>
    </w:p>
    <w:p w:rsidR="00000000" w:rsidRDefault="00DE7B41">
      <w:pPr>
        <w:pStyle w:val="a3"/>
        <w:spacing w:before="0" w:beforeAutospacing="0" w:after="600" w:afterAutospacing="0"/>
        <w:divId w:val="740758648"/>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ind w:firstLine="720"/>
        <w:divId w:val="17678472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138"/>
        <w:gridCol w:w="871"/>
        <w:gridCol w:w="220"/>
        <w:gridCol w:w="137"/>
        <w:gridCol w:w="874"/>
      </w:tblGrid>
      <w:tr w:rsidR="00000000">
        <w:trPr>
          <w:divId w:val="1767847293"/>
          <w:trHeight w:val="20"/>
        </w:trPr>
        <w:tc>
          <w:tcPr>
            <w:tcW w:w="3693" w:type="pct"/>
            <w:tcMar>
              <w:top w:w="0" w:type="dxa"/>
              <w:left w:w="0" w:type="dxa"/>
              <w:bottom w:w="0" w:type="dxa"/>
              <w:right w:w="0" w:type="dxa"/>
            </w:tcMar>
            <w:hideMark/>
          </w:tcPr>
          <w:p w:rsidR="00000000" w:rsidRDefault="00DE7B41">
            <w:pPr>
              <w:pStyle w:val="a3"/>
              <w:spacing w:before="0" w:beforeAutospacing="0" w:after="0" w:afterAutospacing="0"/>
              <w:divId w:val="121623720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4824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81242169"/>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5408777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7655380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10022358"/>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66949475"/>
              <w:rPr>
                <w:sz w:val="20"/>
                <w:szCs w:val="20"/>
              </w:rPr>
            </w:pPr>
            <w:r>
              <w:rPr>
                <w:sz w:val="2"/>
                <w:szCs w:val="2"/>
              </w:rPr>
              <w:t>​</w:t>
            </w:r>
          </w:p>
        </w:tc>
      </w:tr>
      <w:tr w:rsidR="00000000">
        <w:trPr>
          <w:divId w:val="1767847293"/>
        </w:trPr>
        <w:tc>
          <w:tcPr>
            <w:tcW w:w="3693"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color w:val="FF0000"/>
                <w:sz w:val="20"/>
                <w:szCs w:val="20"/>
              </w:rPr>
              <w:t>​</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89" w:type="pct"/>
            <w:gridSpan w:val="5"/>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r>
      <w:tr w:rsidR="00000000">
        <w:trPr>
          <w:divId w:val="1767847293"/>
        </w:trPr>
        <w:tc>
          <w:tcPr>
            <w:tcW w:w="3693"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89"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1767847293"/>
        </w:trPr>
        <w:tc>
          <w:tcPr>
            <w:tcW w:w="3693"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767847293"/>
        </w:trPr>
        <w:tc>
          <w:tcPr>
            <w:tcW w:w="369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b/>
                <w:bCs/>
                <w:sz w:val="20"/>
                <w:szCs w:val="20"/>
              </w:rPr>
              <w:t>Numerator:</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1767847293"/>
        </w:trPr>
        <w:tc>
          <w:tcPr>
            <w:tcW w:w="3693"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Net loss</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(83,053)</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(72,580)</w:t>
            </w:r>
          </w:p>
        </w:tc>
      </w:tr>
      <w:tr w:rsidR="00000000">
        <w:trPr>
          <w:divId w:val="1767847293"/>
        </w:trPr>
        <w:tc>
          <w:tcPr>
            <w:tcW w:w="369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b/>
                <w:bCs/>
                <w:sz w:val="20"/>
                <w:szCs w:val="20"/>
              </w:rPr>
              <w:t>Denominator:</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1767847293"/>
        </w:trPr>
        <w:tc>
          <w:tcPr>
            <w:tcW w:w="3693"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Weighted-average common shares outstanding</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60,076</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55,818</w:t>
            </w:r>
          </w:p>
        </w:tc>
      </w:tr>
      <w:tr w:rsidR="00000000">
        <w:trPr>
          <w:divId w:val="1767847293"/>
        </w:trPr>
        <w:tc>
          <w:tcPr>
            <w:tcW w:w="3693"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Less: weighted-average common shares subject to forfeiture</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(613)</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(880)</w:t>
            </w:r>
          </w:p>
        </w:tc>
      </w:tr>
      <w:tr w:rsidR="00000000">
        <w:trPr>
          <w:divId w:val="1767847293"/>
        </w:trPr>
        <w:tc>
          <w:tcPr>
            <w:tcW w:w="3693"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Weighted-average common shares used to compute basic and diluted net loss per share</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59,463</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54,938</w:t>
            </w:r>
          </w:p>
        </w:tc>
      </w:tr>
      <w:tr w:rsidR="00000000">
        <w:trPr>
          <w:divId w:val="1767847293"/>
        </w:trPr>
        <w:tc>
          <w:tcPr>
            <w:tcW w:w="369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20"/>
                <w:szCs w:val="20"/>
              </w:rPr>
            </w:pPr>
            <w:r>
              <w:rPr>
                <w:sz w:val="20"/>
                <w:szCs w:val="20"/>
              </w:rPr>
              <w:t>Basic and diluted net loss per share</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(1.40)</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(1.32)</w:t>
            </w:r>
          </w:p>
        </w:tc>
      </w:tr>
    </w:tbl>
    <w:p w:rsidR="00000000" w:rsidRDefault="00DE7B41">
      <w:pPr>
        <w:pStyle w:val="a3"/>
        <w:spacing w:before="0" w:beforeAutospacing="0" w:after="0" w:afterAutospacing="0"/>
        <w:divId w:val="1767847293"/>
        <w:rPr>
          <w:sz w:val="20"/>
          <w:szCs w:val="20"/>
        </w:rPr>
      </w:pPr>
      <w:r>
        <w:rPr>
          <w:sz w:val="20"/>
          <w:szCs w:val="20"/>
        </w:rPr>
        <w:t>​</w:t>
      </w:r>
    </w:p>
    <w:p w:rsidR="00000000" w:rsidRDefault="00DE7B41">
      <w:pPr>
        <w:pStyle w:val="a3"/>
        <w:spacing w:before="0" w:beforeAutospacing="0" w:after="0" w:afterAutospacing="0"/>
        <w:ind w:firstLine="720"/>
        <w:divId w:val="1767847293"/>
        <w:rPr>
          <w:sz w:val="20"/>
          <w:szCs w:val="20"/>
        </w:rPr>
      </w:pPr>
      <w:r>
        <w:rPr>
          <w:sz w:val="20"/>
          <w:szCs w:val="20"/>
        </w:rPr>
        <w:t xml:space="preserve">For the three months ended March 31, 2020 and 2019, diluted and basic net loss per share was identical since potential ordinary shares were excluded from the calculation, as their effect was anti-dilutive. </w:t>
      </w:r>
    </w:p>
    <w:p w:rsidR="00000000" w:rsidRDefault="00DE7B41">
      <w:pPr>
        <w:pStyle w:val="a3"/>
        <w:spacing w:before="0" w:beforeAutospacing="0" w:after="0" w:afterAutospacing="0"/>
        <w:ind w:firstLine="720"/>
        <w:divId w:val="1767847293"/>
        <w:rPr>
          <w:sz w:val="20"/>
          <w:szCs w:val="20"/>
        </w:rPr>
      </w:pPr>
      <w:r>
        <w:rPr>
          <w:sz w:val="20"/>
          <w:szCs w:val="20"/>
        </w:rPr>
        <w:t>​</w:t>
      </w:r>
    </w:p>
    <w:p w:rsidR="00000000" w:rsidRDefault="00DE7B41">
      <w:pPr>
        <w:pStyle w:val="a3"/>
        <w:spacing w:before="0" w:beforeAutospacing="0" w:after="0" w:afterAutospacing="0"/>
        <w:divId w:val="1767847293"/>
        <w:rPr>
          <w:sz w:val="20"/>
          <w:szCs w:val="20"/>
        </w:rPr>
      </w:pPr>
      <w:r>
        <w:rPr>
          <w:b/>
          <w:bCs/>
          <w:i/>
          <w:iCs/>
          <w:sz w:val="20"/>
          <w:szCs w:val="20"/>
        </w:rPr>
        <w:t>Anti-dilutive Securities</w:t>
      </w:r>
    </w:p>
    <w:p w:rsidR="00000000" w:rsidRDefault="00DE7B41">
      <w:pPr>
        <w:pStyle w:val="a3"/>
        <w:spacing w:before="0" w:beforeAutospacing="0" w:after="0" w:afterAutospacing="0"/>
        <w:divId w:val="1767847293"/>
        <w:rPr>
          <w:sz w:val="20"/>
          <w:szCs w:val="20"/>
        </w:rPr>
      </w:pPr>
      <w:r>
        <w:rPr>
          <w:sz w:val="10"/>
          <w:szCs w:val="10"/>
        </w:rPr>
        <w:t>​</w:t>
      </w:r>
    </w:p>
    <w:p w:rsidR="00000000" w:rsidRDefault="00DE7B41">
      <w:pPr>
        <w:pStyle w:val="a3"/>
        <w:spacing w:before="0" w:beforeAutospacing="0" w:after="0" w:afterAutospacing="0"/>
        <w:ind w:firstLine="720"/>
        <w:divId w:val="1767847293"/>
        <w:rPr>
          <w:sz w:val="20"/>
          <w:szCs w:val="20"/>
        </w:rPr>
      </w:pPr>
      <w:r>
        <w:rPr>
          <w:sz w:val="20"/>
          <w:szCs w:val="20"/>
        </w:rPr>
        <w:t>The following ordinary equivalent shares were not included in the computation of diluted net loss per share because their effect was anti-dilutive:</w:t>
      </w:r>
    </w:p>
    <w:p w:rsidR="00000000" w:rsidRDefault="00DE7B41">
      <w:pPr>
        <w:pStyle w:val="a3"/>
        <w:spacing w:before="0" w:beforeAutospacing="0" w:after="0" w:afterAutospacing="0"/>
        <w:divId w:val="176784729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994"/>
        <w:gridCol w:w="253"/>
        <w:gridCol w:w="993"/>
      </w:tblGrid>
      <w:tr w:rsidR="00000000">
        <w:trPr>
          <w:divId w:val="1767847293"/>
          <w:trHeight w:val="20"/>
        </w:trPr>
        <w:tc>
          <w:tcPr>
            <w:tcW w:w="3786" w:type="pct"/>
            <w:tcMar>
              <w:top w:w="0" w:type="dxa"/>
              <w:left w:w="0" w:type="dxa"/>
              <w:bottom w:w="0" w:type="dxa"/>
              <w:right w:w="0" w:type="dxa"/>
            </w:tcMar>
            <w:vAlign w:val="bottom"/>
            <w:hideMark/>
          </w:tcPr>
          <w:p w:rsidR="00000000" w:rsidRDefault="00DE7B41">
            <w:pPr>
              <w:pStyle w:val="a3"/>
              <w:spacing w:before="0" w:beforeAutospacing="0" w:after="0" w:afterAutospacing="0"/>
              <w:divId w:val="99846034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51661115"/>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7857396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78661467"/>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387753030"/>
              <w:rPr>
                <w:sz w:val="20"/>
                <w:szCs w:val="20"/>
              </w:rPr>
            </w:pPr>
            <w:r>
              <w:rPr>
                <w:sz w:val="2"/>
                <w:szCs w:val="2"/>
              </w:rPr>
              <w:t>​</w:t>
            </w:r>
          </w:p>
        </w:tc>
      </w:tr>
      <w:tr w:rsidR="00000000">
        <w:trPr>
          <w:divId w:val="1767847293"/>
        </w:trPr>
        <w:tc>
          <w:tcPr>
            <w:tcW w:w="378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11" w:type="pct"/>
            <w:gridSpan w:val="3"/>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1767847293"/>
        </w:trPr>
        <w:tc>
          <w:tcPr>
            <w:tcW w:w="3786"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9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2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9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767847293"/>
        </w:trPr>
        <w:tc>
          <w:tcPr>
            <w:tcW w:w="3786" w:type="pct"/>
            <w:shd w:val="clear" w:color="auto" w:fill="auto"/>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Share issuances under equity incentive plans and ESPP </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49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6,035</w:t>
            </w:r>
          </w:p>
        </w:tc>
        <w:tc>
          <w:tcPr>
            <w:tcW w:w="12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9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5,481</w:t>
            </w:r>
          </w:p>
        </w:tc>
      </w:tr>
      <w:tr w:rsidR="00000000">
        <w:trPr>
          <w:divId w:val="1767847293"/>
        </w:trPr>
        <w:tc>
          <w:tcPr>
            <w:tcW w:w="378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xml:space="preserve">Restricted shares </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w:t>
            </w:r>
          </w:p>
        </w:tc>
      </w:tr>
      <w:tr w:rsidR="00000000">
        <w:trPr>
          <w:divId w:val="1767847293"/>
        </w:trPr>
        <w:tc>
          <w:tcPr>
            <w:tcW w:w="3786" w:type="pct"/>
            <w:noWrap/>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 xml:space="preserve">Share issuances upon the conversion of convertible senior notes </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49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6,676</w:t>
            </w:r>
          </w:p>
        </w:tc>
        <w:tc>
          <w:tcPr>
            <w:tcW w:w="12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9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6,676</w:t>
            </w:r>
          </w:p>
        </w:tc>
      </w:tr>
      <w:tr w:rsidR="00000000">
        <w:trPr>
          <w:divId w:val="1767847293"/>
        </w:trPr>
        <w:tc>
          <w:tcPr>
            <w:tcW w:w="3786"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Tota</w:t>
            </w:r>
            <w:r>
              <w:rPr>
                <w:sz w:val="20"/>
                <w:szCs w:val="20"/>
              </w:rPr>
              <w:t>l</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12,711</w:t>
            </w:r>
          </w:p>
        </w:tc>
        <w:tc>
          <w:tcPr>
            <w:tcW w:w="1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12,158</w:t>
            </w:r>
          </w:p>
        </w:tc>
      </w:tr>
    </w:tbl>
    <w:p w:rsidR="00000000" w:rsidRDefault="00DE7B41">
      <w:pPr>
        <w:pStyle w:val="a3"/>
        <w:spacing w:before="0" w:beforeAutospacing="0" w:after="0" w:afterAutospacing="0"/>
        <w:divId w:val="1767847293"/>
        <w:rPr>
          <w:sz w:val="20"/>
          <w:szCs w:val="20"/>
        </w:rPr>
      </w:pPr>
      <w:r>
        <w:rPr>
          <w:sz w:val="20"/>
          <w:szCs w:val="20"/>
        </w:rPr>
        <w:t>​</w:t>
      </w:r>
    </w:p>
    <w:p w:rsidR="00000000" w:rsidRDefault="00DE7B41">
      <w:pPr>
        <w:pStyle w:val="a3"/>
        <w:spacing w:before="0" w:beforeAutospacing="0" w:after="0" w:afterAutospacing="0"/>
        <w:ind w:firstLine="720"/>
        <w:divId w:val="1767847293"/>
        <w:rPr>
          <w:sz w:val="20"/>
          <w:szCs w:val="20"/>
        </w:rPr>
      </w:pPr>
      <w:r>
        <w:rPr>
          <w:sz w:val="20"/>
          <w:szCs w:val="20"/>
        </w:rPr>
        <w:t>As of March 31, 2019, there were 468,000 shares subject to performance-based vesting criteria which have been excluded from the ordinary equivalent shares table above, and there were no such shares excluded as of March 31, 2020.</w:t>
      </w:r>
    </w:p>
    <w:p w:rsidR="00000000" w:rsidRDefault="00DE7B41">
      <w:pPr>
        <w:pStyle w:val="a3"/>
        <w:spacing w:before="0" w:beforeAutospacing="0" w:after="0" w:afterAutospacing="0"/>
        <w:divId w:val="1767847293"/>
        <w:rPr>
          <w:sz w:val="20"/>
          <w:szCs w:val="20"/>
        </w:rPr>
      </w:pPr>
      <w:r>
        <w:rPr>
          <w:sz w:val="20"/>
          <w:szCs w:val="20"/>
        </w:rPr>
        <w:t>​</w:t>
      </w:r>
    </w:p>
    <w:p w:rsidR="00000000" w:rsidRDefault="00DE7B41">
      <w:pPr>
        <w:pStyle w:val="a3"/>
        <w:spacing w:before="0" w:beforeAutospacing="0" w:after="0" w:afterAutospacing="0"/>
        <w:divId w:val="1767847293"/>
        <w:rPr>
          <w:sz w:val="20"/>
          <w:szCs w:val="20"/>
        </w:rPr>
      </w:pPr>
      <w:r>
        <w:rPr>
          <w:b/>
          <w:bCs/>
          <w:sz w:val="20"/>
          <w:szCs w:val="20"/>
        </w:rPr>
        <w:t>3. Revenue</w:t>
      </w:r>
    </w:p>
    <w:p w:rsidR="00000000" w:rsidRDefault="00DE7B41">
      <w:pPr>
        <w:pStyle w:val="a3"/>
        <w:spacing w:before="0" w:beforeAutospacing="0" w:after="0" w:afterAutospacing="0"/>
        <w:divId w:val="1767847293"/>
        <w:rPr>
          <w:sz w:val="20"/>
          <w:szCs w:val="20"/>
        </w:rPr>
      </w:pPr>
      <w:r>
        <w:rPr>
          <w:b/>
          <w:bCs/>
          <w:sz w:val="10"/>
          <w:szCs w:val="10"/>
        </w:rPr>
        <w:t>​</w:t>
      </w:r>
    </w:p>
    <w:p w:rsidR="00000000" w:rsidRDefault="00DE7B41">
      <w:pPr>
        <w:pStyle w:val="a3"/>
        <w:spacing w:before="0" w:beforeAutospacing="0" w:after="0" w:afterAutospacing="0"/>
        <w:divId w:val="1767847293"/>
        <w:rPr>
          <w:sz w:val="20"/>
          <w:szCs w:val="20"/>
        </w:rPr>
      </w:pPr>
      <w:r>
        <w:rPr>
          <w:b/>
          <w:bCs/>
          <w:i/>
          <w:iCs/>
          <w:sz w:val="20"/>
          <w:szCs w:val="20"/>
        </w:rPr>
        <w:t>Revenue from Collaborative Arrangements</w:t>
      </w:r>
    </w:p>
    <w:p w:rsidR="00000000" w:rsidRDefault="00DE7B41">
      <w:pPr>
        <w:pStyle w:val="a3"/>
        <w:spacing w:before="0" w:beforeAutospacing="0" w:after="0" w:afterAutospacing="0"/>
        <w:divId w:val="1767847293"/>
        <w:rPr>
          <w:sz w:val="20"/>
          <w:szCs w:val="20"/>
        </w:rPr>
      </w:pPr>
      <w:r>
        <w:rPr>
          <w:i/>
          <w:iCs/>
          <w:sz w:val="10"/>
          <w:szCs w:val="10"/>
        </w:rPr>
        <w:t>​</w:t>
      </w:r>
    </w:p>
    <w:p w:rsidR="00000000" w:rsidRDefault="00DE7B41">
      <w:pPr>
        <w:pStyle w:val="a3"/>
        <w:spacing w:before="0" w:beforeAutospacing="0" w:after="0" w:afterAutospacing="0"/>
        <w:ind w:firstLine="720"/>
        <w:divId w:val="1767847293"/>
        <w:rPr>
          <w:sz w:val="20"/>
          <w:szCs w:val="20"/>
        </w:rPr>
      </w:pPr>
      <w:r>
        <w:rPr>
          <w:sz w:val="20"/>
          <w:szCs w:val="20"/>
        </w:rPr>
        <w:t>The Company recognized revenues from its collaborative arrangements as follows:</w:t>
      </w:r>
    </w:p>
    <w:p w:rsidR="00000000" w:rsidRDefault="00DE7B41">
      <w:pPr>
        <w:pStyle w:val="a3"/>
        <w:spacing w:before="0" w:beforeAutospacing="0" w:after="0" w:afterAutospacing="0"/>
        <w:divId w:val="176784729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138"/>
        <w:gridCol w:w="871"/>
        <w:gridCol w:w="220"/>
        <w:gridCol w:w="137"/>
        <w:gridCol w:w="874"/>
      </w:tblGrid>
      <w:tr w:rsidR="00000000">
        <w:trPr>
          <w:divId w:val="1767847293"/>
          <w:trHeight w:val="20"/>
        </w:trPr>
        <w:tc>
          <w:tcPr>
            <w:tcW w:w="3693"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r>
      <w:tr w:rsidR="00000000">
        <w:trPr>
          <w:divId w:val="1767847293"/>
        </w:trPr>
        <w:tc>
          <w:tcPr>
            <w:tcW w:w="3693"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89" w:type="pct"/>
            <w:gridSpan w:val="5"/>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r>
      <w:tr w:rsidR="00000000">
        <w:trPr>
          <w:divId w:val="1767847293"/>
        </w:trPr>
        <w:tc>
          <w:tcPr>
            <w:tcW w:w="3693"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89"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1767847293"/>
        </w:trPr>
        <w:tc>
          <w:tcPr>
            <w:tcW w:w="3693"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767847293"/>
        </w:trPr>
        <w:tc>
          <w:tcPr>
            <w:tcW w:w="369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Janssen</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6,622</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5,323</w:t>
            </w:r>
          </w:p>
        </w:tc>
      </w:tr>
      <w:tr w:rsidR="00000000">
        <w:trPr>
          <w:divId w:val="1767847293"/>
        </w:trPr>
        <w:tc>
          <w:tcPr>
            <w:tcW w:w="3693"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Other</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10</w:t>
            </w:r>
          </w:p>
        </w:tc>
        <w:tc>
          <w:tcPr>
            <w:tcW w:w="11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15</w:t>
            </w:r>
          </w:p>
        </w:tc>
      </w:tr>
      <w:tr w:rsidR="00000000">
        <w:trPr>
          <w:divId w:val="1767847293"/>
        </w:trPr>
        <w:tc>
          <w:tcPr>
            <w:tcW w:w="3693"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ind w:left="240"/>
              <w:rPr>
                <w:sz w:val="20"/>
                <w:szCs w:val="20"/>
              </w:rPr>
            </w:pPr>
            <w:r>
              <w:rPr>
                <w:sz w:val="20"/>
                <w:szCs w:val="20"/>
              </w:rPr>
              <w:t>Total collaboration revenue</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6,632</w:t>
            </w:r>
          </w:p>
        </w:tc>
        <w:tc>
          <w:tcPr>
            <w:tcW w:w="11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5,338</w:t>
            </w:r>
          </w:p>
        </w:tc>
      </w:tr>
    </w:tbl>
    <w:p w:rsidR="00000000" w:rsidRDefault="00DE7B41">
      <w:pPr>
        <w:pStyle w:val="a3"/>
        <w:spacing w:before="0" w:beforeAutospacing="0" w:after="0" w:afterAutospacing="0"/>
        <w:divId w:val="1767847293"/>
        <w:rPr>
          <w:sz w:val="20"/>
          <w:szCs w:val="20"/>
        </w:rPr>
      </w:pPr>
      <w:r>
        <w:rPr>
          <w:sz w:val="20"/>
          <w:szCs w:val="20"/>
        </w:rPr>
        <w:t>​</w:t>
      </w:r>
    </w:p>
    <w:p w:rsidR="00000000" w:rsidRDefault="00DE7B41">
      <w:pPr>
        <w:pStyle w:val="a3"/>
        <w:spacing w:before="0" w:beforeAutospacing="0" w:after="0" w:afterAutospacing="0"/>
        <w:divId w:val="1767847293"/>
        <w:rPr>
          <w:sz w:val="20"/>
          <w:szCs w:val="20"/>
        </w:rPr>
      </w:pPr>
      <w:r>
        <w:rPr>
          <w:b/>
          <w:bCs/>
          <w:i/>
          <w:iCs/>
          <w:sz w:val="20"/>
          <w:szCs w:val="20"/>
        </w:rPr>
        <w:t>Changes in Deferred Revenue Balances</w:t>
      </w:r>
    </w:p>
    <w:p w:rsidR="00000000" w:rsidRDefault="00DE7B41">
      <w:pPr>
        <w:pStyle w:val="a3"/>
        <w:spacing w:before="0" w:beforeAutospacing="0" w:after="0" w:afterAutospacing="0"/>
        <w:divId w:val="1767847293"/>
        <w:rPr>
          <w:sz w:val="20"/>
          <w:szCs w:val="20"/>
        </w:rPr>
      </w:pPr>
      <w:r>
        <w:rPr>
          <w:sz w:val="10"/>
          <w:szCs w:val="10"/>
        </w:rPr>
        <w:t>​</w:t>
      </w:r>
    </w:p>
    <w:p w:rsidR="00000000" w:rsidRDefault="00DE7B41">
      <w:pPr>
        <w:pStyle w:val="a3"/>
        <w:spacing w:before="0" w:beforeAutospacing="0" w:after="0" w:afterAutospacing="0"/>
        <w:ind w:firstLine="720"/>
        <w:divId w:val="1767847293"/>
        <w:rPr>
          <w:sz w:val="20"/>
          <w:szCs w:val="20"/>
        </w:rPr>
      </w:pPr>
      <w:r>
        <w:rPr>
          <w:sz w:val="20"/>
          <w:szCs w:val="20"/>
        </w:rPr>
        <w:t xml:space="preserve">Changes in the deferred revenue balances arose as a result of the Company recognizing the following revenue from collaborative arrangements during the periods below: </w:t>
      </w:r>
    </w:p>
    <w:p w:rsidR="00000000" w:rsidRDefault="00DE7B41">
      <w:pPr>
        <w:pStyle w:val="a3"/>
        <w:spacing w:before="0" w:beforeAutospacing="0" w:after="0" w:afterAutospacing="0"/>
        <w:divId w:val="176784729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52"/>
        <w:gridCol w:w="114"/>
        <w:gridCol w:w="206"/>
        <w:gridCol w:w="811"/>
        <w:gridCol w:w="206"/>
        <w:gridCol w:w="205"/>
        <w:gridCol w:w="812"/>
      </w:tblGrid>
      <w:tr w:rsidR="00000000">
        <w:trPr>
          <w:divId w:val="1767847293"/>
          <w:trHeight w:val="20"/>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divId w:val="1697655687"/>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DE7B41">
            <w:pPr>
              <w:pStyle w:val="a3"/>
              <w:spacing w:before="0" w:beforeAutospacing="0" w:after="0" w:afterAutospacing="0"/>
              <w:divId w:val="448816729"/>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45297322"/>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7613617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9736311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04261157"/>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49683587"/>
              <w:rPr>
                <w:sz w:val="20"/>
                <w:szCs w:val="20"/>
              </w:rPr>
            </w:pPr>
            <w:r>
              <w:rPr>
                <w:sz w:val="2"/>
                <w:szCs w:val="2"/>
              </w:rPr>
              <w:t>​</w:t>
            </w:r>
          </w:p>
        </w:tc>
      </w:tr>
      <w:tr w:rsidR="00000000">
        <w:trPr>
          <w:divId w:val="1767847293"/>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1767847293"/>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125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1767847293"/>
        </w:trPr>
        <w:tc>
          <w:tcPr>
            <w:tcW w:w="3629"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w:t>
            </w:r>
            <w:r>
              <w:rPr>
                <w:b/>
                <w:bCs/>
                <w:sz w:val="16"/>
                <w:szCs w:val="16"/>
              </w:rPr>
              <w:t>thousands)</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767847293"/>
        </w:trPr>
        <w:tc>
          <w:tcPr>
            <w:tcW w:w="3629" w:type="pct"/>
            <w:shd w:val="clear" w:color="auto" w:fill="auto"/>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b/>
                <w:bCs/>
                <w:sz w:val="20"/>
                <w:szCs w:val="20"/>
              </w:rPr>
              <w:t>Collaboration revenue recognized in the period from:</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4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2"/>
                <w:szCs w:val="22"/>
              </w:rPr>
              <w:t>​</w:t>
            </w:r>
          </w:p>
        </w:tc>
        <w:tc>
          <w:tcPr>
            <w:tcW w:w="45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r>
      <w:tr w:rsidR="00000000">
        <w:trPr>
          <w:divId w:val="1767847293"/>
        </w:trPr>
        <w:tc>
          <w:tcPr>
            <w:tcW w:w="3629" w:type="pct"/>
            <w:shd w:val="clear" w:color="auto" w:fill="CCEEFF"/>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Amounts included in deferred revenue at the beginning of the period</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6,632</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5,333</w:t>
            </w:r>
          </w:p>
        </w:tc>
      </w:tr>
      <w:tr w:rsidR="00000000">
        <w:trPr>
          <w:divId w:val="1767847293"/>
        </w:trPr>
        <w:tc>
          <w:tcPr>
            <w:tcW w:w="3629"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Performance obligations satisfied in previous period</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r>
    </w:tbl>
    <w:p w:rsidR="00000000" w:rsidRDefault="00DE7B41">
      <w:pPr>
        <w:pStyle w:val="a3"/>
        <w:spacing w:before="0" w:beforeAutospacing="0" w:after="0" w:afterAutospacing="0"/>
        <w:divId w:val="1767847293"/>
        <w:rPr>
          <w:sz w:val="20"/>
          <w:szCs w:val="20"/>
        </w:rPr>
      </w:pPr>
      <w:r>
        <w:rPr>
          <w:sz w:val="2"/>
          <w:szCs w:val="2"/>
        </w:rPr>
        <w:t>​</w:t>
      </w:r>
    </w:p>
    <w:p w:rsidR="00000000" w:rsidRDefault="00DE7B41">
      <w:pPr>
        <w:pStyle w:val="a3"/>
        <w:spacing w:before="240" w:beforeAutospacing="0" w:after="0" w:afterAutospacing="0"/>
        <w:divId w:val="1767847293"/>
        <w:rPr>
          <w:sz w:val="20"/>
          <w:szCs w:val="20"/>
        </w:rPr>
      </w:pPr>
      <w:r>
        <w:rPr>
          <w:b/>
          <w:bCs/>
          <w:i/>
          <w:iCs/>
          <w:sz w:val="20"/>
          <w:szCs w:val="20"/>
        </w:rPr>
        <w:t>Janssen Biotech</w:t>
      </w:r>
    </w:p>
    <w:p w:rsidR="00000000" w:rsidRDefault="00DE7B41">
      <w:pPr>
        <w:pStyle w:val="a3"/>
        <w:spacing w:before="0" w:beforeAutospacing="0" w:after="0" w:afterAutospacing="0"/>
        <w:divId w:val="1767847293"/>
        <w:rPr>
          <w:sz w:val="20"/>
          <w:szCs w:val="20"/>
        </w:rPr>
      </w:pPr>
      <w:r>
        <w:rPr>
          <w:sz w:val="10"/>
          <w:szCs w:val="10"/>
        </w:rPr>
        <w:t>​</w:t>
      </w:r>
    </w:p>
    <w:p w:rsidR="00000000" w:rsidRDefault="00DE7B41">
      <w:pPr>
        <w:pStyle w:val="a3"/>
        <w:spacing w:before="0" w:beforeAutospacing="0" w:after="0" w:afterAutospacing="0"/>
        <w:ind w:firstLine="720"/>
        <w:divId w:val="1767847293"/>
        <w:rPr>
          <w:sz w:val="20"/>
          <w:szCs w:val="20"/>
        </w:rPr>
      </w:pPr>
      <w:r>
        <w:rPr>
          <w:sz w:val="20"/>
          <w:szCs w:val="20"/>
        </w:rPr>
        <w:t xml:space="preserve">In February 2018, the Company entered into a global co-development and commercialization agreement with Janssen Biotech, Inc. (“Janssen”) for TD-1473 and related back-up compounds for inflammatory intestinal diseases, </w:t>
      </w:r>
    </w:p>
    <w:p w:rsidR="00000000" w:rsidRDefault="00DE7B41">
      <w:pPr>
        <w:pStyle w:val="a3"/>
        <w:spacing w:before="360" w:beforeAutospacing="0" w:after="0" w:afterAutospacing="0"/>
        <w:jc w:val="center"/>
        <w:divId w:val="628631153"/>
        <w:rPr>
          <w:sz w:val="20"/>
          <w:szCs w:val="20"/>
        </w:rPr>
      </w:pPr>
      <w:r>
        <w:rPr>
          <w:sz w:val="20"/>
          <w:szCs w:val="20"/>
        </w:rPr>
        <w:t>9</w:t>
      </w:r>
    </w:p>
    <w:p w:rsidR="00000000" w:rsidRDefault="00DE7B41">
      <w:pPr>
        <w:pStyle w:val="a3"/>
        <w:spacing w:before="0" w:beforeAutospacing="0" w:after="600" w:afterAutospacing="0"/>
        <w:divId w:val="8797108"/>
        <w:rPr>
          <w:sz w:val="20"/>
          <w:szCs w:val="20"/>
        </w:rPr>
      </w:pPr>
      <w:hyperlink w:anchor="TOC" w:history="1">
        <w:r>
          <w:rPr>
            <w:rStyle w:val="a4"/>
            <w:sz w:val="20"/>
            <w:szCs w:val="20"/>
          </w:rPr>
          <w:t xml:space="preserve">Table of </w:t>
        </w:r>
        <w:r>
          <w:rPr>
            <w:rStyle w:val="a4"/>
            <w:sz w:val="20"/>
            <w:szCs w:val="20"/>
          </w:rPr>
          <w:t>Contents</w:t>
        </w:r>
      </w:hyperlink>
    </w:p>
    <w:p w:rsidR="00000000" w:rsidRDefault="00DE7B41">
      <w:pPr>
        <w:pStyle w:val="a3"/>
        <w:spacing w:before="0" w:beforeAutospacing="0" w:after="0" w:afterAutospacing="0"/>
        <w:divId w:val="264657876"/>
        <w:rPr>
          <w:sz w:val="20"/>
          <w:szCs w:val="20"/>
        </w:rPr>
      </w:pPr>
      <w:r>
        <w:rPr>
          <w:sz w:val="20"/>
          <w:szCs w:val="20"/>
        </w:rPr>
        <w:t>including ulcerative colitis and Crohn’s disease (the “Janssen Agreement”). Under the terms of the Janssen Agreement, the Company received an upfront payment of $100.0 million. The Company is conducting a Phase 2 (DIONE) study of TD-1473 in Crohn’</w:t>
      </w:r>
      <w:r>
        <w:rPr>
          <w:sz w:val="20"/>
          <w:szCs w:val="20"/>
        </w:rPr>
        <w:t>s disease and a Phase 2b/3 (RHEA) induction and maintenance study of TD-1473 in ulcerative colitis.</w:t>
      </w:r>
      <w:r>
        <w:rPr>
          <w:i/>
          <w:iCs/>
          <w:sz w:val="20"/>
          <w:szCs w:val="20"/>
        </w:rPr>
        <w:t xml:space="preserve"> </w:t>
      </w:r>
      <w:r>
        <w:rPr>
          <w:sz w:val="20"/>
          <w:szCs w:val="20"/>
        </w:rPr>
        <w:t>Following the initial Phase 2 development period, including the completion of the Phase 2 Crohn’s study and the Phase 2b induction portion of the ulcerative</w:t>
      </w:r>
      <w:r>
        <w:rPr>
          <w:sz w:val="20"/>
          <w:szCs w:val="20"/>
        </w:rPr>
        <w:t xml:space="preserve"> colitis study, Janssen can elect to obtain an exclusive license to develop and commercialize TD-1473 and certain related back-up compounds by paying the Company a fee of $200.0 million. Upon any such election, the Company and Janssen will jointly develop </w:t>
      </w:r>
      <w:r>
        <w:rPr>
          <w:sz w:val="20"/>
          <w:szCs w:val="20"/>
        </w:rPr>
        <w:t>and commercialize TD-1473 in inflammatory intestinal diseases and share profits in the US and expenses related to Phase 3 development and registration activities (67% to Janssen; 33% to Theravance Biopharma). The Company would receive royalties on ex-US sa</w:t>
      </w:r>
      <w:r>
        <w:rPr>
          <w:sz w:val="20"/>
          <w:szCs w:val="20"/>
        </w:rPr>
        <w:t>les at double-digit tiered percentage royalty rates, and the Company would be eligible to receive up to an additional $700.0 million in development and commercialization milestone payments from Janssen.</w:t>
      </w:r>
    </w:p>
    <w:p w:rsidR="00000000" w:rsidRDefault="00DE7B41">
      <w:pPr>
        <w:pStyle w:val="a3"/>
        <w:spacing w:before="0" w:beforeAutospacing="0" w:after="0" w:afterAutospacing="0"/>
        <w:ind w:firstLine="720"/>
        <w:divId w:val="264657876"/>
        <w:rPr>
          <w:sz w:val="20"/>
          <w:szCs w:val="20"/>
        </w:rPr>
      </w:pPr>
      <w:r>
        <w:rPr>
          <w:sz w:val="20"/>
          <w:szCs w:val="20"/>
        </w:rPr>
        <w:t>​</w:t>
      </w:r>
    </w:p>
    <w:p w:rsidR="00000000" w:rsidRDefault="00DE7B41">
      <w:pPr>
        <w:pStyle w:val="a3"/>
        <w:spacing w:before="0" w:beforeAutospacing="0" w:after="0" w:afterAutospacing="0"/>
        <w:ind w:firstLine="720"/>
        <w:divId w:val="264657876"/>
        <w:rPr>
          <w:sz w:val="20"/>
          <w:szCs w:val="20"/>
        </w:rPr>
      </w:pPr>
      <w:r>
        <w:rPr>
          <w:sz w:val="20"/>
          <w:szCs w:val="20"/>
        </w:rPr>
        <w:t>The Janssen Agreement is considered to be within th</w:t>
      </w:r>
      <w:r>
        <w:rPr>
          <w:sz w:val="20"/>
          <w:szCs w:val="20"/>
        </w:rPr>
        <w:t xml:space="preserve">e scope of Accounting Standards Codification, Topic 808, </w:t>
      </w:r>
      <w:r>
        <w:rPr>
          <w:i/>
          <w:iCs/>
          <w:sz w:val="20"/>
          <w:szCs w:val="20"/>
        </w:rPr>
        <w:t xml:space="preserve">Collaborative Arrangements </w:t>
      </w:r>
      <w:r>
        <w:rPr>
          <w:sz w:val="20"/>
          <w:szCs w:val="20"/>
        </w:rPr>
        <w:t>(“ASC 808”), as the parties are active participants and exposed to the risks and rewards of the collaborative activity. The Company evaluated the terms of the Janssen Agree</w:t>
      </w:r>
      <w:r>
        <w:rPr>
          <w:sz w:val="20"/>
          <w:szCs w:val="20"/>
        </w:rPr>
        <w:t xml:space="preserve">ment and determined it is partially within the scope of Accounting Standards Codification, Topic 606, </w:t>
      </w:r>
      <w:r>
        <w:rPr>
          <w:i/>
          <w:iCs/>
          <w:sz w:val="20"/>
          <w:szCs w:val="20"/>
        </w:rPr>
        <w:t>Revenue from Contracts with Customers</w:t>
      </w:r>
      <w:r>
        <w:rPr>
          <w:sz w:val="20"/>
          <w:szCs w:val="20"/>
        </w:rPr>
        <w:t xml:space="preserve"> (“ASC 606”) as the research and development activities to be performed through the initial Phase 2 development perio</w:t>
      </w:r>
      <w:r>
        <w:rPr>
          <w:sz w:val="20"/>
          <w:szCs w:val="20"/>
        </w:rPr>
        <w:t xml:space="preserve">d of the collaborative arrangement are considered to be part of the Company’s ordinary activities. The Company has identified research and development activities as its only performance obligation. The Company further determined that the transaction price </w:t>
      </w:r>
      <w:r>
        <w:rPr>
          <w:sz w:val="20"/>
          <w:szCs w:val="20"/>
        </w:rPr>
        <w:t>under the arrangement was the $100.0 million upfront payment which was allocated to the single performance obligation.</w:t>
      </w:r>
    </w:p>
    <w:p w:rsidR="00000000" w:rsidRDefault="00DE7B41">
      <w:pPr>
        <w:pStyle w:val="a3"/>
        <w:spacing w:before="0" w:beforeAutospacing="0" w:after="0" w:afterAutospacing="0"/>
        <w:divId w:val="264657876"/>
        <w:rPr>
          <w:sz w:val="20"/>
          <w:szCs w:val="20"/>
        </w:rPr>
      </w:pPr>
      <w:r>
        <w:rPr>
          <w:sz w:val="20"/>
          <w:szCs w:val="20"/>
        </w:rPr>
        <w:t>​</w:t>
      </w:r>
    </w:p>
    <w:p w:rsidR="00000000" w:rsidRDefault="00DE7B41">
      <w:pPr>
        <w:pStyle w:val="a3"/>
        <w:spacing w:before="0" w:beforeAutospacing="0" w:after="0" w:afterAutospacing="0"/>
        <w:ind w:firstLine="720"/>
        <w:divId w:val="264657876"/>
        <w:rPr>
          <w:sz w:val="20"/>
          <w:szCs w:val="20"/>
        </w:rPr>
      </w:pPr>
      <w:r>
        <w:rPr>
          <w:sz w:val="20"/>
          <w:szCs w:val="20"/>
        </w:rPr>
        <w:t>The $900.0 million in future potential payments, inclusive of the $200.0 million opt-in fee and $700.0 million future development and c</w:t>
      </w:r>
      <w:r>
        <w:rPr>
          <w:sz w:val="20"/>
          <w:szCs w:val="20"/>
        </w:rPr>
        <w:t>ommercialization milestones, is considered variable consideration if Janssen elects to remain in the collaboration arrangement following completion of the initial Phase 2 development period, as described above and, as such, was not included in the transact</w:t>
      </w:r>
      <w:r>
        <w:rPr>
          <w:sz w:val="20"/>
          <w:szCs w:val="20"/>
        </w:rPr>
        <w:t>ion price, as the potential payments were all determined to be fully constrained under ASC 606. As part of the Company’s evaluation of this variable consideration constraint, it determined that the potential payments are contingent upon developmental and r</w:t>
      </w:r>
      <w:r>
        <w:rPr>
          <w:sz w:val="20"/>
          <w:szCs w:val="20"/>
        </w:rPr>
        <w:t xml:space="preserve">egulatory milestones that are uncertain and are highly susceptible to factors outside of its control. The Company expects that any consideration related to royalties and sales-based milestones will be recognized when the subsequent sales occur. </w:t>
      </w:r>
    </w:p>
    <w:p w:rsidR="00000000" w:rsidRDefault="00DE7B41">
      <w:pPr>
        <w:pStyle w:val="a3"/>
        <w:spacing w:before="0" w:beforeAutospacing="0" w:after="0" w:afterAutospacing="0"/>
        <w:divId w:val="264657876"/>
        <w:rPr>
          <w:sz w:val="20"/>
          <w:szCs w:val="20"/>
        </w:rPr>
      </w:pPr>
      <w:r>
        <w:rPr>
          <w:sz w:val="20"/>
          <w:szCs w:val="20"/>
        </w:rPr>
        <w:t>​</w:t>
      </w:r>
    </w:p>
    <w:p w:rsidR="00000000" w:rsidRDefault="00DE7B41">
      <w:pPr>
        <w:pStyle w:val="a3"/>
        <w:spacing w:before="0" w:beforeAutospacing="0" w:after="0" w:afterAutospacing="0"/>
        <w:ind w:firstLine="720"/>
        <w:divId w:val="264657876"/>
        <w:rPr>
          <w:sz w:val="20"/>
          <w:szCs w:val="20"/>
        </w:rPr>
      </w:pPr>
      <w:r>
        <w:rPr>
          <w:sz w:val="20"/>
          <w:szCs w:val="20"/>
        </w:rPr>
        <w:t xml:space="preserve">For the </w:t>
      </w:r>
      <w:r>
        <w:rPr>
          <w:sz w:val="20"/>
          <w:szCs w:val="20"/>
        </w:rPr>
        <w:t>three months ended March 31, 2020, the Company recognized $6.6 million as revenue from collaboration arrangements related to the Janssen Agreement. The remaining transaction price of $31.2 million, related to the $100.0 million upfront payment, was recorde</w:t>
      </w:r>
      <w:r>
        <w:rPr>
          <w:sz w:val="20"/>
          <w:szCs w:val="20"/>
        </w:rPr>
        <w:t>d in deferred revenue on the condensed consolidated balance sheets and is expected to be recognized as collaboration revenue as the research and development services are delivered over the initial Phase 2 development period. Collaboration revenue is recogn</w:t>
      </w:r>
      <w:r>
        <w:rPr>
          <w:sz w:val="20"/>
          <w:szCs w:val="20"/>
        </w:rPr>
        <w:t>ized for the research and development services based on a measure of the Company’s efforts toward satisfying the performance obligation relative to the total expected efforts or inputs to satisfy the performance obligation (e.g., costs incurred compared to</w:t>
      </w:r>
      <w:r>
        <w:rPr>
          <w:sz w:val="20"/>
          <w:szCs w:val="20"/>
        </w:rPr>
        <w:t xml:space="preserve"> total budget). For the three months ended March 31, 2020 and 2019, the Company incurred $10.2 million and $8.6 million, respectively, in research and development costs related to the Janssen Agreement. In future reporting periods, the Company will reevalu</w:t>
      </w:r>
      <w:r>
        <w:rPr>
          <w:sz w:val="20"/>
          <w:szCs w:val="20"/>
        </w:rPr>
        <w:t>ate the estimates related to its efforts towards satisfying the performance obligation and may record a change in estimate if deemed necessary.</w:t>
      </w:r>
    </w:p>
    <w:p w:rsidR="00000000" w:rsidRDefault="00DE7B41">
      <w:pPr>
        <w:pStyle w:val="a3"/>
        <w:spacing w:before="0" w:beforeAutospacing="0" w:after="0" w:afterAutospacing="0"/>
        <w:divId w:val="264657876"/>
        <w:rPr>
          <w:sz w:val="20"/>
          <w:szCs w:val="20"/>
        </w:rPr>
      </w:pPr>
      <w:r>
        <w:rPr>
          <w:sz w:val="20"/>
          <w:szCs w:val="20"/>
        </w:rPr>
        <w:t>​</w:t>
      </w:r>
    </w:p>
    <w:p w:rsidR="00000000" w:rsidRDefault="00DE7B41">
      <w:pPr>
        <w:pStyle w:val="a3"/>
        <w:shd w:val="clear" w:color="auto" w:fill="FFFFFF"/>
        <w:spacing w:before="0" w:beforeAutospacing="0" w:after="0" w:afterAutospacing="0"/>
        <w:divId w:val="264657876"/>
        <w:rPr>
          <w:sz w:val="20"/>
          <w:szCs w:val="20"/>
        </w:rPr>
      </w:pPr>
      <w:r>
        <w:rPr>
          <w:rFonts w:ascii="Times" w:hAnsi="Times"/>
          <w:b/>
          <w:bCs/>
          <w:i/>
          <w:iCs/>
          <w:sz w:val="20"/>
          <w:szCs w:val="20"/>
        </w:rPr>
        <w:t>Mylan</w:t>
      </w:r>
    </w:p>
    <w:p w:rsidR="00000000" w:rsidRDefault="00DE7B41">
      <w:pPr>
        <w:pStyle w:val="a3"/>
        <w:shd w:val="clear" w:color="auto" w:fill="FFFFFF"/>
        <w:spacing w:before="0" w:beforeAutospacing="0" w:after="0" w:afterAutospacing="0"/>
        <w:divId w:val="264657876"/>
        <w:rPr>
          <w:sz w:val="20"/>
          <w:szCs w:val="20"/>
        </w:rPr>
      </w:pPr>
      <w:r>
        <w:rPr>
          <w:rFonts w:ascii="Times" w:hAnsi="Times"/>
          <w:b/>
          <w:bCs/>
          <w:i/>
          <w:iCs/>
          <w:sz w:val="10"/>
          <w:szCs w:val="10"/>
        </w:rPr>
        <w:t>​</w:t>
      </w:r>
    </w:p>
    <w:p w:rsidR="00000000" w:rsidRDefault="00DE7B41">
      <w:pPr>
        <w:pStyle w:val="a3"/>
        <w:spacing w:before="0" w:beforeAutospacing="0" w:after="0" w:afterAutospacing="0"/>
        <w:ind w:firstLine="720"/>
        <w:divId w:val="264657876"/>
        <w:rPr>
          <w:sz w:val="20"/>
          <w:szCs w:val="20"/>
        </w:rPr>
      </w:pPr>
      <w:r>
        <w:rPr>
          <w:sz w:val="20"/>
          <w:szCs w:val="20"/>
        </w:rPr>
        <w:t>In January 2015, the Company and Mylan Ireland Limited (“Mylan”) established a strategic collaboration (the “Mylan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w:t>
      </w:r>
      <w:r>
        <w:rPr>
          <w:sz w:val="20"/>
          <w:szCs w:val="20"/>
        </w:rPr>
        <w:t>ed into the collaboration to expand the breadth of its revefenacin development program and extend its commercial reach beyond the hospital setting.</w:t>
      </w:r>
    </w:p>
    <w:p w:rsidR="00000000" w:rsidRDefault="00DE7B41">
      <w:pPr>
        <w:pStyle w:val="a3"/>
        <w:spacing w:before="0" w:beforeAutospacing="0" w:after="0" w:afterAutospacing="0"/>
        <w:divId w:val="264657876"/>
        <w:rPr>
          <w:sz w:val="20"/>
          <w:szCs w:val="20"/>
        </w:rPr>
      </w:pPr>
      <w:r>
        <w:rPr>
          <w:sz w:val="20"/>
          <w:szCs w:val="20"/>
        </w:rPr>
        <w:t>​</w:t>
      </w:r>
    </w:p>
    <w:p w:rsidR="00000000" w:rsidRDefault="00DE7B41">
      <w:pPr>
        <w:pStyle w:val="a3"/>
        <w:spacing w:before="0" w:beforeAutospacing="0" w:after="0" w:afterAutospacing="0"/>
        <w:ind w:firstLine="720"/>
        <w:divId w:val="264657876"/>
        <w:rPr>
          <w:sz w:val="20"/>
          <w:szCs w:val="20"/>
        </w:rPr>
      </w:pPr>
      <w:r>
        <w:rPr>
          <w:sz w:val="20"/>
          <w:szCs w:val="20"/>
        </w:rPr>
        <w:t xml:space="preserve">Under the Mylan Agreement, Mylan paid the Company an upfront fee of $15.0 million for the delivery of the </w:t>
      </w:r>
      <w:r>
        <w:rPr>
          <w:sz w:val="20"/>
          <w:szCs w:val="20"/>
        </w:rPr>
        <w:t xml:space="preserve">revefenacin license in 2015 and, in 2016, Mylan paid the Company a milestone payment of $15.0 million for the achievement of 50% enrollment in the related Phase 3 twelve-month safety study. </w:t>
      </w:r>
    </w:p>
    <w:p w:rsidR="00000000" w:rsidRDefault="00DE7B41">
      <w:pPr>
        <w:pStyle w:val="a3"/>
        <w:spacing w:before="0" w:beforeAutospacing="0" w:after="0" w:afterAutospacing="0"/>
        <w:divId w:val="264657876"/>
        <w:rPr>
          <w:sz w:val="20"/>
          <w:szCs w:val="20"/>
        </w:rPr>
      </w:pPr>
      <w:r>
        <w:rPr>
          <w:sz w:val="20"/>
          <w:szCs w:val="20"/>
        </w:rPr>
        <w:t>​</w:t>
      </w:r>
    </w:p>
    <w:p w:rsidR="00000000" w:rsidRDefault="00DE7B41">
      <w:pPr>
        <w:pStyle w:val="a3"/>
        <w:spacing w:before="0" w:beforeAutospacing="0" w:after="0" w:afterAutospacing="0"/>
        <w:ind w:firstLine="720"/>
        <w:divId w:val="264657876"/>
        <w:rPr>
          <w:sz w:val="20"/>
          <w:szCs w:val="20"/>
        </w:rPr>
      </w:pPr>
      <w:r>
        <w:rPr>
          <w:sz w:val="20"/>
          <w:szCs w:val="20"/>
        </w:rPr>
        <w:t>As of March 31, 2020, excluding the aggregate $30.0 million pay</w:t>
      </w:r>
      <w:r>
        <w:rPr>
          <w:sz w:val="20"/>
          <w:szCs w:val="20"/>
        </w:rPr>
        <w:t xml:space="preserve">ment noted above, the Company is eligible to receive from Mylan potential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million associated with YU</w:t>
      </w:r>
      <w:r>
        <w:rPr>
          <w:sz w:val="20"/>
          <w:szCs w:val="20"/>
        </w:rPr>
        <w:t xml:space="preserve">PELRI monotherapy, and </w:t>
      </w:r>
    </w:p>
    <w:p w:rsidR="00000000" w:rsidRDefault="00DE7B41">
      <w:pPr>
        <w:pStyle w:val="a3"/>
        <w:spacing w:before="360" w:beforeAutospacing="0" w:after="0" w:afterAutospacing="0"/>
        <w:jc w:val="center"/>
        <w:divId w:val="1729910961"/>
        <w:rPr>
          <w:sz w:val="20"/>
          <w:szCs w:val="20"/>
        </w:rPr>
      </w:pPr>
      <w:r>
        <w:rPr>
          <w:sz w:val="20"/>
          <w:szCs w:val="20"/>
        </w:rPr>
        <w:t>10</w:t>
      </w:r>
    </w:p>
    <w:p w:rsidR="00000000" w:rsidRDefault="00DE7B41">
      <w:pPr>
        <w:pStyle w:val="a3"/>
        <w:spacing w:before="0" w:beforeAutospacing="0" w:after="600" w:afterAutospacing="0"/>
        <w:divId w:val="1633364192"/>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973364270"/>
        <w:rPr>
          <w:sz w:val="20"/>
          <w:szCs w:val="20"/>
        </w:rPr>
      </w:pPr>
      <w:r>
        <w:rPr>
          <w:sz w:val="20"/>
          <w:szCs w:val="20"/>
        </w:rPr>
        <w:t>$45.0 million associated with future potential combination products. Of the $160.0 million associated with monotherapy, $150.0 </w:t>
      </w:r>
      <w:r>
        <w:rPr>
          <w:sz w:val="20"/>
          <w:szCs w:val="20"/>
        </w:rPr>
        <w:t>million relates to sales milestones based on achieving certain levels of net sales and $10.0 million relates to regulatory actions in the European Union (“EU”). The $45.0 million associated with future potential combination products relates solely to devel</w:t>
      </w:r>
      <w:r>
        <w:rPr>
          <w:sz w:val="20"/>
          <w:szCs w:val="20"/>
        </w:rPr>
        <w:t>opment and regulatory actions.</w:t>
      </w:r>
    </w:p>
    <w:p w:rsidR="00000000" w:rsidRDefault="00DE7B41">
      <w:pPr>
        <w:pStyle w:val="a3"/>
        <w:spacing w:before="0" w:beforeAutospacing="0" w:after="0" w:afterAutospacing="0"/>
        <w:ind w:firstLine="720"/>
        <w:divId w:val="973364270"/>
        <w:rPr>
          <w:sz w:val="20"/>
          <w:szCs w:val="20"/>
        </w:rPr>
      </w:pPr>
      <w:r>
        <w:rPr>
          <w:sz w:val="20"/>
          <w:szCs w:val="20"/>
        </w:rPr>
        <w:t>​</w:t>
      </w:r>
    </w:p>
    <w:p w:rsidR="00000000" w:rsidRDefault="00DE7B41">
      <w:pPr>
        <w:pStyle w:val="a3"/>
        <w:spacing w:before="0" w:beforeAutospacing="0" w:after="0" w:afterAutospacing="0"/>
        <w:ind w:firstLine="720"/>
        <w:divId w:val="973364270"/>
        <w:rPr>
          <w:sz w:val="20"/>
          <w:szCs w:val="20"/>
        </w:rPr>
      </w:pPr>
      <w:r>
        <w:rPr>
          <w:sz w:val="20"/>
          <w:szCs w:val="20"/>
        </w:rPr>
        <w:t>The Mylan Agreement is considered to be within the scope of ASC 808 and partially within the scope of ASC 606, as the parties are active participants and exposed to the risks and rewards of the collaborative activity with a</w:t>
      </w:r>
      <w:r>
        <w:rPr>
          <w:sz w:val="20"/>
          <w:szCs w:val="20"/>
        </w:rPr>
        <w:t xml:space="preserve"> unit of account provided to Mylan as a customer. Under the terms of the Mylan Agreement, Mylan was responsible for reimbursement of the Company’s costs related to the registrational program up until the approval of the first new drug application in Novemb</w:t>
      </w:r>
      <w:r>
        <w:rPr>
          <w:sz w:val="20"/>
          <w:szCs w:val="20"/>
        </w:rPr>
        <w:t>er 2018, thereafter, R&amp;D expenses are shared. Performing R&amp;D services for reimbursement is considered to be a collaborative activity under the scope of ASC 808. Reimbursable program costs are recognized proportionately with the performance of the underlyin</w:t>
      </w:r>
      <w:r>
        <w:rPr>
          <w:sz w:val="20"/>
          <w:szCs w:val="20"/>
        </w:rPr>
        <w:t>g services and accounted for as reductions to R&amp;D expense. For this unit of account, the Company did not recognize revenue or analogize to ASC 606 and, as such, the reimbursable program costs are excluded from the transaction price.</w:t>
      </w:r>
    </w:p>
    <w:p w:rsidR="00000000" w:rsidRDefault="00DE7B41">
      <w:pPr>
        <w:pStyle w:val="a3"/>
        <w:spacing w:before="0" w:beforeAutospacing="0" w:after="0" w:afterAutospacing="0"/>
        <w:divId w:val="973364270"/>
        <w:rPr>
          <w:sz w:val="20"/>
          <w:szCs w:val="20"/>
        </w:rPr>
      </w:pPr>
      <w:r>
        <w:rPr>
          <w:sz w:val="20"/>
          <w:szCs w:val="20"/>
        </w:rPr>
        <w:t>​</w:t>
      </w:r>
    </w:p>
    <w:p w:rsidR="00000000" w:rsidRDefault="00DE7B41">
      <w:pPr>
        <w:pStyle w:val="a3"/>
        <w:spacing w:before="0" w:beforeAutospacing="0" w:after="0" w:afterAutospacing="0"/>
        <w:ind w:firstLine="720"/>
        <w:divId w:val="973364270"/>
        <w:rPr>
          <w:sz w:val="20"/>
          <w:szCs w:val="20"/>
        </w:rPr>
      </w:pPr>
      <w:r>
        <w:rPr>
          <w:sz w:val="20"/>
          <w:szCs w:val="20"/>
        </w:rPr>
        <w:t>The Company determine</w:t>
      </w:r>
      <w:r>
        <w:rPr>
          <w:sz w:val="20"/>
          <w:szCs w:val="20"/>
        </w:rPr>
        <w:t xml:space="preserve">d the license to develop and commercialize revefenacin to be a unit of account for which Mylan is a customer and a separate performance obligation. The joint steering committee participation was also determined to be a performance obligation for which the </w:t>
      </w:r>
      <w:r>
        <w:rPr>
          <w:sz w:val="20"/>
          <w:szCs w:val="20"/>
        </w:rPr>
        <w:t>Company analogized to ASC 606 to recognize revenue. Using the concepts from ASC 606, the Company further determined that the transaction price under the arrangement was comprised of the following: (1) $15.0 million upfront license fee received in 2015; (2)</w:t>
      </w:r>
      <w:r>
        <w:rPr>
          <w:sz w:val="20"/>
          <w:szCs w:val="20"/>
        </w:rPr>
        <w:t xml:space="preserve"> $4.2 million premium received in 2015 related to an ordinary share purchase agreement with Mylan; and (3) $15.0 million milestone for 50% enrollment in the Phase 3 twelve-month safety study received in 2016. The total transaction price of $34.2 million wa</w:t>
      </w:r>
      <w:r>
        <w:rPr>
          <w:sz w:val="20"/>
          <w:szCs w:val="20"/>
        </w:rPr>
        <w:t>s allocated to the two performance obligations based on the Company’s best estimate of the relative stand-alone selling prices. For the delivery of the license, the Company based the stand-alone selling price on a discounted cash flow approach and consider</w:t>
      </w:r>
      <w:r>
        <w:rPr>
          <w:sz w:val="20"/>
          <w:szCs w:val="20"/>
        </w:rPr>
        <w:t>ed several factors including, but not limited to: discount rate, development timeline, regulatory risks, estimated market demand and future revenue potential. For the committee participation, the Company based the stand-alone selling price on the average c</w:t>
      </w:r>
      <w:r>
        <w:rPr>
          <w:sz w:val="20"/>
          <w:szCs w:val="20"/>
        </w:rPr>
        <w:t>ompensation of its committee members estimated to be incurred over the performance period. The Company expects to recognize collaboration revenue from the committee participation ratably over the performance period of approximately</w:t>
      </w:r>
      <w:r>
        <w:rPr>
          <w:sz w:val="20"/>
          <w:szCs w:val="20"/>
        </w:rPr>
        <w:t xml:space="preserve"> </w:t>
      </w:r>
      <w:r>
        <w:rPr>
          <w:sz w:val="20"/>
          <w:szCs w:val="20"/>
        </w:rPr>
        <w:t>seventeen year</w:t>
      </w:r>
      <w:r>
        <w:rPr>
          <w:sz w:val="20"/>
          <w:szCs w:val="20"/>
        </w:rPr>
        <w:t>s</w:t>
      </w:r>
      <w:r>
        <w:rPr>
          <w:sz w:val="20"/>
          <w:szCs w:val="20"/>
        </w:rPr>
        <w:t>.</w:t>
      </w:r>
    </w:p>
    <w:p w:rsidR="00000000" w:rsidRDefault="00DE7B41">
      <w:pPr>
        <w:pStyle w:val="a3"/>
        <w:spacing w:before="0" w:beforeAutospacing="0" w:after="0" w:afterAutospacing="0"/>
        <w:divId w:val="973364270"/>
        <w:rPr>
          <w:sz w:val="20"/>
          <w:szCs w:val="20"/>
        </w:rPr>
      </w:pPr>
      <w:r>
        <w:rPr>
          <w:sz w:val="20"/>
          <w:szCs w:val="20"/>
        </w:rPr>
        <w:t>​</w:t>
      </w:r>
    </w:p>
    <w:p w:rsidR="00000000" w:rsidRDefault="00DE7B41">
      <w:pPr>
        <w:pStyle w:val="a3"/>
        <w:spacing w:before="0" w:beforeAutospacing="0" w:after="0" w:afterAutospacing="0"/>
        <w:ind w:firstLine="720"/>
        <w:divId w:val="973364270"/>
        <w:rPr>
          <w:sz w:val="20"/>
          <w:szCs w:val="20"/>
        </w:rPr>
      </w:pPr>
      <w:r>
        <w:rPr>
          <w:sz w:val="20"/>
          <w:szCs w:val="20"/>
        </w:rPr>
        <w:t>The f</w:t>
      </w:r>
      <w:r>
        <w:rPr>
          <w:sz w:val="20"/>
          <w:szCs w:val="20"/>
        </w:rPr>
        <w:t>uture potential milestone amounts for</w:t>
      </w:r>
      <w:r>
        <w:rPr>
          <w:color w:val="FF0000"/>
          <w:sz w:val="20"/>
          <w:szCs w:val="20"/>
        </w:rPr>
        <w:t xml:space="preserve"> </w:t>
      </w:r>
      <w:r>
        <w:rPr>
          <w:sz w:val="20"/>
          <w:szCs w:val="20"/>
        </w:rPr>
        <w:t>the Mylan Agreement were not included in the transaction price, as they were all determined to be fully constrained following the concepts of ASC 606. As part of the Company’s evaluation of the development and regulato</w:t>
      </w:r>
      <w:r>
        <w:rPr>
          <w:sz w:val="20"/>
          <w:szCs w:val="20"/>
        </w:rPr>
        <w:t>ry milestones constraint, the Company determined that the achievement of such milestones is contingent upon success in future clinical trials and regulatory approvals which are not within its control and uncertain at this stage. The Company expects that th</w:t>
      </w:r>
      <w:r>
        <w:rPr>
          <w:sz w:val="20"/>
          <w:szCs w:val="20"/>
        </w:rPr>
        <w:t>e sales-based milestone payments and royalty arrangements will be recognized when the sales occur or the milestone is achieved. The Company will re-evaluate the transaction price each quarter and as uncertain events are resolved or other changes in circums</w:t>
      </w:r>
      <w:r>
        <w:rPr>
          <w:sz w:val="20"/>
          <w:szCs w:val="20"/>
        </w:rPr>
        <w:t xml:space="preserve">tances occur. </w:t>
      </w:r>
    </w:p>
    <w:p w:rsidR="00000000" w:rsidRDefault="00DE7B41">
      <w:pPr>
        <w:pStyle w:val="a3"/>
        <w:spacing w:before="0" w:beforeAutospacing="0" w:after="0" w:afterAutospacing="0"/>
        <w:ind w:firstLine="720"/>
        <w:divId w:val="973364270"/>
        <w:rPr>
          <w:sz w:val="20"/>
          <w:szCs w:val="20"/>
        </w:rPr>
      </w:pPr>
      <w:r>
        <w:rPr>
          <w:sz w:val="20"/>
          <w:szCs w:val="20"/>
        </w:rPr>
        <w:t>​</w:t>
      </w:r>
    </w:p>
    <w:p w:rsidR="00000000" w:rsidRDefault="00DE7B41">
      <w:pPr>
        <w:pStyle w:val="a3"/>
        <w:spacing w:before="0" w:beforeAutospacing="0" w:after="0" w:afterAutospacing="0"/>
        <w:ind w:firstLine="720"/>
        <w:divId w:val="973364270"/>
        <w:rPr>
          <w:sz w:val="20"/>
          <w:szCs w:val="20"/>
        </w:rPr>
      </w:pPr>
      <w:r>
        <w:rPr>
          <w:sz w:val="20"/>
          <w:szCs w:val="20"/>
        </w:rPr>
        <w:t>As of March 31, 2020, $0.3 million was recorded in deferred revenue on the condensed consolidated balance sheets under the Mylan Agreement. This amount reflects revenue allocated to joint steering committee participation which will be reco</w:t>
      </w:r>
      <w:r>
        <w:rPr>
          <w:sz w:val="20"/>
          <w:szCs w:val="20"/>
        </w:rPr>
        <w:t xml:space="preserve">gnized as collaboration revenue over the course of the remaining performance period of approximately twelve years. </w:t>
      </w:r>
    </w:p>
    <w:p w:rsidR="00000000" w:rsidRDefault="00DE7B41">
      <w:pPr>
        <w:pStyle w:val="a3"/>
        <w:spacing w:before="0" w:beforeAutospacing="0" w:after="0" w:afterAutospacing="0"/>
        <w:divId w:val="973364270"/>
        <w:rPr>
          <w:sz w:val="20"/>
          <w:szCs w:val="20"/>
        </w:rPr>
      </w:pPr>
      <w:r>
        <w:rPr>
          <w:b/>
          <w:bCs/>
          <w:i/>
          <w:iCs/>
          <w:sz w:val="20"/>
          <w:szCs w:val="20"/>
        </w:rPr>
        <w:t>​</w:t>
      </w:r>
    </w:p>
    <w:p w:rsidR="00000000" w:rsidRDefault="00DE7B41">
      <w:pPr>
        <w:pStyle w:val="a3"/>
        <w:spacing w:before="0" w:beforeAutospacing="0" w:after="0" w:afterAutospacing="0"/>
        <w:ind w:firstLine="720"/>
        <w:divId w:val="973364270"/>
        <w:rPr>
          <w:sz w:val="20"/>
          <w:szCs w:val="20"/>
        </w:rPr>
      </w:pPr>
      <w:r>
        <w:rPr>
          <w:sz w:val="20"/>
          <w:szCs w:val="20"/>
        </w:rPr>
        <w:t>The Company is also entitled to a share of US profits and losses (65% to Mylan; 35% to Theravance Biopharma) received in connection with c</w:t>
      </w:r>
      <w:r>
        <w:rPr>
          <w:sz w:val="20"/>
          <w:szCs w:val="20"/>
        </w:rPr>
        <w:t>ommercialization of YUPELRI, and the Company is entitled to low double-digit tiered royalties on ex-US net sales. Mylan is the principal in the sales transactions, and as a result, the Company does not reflect the product sales in its financial statements.</w:t>
      </w:r>
      <w:r>
        <w:rPr>
          <w:sz w:val="20"/>
          <w:szCs w:val="20"/>
        </w:rPr>
        <w:t xml:space="preserve"> </w:t>
      </w:r>
    </w:p>
    <w:p w:rsidR="00000000" w:rsidRDefault="00DE7B41">
      <w:pPr>
        <w:pStyle w:val="a3"/>
        <w:spacing w:before="0" w:beforeAutospacing="0" w:after="0" w:afterAutospacing="0"/>
        <w:ind w:firstLine="720"/>
        <w:divId w:val="973364270"/>
        <w:rPr>
          <w:sz w:val="20"/>
          <w:szCs w:val="20"/>
        </w:rPr>
      </w:pPr>
      <w:r>
        <w:rPr>
          <w:sz w:val="20"/>
          <w:szCs w:val="20"/>
        </w:rPr>
        <w:t>​</w:t>
      </w:r>
    </w:p>
    <w:p w:rsidR="00000000" w:rsidRDefault="00DE7B41">
      <w:pPr>
        <w:pStyle w:val="a3"/>
        <w:spacing w:before="0" w:beforeAutospacing="0" w:after="0" w:afterAutospacing="0"/>
        <w:ind w:firstLine="720"/>
        <w:divId w:val="973364270"/>
        <w:rPr>
          <w:sz w:val="20"/>
          <w:szCs w:val="20"/>
        </w:rPr>
      </w:pPr>
      <w:r>
        <w:rPr>
          <w:sz w:val="20"/>
          <w:szCs w:val="20"/>
        </w:rPr>
        <w:t xml:space="preserve">Following the US Food and Drug Administration (“FDA”) approval of YUPELRI in November 2018, net amounts payable to or receivable from Mylan each quarter under the profit-sharing structure are disaggregated according to their individual components. </w:t>
      </w:r>
      <w:r>
        <w:rPr>
          <w:sz w:val="20"/>
          <w:szCs w:val="20"/>
          <w:shd w:val="clear" w:color="auto" w:fill="FFFFFF"/>
        </w:rPr>
        <w:t>In a</w:t>
      </w:r>
      <w:r>
        <w:rPr>
          <w:sz w:val="20"/>
          <w:szCs w:val="20"/>
          <w:shd w:val="clear" w:color="auto" w:fill="FFFFFF"/>
        </w:rPr>
        <w:t>ccordance with the applicable accounting guidance, amounts receivable</w:t>
      </w:r>
      <w:r>
        <w:rPr>
          <w:sz w:val="20"/>
          <w:szCs w:val="20"/>
        </w:rPr>
        <w:t xml:space="preserve"> from Mylan in connection with the commercialization of YUPELRI are recorded within the condensed consolidated statements of operations as revenue from “Mylan collaboration agreement” irr</w:t>
      </w:r>
      <w:r>
        <w:rPr>
          <w:sz w:val="20"/>
          <w:szCs w:val="20"/>
        </w:rPr>
        <w:t>espective of whether the overall collaboration is profitable. A</w:t>
      </w:r>
      <w:r>
        <w:rPr>
          <w:sz w:val="20"/>
          <w:szCs w:val="20"/>
          <w:shd w:val="clear" w:color="auto" w:fill="FFFFFF"/>
        </w:rPr>
        <w:t>mounts payable to Mylan in connection with the commercialization of YUPELRI are recorded within the condensed consolidated statements of operations as a collaboration loss within selling, gener</w:t>
      </w:r>
      <w:r>
        <w:rPr>
          <w:sz w:val="20"/>
          <w:szCs w:val="20"/>
          <w:shd w:val="clear" w:color="auto" w:fill="FFFFFF"/>
        </w:rPr>
        <w:t xml:space="preserve">al and administrative expenses. Any reimbursement from </w:t>
      </w:r>
    </w:p>
    <w:p w:rsidR="00000000" w:rsidRDefault="00DE7B41">
      <w:pPr>
        <w:pStyle w:val="a3"/>
        <w:spacing w:before="360" w:beforeAutospacing="0" w:after="0" w:afterAutospacing="0"/>
        <w:jc w:val="center"/>
        <w:divId w:val="2041735752"/>
        <w:rPr>
          <w:sz w:val="20"/>
          <w:szCs w:val="20"/>
        </w:rPr>
      </w:pPr>
      <w:r>
        <w:rPr>
          <w:sz w:val="20"/>
          <w:szCs w:val="20"/>
        </w:rPr>
        <w:t>11</w:t>
      </w:r>
    </w:p>
    <w:p w:rsidR="00000000" w:rsidRDefault="00DE7B41">
      <w:pPr>
        <w:pStyle w:val="a3"/>
        <w:spacing w:before="0" w:beforeAutospacing="0" w:after="600" w:afterAutospacing="0"/>
        <w:divId w:val="9483693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467472597"/>
        <w:rPr>
          <w:sz w:val="20"/>
          <w:szCs w:val="20"/>
        </w:rPr>
      </w:pPr>
      <w:r>
        <w:rPr>
          <w:sz w:val="20"/>
          <w:szCs w:val="20"/>
          <w:shd w:val="clear" w:color="auto" w:fill="FFFFFF"/>
        </w:rPr>
        <w:t>Mylan attributed to the 65% cost-sharing of the Company’s R&amp;D expenses is characterized as a reduction of R&amp;D expense, as the Company does not consider p</w:t>
      </w:r>
      <w:r>
        <w:rPr>
          <w:sz w:val="20"/>
          <w:szCs w:val="20"/>
          <w:shd w:val="clear" w:color="auto" w:fill="FFFFFF"/>
        </w:rPr>
        <w:t xml:space="preserve">erforming research and development services for reimbursement to be a part of its ordinary activities. </w:t>
      </w:r>
    </w:p>
    <w:p w:rsidR="00000000" w:rsidRDefault="00DE7B41">
      <w:pPr>
        <w:pStyle w:val="a3"/>
        <w:spacing w:before="0" w:beforeAutospacing="0" w:after="0" w:afterAutospacing="0"/>
        <w:ind w:firstLine="720"/>
        <w:divId w:val="467472597"/>
        <w:rPr>
          <w:sz w:val="20"/>
          <w:szCs w:val="20"/>
        </w:rPr>
      </w:pPr>
      <w:r>
        <w:rPr>
          <w:sz w:val="20"/>
          <w:szCs w:val="20"/>
          <w:shd w:val="clear" w:color="auto" w:fill="FFFFFF"/>
        </w:rPr>
        <w:t>​</w:t>
      </w:r>
    </w:p>
    <w:p w:rsidR="00000000" w:rsidRDefault="00DE7B41">
      <w:pPr>
        <w:pStyle w:val="a3"/>
        <w:spacing w:before="0" w:beforeAutospacing="0" w:after="0" w:afterAutospacing="0"/>
        <w:ind w:firstLine="720"/>
        <w:divId w:val="467472597"/>
        <w:rPr>
          <w:sz w:val="20"/>
          <w:szCs w:val="20"/>
        </w:rPr>
      </w:pPr>
      <w:r>
        <w:rPr>
          <w:sz w:val="20"/>
          <w:szCs w:val="20"/>
        </w:rPr>
        <w:t>The following YUPELRI-related amounts were recognized in the Company’s condensed consolidated statements of operations:</w:t>
      </w:r>
    </w:p>
    <w:p w:rsidR="00000000" w:rsidRDefault="00DE7B41">
      <w:pPr>
        <w:pStyle w:val="a3"/>
        <w:spacing w:before="0" w:beforeAutospacing="0" w:after="0" w:afterAutospacing="0"/>
        <w:divId w:val="46747259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52"/>
        <w:gridCol w:w="114"/>
        <w:gridCol w:w="206"/>
        <w:gridCol w:w="811"/>
        <w:gridCol w:w="206"/>
        <w:gridCol w:w="205"/>
        <w:gridCol w:w="812"/>
      </w:tblGrid>
      <w:tr w:rsidR="00000000">
        <w:trPr>
          <w:divId w:val="467472597"/>
          <w:trHeight w:val="20"/>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divId w:val="1262375363"/>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DE7B41">
            <w:pPr>
              <w:pStyle w:val="a3"/>
              <w:spacing w:before="0" w:beforeAutospacing="0" w:after="0" w:afterAutospacing="0"/>
              <w:divId w:val="1807619877"/>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DE7B41">
            <w:pPr>
              <w:pStyle w:val="a3"/>
              <w:spacing w:before="0" w:beforeAutospacing="0" w:after="0" w:afterAutospacing="0"/>
              <w:divId w:val="1864897582"/>
              <w:rPr>
                <w:sz w:val="20"/>
                <w:szCs w:val="20"/>
              </w:rPr>
            </w:pPr>
            <w:r>
              <w:rPr>
                <w:sz w:val="2"/>
                <w:szCs w:val="2"/>
              </w:rPr>
              <w:t>​</w:t>
            </w:r>
          </w:p>
        </w:tc>
        <w:tc>
          <w:tcPr>
            <w:tcW w:w="454" w:type="pct"/>
            <w:tcMar>
              <w:top w:w="0" w:type="dxa"/>
              <w:left w:w="0" w:type="dxa"/>
              <w:bottom w:w="0" w:type="dxa"/>
              <w:right w:w="0" w:type="dxa"/>
            </w:tcMar>
            <w:vAlign w:val="bottom"/>
            <w:hideMark/>
          </w:tcPr>
          <w:p w:rsidR="00000000" w:rsidRDefault="00DE7B41">
            <w:pPr>
              <w:pStyle w:val="a3"/>
              <w:spacing w:before="0" w:beforeAutospacing="0" w:after="0" w:afterAutospacing="0"/>
              <w:divId w:val="1014042212"/>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DE7B41">
            <w:pPr>
              <w:pStyle w:val="a3"/>
              <w:spacing w:before="0" w:beforeAutospacing="0" w:after="0" w:afterAutospacing="0"/>
              <w:divId w:val="1593733686"/>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DE7B41">
            <w:pPr>
              <w:pStyle w:val="a3"/>
              <w:spacing w:before="0" w:beforeAutospacing="0" w:after="0" w:afterAutospacing="0"/>
              <w:divId w:val="1567372331"/>
              <w:rPr>
                <w:sz w:val="20"/>
                <w:szCs w:val="20"/>
              </w:rPr>
            </w:pPr>
            <w:r>
              <w:rPr>
                <w:sz w:val="2"/>
                <w:szCs w:val="2"/>
              </w:rPr>
              <w:t>​</w:t>
            </w:r>
          </w:p>
        </w:tc>
        <w:tc>
          <w:tcPr>
            <w:tcW w:w="454" w:type="pct"/>
            <w:tcMar>
              <w:top w:w="0" w:type="dxa"/>
              <w:left w:w="0" w:type="dxa"/>
              <w:bottom w:w="0" w:type="dxa"/>
              <w:right w:w="0" w:type="dxa"/>
            </w:tcMar>
            <w:vAlign w:val="bottom"/>
            <w:hideMark/>
          </w:tcPr>
          <w:p w:rsidR="00000000" w:rsidRDefault="00DE7B41">
            <w:pPr>
              <w:pStyle w:val="a3"/>
              <w:spacing w:before="0" w:beforeAutospacing="0" w:after="0" w:afterAutospacing="0"/>
              <w:divId w:val="758409679"/>
              <w:rPr>
                <w:sz w:val="20"/>
                <w:szCs w:val="20"/>
              </w:rPr>
            </w:pPr>
            <w:r>
              <w:rPr>
                <w:sz w:val="2"/>
                <w:szCs w:val="2"/>
              </w:rPr>
              <w:t>​</w:t>
            </w:r>
          </w:p>
        </w:tc>
      </w:tr>
      <w:tr w:rsidR="00000000">
        <w:trPr>
          <w:divId w:val="467472597"/>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5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5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467472597"/>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467472597"/>
        </w:trPr>
        <w:tc>
          <w:tcPr>
            <w:tcW w:w="3629"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467472597"/>
        </w:trPr>
        <w:tc>
          <w:tcPr>
            <w:tcW w:w="3629"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 xml:space="preserve">Mylan collaboration agreement - </w:t>
            </w:r>
            <w:r>
              <w:rPr>
                <w:i/>
                <w:iCs/>
                <w:sz w:val="20"/>
                <w:szCs w:val="20"/>
              </w:rPr>
              <w:t>Amounts receivable from Mylan</w:t>
            </w:r>
          </w:p>
        </w:tc>
        <w:tc>
          <w:tcPr>
            <w:tcW w:w="11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11,730</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r>
      <w:tr w:rsidR="00000000">
        <w:trPr>
          <w:divId w:val="467472597"/>
        </w:trPr>
        <w:tc>
          <w:tcPr>
            <w:tcW w:w="3629"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 xml:space="preserve">Collaboration loss - </w:t>
            </w:r>
            <w:r>
              <w:rPr>
                <w:i/>
                <w:iCs/>
                <w:sz w:val="20"/>
                <w:szCs w:val="20"/>
              </w:rPr>
              <w:t>Amounts payable to Mylan</w:t>
            </w:r>
          </w:p>
        </w:tc>
        <w:tc>
          <w:tcPr>
            <w:tcW w:w="11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1,402</w:t>
            </w:r>
          </w:p>
        </w:tc>
      </w:tr>
    </w:tbl>
    <w:p w:rsidR="00000000" w:rsidRDefault="00DE7B41">
      <w:pPr>
        <w:pStyle w:val="a3"/>
        <w:spacing w:before="0" w:beforeAutospacing="0" w:after="0" w:afterAutospacing="0"/>
        <w:divId w:val="467472597"/>
        <w:rPr>
          <w:sz w:val="20"/>
          <w:szCs w:val="20"/>
        </w:rPr>
      </w:pPr>
      <w:r>
        <w:rPr>
          <w:color w:val="FF0000"/>
          <w:sz w:val="20"/>
          <w:szCs w:val="20"/>
        </w:rPr>
        <w:t>​</w:t>
      </w:r>
    </w:p>
    <w:p w:rsidR="00000000" w:rsidRDefault="00DE7B41">
      <w:pPr>
        <w:pStyle w:val="a3"/>
        <w:spacing w:before="0" w:beforeAutospacing="0" w:after="0" w:afterAutospacing="0"/>
        <w:divId w:val="467472597"/>
        <w:rPr>
          <w:sz w:val="20"/>
          <w:szCs w:val="20"/>
        </w:rPr>
      </w:pPr>
      <w:r>
        <w:rPr>
          <w:b/>
          <w:bCs/>
          <w:i/>
          <w:iCs/>
          <w:sz w:val="20"/>
          <w:szCs w:val="20"/>
        </w:rPr>
        <w:t>Reimbursement of R&amp;D Expense</w:t>
      </w:r>
    </w:p>
    <w:p w:rsidR="00000000" w:rsidRDefault="00DE7B41">
      <w:pPr>
        <w:pStyle w:val="a3"/>
        <w:spacing w:before="0" w:beforeAutospacing="0" w:after="0" w:afterAutospacing="0"/>
        <w:divId w:val="467472597"/>
        <w:rPr>
          <w:sz w:val="20"/>
          <w:szCs w:val="20"/>
        </w:rPr>
      </w:pPr>
      <w:r>
        <w:rPr>
          <w:sz w:val="10"/>
          <w:szCs w:val="10"/>
        </w:rPr>
        <w:t>​</w:t>
      </w:r>
    </w:p>
    <w:p w:rsidR="00000000" w:rsidRDefault="00DE7B41">
      <w:pPr>
        <w:pStyle w:val="a3"/>
        <w:spacing w:before="0" w:beforeAutospacing="0" w:after="0" w:afterAutospacing="0"/>
        <w:ind w:firstLine="720"/>
        <w:divId w:val="467472597"/>
        <w:rPr>
          <w:sz w:val="20"/>
          <w:szCs w:val="20"/>
        </w:rPr>
      </w:pPr>
      <w:r>
        <w:rPr>
          <w:sz w:val="20"/>
          <w:szCs w:val="20"/>
        </w:rPr>
        <w:t>As noted above, under certain collaborative arrangements the Company is entitled to reimbursement of certain R&amp;D expenses. Activities under collaborative arrangements for which the Company is entitled to reimbursement are con</w:t>
      </w:r>
      <w:r>
        <w:rPr>
          <w:sz w:val="20"/>
          <w:szCs w:val="20"/>
        </w:rPr>
        <w:t>sidered to be collaborative activities under the scope of ASC 808. For these units of account, the Company does not analogize to ASC 606 or recognize revenue. The Company records reimbursement payments received from its collaboration partners as reductions</w:t>
      </w:r>
      <w:r>
        <w:rPr>
          <w:sz w:val="20"/>
          <w:szCs w:val="20"/>
        </w:rPr>
        <w:t xml:space="preserve"> to R&amp;D expense.</w:t>
      </w:r>
    </w:p>
    <w:p w:rsidR="00000000" w:rsidRDefault="00DE7B41">
      <w:pPr>
        <w:pStyle w:val="a3"/>
        <w:spacing w:before="0" w:beforeAutospacing="0" w:after="0" w:afterAutospacing="0"/>
        <w:divId w:val="467472597"/>
        <w:rPr>
          <w:sz w:val="20"/>
          <w:szCs w:val="20"/>
        </w:rPr>
      </w:pPr>
      <w:r>
        <w:rPr>
          <w:sz w:val="20"/>
          <w:szCs w:val="20"/>
        </w:rPr>
        <w:t>​</w:t>
      </w:r>
    </w:p>
    <w:p w:rsidR="00000000" w:rsidRDefault="00DE7B41">
      <w:pPr>
        <w:pStyle w:val="a3"/>
        <w:spacing w:before="0" w:beforeAutospacing="0" w:after="0" w:afterAutospacing="0"/>
        <w:ind w:firstLine="720"/>
        <w:divId w:val="467472597"/>
        <w:rPr>
          <w:sz w:val="20"/>
          <w:szCs w:val="20"/>
        </w:rPr>
      </w:pPr>
      <w:r>
        <w:rPr>
          <w:sz w:val="20"/>
          <w:szCs w:val="20"/>
        </w:rPr>
        <w:t>The following table summarizes the reductions to R&amp;D expense related to the reimbursement payments:</w:t>
      </w:r>
    </w:p>
    <w:p w:rsidR="00000000" w:rsidRDefault="00DE7B41">
      <w:pPr>
        <w:pStyle w:val="a3"/>
        <w:spacing w:before="0" w:beforeAutospacing="0" w:after="0" w:afterAutospacing="0"/>
        <w:ind w:firstLine="720"/>
        <w:divId w:val="46747259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206"/>
        <w:gridCol w:w="811"/>
        <w:gridCol w:w="206"/>
        <w:gridCol w:w="205"/>
        <w:gridCol w:w="812"/>
      </w:tblGrid>
      <w:tr w:rsidR="00000000">
        <w:trPr>
          <w:divId w:val="467472597"/>
          <w:trHeight w:val="20"/>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divId w:val="110731111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5590919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68594406"/>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2061806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4862741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95326543"/>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38169747"/>
              <w:rPr>
                <w:sz w:val="20"/>
                <w:szCs w:val="20"/>
              </w:rPr>
            </w:pPr>
            <w:r>
              <w:rPr>
                <w:sz w:val="2"/>
                <w:szCs w:val="2"/>
              </w:rPr>
              <w:t>​</w:t>
            </w:r>
          </w:p>
        </w:tc>
      </w:tr>
      <w:tr w:rsidR="00000000">
        <w:trPr>
          <w:divId w:val="467472597"/>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467472597"/>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467472597"/>
        </w:trPr>
        <w:tc>
          <w:tcPr>
            <w:tcW w:w="3629"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467472597"/>
        </w:trPr>
        <w:tc>
          <w:tcPr>
            <w:tcW w:w="3629"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Janssen</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1,207</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1,411</w:t>
            </w:r>
          </w:p>
        </w:tc>
      </w:tr>
      <w:tr w:rsidR="00000000">
        <w:trPr>
          <w:divId w:val="467472597"/>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Mylan</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1,271</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203</w:t>
            </w:r>
          </w:p>
        </w:tc>
      </w:tr>
      <w:tr w:rsidR="00000000">
        <w:trPr>
          <w:divId w:val="467472597"/>
        </w:trPr>
        <w:tc>
          <w:tcPr>
            <w:tcW w:w="3629"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20"/>
                <w:szCs w:val="20"/>
              </w:rPr>
            </w:pPr>
            <w:r>
              <w:rPr>
                <w:sz w:val="20"/>
                <w:szCs w:val="20"/>
              </w:rPr>
              <w:t>Total reduction to R&amp;D expense</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2,478</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1,614</w:t>
            </w:r>
          </w:p>
        </w:tc>
      </w:tr>
    </w:tbl>
    <w:p w:rsidR="00000000" w:rsidRDefault="00DE7B41">
      <w:pPr>
        <w:pStyle w:val="a3"/>
        <w:spacing w:before="0" w:beforeAutospacing="0" w:after="0" w:afterAutospacing="0"/>
        <w:divId w:val="467472597"/>
        <w:rPr>
          <w:sz w:val="20"/>
          <w:szCs w:val="20"/>
        </w:rPr>
      </w:pPr>
      <w:r>
        <w:rPr>
          <w:sz w:val="20"/>
          <w:szCs w:val="20"/>
        </w:rPr>
        <w:t>​</w:t>
      </w:r>
    </w:p>
    <w:p w:rsidR="00000000" w:rsidRDefault="00DE7B41">
      <w:pPr>
        <w:pStyle w:val="a3"/>
        <w:spacing w:before="0" w:beforeAutospacing="0" w:after="0" w:afterAutospacing="0"/>
        <w:divId w:val="467472597"/>
        <w:rPr>
          <w:sz w:val="20"/>
          <w:szCs w:val="20"/>
        </w:rPr>
      </w:pPr>
      <w:r>
        <w:rPr>
          <w:b/>
          <w:bCs/>
          <w:i/>
          <w:iCs/>
          <w:sz w:val="20"/>
          <w:szCs w:val="20"/>
        </w:rPr>
        <w:t>Revenue from Licensing Arrangements</w:t>
      </w:r>
    </w:p>
    <w:p w:rsidR="00000000" w:rsidRDefault="00DE7B41">
      <w:pPr>
        <w:pStyle w:val="a3"/>
        <w:spacing w:before="0" w:beforeAutospacing="0" w:after="0" w:afterAutospacing="0"/>
        <w:divId w:val="467472597"/>
        <w:rPr>
          <w:sz w:val="20"/>
          <w:szCs w:val="20"/>
        </w:rPr>
      </w:pPr>
      <w:r>
        <w:rPr>
          <w:b/>
          <w:bCs/>
          <w:i/>
          <w:iCs/>
          <w:sz w:val="20"/>
          <w:szCs w:val="20"/>
        </w:rPr>
        <w:t>​</w:t>
      </w:r>
    </w:p>
    <w:p w:rsidR="00000000" w:rsidRDefault="00DE7B41">
      <w:pPr>
        <w:pStyle w:val="a3"/>
        <w:shd w:val="clear" w:color="auto" w:fill="FFFFFF"/>
        <w:spacing w:before="0" w:beforeAutospacing="0" w:after="0" w:afterAutospacing="0"/>
        <w:divId w:val="467472597"/>
        <w:rPr>
          <w:sz w:val="20"/>
          <w:szCs w:val="20"/>
        </w:rPr>
      </w:pPr>
      <w:r>
        <w:rPr>
          <w:rFonts w:ascii="Times" w:hAnsi="Times"/>
          <w:b/>
          <w:bCs/>
          <w:i/>
          <w:iCs/>
          <w:sz w:val="20"/>
          <w:szCs w:val="20"/>
        </w:rPr>
        <w:t>Mylan</w:t>
      </w:r>
    </w:p>
    <w:p w:rsidR="00000000" w:rsidRDefault="00DE7B41">
      <w:pPr>
        <w:pStyle w:val="a3"/>
        <w:spacing w:before="0" w:beforeAutospacing="0" w:after="0" w:afterAutospacing="0"/>
        <w:divId w:val="467472597"/>
        <w:rPr>
          <w:sz w:val="20"/>
          <w:szCs w:val="20"/>
        </w:rPr>
      </w:pPr>
      <w:r>
        <w:rPr>
          <w:b/>
          <w:bCs/>
          <w:i/>
          <w:iCs/>
          <w:sz w:val="10"/>
          <w:szCs w:val="10"/>
        </w:rPr>
        <w:t>​</w:t>
      </w:r>
    </w:p>
    <w:p w:rsidR="00000000" w:rsidRDefault="00DE7B41">
      <w:pPr>
        <w:pStyle w:val="a3"/>
        <w:spacing w:before="0" w:beforeAutospacing="0" w:after="0" w:afterAutospacing="0"/>
        <w:ind w:firstLine="720"/>
        <w:divId w:val="467472597"/>
        <w:rPr>
          <w:sz w:val="20"/>
          <w:szCs w:val="20"/>
        </w:rPr>
      </w:pPr>
      <w:r>
        <w:rPr>
          <w:sz w:val="20"/>
          <w:szCs w:val="20"/>
          <w:shd w:val="clear" w:color="auto" w:fill="FFFFFF"/>
        </w:rPr>
        <w:t>In June 2019, </w:t>
      </w:r>
      <w:r>
        <w:rPr>
          <w:sz w:val="20"/>
          <w:szCs w:val="20"/>
          <w:shd w:val="clear" w:color="auto" w:fill="FFFFFF"/>
        </w:rPr>
        <w:t>the Company announced the expansion of the Mylan Agreement (the “Mylan Amendment”) to grant Mylan exclusive development and commercialization rights to nebulized revefenacin in China and adjacent territories. In exchange, the Company received an upfront pa</w:t>
      </w:r>
      <w:r>
        <w:rPr>
          <w:sz w:val="20"/>
          <w:szCs w:val="20"/>
          <w:shd w:val="clear" w:color="auto" w:fill="FFFFFF"/>
        </w:rPr>
        <w:t>yment of $18.5 million (before a required tax withholding) and will be eligible to receive potential development and sales milestones totaling $54.0 million and low double-digit tiered royalties on net sales of nebulized revefenacin, if approved. Of the $5</w:t>
      </w:r>
      <w:r>
        <w:rPr>
          <w:sz w:val="20"/>
          <w:szCs w:val="20"/>
          <w:shd w:val="clear" w:color="auto" w:fill="FFFFFF"/>
        </w:rPr>
        <w:t xml:space="preserve">4.0 million in potential milestones, $9.0 million is associated with the development of </w:t>
      </w:r>
      <w:r>
        <w:rPr>
          <w:sz w:val="20"/>
          <w:szCs w:val="20"/>
        </w:rPr>
        <w:t xml:space="preserve">YUPELRI monotherapy, $7.5 million associated with the development of future potential combination products, and </w:t>
      </w:r>
      <w:r>
        <w:rPr>
          <w:sz w:val="20"/>
          <w:szCs w:val="20"/>
          <w:shd w:val="clear" w:color="auto" w:fill="FFFFFF"/>
        </w:rPr>
        <w:t>$37.5 million is associated with sales milestones. Mylan</w:t>
      </w:r>
      <w:r>
        <w:rPr>
          <w:sz w:val="20"/>
          <w:szCs w:val="20"/>
          <w:shd w:val="clear" w:color="auto" w:fill="FFFFFF"/>
        </w:rPr>
        <w:t xml:space="preserve"> is responsible for all aspects of development and commercialization in the partnered regions, including pre- and post-launch activities and product registration and all associated costs. </w:t>
      </w:r>
    </w:p>
    <w:p w:rsidR="00000000" w:rsidRDefault="00DE7B41">
      <w:pPr>
        <w:pStyle w:val="a3"/>
        <w:spacing w:before="0" w:beforeAutospacing="0" w:after="0" w:afterAutospacing="0"/>
        <w:divId w:val="467472597"/>
        <w:rPr>
          <w:sz w:val="20"/>
          <w:szCs w:val="20"/>
        </w:rPr>
      </w:pPr>
      <w:r>
        <w:rPr>
          <w:sz w:val="20"/>
          <w:szCs w:val="20"/>
        </w:rPr>
        <w:t>​</w:t>
      </w:r>
    </w:p>
    <w:p w:rsidR="00000000" w:rsidRDefault="00DE7B41">
      <w:pPr>
        <w:pStyle w:val="a3"/>
        <w:spacing w:before="0" w:beforeAutospacing="0" w:after="0" w:afterAutospacing="0"/>
        <w:ind w:firstLine="720"/>
        <w:divId w:val="467472597"/>
        <w:rPr>
          <w:sz w:val="20"/>
          <w:szCs w:val="20"/>
        </w:rPr>
      </w:pPr>
      <w:r>
        <w:rPr>
          <w:sz w:val="20"/>
          <w:szCs w:val="20"/>
          <w:shd w:val="clear" w:color="auto" w:fill="FFFFFF"/>
        </w:rPr>
        <w:t xml:space="preserve">The Mylan Amendment is accounted for under ASC 606 as a separate </w:t>
      </w:r>
      <w:r>
        <w:rPr>
          <w:sz w:val="20"/>
          <w:szCs w:val="20"/>
          <w:shd w:val="clear" w:color="auto" w:fill="FFFFFF"/>
        </w:rPr>
        <w:t>contract from the original Mylan Agreement that was entered into in January 2015. The Company identified a</w:t>
      </w:r>
      <w:r>
        <w:rPr>
          <w:sz w:val="20"/>
          <w:szCs w:val="20"/>
        </w:rPr>
        <w:t xml:space="preserve"> single performance obligation comprising of the delivery of the license to develop and commercialize revefenacin in China and adjacent territories. T</w:t>
      </w:r>
      <w:r>
        <w:rPr>
          <w:sz w:val="20"/>
          <w:szCs w:val="20"/>
        </w:rPr>
        <w:t>he transaction price was determined to be the upfront payment of $18.5 million</w:t>
      </w:r>
      <w:r>
        <w:rPr>
          <w:sz w:val="20"/>
          <w:szCs w:val="20"/>
          <w:shd w:val="clear" w:color="auto" w:fill="FFFFFF"/>
        </w:rPr>
        <w:t xml:space="preserve"> </w:t>
      </w:r>
      <w:r>
        <w:rPr>
          <w:sz w:val="20"/>
          <w:szCs w:val="20"/>
        </w:rPr>
        <w:t xml:space="preserve">which the Company recognized as licensing revenue following the completion of the performance obligation in June 2019. </w:t>
      </w:r>
    </w:p>
    <w:p w:rsidR="00000000" w:rsidRDefault="00DE7B41">
      <w:pPr>
        <w:pStyle w:val="a3"/>
        <w:spacing w:before="0" w:beforeAutospacing="0" w:after="0" w:afterAutospacing="0"/>
        <w:ind w:firstLine="720"/>
        <w:divId w:val="467472597"/>
        <w:rPr>
          <w:sz w:val="20"/>
          <w:szCs w:val="20"/>
        </w:rPr>
      </w:pPr>
      <w:r>
        <w:rPr>
          <w:sz w:val="20"/>
          <w:szCs w:val="20"/>
        </w:rPr>
        <w:t>​</w:t>
      </w:r>
    </w:p>
    <w:p w:rsidR="00000000" w:rsidRDefault="00DE7B41">
      <w:pPr>
        <w:pStyle w:val="a3"/>
        <w:spacing w:before="0" w:beforeAutospacing="0" w:after="0" w:afterAutospacing="0"/>
        <w:ind w:firstLine="720"/>
        <w:divId w:val="467472597"/>
        <w:rPr>
          <w:sz w:val="20"/>
          <w:szCs w:val="20"/>
        </w:rPr>
      </w:pPr>
      <w:r>
        <w:rPr>
          <w:sz w:val="20"/>
          <w:szCs w:val="20"/>
        </w:rPr>
        <w:t>The future potential milestone amounts for</w:t>
      </w:r>
      <w:r>
        <w:rPr>
          <w:color w:val="FF0000"/>
          <w:sz w:val="20"/>
          <w:szCs w:val="20"/>
        </w:rPr>
        <w:t xml:space="preserve"> </w:t>
      </w:r>
      <w:r>
        <w:rPr>
          <w:sz w:val="20"/>
          <w:szCs w:val="20"/>
        </w:rPr>
        <w:t>the Mylan Am</w:t>
      </w:r>
      <w:r>
        <w:rPr>
          <w:sz w:val="20"/>
          <w:szCs w:val="20"/>
        </w:rPr>
        <w:t>endment were not included in the transaction price, as they were all determined to be fully constrained following the concepts of ASC 606. As part of the Company’s evaluation of the development milestones constraint, the Company determined that the achieve</w:t>
      </w:r>
      <w:r>
        <w:rPr>
          <w:sz w:val="20"/>
          <w:szCs w:val="20"/>
        </w:rPr>
        <w:t>ment of such milestones is contingent upon success in future clinical trials and regulatory approvals which are not within its control and uncertain at this stage. The Company expects that the sales-based milestone payments and royalty arrangements will be</w:t>
      </w:r>
      <w:r>
        <w:rPr>
          <w:sz w:val="20"/>
          <w:szCs w:val="20"/>
        </w:rPr>
        <w:t xml:space="preserve"> recognized when the sales occur or the milestone is achieved. The Company will re-evaluate the transaction price each quarter and as uncertain events are resolved or other changes in circumstances occur. </w:t>
      </w:r>
    </w:p>
    <w:p w:rsidR="00000000" w:rsidRDefault="00DE7B41">
      <w:pPr>
        <w:pStyle w:val="a3"/>
        <w:spacing w:before="360" w:beforeAutospacing="0" w:after="0" w:afterAutospacing="0"/>
        <w:jc w:val="center"/>
        <w:divId w:val="1214535069"/>
        <w:rPr>
          <w:sz w:val="20"/>
          <w:szCs w:val="20"/>
        </w:rPr>
      </w:pPr>
      <w:r>
        <w:rPr>
          <w:sz w:val="20"/>
          <w:szCs w:val="20"/>
        </w:rPr>
        <w:t>12</w:t>
      </w:r>
    </w:p>
    <w:p w:rsidR="00000000" w:rsidRDefault="00DE7B41">
      <w:pPr>
        <w:pStyle w:val="a3"/>
        <w:spacing w:before="0" w:beforeAutospacing="0" w:after="600" w:afterAutospacing="0"/>
        <w:divId w:val="700323924"/>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ind w:firstLine="720"/>
        <w:divId w:val="1499350423"/>
        <w:rPr>
          <w:sz w:val="20"/>
          <w:szCs w:val="20"/>
        </w:rPr>
      </w:pPr>
      <w:r>
        <w:rPr>
          <w:sz w:val="20"/>
          <w:szCs w:val="20"/>
        </w:rPr>
        <w:t>​</w:t>
      </w:r>
    </w:p>
    <w:p w:rsidR="00000000" w:rsidRDefault="00DE7B41">
      <w:pPr>
        <w:pStyle w:val="a3"/>
        <w:spacing w:before="0" w:beforeAutospacing="0" w:after="0" w:afterAutospacing="0"/>
        <w:ind w:firstLine="720"/>
        <w:divId w:val="1499350423"/>
        <w:rPr>
          <w:sz w:val="20"/>
          <w:szCs w:val="20"/>
        </w:rPr>
      </w:pPr>
      <w:r>
        <w:rPr>
          <w:sz w:val="20"/>
          <w:szCs w:val="20"/>
          <w:shd w:val="clear" w:color="auto" w:fill="FFFFFF"/>
        </w:rPr>
        <w:t>I</w:t>
      </w:r>
      <w:r>
        <w:rPr>
          <w:sz w:val="20"/>
          <w:szCs w:val="20"/>
          <w:shd w:val="clear" w:color="auto" w:fill="FFFFFF"/>
        </w:rPr>
        <w:t>n March 2020, the Company earned a $1.5 million development milestone payment for the acceptance of a clinical trial application associated with the use of YUPELRI monotherapy in China and adjacent territories.</w:t>
      </w:r>
    </w:p>
    <w:p w:rsidR="00000000" w:rsidRDefault="00DE7B41">
      <w:pPr>
        <w:pStyle w:val="a3"/>
        <w:spacing w:before="0" w:beforeAutospacing="0" w:after="0" w:afterAutospacing="0"/>
        <w:ind w:firstLine="720"/>
        <w:divId w:val="1499350423"/>
        <w:rPr>
          <w:sz w:val="20"/>
          <w:szCs w:val="20"/>
        </w:rPr>
      </w:pPr>
      <w:r>
        <w:rPr>
          <w:sz w:val="20"/>
          <w:szCs w:val="20"/>
        </w:rPr>
        <w:t>​</w:t>
      </w:r>
    </w:p>
    <w:p w:rsidR="00000000" w:rsidRDefault="00DE7B41">
      <w:pPr>
        <w:pStyle w:val="a3"/>
        <w:spacing w:before="0" w:beforeAutospacing="0" w:after="120" w:afterAutospacing="0"/>
        <w:divId w:val="1499350423"/>
        <w:rPr>
          <w:sz w:val="20"/>
          <w:szCs w:val="20"/>
        </w:rPr>
      </w:pPr>
      <w:r>
        <w:rPr>
          <w:b/>
          <w:bCs/>
          <w:i/>
          <w:iCs/>
          <w:sz w:val="20"/>
          <w:szCs w:val="20"/>
        </w:rPr>
        <w:t>Pfizer</w:t>
      </w:r>
    </w:p>
    <w:p w:rsidR="00000000" w:rsidRDefault="00DE7B41">
      <w:pPr>
        <w:pStyle w:val="a3"/>
        <w:spacing w:before="0" w:beforeAutospacing="0" w:after="0" w:afterAutospacing="0"/>
        <w:divId w:val="1499350423"/>
        <w:rPr>
          <w:sz w:val="20"/>
          <w:szCs w:val="20"/>
        </w:rPr>
      </w:pPr>
      <w:r>
        <w:rPr>
          <w:sz w:val="20"/>
          <w:szCs w:val="20"/>
        </w:rPr>
        <w:t>In December 2019, the Company entered into a global license agreement with Pfizer Inc. for its preclinical skin-selective, locally-acting pan-JAK inhibitor program (the “Pfizer Agreement”). The compounds in this program are designed to target validated pro</w:t>
      </w:r>
      <w:r>
        <w:rPr>
          <w:sz w:val="20"/>
          <w:szCs w:val="20"/>
        </w:rPr>
        <w:t>-inflammatory pathways and are specifically designed to possess skin-selective activity with minimal systemic exposure.</w:t>
      </w:r>
    </w:p>
    <w:p w:rsidR="00000000" w:rsidRDefault="00DE7B41">
      <w:pPr>
        <w:pStyle w:val="a3"/>
        <w:spacing w:before="0" w:beforeAutospacing="0" w:after="0" w:afterAutospacing="0"/>
        <w:divId w:val="1499350423"/>
        <w:rPr>
          <w:sz w:val="20"/>
          <w:szCs w:val="20"/>
        </w:rPr>
      </w:pPr>
      <w:r>
        <w:rPr>
          <w:sz w:val="20"/>
          <w:szCs w:val="20"/>
        </w:rPr>
        <w:t>​</w:t>
      </w:r>
    </w:p>
    <w:p w:rsidR="00000000" w:rsidRDefault="00DE7B41">
      <w:pPr>
        <w:pStyle w:val="a3"/>
        <w:spacing w:before="0" w:beforeAutospacing="0" w:after="0" w:afterAutospacing="0"/>
        <w:ind w:firstLine="720"/>
        <w:divId w:val="1499350423"/>
        <w:rPr>
          <w:sz w:val="20"/>
          <w:szCs w:val="20"/>
        </w:rPr>
      </w:pPr>
      <w:r>
        <w:rPr>
          <w:sz w:val="20"/>
          <w:szCs w:val="20"/>
        </w:rPr>
        <w:t>Under the Pfizer Agreement, Pfizer has an exclusive license to develop, manufacture and commercialize certain compounds for all uses o</w:t>
      </w:r>
      <w:r>
        <w:rPr>
          <w:sz w:val="20"/>
          <w:szCs w:val="20"/>
        </w:rPr>
        <w:t>ther than gastrointestinal, ophthalmic and respiratory applications. Under the terms of the Pfizer Agreement, the Company received an upfront cash payment of $10.0 million and is eligible to receive up to an additional $240.0 million in development and sal</w:t>
      </w:r>
      <w:r>
        <w:rPr>
          <w:sz w:val="20"/>
          <w:szCs w:val="20"/>
        </w:rPr>
        <w:t>es milestone payments from Pfizer. In addition, the Company will be eligible to receive a tiered royalty on worldwide net sales of any potential products under the license at percentage royalty rates ranging from middle single-digits to low double-digits.</w:t>
      </w:r>
    </w:p>
    <w:p w:rsidR="00000000" w:rsidRDefault="00DE7B41">
      <w:pPr>
        <w:pStyle w:val="a3"/>
        <w:spacing w:before="0" w:beforeAutospacing="0" w:after="0" w:afterAutospacing="0"/>
        <w:divId w:val="1499350423"/>
        <w:rPr>
          <w:sz w:val="20"/>
          <w:szCs w:val="20"/>
        </w:rPr>
      </w:pPr>
      <w:r>
        <w:rPr>
          <w:b/>
          <w:bCs/>
          <w:color w:val="FF0000"/>
          <w:sz w:val="20"/>
          <w:szCs w:val="20"/>
        </w:rPr>
        <w:t>​</w:t>
      </w:r>
    </w:p>
    <w:p w:rsidR="00000000" w:rsidRDefault="00DE7B41">
      <w:pPr>
        <w:pStyle w:val="a3"/>
        <w:spacing w:before="0" w:beforeAutospacing="0" w:after="0" w:afterAutospacing="0"/>
        <w:divId w:val="1499350423"/>
        <w:rPr>
          <w:sz w:val="20"/>
          <w:szCs w:val="20"/>
        </w:rPr>
      </w:pPr>
      <w:r>
        <w:rPr>
          <w:sz w:val="20"/>
          <w:szCs w:val="20"/>
        </w:rPr>
        <w:t>The Pfizer Agreement is accounted for under ASC 606. The Company identified two performance obligations primarily comprised of the delivery of the license and samples of tangible materials which was completed in December 2019. The transaction price was d</w:t>
      </w:r>
      <w:r>
        <w:rPr>
          <w:sz w:val="20"/>
          <w:szCs w:val="20"/>
        </w:rPr>
        <w:t xml:space="preserve">etermined to be the upfront payment of $10.0 million which the Company recognized as licensing revenue in December 2019. </w:t>
      </w:r>
    </w:p>
    <w:p w:rsidR="00000000" w:rsidRDefault="00DE7B41">
      <w:pPr>
        <w:pStyle w:val="a3"/>
        <w:spacing w:before="0" w:beforeAutospacing="0" w:after="0" w:afterAutospacing="0"/>
        <w:divId w:val="1499350423"/>
        <w:rPr>
          <w:sz w:val="20"/>
          <w:szCs w:val="20"/>
        </w:rPr>
      </w:pPr>
      <w:r>
        <w:rPr>
          <w:sz w:val="20"/>
          <w:szCs w:val="20"/>
        </w:rPr>
        <w:t>​</w:t>
      </w:r>
    </w:p>
    <w:p w:rsidR="00000000" w:rsidRDefault="00DE7B41">
      <w:pPr>
        <w:pStyle w:val="a3"/>
        <w:spacing w:before="0" w:beforeAutospacing="0" w:after="0" w:afterAutospacing="0"/>
        <w:ind w:firstLine="720"/>
        <w:divId w:val="1499350423"/>
        <w:rPr>
          <w:sz w:val="20"/>
          <w:szCs w:val="20"/>
        </w:rPr>
      </w:pPr>
      <w:r>
        <w:rPr>
          <w:sz w:val="20"/>
          <w:szCs w:val="20"/>
        </w:rPr>
        <w:t>The future potential milestones payable under the Pfizer Amendment were not included in the transaction price, as they were all dete</w:t>
      </w:r>
      <w:r>
        <w:rPr>
          <w:sz w:val="20"/>
          <w:szCs w:val="20"/>
        </w:rPr>
        <w:t>rmined to be fully constrained following the concepts of ASC 606. As part of the Company’s evaluation of the development milestones constraint, the Company determined that the achievement of such milestones is contingent upon success in future clinical tri</w:t>
      </w:r>
      <w:r>
        <w:rPr>
          <w:sz w:val="20"/>
          <w:szCs w:val="20"/>
        </w:rPr>
        <w:t>als and regulatory approvals which are not within its control and uncertain at this stage. The Company expects that the sales-based milestone payments will be recognized when the sales occur or the milestone is achieved. The Company will re-evaluate the tr</w:t>
      </w:r>
      <w:r>
        <w:rPr>
          <w:sz w:val="20"/>
          <w:szCs w:val="20"/>
        </w:rPr>
        <w:t>ansaction price each quarter and as uncertain events are resolved or other changes in circumstances occur.</w:t>
      </w:r>
    </w:p>
    <w:p w:rsidR="00000000" w:rsidRDefault="00DE7B41">
      <w:pPr>
        <w:pStyle w:val="a3"/>
        <w:spacing w:before="0" w:beforeAutospacing="0" w:after="0" w:afterAutospacing="0"/>
        <w:divId w:val="1499350423"/>
        <w:rPr>
          <w:sz w:val="20"/>
          <w:szCs w:val="20"/>
        </w:rPr>
      </w:pPr>
      <w:r>
        <w:rPr>
          <w:sz w:val="20"/>
          <w:szCs w:val="20"/>
        </w:rPr>
        <w:t>​</w:t>
      </w:r>
    </w:p>
    <w:p w:rsidR="00000000" w:rsidRDefault="00DE7B41">
      <w:pPr>
        <w:pStyle w:val="a3"/>
        <w:spacing w:before="0" w:beforeAutospacing="0" w:after="0" w:afterAutospacing="0"/>
        <w:divId w:val="1499350423"/>
        <w:rPr>
          <w:sz w:val="20"/>
          <w:szCs w:val="20"/>
        </w:rPr>
      </w:pPr>
      <w:r>
        <w:rPr>
          <w:b/>
          <w:bCs/>
          <w:sz w:val="20"/>
          <w:szCs w:val="20"/>
        </w:rPr>
        <w:t>4. Cash, Cash Equivalents, and Restricted Cash</w:t>
      </w:r>
    </w:p>
    <w:p w:rsidR="00000000" w:rsidRDefault="00DE7B41">
      <w:pPr>
        <w:pStyle w:val="a3"/>
        <w:spacing w:before="0" w:beforeAutospacing="0" w:after="0" w:afterAutospacing="0"/>
        <w:divId w:val="1499350423"/>
        <w:rPr>
          <w:sz w:val="20"/>
          <w:szCs w:val="20"/>
        </w:rPr>
      </w:pPr>
      <w:r>
        <w:rPr>
          <w:b/>
          <w:bCs/>
          <w:sz w:val="10"/>
          <w:szCs w:val="10"/>
        </w:rPr>
        <w:t>​</w:t>
      </w:r>
    </w:p>
    <w:p w:rsidR="00000000" w:rsidRDefault="00DE7B41">
      <w:pPr>
        <w:pStyle w:val="a3"/>
        <w:spacing w:before="0" w:beforeAutospacing="0" w:after="0" w:afterAutospacing="0"/>
        <w:ind w:firstLine="720"/>
        <w:divId w:val="1499350423"/>
        <w:rPr>
          <w:sz w:val="20"/>
          <w:szCs w:val="20"/>
        </w:rPr>
      </w:pPr>
      <w:r>
        <w:rPr>
          <w:sz w:val="20"/>
          <w:szCs w:val="20"/>
        </w:rPr>
        <w:t>The following table provides a reconciliation of cash, cash equivalents, and restricted cash reported within the condensed consolidated balance sheets that sum to the total of the same such amount shown on the condensed consolidated statements of cash flow</w:t>
      </w:r>
      <w:r>
        <w:rPr>
          <w:sz w:val="20"/>
          <w:szCs w:val="20"/>
        </w:rPr>
        <w:t>s.</w:t>
      </w:r>
    </w:p>
    <w:p w:rsidR="00000000" w:rsidRDefault="00DE7B41">
      <w:pPr>
        <w:pStyle w:val="a3"/>
        <w:spacing w:before="0" w:beforeAutospacing="0" w:after="0" w:afterAutospacing="0"/>
        <w:ind w:firstLine="720"/>
        <w:divId w:val="14993504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1499350423"/>
          <w:trHeight w:val="20"/>
        </w:trPr>
        <w:tc>
          <w:tcPr>
            <w:tcW w:w="3629" w:type="pct"/>
            <w:tcMar>
              <w:top w:w="0" w:type="dxa"/>
              <w:left w:w="0" w:type="dxa"/>
              <w:bottom w:w="0" w:type="dxa"/>
              <w:right w:w="0" w:type="dxa"/>
            </w:tcMar>
            <w:vAlign w:val="center"/>
            <w:hideMark/>
          </w:tcPr>
          <w:p w:rsidR="00000000" w:rsidRDefault="00DE7B41">
            <w:pPr>
              <w:pStyle w:val="a3"/>
              <w:spacing w:before="0" w:beforeAutospacing="0" w:after="0" w:afterAutospacing="0"/>
              <w:divId w:val="1667509788"/>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DE7B41">
            <w:pPr>
              <w:pStyle w:val="a3"/>
              <w:spacing w:before="0" w:beforeAutospacing="0" w:after="0" w:afterAutospacing="0"/>
              <w:divId w:val="1032683329"/>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DE7B41">
            <w:pPr>
              <w:pStyle w:val="a3"/>
              <w:spacing w:before="0" w:beforeAutospacing="0" w:after="0" w:afterAutospacing="0"/>
              <w:divId w:val="695694403"/>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08202368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94928919"/>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DE7B41">
            <w:pPr>
              <w:pStyle w:val="a3"/>
              <w:spacing w:before="0" w:beforeAutospacing="0" w:after="0" w:afterAutospacing="0"/>
              <w:divId w:val="1117026229"/>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701275101"/>
              <w:rPr>
                <w:sz w:val="20"/>
                <w:szCs w:val="20"/>
              </w:rPr>
            </w:pPr>
            <w:r>
              <w:rPr>
                <w:sz w:val="2"/>
                <w:szCs w:val="2"/>
              </w:rPr>
              <w:t>​</w:t>
            </w:r>
          </w:p>
        </w:tc>
      </w:tr>
      <w:tr w:rsidR="00000000">
        <w:trPr>
          <w:divId w:val="1499350423"/>
        </w:trPr>
        <w:tc>
          <w:tcPr>
            <w:tcW w:w="3629" w:type="pct"/>
            <w:shd w:val="clear" w:color="auto" w:fill="auto"/>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b/>
                <w:bCs/>
                <w:sz w:val="16"/>
                <w:szCs w:val="16"/>
              </w:rPr>
              <w:t>​</w:t>
            </w:r>
          </w:p>
        </w:tc>
        <w:tc>
          <w:tcPr>
            <w:tcW w:w="1254"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March 31, </w:t>
            </w:r>
          </w:p>
        </w:tc>
      </w:tr>
      <w:tr w:rsidR="00000000">
        <w:trPr>
          <w:divId w:val="1499350423"/>
        </w:trPr>
        <w:tc>
          <w:tcPr>
            <w:tcW w:w="3629" w:type="pct"/>
            <w:tcBorders>
              <w:bottom w:val="single" w:sz="6" w:space="0" w:color="000000"/>
            </w:tcBorders>
            <w:shd w:val="clear" w:color="auto" w:fill="auto"/>
            <w:tcMar>
              <w:top w:w="0" w:type="dxa"/>
              <w:left w:w="0" w:type="dxa"/>
              <w:bottom w:w="0" w:type="dxa"/>
              <w:right w:w="0" w:type="dxa"/>
            </w:tcMar>
            <w:vAlign w:val="center"/>
            <w:hideMark/>
          </w:tcPr>
          <w:p w:rsidR="00000000" w:rsidRDefault="00DE7B41">
            <w:pPr>
              <w:pStyle w:val="a3"/>
              <w:spacing w:before="0" w:beforeAutospacing="0" w:after="0" w:afterAutospacing="0"/>
              <w:rPr>
                <w:sz w:val="16"/>
                <w:szCs w:val="16"/>
              </w:rPr>
            </w:pPr>
            <w:r>
              <w:rPr>
                <w:b/>
                <w:bCs/>
                <w:sz w:val="16"/>
                <w:szCs w:val="16"/>
              </w:rPr>
              <w:t>(In thousands)</w:t>
            </w:r>
          </w:p>
        </w:tc>
        <w:tc>
          <w:tcPr>
            <w:tcW w:w="115" w:type="pct"/>
            <w:shd w:val="clear" w:color="auto" w:fill="auto"/>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5" w:type="pct"/>
            <w:shd w:val="clear" w:color="auto" w:fill="auto"/>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1499350423"/>
        </w:trPr>
        <w:tc>
          <w:tcPr>
            <w:tcW w:w="3629"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Cash and cash equivalents</w:t>
            </w:r>
          </w:p>
        </w:tc>
        <w:tc>
          <w:tcPr>
            <w:tcW w:w="11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332,798</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223,235</w:t>
            </w:r>
          </w:p>
        </w:tc>
      </w:tr>
      <w:tr w:rsidR="00000000">
        <w:trPr>
          <w:divId w:val="1499350423"/>
        </w:trPr>
        <w:tc>
          <w:tcPr>
            <w:tcW w:w="3629"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Restricted cash</w:t>
            </w:r>
          </w:p>
        </w:tc>
        <w:tc>
          <w:tcPr>
            <w:tcW w:w="115"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833</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833</w:t>
            </w:r>
          </w:p>
        </w:tc>
      </w:tr>
      <w:tr w:rsidR="00000000">
        <w:trPr>
          <w:divId w:val="1499350423"/>
        </w:trPr>
        <w:tc>
          <w:tcPr>
            <w:tcW w:w="3629"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ind w:left="180" w:hanging="180"/>
              <w:rPr>
                <w:sz w:val="20"/>
                <w:szCs w:val="20"/>
              </w:rPr>
            </w:pPr>
            <w:r>
              <w:rPr>
                <w:sz w:val="20"/>
                <w:szCs w:val="20"/>
              </w:rPr>
              <w:t>Total cash, cash equivalents, and restricted cash shown on the condensed</w:t>
            </w:r>
            <w:r>
              <w:rPr>
                <w:sz w:val="20"/>
                <w:szCs w:val="20"/>
              </w:rPr>
              <w:br/>
              <w:t>consolidated statements of cash flows</w:t>
            </w:r>
          </w:p>
        </w:tc>
        <w:tc>
          <w:tcPr>
            <w:tcW w:w="11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333,631</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224,068</w:t>
            </w:r>
          </w:p>
        </w:tc>
      </w:tr>
    </w:tbl>
    <w:p w:rsidR="00000000" w:rsidRDefault="00DE7B41">
      <w:pPr>
        <w:pStyle w:val="a3"/>
        <w:spacing w:before="0" w:beforeAutospacing="0" w:after="0" w:afterAutospacing="0"/>
        <w:ind w:firstLine="720"/>
        <w:divId w:val="1499350423"/>
        <w:rPr>
          <w:sz w:val="20"/>
          <w:szCs w:val="20"/>
        </w:rPr>
      </w:pPr>
      <w:r>
        <w:rPr>
          <w:sz w:val="20"/>
          <w:szCs w:val="20"/>
        </w:rPr>
        <w:t>​</w:t>
      </w:r>
    </w:p>
    <w:p w:rsidR="00000000" w:rsidRDefault="00DE7B41">
      <w:pPr>
        <w:pStyle w:val="a3"/>
        <w:spacing w:before="0" w:beforeAutospacing="0" w:after="0" w:afterAutospacing="0"/>
        <w:ind w:firstLine="720"/>
        <w:divId w:val="1499350423"/>
        <w:rPr>
          <w:sz w:val="20"/>
          <w:szCs w:val="20"/>
        </w:rPr>
      </w:pPr>
      <w:r>
        <w:rPr>
          <w:sz w:val="20"/>
          <w:szCs w:val="20"/>
        </w:rPr>
        <w:t>Restricted cash pertained to certain lease agreements and letters of credit by which the Company has pledged cash and cash equivalents as collateral. The cash-related amounts reported in the table above exclude the Company’s investments in short and long-t</w:t>
      </w:r>
      <w:r>
        <w:rPr>
          <w:sz w:val="20"/>
          <w:szCs w:val="20"/>
        </w:rPr>
        <w:t>erm marketable securities that are reported separately on the condensed consolidated balance sheets.</w:t>
      </w:r>
    </w:p>
    <w:p w:rsidR="00000000" w:rsidRDefault="00DE7B41">
      <w:pPr>
        <w:pStyle w:val="a3"/>
        <w:spacing w:before="0" w:beforeAutospacing="0" w:after="0" w:afterAutospacing="0"/>
        <w:divId w:val="1499350423"/>
        <w:rPr>
          <w:sz w:val="20"/>
          <w:szCs w:val="20"/>
        </w:rPr>
      </w:pPr>
      <w:r>
        <w:rPr>
          <w:sz w:val="20"/>
          <w:szCs w:val="20"/>
        </w:rPr>
        <w:t>​</w:t>
      </w:r>
    </w:p>
    <w:p w:rsidR="00000000" w:rsidRDefault="00DE7B41">
      <w:pPr>
        <w:pStyle w:val="a3"/>
        <w:spacing w:before="0" w:beforeAutospacing="0" w:after="0" w:afterAutospacing="0"/>
        <w:divId w:val="1499350423"/>
        <w:rPr>
          <w:sz w:val="20"/>
          <w:szCs w:val="20"/>
        </w:rPr>
      </w:pPr>
      <w:r>
        <w:rPr>
          <w:b/>
          <w:bCs/>
          <w:sz w:val="20"/>
          <w:szCs w:val="20"/>
        </w:rPr>
        <w:t>5.</w:t>
      </w:r>
      <w:r>
        <w:rPr>
          <w:sz w:val="20"/>
          <w:szCs w:val="20"/>
        </w:rPr>
        <w:t xml:space="preserve"> </w:t>
      </w:r>
      <w:r>
        <w:rPr>
          <w:b/>
          <w:bCs/>
          <w:sz w:val="20"/>
          <w:szCs w:val="20"/>
        </w:rPr>
        <w:t>Investments and Fair Value Measurements</w:t>
      </w:r>
    </w:p>
    <w:p w:rsidR="00000000" w:rsidRDefault="00DE7B41">
      <w:pPr>
        <w:pStyle w:val="a3"/>
        <w:spacing w:before="0" w:beforeAutospacing="0" w:after="0" w:afterAutospacing="0"/>
        <w:divId w:val="1499350423"/>
        <w:rPr>
          <w:sz w:val="20"/>
          <w:szCs w:val="20"/>
        </w:rPr>
      </w:pPr>
      <w:r>
        <w:rPr>
          <w:sz w:val="10"/>
          <w:szCs w:val="10"/>
        </w:rPr>
        <w:t>​</w:t>
      </w:r>
    </w:p>
    <w:p w:rsidR="00000000" w:rsidRDefault="00DE7B41">
      <w:pPr>
        <w:pStyle w:val="a3"/>
        <w:spacing w:before="0" w:beforeAutospacing="0" w:after="0" w:afterAutospacing="0"/>
        <w:divId w:val="1499350423"/>
        <w:rPr>
          <w:sz w:val="20"/>
          <w:szCs w:val="20"/>
        </w:rPr>
      </w:pPr>
      <w:r>
        <w:rPr>
          <w:b/>
          <w:bCs/>
          <w:i/>
          <w:iCs/>
          <w:sz w:val="20"/>
          <w:szCs w:val="20"/>
        </w:rPr>
        <w:t>Available-for-Sale Securities</w:t>
      </w:r>
    </w:p>
    <w:p w:rsidR="00000000" w:rsidRDefault="00DE7B41">
      <w:pPr>
        <w:pStyle w:val="a3"/>
        <w:spacing w:before="0" w:beforeAutospacing="0" w:after="0" w:afterAutospacing="0"/>
        <w:divId w:val="1499350423"/>
        <w:rPr>
          <w:sz w:val="20"/>
          <w:szCs w:val="20"/>
        </w:rPr>
      </w:pPr>
      <w:r>
        <w:rPr>
          <w:sz w:val="10"/>
          <w:szCs w:val="10"/>
        </w:rPr>
        <w:t>​</w:t>
      </w:r>
    </w:p>
    <w:p w:rsidR="00000000" w:rsidRDefault="00DE7B41">
      <w:pPr>
        <w:pStyle w:val="a3"/>
        <w:spacing w:before="0" w:beforeAutospacing="0" w:after="0" w:afterAutospacing="0"/>
        <w:ind w:firstLine="720"/>
        <w:divId w:val="1499350423"/>
        <w:rPr>
          <w:sz w:val="20"/>
          <w:szCs w:val="20"/>
        </w:rPr>
      </w:pPr>
      <w:r>
        <w:rPr>
          <w:sz w:val="20"/>
          <w:szCs w:val="20"/>
        </w:rPr>
        <w:t xml:space="preserve">The estimated fair value of marketable securities is based on quoted market </w:t>
      </w:r>
      <w:r>
        <w:rPr>
          <w:sz w:val="20"/>
          <w:szCs w:val="20"/>
        </w:rPr>
        <w:t>prices for these or similar investments obtained from a commercial pricing service. The fair market value of marketable securities classified within Level 1 is based on quoted prices for identical instruments in active markets. The fair value of marketable</w:t>
      </w:r>
      <w:r>
        <w:rPr>
          <w:sz w:val="20"/>
          <w:szCs w:val="20"/>
        </w:rPr>
        <w:t xml:space="preserve"> securities classified within Level 2 is based on quoted prices for similar instruments in active markets; quoted prices for identical or similar instruments in </w:t>
      </w:r>
    </w:p>
    <w:p w:rsidR="00000000" w:rsidRDefault="00DE7B41">
      <w:pPr>
        <w:pStyle w:val="a3"/>
        <w:spacing w:before="360" w:beforeAutospacing="0" w:after="0" w:afterAutospacing="0"/>
        <w:jc w:val="center"/>
        <w:divId w:val="1571501398"/>
        <w:rPr>
          <w:sz w:val="20"/>
          <w:szCs w:val="20"/>
        </w:rPr>
      </w:pPr>
      <w:r>
        <w:rPr>
          <w:sz w:val="20"/>
          <w:szCs w:val="20"/>
        </w:rPr>
        <w:t>13</w:t>
      </w:r>
    </w:p>
    <w:p w:rsidR="00000000" w:rsidRDefault="00DE7B41">
      <w:pPr>
        <w:pStyle w:val="a3"/>
        <w:spacing w:before="0" w:beforeAutospacing="0" w:after="600" w:afterAutospacing="0"/>
        <w:divId w:val="1635603566"/>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2147120942"/>
        <w:rPr>
          <w:sz w:val="20"/>
          <w:szCs w:val="20"/>
        </w:rPr>
      </w:pPr>
      <w:r>
        <w:rPr>
          <w:sz w:val="20"/>
          <w:szCs w:val="20"/>
        </w:rPr>
        <w:t>markets that are not active; or model-driven va</w:t>
      </w:r>
      <w:r>
        <w:rPr>
          <w:sz w:val="20"/>
          <w:szCs w:val="20"/>
        </w:rPr>
        <w:t>luations whose inputs are observable or whose significant value drivers are observable. Observable inputs may include benchmark yields, reported trades, broker/dealer quotes, issuer spreads, two-sided markets, benchmark securities, bids, offers and referen</w:t>
      </w:r>
      <w:r>
        <w:rPr>
          <w:sz w:val="20"/>
          <w:szCs w:val="20"/>
        </w:rPr>
        <w:t xml:space="preserve">ce data including market research publications. </w:t>
      </w:r>
    </w:p>
    <w:p w:rsidR="00000000" w:rsidRDefault="00DE7B41">
      <w:pPr>
        <w:pStyle w:val="a3"/>
        <w:spacing w:before="0" w:beforeAutospacing="0" w:after="0" w:afterAutospacing="0"/>
        <w:ind w:firstLine="720"/>
        <w:divId w:val="2147120942"/>
        <w:rPr>
          <w:sz w:val="20"/>
          <w:szCs w:val="20"/>
        </w:rPr>
      </w:pPr>
      <w:r>
        <w:rPr>
          <w:sz w:val="20"/>
          <w:szCs w:val="20"/>
        </w:rPr>
        <w:t>​</w:t>
      </w:r>
    </w:p>
    <w:p w:rsidR="00000000" w:rsidRDefault="00DE7B41">
      <w:pPr>
        <w:pStyle w:val="a3"/>
        <w:spacing w:before="0" w:beforeAutospacing="0" w:after="0" w:afterAutospacing="0"/>
        <w:divId w:val="2147120942"/>
        <w:rPr>
          <w:sz w:val="20"/>
          <w:szCs w:val="20"/>
        </w:rPr>
      </w:pPr>
      <w:r>
        <w:rPr>
          <w:sz w:val="20"/>
          <w:szCs w:val="20"/>
        </w:rPr>
        <w:t>Available-for-sale securities are summarized below:</w:t>
      </w:r>
    </w:p>
    <w:p w:rsidR="00000000" w:rsidRDefault="00DE7B41">
      <w:pPr>
        <w:pStyle w:val="a3"/>
        <w:spacing w:before="0" w:beforeAutospacing="0" w:after="0" w:afterAutospacing="0"/>
        <w:ind w:firstLine="720"/>
        <w:divId w:val="2147120942"/>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2"/>
        <w:gridCol w:w="720"/>
        <w:gridCol w:w="160"/>
        <w:gridCol w:w="152"/>
        <w:gridCol w:w="623"/>
        <w:gridCol w:w="160"/>
        <w:gridCol w:w="152"/>
        <w:gridCol w:w="625"/>
        <w:gridCol w:w="160"/>
        <w:gridCol w:w="146"/>
        <w:gridCol w:w="720"/>
      </w:tblGrid>
      <w:tr w:rsidR="00000000">
        <w:trPr>
          <w:divId w:val="2147120942"/>
          <w:trHeight w:val="20"/>
        </w:trPr>
        <w:tc>
          <w:tcPr>
            <w:tcW w:w="2185"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76"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96"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r>
      <w:tr w:rsidR="00000000">
        <w:trPr>
          <w:divId w:val="2147120942"/>
        </w:trPr>
        <w:tc>
          <w:tcPr>
            <w:tcW w:w="21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7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2242"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March 31, 2020</w:t>
            </w:r>
          </w:p>
        </w:tc>
      </w:tr>
      <w:tr w:rsidR="00000000">
        <w:trPr>
          <w:divId w:val="2147120942"/>
        </w:trPr>
        <w:tc>
          <w:tcPr>
            <w:tcW w:w="21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37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9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r>
      <w:tr w:rsidR="00000000">
        <w:trPr>
          <w:divId w:val="2147120942"/>
        </w:trPr>
        <w:tc>
          <w:tcPr>
            <w:tcW w:w="21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7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Amortized</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95"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r>
      <w:tr w:rsidR="00000000">
        <w:trPr>
          <w:divId w:val="2147120942"/>
        </w:trPr>
        <w:tc>
          <w:tcPr>
            <w:tcW w:w="2185"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7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Cost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Gains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r>
      <w:tr w:rsidR="00000000">
        <w:trPr>
          <w:divId w:val="2147120942"/>
        </w:trPr>
        <w:tc>
          <w:tcPr>
            <w:tcW w:w="218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79,855</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490</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80,345</w:t>
            </w:r>
          </w:p>
        </w:tc>
      </w:tr>
      <w:tr w:rsidR="00000000">
        <w:trPr>
          <w:divId w:val="2147120942"/>
        </w:trPr>
        <w:tc>
          <w:tcPr>
            <w:tcW w:w="2185"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34,935</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17</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34,952</w:t>
            </w:r>
          </w:p>
        </w:tc>
      </w:tr>
      <w:tr w:rsidR="00000000">
        <w:trPr>
          <w:divId w:val="2147120942"/>
        </w:trPr>
        <w:tc>
          <w:tcPr>
            <w:tcW w:w="218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2,617</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2,615</w:t>
            </w:r>
          </w:p>
        </w:tc>
      </w:tr>
      <w:tr w:rsidR="00000000">
        <w:trPr>
          <w:divId w:val="2147120942"/>
        </w:trPr>
        <w:tc>
          <w:tcPr>
            <w:tcW w:w="218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114,603</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48</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(39)</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114,612</w:t>
            </w:r>
          </w:p>
        </w:tc>
      </w:tr>
      <w:tr w:rsidR="00000000">
        <w:trPr>
          <w:divId w:val="2147120942"/>
        </w:trPr>
        <w:tc>
          <w:tcPr>
            <w:tcW w:w="218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232,010</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555</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(41)</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232,524</w:t>
            </w:r>
          </w:p>
        </w:tc>
      </w:tr>
      <w:tr w:rsidR="00000000">
        <w:trPr>
          <w:divId w:val="2147120942"/>
        </w:trPr>
        <w:tc>
          <w:tcPr>
            <w:tcW w:w="218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200,579</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200,579</w:t>
            </w:r>
          </w:p>
        </w:tc>
      </w:tr>
      <w:tr w:rsidR="00000000">
        <w:trPr>
          <w:divId w:val="2147120942"/>
        </w:trPr>
        <w:tc>
          <w:tcPr>
            <w:tcW w:w="218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432,589</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555</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(41)</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433,103</w:t>
            </w:r>
          </w:p>
        </w:tc>
      </w:tr>
    </w:tbl>
    <w:p w:rsidR="00000000" w:rsidRDefault="00DE7B41">
      <w:pPr>
        <w:pStyle w:val="a3"/>
        <w:spacing w:before="0" w:beforeAutospacing="0" w:after="0" w:afterAutospacing="0"/>
        <w:divId w:val="2147120942"/>
        <w:rPr>
          <w:sz w:val="20"/>
          <w:szCs w:val="20"/>
        </w:rPr>
      </w:pPr>
      <w:r>
        <w:rPr>
          <w:sz w:val="10"/>
          <w:szCs w:val="10"/>
        </w:rPr>
        <w:t>​</w:t>
      </w:r>
    </w:p>
    <w:p w:rsidR="00000000" w:rsidRDefault="00DE7B41">
      <w:pPr>
        <w:pStyle w:val="a3"/>
        <w:spacing w:before="0" w:beforeAutospacing="0" w:after="0" w:afterAutospacing="0"/>
        <w:divId w:val="2147120942"/>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19"/>
        <w:gridCol w:w="160"/>
        <w:gridCol w:w="617"/>
        <w:gridCol w:w="160"/>
        <w:gridCol w:w="142"/>
        <w:gridCol w:w="720"/>
        <w:gridCol w:w="160"/>
        <w:gridCol w:w="152"/>
        <w:gridCol w:w="619"/>
        <w:gridCol w:w="160"/>
        <w:gridCol w:w="152"/>
        <w:gridCol w:w="621"/>
        <w:gridCol w:w="160"/>
        <w:gridCol w:w="144"/>
        <w:gridCol w:w="720"/>
      </w:tblGrid>
      <w:tr w:rsidR="00000000">
        <w:trPr>
          <w:divId w:val="2147120942"/>
          <w:trHeight w:val="20"/>
        </w:trPr>
        <w:tc>
          <w:tcPr>
            <w:tcW w:w="2185" w:type="pct"/>
            <w:tcMar>
              <w:top w:w="0" w:type="dxa"/>
              <w:left w:w="0" w:type="dxa"/>
              <w:bottom w:w="0" w:type="dxa"/>
              <w:right w:w="0" w:type="dxa"/>
            </w:tcMar>
            <w:vAlign w:val="center"/>
            <w:hideMark/>
          </w:tcPr>
          <w:p w:rsidR="00000000" w:rsidRDefault="00DE7B41">
            <w:pPr>
              <w:pStyle w:val="a3"/>
              <w:spacing w:before="0" w:beforeAutospacing="0" w:after="0" w:afterAutospacing="0"/>
              <w:divId w:val="1548225699"/>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17040324"/>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45233327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4182539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68342224"/>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3455505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926723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30191330"/>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93795515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8381836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32498932"/>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14296766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0421034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95569464"/>
              <w:rPr>
                <w:sz w:val="20"/>
                <w:szCs w:val="20"/>
              </w:rPr>
            </w:pPr>
            <w:r>
              <w:rPr>
                <w:sz w:val="2"/>
                <w:szCs w:val="2"/>
              </w:rPr>
              <w:t>​</w:t>
            </w:r>
          </w:p>
        </w:tc>
        <w:tc>
          <w:tcPr>
            <w:tcW w:w="387"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104420245"/>
              <w:rPr>
                <w:sz w:val="20"/>
                <w:szCs w:val="20"/>
              </w:rPr>
            </w:pPr>
            <w:r>
              <w:rPr>
                <w:sz w:val="2"/>
                <w:szCs w:val="2"/>
              </w:rPr>
              <w:t>​</w:t>
            </w:r>
          </w:p>
        </w:tc>
      </w:tr>
      <w:tr w:rsidR="00000000">
        <w:trPr>
          <w:divId w:val="2147120942"/>
        </w:trPr>
        <w:tc>
          <w:tcPr>
            <w:tcW w:w="21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2233"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December 31, 2019</w:t>
            </w:r>
          </w:p>
        </w:tc>
      </w:tr>
      <w:tr w:rsidR="00000000">
        <w:trPr>
          <w:divId w:val="2147120942"/>
        </w:trPr>
        <w:tc>
          <w:tcPr>
            <w:tcW w:w="21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3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8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r>
      <w:tr w:rsidR="00000000">
        <w:trPr>
          <w:divId w:val="2147120942"/>
        </w:trPr>
        <w:tc>
          <w:tcPr>
            <w:tcW w:w="21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Amortized</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r>
      <w:tr w:rsidR="00000000">
        <w:trPr>
          <w:divId w:val="2147120942"/>
        </w:trPr>
        <w:tc>
          <w:tcPr>
            <w:tcW w:w="2185"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385"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Cost</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Gains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c>
          <w:tcPr>
            <w:tcW w:w="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r>
      <w:tr w:rsidR="00000000">
        <w:trPr>
          <w:divId w:val="2147120942"/>
        </w:trPr>
        <w:tc>
          <w:tcPr>
            <w:tcW w:w="2185"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100,746</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108</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100,854</w:t>
            </w:r>
          </w:p>
        </w:tc>
      </w:tr>
      <w:tr w:rsidR="00000000">
        <w:trPr>
          <w:divId w:val="2147120942"/>
        </w:trPr>
        <w:tc>
          <w:tcPr>
            <w:tcW w:w="2185"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Corporate notes</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25,466</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9</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(1)</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387"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25,474</w:t>
            </w:r>
          </w:p>
        </w:tc>
      </w:tr>
      <w:tr w:rsidR="00000000">
        <w:trPr>
          <w:divId w:val="2147120942"/>
        </w:trPr>
        <w:tc>
          <w:tcPr>
            <w:tcW w:w="218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Commercial paper</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112,066</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31</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112,095</w:t>
            </w:r>
          </w:p>
        </w:tc>
      </w:tr>
      <w:tr w:rsidR="00000000">
        <w:trPr>
          <w:divId w:val="2147120942"/>
        </w:trPr>
        <w:tc>
          <w:tcPr>
            <w:tcW w:w="2185" w:type="pct"/>
            <w:tcMar>
              <w:top w:w="0" w:type="dxa"/>
              <w:left w:w="0" w:type="dxa"/>
              <w:bottom w:w="0" w:type="dxa"/>
              <w:right w:w="0" w:type="dxa"/>
            </w:tcMar>
            <w:vAlign w:val="bottom"/>
            <w:hideMark/>
          </w:tcPr>
          <w:p w:rsidR="00000000" w:rsidRDefault="00DE7B41">
            <w:pPr>
              <w:pStyle w:val="a3"/>
              <w:spacing w:before="0" w:beforeAutospacing="0" w:after="0" w:afterAutospacing="0"/>
              <w:ind w:left="120"/>
              <w:rPr>
                <w:sz w:val="20"/>
                <w:szCs w:val="20"/>
              </w:rPr>
            </w:pPr>
            <w:r>
              <w:rPr>
                <w:sz w:val="20"/>
                <w:szCs w:val="20"/>
              </w:rPr>
              <w:t>Marketable securities</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238,278</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148</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238,423</w:t>
            </w:r>
          </w:p>
        </w:tc>
      </w:tr>
      <w:tr w:rsidR="00000000">
        <w:trPr>
          <w:divId w:val="2147120942"/>
        </w:trPr>
        <w:tc>
          <w:tcPr>
            <w:tcW w:w="218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xml:space="preserve">Money market funds </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35,736</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35,736</w:t>
            </w:r>
          </w:p>
        </w:tc>
      </w:tr>
      <w:tr w:rsidR="00000000">
        <w:trPr>
          <w:divId w:val="2147120942"/>
        </w:trPr>
        <w:tc>
          <w:tcPr>
            <w:tcW w:w="2185" w:type="pct"/>
            <w:tcMar>
              <w:top w:w="0" w:type="dxa"/>
              <w:left w:w="0" w:type="dxa"/>
              <w:bottom w:w="0" w:type="dxa"/>
              <w:right w:w="0" w:type="dxa"/>
            </w:tcMar>
            <w:vAlign w:val="center"/>
            <w:hideMark/>
          </w:tcPr>
          <w:p w:rsidR="00000000" w:rsidRDefault="00DE7B41">
            <w:pPr>
              <w:pStyle w:val="a3"/>
              <w:spacing w:before="0" w:beforeAutospacing="0" w:after="0" w:afterAutospacing="0"/>
              <w:ind w:left="240"/>
              <w:rPr>
                <w:sz w:val="20"/>
                <w:szCs w:val="20"/>
              </w:rPr>
            </w:pPr>
            <w:r>
              <w:rPr>
                <w:sz w:val="20"/>
                <w:szCs w:val="20"/>
              </w:rPr>
              <w:t xml:space="preserve">Total </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274,014</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148</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87" w:type="pct"/>
            <w:tcBorders>
              <w:bottom w:val="doub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274,159</w:t>
            </w:r>
          </w:p>
        </w:tc>
      </w:tr>
    </w:tbl>
    <w:p w:rsidR="00000000" w:rsidRDefault="00DE7B41">
      <w:pPr>
        <w:pStyle w:val="a3"/>
        <w:spacing w:before="0" w:beforeAutospacing="0" w:after="0" w:afterAutospacing="0"/>
        <w:divId w:val="2147120942"/>
        <w:rPr>
          <w:sz w:val="20"/>
          <w:szCs w:val="20"/>
        </w:rPr>
      </w:pPr>
      <w:r>
        <w:rPr>
          <w:sz w:val="20"/>
          <w:szCs w:val="20"/>
        </w:rPr>
        <w:t>​</w:t>
      </w:r>
    </w:p>
    <w:p w:rsidR="00000000" w:rsidRDefault="00DE7B41">
      <w:pPr>
        <w:pStyle w:val="a3"/>
        <w:spacing w:before="0" w:beforeAutospacing="0" w:after="0" w:afterAutospacing="0"/>
        <w:ind w:firstLine="720"/>
        <w:divId w:val="2147120942"/>
        <w:rPr>
          <w:sz w:val="20"/>
          <w:szCs w:val="20"/>
        </w:rPr>
      </w:pPr>
      <w:r>
        <w:rPr>
          <w:sz w:val="20"/>
          <w:szCs w:val="20"/>
        </w:rPr>
        <w:t>As of March 31, 2020, all of the available-for-sale securities had contractual maturities within 13 months and the weighted-average maturity of marketable securities was approximately 2 months. There have been no material changes to the Company’s valuation</w:t>
      </w:r>
      <w:r>
        <w:rPr>
          <w:sz w:val="20"/>
          <w:szCs w:val="20"/>
        </w:rPr>
        <w:t xml:space="preserve"> techniques during the three months ended March 31, 2020. </w:t>
      </w:r>
    </w:p>
    <w:p w:rsidR="00000000" w:rsidRDefault="00DE7B41">
      <w:pPr>
        <w:pStyle w:val="a3"/>
        <w:spacing w:before="0" w:beforeAutospacing="0" w:after="0" w:afterAutospacing="0"/>
        <w:divId w:val="2147120942"/>
        <w:rPr>
          <w:sz w:val="20"/>
          <w:szCs w:val="20"/>
        </w:rPr>
      </w:pPr>
      <w:r>
        <w:rPr>
          <w:sz w:val="20"/>
          <w:szCs w:val="20"/>
        </w:rPr>
        <w:t>​</w:t>
      </w:r>
    </w:p>
    <w:p w:rsidR="00000000" w:rsidRDefault="00DE7B41">
      <w:pPr>
        <w:pStyle w:val="a3"/>
        <w:spacing w:before="0" w:beforeAutospacing="0" w:after="0" w:afterAutospacing="0"/>
        <w:ind w:firstLine="720"/>
        <w:divId w:val="2147120942"/>
        <w:rPr>
          <w:sz w:val="20"/>
          <w:szCs w:val="20"/>
        </w:rPr>
      </w:pPr>
      <w:r>
        <w:rPr>
          <w:sz w:val="20"/>
          <w:szCs w:val="20"/>
        </w:rPr>
        <w:t>Available-for-sale debt securities with unrealized losses are summarized below:</w:t>
      </w:r>
    </w:p>
    <w:p w:rsidR="00000000" w:rsidRDefault="00DE7B41">
      <w:pPr>
        <w:pStyle w:val="a3"/>
        <w:spacing w:before="0" w:beforeAutospacing="0" w:after="0" w:afterAutospacing="0"/>
        <w:ind w:firstLine="720"/>
        <w:divId w:val="214712094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12"/>
        <w:gridCol w:w="160"/>
        <w:gridCol w:w="130"/>
        <w:gridCol w:w="621"/>
        <w:gridCol w:w="161"/>
        <w:gridCol w:w="151"/>
        <w:gridCol w:w="596"/>
        <w:gridCol w:w="6"/>
        <w:gridCol w:w="151"/>
        <w:gridCol w:w="601"/>
        <w:gridCol w:w="150"/>
        <w:gridCol w:w="150"/>
        <w:gridCol w:w="606"/>
        <w:gridCol w:w="160"/>
        <w:gridCol w:w="147"/>
        <w:gridCol w:w="620"/>
        <w:gridCol w:w="37"/>
        <w:gridCol w:w="148"/>
        <w:gridCol w:w="599"/>
      </w:tblGrid>
      <w:tr w:rsidR="00000000">
        <w:trPr>
          <w:divId w:val="2147120942"/>
          <w:trHeight w:val="20"/>
        </w:trPr>
        <w:tc>
          <w:tcPr>
            <w:tcW w:w="1924" w:type="pct"/>
            <w:tcMar>
              <w:top w:w="0" w:type="dxa"/>
              <w:left w:w="0" w:type="dxa"/>
              <w:bottom w:w="0" w:type="dxa"/>
              <w:right w:w="0" w:type="dxa"/>
            </w:tcMar>
            <w:vAlign w:val="center"/>
            <w:hideMark/>
          </w:tcPr>
          <w:p w:rsidR="00000000" w:rsidRDefault="00DE7B41">
            <w:pPr>
              <w:pStyle w:val="a3"/>
              <w:spacing w:before="0" w:beforeAutospacing="0" w:after="0" w:afterAutospacing="0"/>
              <w:divId w:val="155381309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2144888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78016990"/>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00770888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86266916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4055680"/>
              <w:rPr>
                <w:sz w:val="20"/>
                <w:szCs w:val="20"/>
              </w:rPr>
            </w:pPr>
            <w:r>
              <w:rPr>
                <w:sz w:val="2"/>
                <w:szCs w:val="2"/>
              </w:rPr>
              <w:t>​</w:t>
            </w:r>
          </w:p>
        </w:tc>
        <w:tc>
          <w:tcPr>
            <w:tcW w:w="341"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637615501"/>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94387999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59735854"/>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556279636"/>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87890604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55286250"/>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53126556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777983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19308787"/>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075200767"/>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24793112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24927051"/>
              <w:rPr>
                <w:sz w:val="20"/>
                <w:szCs w:val="20"/>
              </w:rPr>
            </w:pPr>
            <w:r>
              <w:rPr>
                <w:sz w:val="2"/>
                <w:szCs w:val="2"/>
              </w:rPr>
              <w:t>​</w:t>
            </w:r>
          </w:p>
        </w:tc>
        <w:tc>
          <w:tcPr>
            <w:tcW w:w="341"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099450095"/>
              <w:rPr>
                <w:sz w:val="20"/>
                <w:szCs w:val="20"/>
              </w:rPr>
            </w:pPr>
            <w:r>
              <w:rPr>
                <w:sz w:val="2"/>
                <w:szCs w:val="2"/>
              </w:rPr>
              <w:t>​</w:t>
            </w:r>
          </w:p>
        </w:tc>
      </w:tr>
      <w:tr w:rsidR="00000000">
        <w:trPr>
          <w:divId w:val="2147120942"/>
        </w:trPr>
        <w:tc>
          <w:tcPr>
            <w:tcW w:w="192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color w:val="0563C1"/>
                <w:sz w:val="28"/>
                <w:szCs w:val="28"/>
                <w:u w:val="single"/>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2989" w:type="pct"/>
            <w:gridSpan w:val="17"/>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March 31, 2020</w:t>
            </w:r>
          </w:p>
        </w:tc>
      </w:tr>
      <w:tr w:rsidR="00000000">
        <w:trPr>
          <w:divId w:val="2147120942"/>
        </w:trPr>
        <w:tc>
          <w:tcPr>
            <w:tcW w:w="192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4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Less than 12 Months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Greater than 12 Months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39"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Total</w:t>
            </w:r>
          </w:p>
        </w:tc>
      </w:tr>
      <w:tr w:rsidR="00000000">
        <w:trPr>
          <w:divId w:val="2147120942"/>
        </w:trPr>
        <w:tc>
          <w:tcPr>
            <w:tcW w:w="192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4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27"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3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3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7"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r>
      <w:tr w:rsidR="00000000">
        <w:trPr>
          <w:divId w:val="2147120942"/>
        </w:trPr>
        <w:tc>
          <w:tcPr>
            <w:tcW w:w="192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7"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5"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5"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7"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r>
      <w:tr w:rsidR="00000000">
        <w:trPr>
          <w:divId w:val="2147120942"/>
        </w:trPr>
        <w:tc>
          <w:tcPr>
            <w:tcW w:w="1924"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8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r>
      <w:tr w:rsidR="00000000">
        <w:trPr>
          <w:divId w:val="2147120942"/>
        </w:trPr>
        <w:tc>
          <w:tcPr>
            <w:tcW w:w="1924"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Corporate notes</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2,615</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(2)</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2,615</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(2)</w:t>
            </w:r>
          </w:p>
        </w:tc>
      </w:tr>
      <w:tr w:rsidR="00000000">
        <w:trPr>
          <w:divId w:val="2147120942"/>
        </w:trPr>
        <w:tc>
          <w:tcPr>
            <w:tcW w:w="1924"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44,606</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(39)</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44,606</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(39)</w:t>
            </w:r>
          </w:p>
        </w:tc>
      </w:tr>
      <w:tr w:rsidR="00000000">
        <w:trPr>
          <w:divId w:val="2147120942"/>
        </w:trPr>
        <w:tc>
          <w:tcPr>
            <w:tcW w:w="1924"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ind w:left="240"/>
              <w:rPr>
                <w:sz w:val="20"/>
                <w:szCs w:val="20"/>
              </w:rPr>
            </w:pPr>
            <w:r>
              <w:rPr>
                <w:sz w:val="20"/>
                <w:szCs w:val="20"/>
              </w:rPr>
              <w:t xml:space="preserve">Total </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47,221</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(41)</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47,221</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(41)</w:t>
            </w:r>
          </w:p>
        </w:tc>
      </w:tr>
    </w:tbl>
    <w:p w:rsidR="00000000" w:rsidRDefault="00DE7B41">
      <w:pPr>
        <w:pStyle w:val="a3"/>
        <w:spacing w:before="0" w:beforeAutospacing="0" w:after="0" w:afterAutospacing="0"/>
        <w:divId w:val="214712094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29"/>
        <w:gridCol w:w="160"/>
        <w:gridCol w:w="127"/>
        <w:gridCol w:w="621"/>
        <w:gridCol w:w="161"/>
        <w:gridCol w:w="147"/>
        <w:gridCol w:w="600"/>
        <w:gridCol w:w="6"/>
        <w:gridCol w:w="151"/>
        <w:gridCol w:w="601"/>
        <w:gridCol w:w="150"/>
        <w:gridCol w:w="150"/>
        <w:gridCol w:w="606"/>
        <w:gridCol w:w="160"/>
        <w:gridCol w:w="147"/>
        <w:gridCol w:w="620"/>
        <w:gridCol w:w="23"/>
        <w:gridCol w:w="162"/>
        <w:gridCol w:w="585"/>
      </w:tblGrid>
      <w:tr w:rsidR="00000000">
        <w:trPr>
          <w:divId w:val="2147120942"/>
          <w:trHeight w:val="20"/>
        </w:trPr>
        <w:tc>
          <w:tcPr>
            <w:tcW w:w="1938" w:type="pct"/>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59"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
                <w:szCs w:val="2"/>
              </w:rPr>
              <w:t>​</w:t>
            </w:r>
          </w:p>
        </w:tc>
        <w:tc>
          <w:tcPr>
            <w:tcW w:w="305" w:type="pct"/>
            <w:noWrap/>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
                <w:szCs w:val="2"/>
              </w:rPr>
              <w:t>​</w:t>
            </w:r>
          </w:p>
        </w:tc>
      </w:tr>
      <w:tr w:rsidR="00000000">
        <w:trPr>
          <w:divId w:val="2147120942"/>
        </w:trPr>
        <w:tc>
          <w:tcPr>
            <w:tcW w:w="193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2975" w:type="pct"/>
            <w:gridSpan w:val="17"/>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December 31, 2019</w:t>
            </w:r>
          </w:p>
        </w:tc>
      </w:tr>
      <w:tr w:rsidR="00000000">
        <w:trPr>
          <w:divId w:val="2147120942"/>
        </w:trPr>
        <w:tc>
          <w:tcPr>
            <w:tcW w:w="193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6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Less than 12 Months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Greater than 12 Months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0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Total</w:t>
            </w:r>
          </w:p>
        </w:tc>
      </w:tr>
      <w:tr w:rsidR="00000000">
        <w:trPr>
          <w:divId w:val="2147120942"/>
        </w:trPr>
        <w:tc>
          <w:tcPr>
            <w:tcW w:w="1938"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5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30"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3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3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90"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Gross</w:t>
            </w:r>
          </w:p>
        </w:tc>
      </w:tr>
      <w:tr w:rsidR="00000000">
        <w:trPr>
          <w:divId w:val="2147120942"/>
        </w:trPr>
        <w:tc>
          <w:tcPr>
            <w:tcW w:w="193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45"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30"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5"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6"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5"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Estimated</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90" w:type="pct"/>
            <w:gridSpan w:val="2"/>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Unrealized</w:t>
            </w:r>
          </w:p>
        </w:tc>
      </w:tr>
      <w:tr w:rsidR="00000000">
        <w:trPr>
          <w:divId w:val="2147120942"/>
        </w:trPr>
        <w:tc>
          <w:tcPr>
            <w:tcW w:w="1938"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8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c>
          <w:tcPr>
            <w:tcW w:w="8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3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Fair Value</w:t>
            </w:r>
          </w:p>
        </w:tc>
        <w:tc>
          <w:tcPr>
            <w:tcW w:w="8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9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Losses</w:t>
            </w:r>
          </w:p>
        </w:tc>
      </w:tr>
      <w:tr w:rsidR="00000000">
        <w:trPr>
          <w:divId w:val="2147120942"/>
        </w:trPr>
        <w:tc>
          <w:tcPr>
            <w:tcW w:w="1938"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Corporate notes</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59"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5,507</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5,507</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(1)</w:t>
            </w:r>
          </w:p>
        </w:tc>
      </w:tr>
      <w:tr w:rsidR="00000000">
        <w:trPr>
          <w:divId w:val="2147120942"/>
        </w:trPr>
        <w:tc>
          <w:tcPr>
            <w:tcW w:w="1938"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59"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28,137</w:t>
            </w:r>
          </w:p>
        </w:tc>
        <w:tc>
          <w:tcPr>
            <w:tcW w:w="86"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(2)</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28,137</w:t>
            </w:r>
          </w:p>
        </w:tc>
        <w:tc>
          <w:tcPr>
            <w:tcW w:w="85" w:type="pct"/>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05"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(2)</w:t>
            </w:r>
          </w:p>
        </w:tc>
      </w:tr>
      <w:tr w:rsidR="00000000">
        <w:trPr>
          <w:divId w:val="2147120942"/>
        </w:trPr>
        <w:tc>
          <w:tcPr>
            <w:tcW w:w="1938" w:type="pct"/>
            <w:shd w:val="clear" w:color="auto" w:fill="CCEEFF"/>
            <w:tcMar>
              <w:top w:w="0" w:type="dxa"/>
              <w:left w:w="0" w:type="dxa"/>
              <w:bottom w:w="0" w:type="dxa"/>
              <w:right w:w="0" w:type="dxa"/>
            </w:tcMar>
            <w:vAlign w:val="center"/>
            <w:hideMark/>
          </w:tcPr>
          <w:p w:rsidR="00000000" w:rsidRDefault="00DE7B41">
            <w:pPr>
              <w:pStyle w:val="a3"/>
              <w:spacing w:before="0" w:beforeAutospacing="0" w:after="0" w:afterAutospacing="0"/>
              <w:ind w:left="240"/>
              <w:rPr>
                <w:sz w:val="20"/>
                <w:szCs w:val="20"/>
              </w:rPr>
            </w:pPr>
            <w:r>
              <w:rPr>
                <w:sz w:val="20"/>
                <w:szCs w:val="20"/>
              </w:rPr>
              <w:t>Total</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5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33,644</w:t>
            </w:r>
          </w:p>
        </w:tc>
        <w:tc>
          <w:tcPr>
            <w:tcW w:w="8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w:t>
            </w:r>
          </w:p>
        </w:tc>
        <w:tc>
          <w:tcPr>
            <w:tcW w:w="85"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33,644</w:t>
            </w:r>
          </w:p>
        </w:tc>
        <w:tc>
          <w:tcPr>
            <w:tcW w:w="85"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30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jc w:val="right"/>
              <w:rPr>
                <w:sz w:val="20"/>
                <w:szCs w:val="20"/>
              </w:rPr>
            </w:pPr>
            <w:r>
              <w:rPr>
                <w:sz w:val="20"/>
                <w:szCs w:val="20"/>
              </w:rPr>
              <w:t>(3)</w:t>
            </w:r>
          </w:p>
        </w:tc>
      </w:tr>
    </w:tbl>
    <w:p w:rsidR="00000000" w:rsidRDefault="00DE7B41">
      <w:pPr>
        <w:pStyle w:val="a3"/>
        <w:spacing w:before="0" w:beforeAutospacing="0" w:after="0" w:afterAutospacing="0"/>
        <w:divId w:val="2147120942"/>
        <w:rPr>
          <w:sz w:val="20"/>
          <w:szCs w:val="20"/>
        </w:rPr>
      </w:pPr>
      <w:r>
        <w:rPr>
          <w:sz w:val="20"/>
          <w:szCs w:val="20"/>
        </w:rPr>
        <w:t>​</w:t>
      </w:r>
    </w:p>
    <w:p w:rsidR="00000000" w:rsidRDefault="00DE7B41">
      <w:pPr>
        <w:pStyle w:val="a3"/>
        <w:spacing w:before="0" w:beforeAutospacing="0" w:after="0" w:afterAutospacing="0"/>
        <w:ind w:firstLine="720"/>
        <w:divId w:val="2147120942"/>
        <w:rPr>
          <w:sz w:val="20"/>
          <w:szCs w:val="20"/>
        </w:rPr>
      </w:pPr>
      <w:r>
        <w:rPr>
          <w:sz w:val="20"/>
          <w:szCs w:val="20"/>
        </w:rPr>
        <w:t>The</w:t>
      </w:r>
      <w:r>
        <w:rPr>
          <w:sz w:val="20"/>
          <w:szCs w:val="20"/>
        </w:rPr>
        <w:t xml:space="preserve"> Company invests primarily in </w:t>
      </w:r>
      <w:r>
        <w:rPr>
          <w:sz w:val="20"/>
          <w:szCs w:val="20"/>
          <w:shd w:val="clear" w:color="auto" w:fill="FFFFFF"/>
        </w:rPr>
        <w:t xml:space="preserve">high credit quality and short-term maturity </w:t>
      </w:r>
      <w:r>
        <w:rPr>
          <w:sz w:val="20"/>
          <w:szCs w:val="20"/>
        </w:rPr>
        <w:t>debt securities with the intent to hold such securities until maturity at par value. The Company does not intend to sell the investments that are currently in an unrealized loss posi</w:t>
      </w:r>
      <w:r>
        <w:rPr>
          <w:sz w:val="20"/>
          <w:szCs w:val="20"/>
        </w:rPr>
        <w:t xml:space="preserve">tion, and it is unlikely that it will be required to sell the investments before recovery of their amortized </w:t>
      </w:r>
    </w:p>
    <w:p w:rsidR="00000000" w:rsidRDefault="00DE7B41">
      <w:pPr>
        <w:pStyle w:val="a3"/>
        <w:spacing w:before="360" w:beforeAutospacing="0" w:after="0" w:afterAutospacing="0"/>
        <w:jc w:val="center"/>
        <w:divId w:val="1393775730"/>
        <w:rPr>
          <w:sz w:val="20"/>
          <w:szCs w:val="20"/>
        </w:rPr>
      </w:pPr>
      <w:r>
        <w:rPr>
          <w:sz w:val="20"/>
          <w:szCs w:val="20"/>
        </w:rPr>
        <w:t>14</w:t>
      </w:r>
    </w:p>
    <w:p w:rsidR="00000000" w:rsidRDefault="00DE7B41">
      <w:pPr>
        <w:pStyle w:val="a3"/>
        <w:spacing w:before="0" w:beforeAutospacing="0" w:after="600" w:afterAutospacing="0"/>
        <w:divId w:val="1866364312"/>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960910590"/>
        <w:rPr>
          <w:sz w:val="20"/>
          <w:szCs w:val="20"/>
        </w:rPr>
      </w:pPr>
      <w:r>
        <w:rPr>
          <w:sz w:val="20"/>
          <w:szCs w:val="20"/>
        </w:rPr>
        <w:t xml:space="preserve">cost basis, which may be maturity. </w:t>
      </w:r>
      <w:r>
        <w:rPr>
          <w:sz w:val="20"/>
          <w:szCs w:val="20"/>
          <w:shd w:val="clear" w:color="auto" w:fill="FFFFFF"/>
        </w:rPr>
        <w:t>T</w:t>
      </w:r>
      <w:r>
        <w:rPr>
          <w:sz w:val="20"/>
          <w:szCs w:val="20"/>
        </w:rPr>
        <w:t>he Company reviewed its available-for-sale debt securities and determined that there were no credit-related losses to be recognized as of March 31, 2020.</w:t>
      </w:r>
      <w:r>
        <w:rPr>
          <w:sz w:val="20"/>
          <w:szCs w:val="20"/>
        </w:rPr>
        <w:t xml:space="preserve"> </w:t>
      </w:r>
    </w:p>
    <w:p w:rsidR="00000000" w:rsidRDefault="00DE7B41">
      <w:pPr>
        <w:pStyle w:val="a3"/>
        <w:spacing w:before="0" w:beforeAutospacing="0" w:after="0" w:afterAutospacing="0"/>
        <w:divId w:val="1960910590"/>
        <w:rPr>
          <w:sz w:val="20"/>
          <w:szCs w:val="20"/>
        </w:rPr>
      </w:pPr>
      <w:r>
        <w:rPr>
          <w:sz w:val="20"/>
          <w:szCs w:val="20"/>
        </w:rPr>
        <w:t>​</w:t>
      </w:r>
    </w:p>
    <w:p w:rsidR="00000000" w:rsidRDefault="00DE7B41">
      <w:pPr>
        <w:pStyle w:val="a3"/>
        <w:spacing w:before="0" w:beforeAutospacing="0" w:after="0" w:afterAutospacing="0"/>
        <w:ind w:firstLine="720"/>
        <w:divId w:val="1960910590"/>
        <w:rPr>
          <w:sz w:val="20"/>
          <w:szCs w:val="20"/>
        </w:rPr>
      </w:pPr>
      <w:r>
        <w:rPr>
          <w:sz w:val="20"/>
          <w:szCs w:val="20"/>
        </w:rPr>
        <w:t xml:space="preserve">As of March 31, 2020, the Company’s accumulated other comprehensive income (loss) on its condensed </w:t>
      </w:r>
      <w:r>
        <w:rPr>
          <w:sz w:val="20"/>
          <w:szCs w:val="20"/>
        </w:rPr>
        <w:t>consolidated balance sheets consisted of net unrealized gains or losses on available-for-sale investments. During the three months ended March 31, 2020, the Company sold marketable securities for total proceeds of $14.9 million and recognized a minimal net</w:t>
      </w:r>
      <w:r>
        <w:rPr>
          <w:sz w:val="20"/>
          <w:szCs w:val="20"/>
        </w:rPr>
        <w:t xml:space="preserve"> realized gain from the sales based on the specific identification method. The Company did not sell any of its marketable securities for the three months ended March 31, 2019.</w:t>
      </w:r>
    </w:p>
    <w:p w:rsidR="00000000" w:rsidRDefault="00DE7B41">
      <w:pPr>
        <w:pStyle w:val="a3"/>
        <w:spacing w:before="0" w:beforeAutospacing="0" w:after="0" w:afterAutospacing="0"/>
        <w:ind w:firstLine="720"/>
        <w:divId w:val="1960910590"/>
        <w:rPr>
          <w:sz w:val="20"/>
          <w:szCs w:val="20"/>
        </w:rPr>
      </w:pPr>
      <w:r>
        <w:rPr>
          <w:sz w:val="20"/>
          <w:szCs w:val="20"/>
        </w:rPr>
        <w:t>​</w:t>
      </w:r>
    </w:p>
    <w:p w:rsidR="00000000" w:rsidRDefault="00DE7B41">
      <w:pPr>
        <w:pStyle w:val="a3"/>
        <w:spacing w:before="0" w:beforeAutospacing="0" w:after="0" w:afterAutospacing="0"/>
        <w:divId w:val="1960910590"/>
        <w:rPr>
          <w:sz w:val="20"/>
          <w:szCs w:val="20"/>
        </w:rPr>
      </w:pPr>
      <w:r>
        <w:rPr>
          <w:b/>
          <w:bCs/>
          <w:sz w:val="20"/>
          <w:szCs w:val="20"/>
        </w:rPr>
        <w:t xml:space="preserve">6. Long-Term Debt </w:t>
      </w:r>
    </w:p>
    <w:p w:rsidR="00000000" w:rsidRDefault="00DE7B41">
      <w:pPr>
        <w:pStyle w:val="a3"/>
        <w:spacing w:before="0" w:beforeAutospacing="0" w:after="0" w:afterAutospacing="0"/>
        <w:divId w:val="1960910590"/>
        <w:rPr>
          <w:sz w:val="20"/>
          <w:szCs w:val="20"/>
        </w:rPr>
      </w:pPr>
      <w:r>
        <w:rPr>
          <w:b/>
          <w:bCs/>
          <w:sz w:val="10"/>
          <w:szCs w:val="10"/>
        </w:rPr>
        <w:t>​</w:t>
      </w:r>
    </w:p>
    <w:p w:rsidR="00000000" w:rsidRDefault="00DE7B41">
      <w:pPr>
        <w:pStyle w:val="a3"/>
        <w:shd w:val="clear" w:color="auto" w:fill="FFFFFF"/>
        <w:spacing w:before="0" w:beforeAutospacing="0" w:after="0" w:afterAutospacing="0"/>
        <w:divId w:val="1960910590"/>
        <w:rPr>
          <w:sz w:val="20"/>
          <w:szCs w:val="20"/>
        </w:rPr>
      </w:pPr>
      <w:r>
        <w:rPr>
          <w:b/>
          <w:bCs/>
          <w:i/>
          <w:iCs/>
          <w:sz w:val="20"/>
          <w:szCs w:val="20"/>
        </w:rPr>
        <w:t>9.5% Non-Recourse Notes Due 2035</w:t>
      </w:r>
    </w:p>
    <w:p w:rsidR="00000000" w:rsidRDefault="00DE7B41">
      <w:pPr>
        <w:pStyle w:val="a3"/>
        <w:shd w:val="clear" w:color="auto" w:fill="FFFFFF"/>
        <w:spacing w:before="0" w:beforeAutospacing="0" w:after="0" w:afterAutospacing="0"/>
        <w:divId w:val="1960910590"/>
        <w:rPr>
          <w:sz w:val="20"/>
          <w:szCs w:val="20"/>
        </w:rPr>
      </w:pPr>
      <w:r>
        <w:rPr>
          <w:sz w:val="10"/>
          <w:szCs w:val="10"/>
        </w:rPr>
        <w:t>​</w:t>
      </w:r>
    </w:p>
    <w:p w:rsidR="00000000" w:rsidRDefault="00DE7B41">
      <w:pPr>
        <w:pStyle w:val="a3"/>
        <w:shd w:val="clear" w:color="auto" w:fill="FFFFFF"/>
        <w:spacing w:before="0" w:beforeAutospacing="0" w:after="0" w:afterAutospacing="0"/>
        <w:ind w:firstLine="720"/>
        <w:divId w:val="1960910590"/>
        <w:rPr>
          <w:sz w:val="20"/>
          <w:szCs w:val="20"/>
        </w:rPr>
      </w:pPr>
      <w:r>
        <w:rPr>
          <w:sz w:val="20"/>
          <w:szCs w:val="20"/>
        </w:rPr>
        <w:t xml:space="preserve">On February 21, 2020, </w:t>
      </w:r>
      <w:r>
        <w:rPr>
          <w:sz w:val="20"/>
          <w:szCs w:val="20"/>
        </w:rPr>
        <w:t>Theravance Biopharma R&amp;D, Inc. (“Theravance R&amp;D”), a wholly-owned subsidiary of the Company, and Triple Royalty Sub II LLC (the “Issuer II” or “Triple II), a wholly-owned subsidiary of Theravance Biopharma R&amp;D, entered into certain note purchase agreements</w:t>
      </w:r>
      <w:r>
        <w:rPr>
          <w:sz w:val="20"/>
          <w:szCs w:val="20"/>
        </w:rPr>
        <w:t xml:space="preserve"> (“Note Purchase Agreements”) with certain note purchasers (“Note Purchasers”), relating to the private placement by Issuer II of $400.0 million 9.5% Fixed Rate Term Notes due on or before 2035 (the “Non-Recourse 2035 Notes”). Ninety-five percent of the No</w:t>
      </w:r>
      <w:r>
        <w:rPr>
          <w:sz w:val="20"/>
          <w:szCs w:val="20"/>
        </w:rPr>
        <w:t>n-Recourse 2035 Notes were sold to the Note Purchasers pursuant to the Note Purchase Agreements. The remaining 5% of the Non-Recourse 2035 Notes (the “Retained Notes”) were retained by the Company to comply with Regulation RR — Credit Risk Retention (17 C.</w:t>
      </w:r>
      <w:r>
        <w:rPr>
          <w:sz w:val="20"/>
          <w:szCs w:val="20"/>
        </w:rPr>
        <w:t>F.R. Part 246). The Retained Notes are eliminated in the Company’s condensed consolidated financial statements. The transaction closed on February 28, 2020.</w:t>
      </w:r>
    </w:p>
    <w:p w:rsidR="00000000" w:rsidRDefault="00DE7B41">
      <w:pPr>
        <w:pStyle w:val="a3"/>
        <w:shd w:val="clear" w:color="auto" w:fill="FFFFFF"/>
        <w:spacing w:before="0" w:beforeAutospacing="0" w:after="0" w:afterAutospacing="0"/>
        <w:ind w:firstLine="720"/>
        <w:divId w:val="1960910590"/>
        <w:rPr>
          <w:sz w:val="20"/>
          <w:szCs w:val="20"/>
        </w:rPr>
      </w:pPr>
      <w:r>
        <w:rPr>
          <w:sz w:val="20"/>
          <w:szCs w:val="20"/>
        </w:rPr>
        <w:t>​</w:t>
      </w:r>
    </w:p>
    <w:p w:rsidR="00000000" w:rsidRDefault="00DE7B41">
      <w:pPr>
        <w:pStyle w:val="a3"/>
        <w:shd w:val="clear" w:color="auto" w:fill="FFFFFF"/>
        <w:spacing w:before="0" w:beforeAutospacing="0" w:after="0" w:afterAutospacing="0"/>
        <w:ind w:firstLine="720"/>
        <w:divId w:val="1960910590"/>
        <w:rPr>
          <w:sz w:val="20"/>
          <w:szCs w:val="20"/>
        </w:rPr>
      </w:pPr>
      <w:r>
        <w:rPr>
          <w:sz w:val="20"/>
          <w:szCs w:val="20"/>
        </w:rPr>
        <w:t>The Non-Recourse 2035 Notes are secured by all of Issuer II’s right, title and interest as a hold</w:t>
      </w:r>
      <w:r>
        <w:rPr>
          <w:sz w:val="20"/>
          <w:szCs w:val="20"/>
        </w:rPr>
        <w:t>er of certain membership interests (the “Issuer II Class C Units”) in Theravance Respiratory Company, LLC (“TRC”). TRC LLC holds the right to receive upward-tiering royalties ranging from 6.5% to 10% on worldwide net sales of TRELEGY ELLIPTA, and the Compa</w:t>
      </w:r>
      <w:r>
        <w:rPr>
          <w:sz w:val="20"/>
          <w:szCs w:val="20"/>
        </w:rPr>
        <w:t xml:space="preserve">ny holds an 85% economic interest in TRC LLC. The Issuer II Class C Units represent 75% of the Company's 85% economic interest, which equates to 63.75% of the economic interests in TRC LLC. </w:t>
      </w:r>
    </w:p>
    <w:p w:rsidR="00000000" w:rsidRDefault="00DE7B41">
      <w:pPr>
        <w:pStyle w:val="a3"/>
        <w:spacing w:before="0" w:beforeAutospacing="0" w:after="0" w:afterAutospacing="0"/>
        <w:ind w:firstLine="720"/>
        <w:divId w:val="1960910590"/>
        <w:rPr>
          <w:sz w:val="20"/>
          <w:szCs w:val="20"/>
        </w:rPr>
      </w:pPr>
      <w:r>
        <w:rPr>
          <w:sz w:val="20"/>
          <w:szCs w:val="20"/>
        </w:rPr>
        <w:t>​</w:t>
      </w:r>
    </w:p>
    <w:p w:rsidR="00000000" w:rsidRDefault="00DE7B41">
      <w:pPr>
        <w:pStyle w:val="a3"/>
        <w:spacing w:before="0" w:beforeAutospacing="0" w:after="0" w:afterAutospacing="0"/>
        <w:ind w:firstLine="720"/>
        <w:divId w:val="1960910590"/>
        <w:rPr>
          <w:sz w:val="20"/>
          <w:szCs w:val="20"/>
        </w:rPr>
      </w:pPr>
      <w:r>
        <w:rPr>
          <w:sz w:val="20"/>
          <w:szCs w:val="20"/>
        </w:rPr>
        <w:t>The source of principal and interest payments for the Non-Recou</w:t>
      </w:r>
      <w:r>
        <w:rPr>
          <w:sz w:val="20"/>
          <w:szCs w:val="20"/>
        </w:rPr>
        <w:t>rse 2035 Notes are the future royalty payments generated from the TRELEGY ELLIPTA program, and as a result, the holders of the Non-Recourse 2035 Notes have no recourse against the Company even if the TRELEGY ELLIPTA payments are insufficient to cover the p</w:t>
      </w:r>
      <w:r>
        <w:rPr>
          <w:sz w:val="20"/>
          <w:szCs w:val="20"/>
        </w:rPr>
        <w:t>rincipal and interest payments for the Non-Recourse 2035 Notes. Prior to and including the December 5, 2024 payment date, in the event that the distributions received by the Issuer II from TRC in a quarter is less than the interest accrued for that quarter</w:t>
      </w:r>
      <w:r>
        <w:rPr>
          <w:sz w:val="20"/>
          <w:szCs w:val="20"/>
        </w:rPr>
        <w:t>, the principal amount of the Non-Recourse 2035 Notes will increase by the interest shortfall amount for that quarter. While the holders of the Non-Recourse 2035 Notes have no recourse against the Company, the terms of the Non-Recourse 2035 Notes also prov</w:t>
      </w:r>
      <w:r>
        <w:rPr>
          <w:sz w:val="20"/>
          <w:szCs w:val="20"/>
        </w:rPr>
        <w:t>ide that the Company, at its option, may satisfy the quarterly interest payment obligations by making a capital contribution to the Issuer II.</w:t>
      </w:r>
    </w:p>
    <w:p w:rsidR="00000000" w:rsidRDefault="00DE7B41">
      <w:pPr>
        <w:pStyle w:val="a3"/>
        <w:spacing w:before="0" w:beforeAutospacing="0" w:after="0" w:afterAutospacing="0"/>
        <w:ind w:firstLine="720"/>
        <w:divId w:val="1960910590"/>
        <w:rPr>
          <w:sz w:val="20"/>
          <w:szCs w:val="20"/>
        </w:rPr>
      </w:pPr>
      <w:r>
        <w:rPr>
          <w:i/>
          <w:iCs/>
          <w:color w:val="FF0000"/>
          <w:sz w:val="20"/>
          <w:szCs w:val="20"/>
        </w:rPr>
        <w:t>​</w:t>
      </w:r>
    </w:p>
    <w:p w:rsidR="00000000" w:rsidRDefault="00DE7B41">
      <w:pPr>
        <w:pStyle w:val="a3"/>
        <w:spacing w:before="0" w:beforeAutospacing="0" w:after="0" w:afterAutospacing="0"/>
        <w:ind w:firstLine="720"/>
        <w:divId w:val="1960910590"/>
        <w:rPr>
          <w:sz w:val="20"/>
          <w:szCs w:val="20"/>
        </w:rPr>
      </w:pPr>
      <w:r>
        <w:rPr>
          <w:sz w:val="20"/>
          <w:szCs w:val="20"/>
        </w:rPr>
        <w:t>The Non-Recourse 2035 Notes are not convertible into Company equity and have no security interest in nor rights</w:t>
      </w:r>
      <w:r>
        <w:rPr>
          <w:sz w:val="20"/>
          <w:szCs w:val="20"/>
        </w:rPr>
        <w:t xml:space="preserve"> under any agreement with Glaxo Group Limited or one of its affiliates (“GSK”). See </w:t>
      </w:r>
      <w:r>
        <w:rPr>
          <w:i/>
          <w:iCs/>
          <w:sz w:val="20"/>
          <w:szCs w:val="20"/>
        </w:rPr>
        <w:t>“Note 7. Theravance Respiratory Company, LLC”</w:t>
      </w:r>
      <w:r>
        <w:rPr>
          <w:sz w:val="20"/>
          <w:szCs w:val="20"/>
        </w:rPr>
        <w:t xml:space="preserve"> for further information regarding GSK. The Non-Recourse 2035 Notes may be redeemed by Issuer II on and after February 28, 2022</w:t>
      </w:r>
      <w:r>
        <w:rPr>
          <w:sz w:val="20"/>
          <w:szCs w:val="20"/>
        </w:rPr>
        <w:t>, in whole or in part, at specified redemption premiums. The Non-Recourse 2035 Notes bear an annual interest rate of 9.5%, with interest and principal paid quarterly beginning June 5, 2020. Since the principal and interest payments on the Non-Recourse 2035</w:t>
      </w:r>
      <w:r>
        <w:rPr>
          <w:sz w:val="20"/>
          <w:szCs w:val="20"/>
        </w:rPr>
        <w:t xml:space="preserve"> Notes are ultimately based on royalties from </w:t>
      </w:r>
      <w:r>
        <w:rPr>
          <w:caps/>
          <w:sz w:val="20"/>
          <w:szCs w:val="20"/>
        </w:rPr>
        <w:t>TRELEGY</w:t>
      </w:r>
      <w:r>
        <w:rPr>
          <w:sz w:val="20"/>
          <w:szCs w:val="20"/>
        </w:rPr>
        <w:t> ELLIPTA product sales, which will vary from quarter to quarter, the Non-Recourse 2035 Notes may be repaid prior to the final maturity date in 2035. Following the redemption or repayment of the Non-Recou</w:t>
      </w:r>
      <w:r>
        <w:rPr>
          <w:sz w:val="20"/>
          <w:szCs w:val="20"/>
        </w:rPr>
        <w:t xml:space="preserve">rse 2035 Notes, all </w:t>
      </w:r>
      <w:r>
        <w:rPr>
          <w:caps/>
          <w:sz w:val="20"/>
          <w:szCs w:val="20"/>
        </w:rPr>
        <w:t>TRELEGY</w:t>
      </w:r>
      <w:r>
        <w:rPr>
          <w:sz w:val="20"/>
          <w:szCs w:val="20"/>
        </w:rPr>
        <w:t> ELLIPTA-related pledged cash flows will revert back to the Company.</w:t>
      </w:r>
    </w:p>
    <w:p w:rsidR="00000000" w:rsidRDefault="00DE7B41">
      <w:pPr>
        <w:pStyle w:val="a3"/>
        <w:spacing w:before="0" w:beforeAutospacing="0" w:after="0" w:afterAutospacing="0"/>
        <w:ind w:firstLine="720"/>
        <w:divId w:val="1960910590"/>
        <w:rPr>
          <w:sz w:val="20"/>
          <w:szCs w:val="20"/>
        </w:rPr>
      </w:pPr>
      <w:r>
        <w:rPr>
          <w:sz w:val="20"/>
          <w:szCs w:val="20"/>
        </w:rPr>
        <w:t>​</w:t>
      </w:r>
    </w:p>
    <w:p w:rsidR="00000000" w:rsidRDefault="00DE7B41">
      <w:pPr>
        <w:pStyle w:val="a3"/>
        <w:spacing w:before="0" w:beforeAutospacing="0" w:after="0" w:afterAutospacing="0"/>
        <w:ind w:firstLine="720"/>
        <w:divId w:val="1960910590"/>
        <w:rPr>
          <w:sz w:val="20"/>
          <w:szCs w:val="20"/>
        </w:rPr>
      </w:pPr>
      <w:r>
        <w:rPr>
          <w:sz w:val="20"/>
          <w:szCs w:val="20"/>
        </w:rPr>
        <w:t>The portion of the Non-Recourse 2035 Notes classified as a current liability, if any, is based on the amount of royalties received, or receivable, as of March</w:t>
      </w:r>
      <w:r>
        <w:rPr>
          <w:sz w:val="20"/>
          <w:szCs w:val="20"/>
        </w:rPr>
        <w:t xml:space="preserve"> 31, 2020, that are expected to be used to make a principal repayment on the Non-Recourse 2035 Notes within the next 12 months. </w:t>
      </w:r>
    </w:p>
    <w:p w:rsidR="00000000" w:rsidRDefault="00DE7B41">
      <w:pPr>
        <w:pStyle w:val="a3"/>
        <w:spacing w:before="0" w:beforeAutospacing="0" w:after="0" w:afterAutospacing="0"/>
        <w:ind w:firstLine="720"/>
        <w:divId w:val="1960910590"/>
        <w:rPr>
          <w:sz w:val="20"/>
          <w:szCs w:val="20"/>
        </w:rPr>
      </w:pPr>
      <w:r>
        <w:rPr>
          <w:sz w:val="20"/>
          <w:szCs w:val="20"/>
        </w:rPr>
        <w:t>​</w:t>
      </w:r>
    </w:p>
    <w:p w:rsidR="00000000" w:rsidRDefault="00DE7B41">
      <w:pPr>
        <w:pStyle w:val="a3"/>
        <w:spacing w:before="0" w:beforeAutospacing="0" w:after="0" w:afterAutospacing="0"/>
        <w:ind w:firstLine="720"/>
        <w:divId w:val="1960910590"/>
        <w:rPr>
          <w:sz w:val="20"/>
          <w:szCs w:val="20"/>
        </w:rPr>
      </w:pPr>
      <w:r>
        <w:rPr>
          <w:rFonts w:ascii="inherit" w:hAnsi="inherit"/>
          <w:sz w:val="20"/>
          <w:szCs w:val="20"/>
        </w:rPr>
        <w:t>The following is a summary of the carrying value of the Non-Recourse 2035 Notes as of March 31, 2020:</w:t>
      </w:r>
    </w:p>
    <w:p w:rsidR="00000000" w:rsidRDefault="00DE7B41">
      <w:pPr>
        <w:pStyle w:val="a3"/>
        <w:spacing w:before="0" w:beforeAutospacing="0" w:after="0" w:afterAutospacing="0"/>
        <w:ind w:firstLine="720"/>
        <w:divId w:val="1960910590"/>
        <w:rPr>
          <w:sz w:val="20"/>
          <w:szCs w:val="20"/>
        </w:rPr>
      </w:pPr>
      <w:r>
        <w:rPr>
          <w:rFonts w:ascii="inherit" w:hAnsi="inherit"/>
          <w:color w:val="FF0000"/>
          <w:sz w:val="20"/>
          <w:szCs w:val="20"/>
        </w:rPr>
        <w:t>​</w:t>
      </w:r>
    </w:p>
    <w:p w:rsidR="00000000" w:rsidRDefault="00DE7B41">
      <w:pPr>
        <w:pStyle w:val="a3"/>
        <w:spacing w:before="360" w:beforeAutospacing="0" w:after="0" w:afterAutospacing="0"/>
        <w:jc w:val="center"/>
        <w:divId w:val="2127578684"/>
        <w:rPr>
          <w:sz w:val="20"/>
          <w:szCs w:val="20"/>
        </w:rPr>
      </w:pPr>
      <w:r>
        <w:rPr>
          <w:sz w:val="20"/>
          <w:szCs w:val="20"/>
        </w:rPr>
        <w:t>15</w:t>
      </w:r>
    </w:p>
    <w:p w:rsidR="00000000" w:rsidRDefault="00DE7B41">
      <w:pPr>
        <w:pStyle w:val="a3"/>
        <w:spacing w:before="0" w:beforeAutospacing="0" w:after="600" w:afterAutospacing="0"/>
        <w:divId w:val="63237312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990"/>
        <w:gridCol w:w="221"/>
        <w:gridCol w:w="221"/>
        <w:gridCol w:w="874"/>
      </w:tblGrid>
      <w:tr w:rsidR="00000000">
        <w:trPr>
          <w:divId w:val="761755460"/>
          <w:trHeight w:val="20"/>
        </w:trPr>
        <w:tc>
          <w:tcPr>
            <w:tcW w:w="4206" w:type="pct"/>
            <w:tcMar>
              <w:top w:w="0" w:type="dxa"/>
              <w:left w:w="0" w:type="dxa"/>
              <w:bottom w:w="0" w:type="dxa"/>
              <w:right w:w="0" w:type="dxa"/>
            </w:tcMar>
            <w:vAlign w:val="bottom"/>
            <w:hideMark/>
          </w:tcPr>
          <w:p w:rsidR="00000000" w:rsidRDefault="00DE7B41">
            <w:pPr>
              <w:pStyle w:val="a3"/>
              <w:spacing w:before="0" w:beforeAutospacing="0" w:after="0" w:afterAutospacing="0"/>
              <w:divId w:val="1890722372"/>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872763440"/>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89019574"/>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02337001"/>
              <w:rPr>
                <w:sz w:val="20"/>
                <w:szCs w:val="20"/>
              </w:rPr>
            </w:pPr>
            <w:r>
              <w:rPr>
                <w:sz w:val="2"/>
                <w:szCs w:val="2"/>
              </w:rPr>
              <w:t>​</w:t>
            </w:r>
          </w:p>
        </w:tc>
      </w:tr>
      <w:tr w:rsidR="00000000">
        <w:trPr>
          <w:divId w:val="761755460"/>
        </w:trPr>
        <w:tc>
          <w:tcPr>
            <w:tcW w:w="420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3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65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March 31, </w:t>
            </w:r>
          </w:p>
        </w:tc>
      </w:tr>
      <w:tr w:rsidR="00000000">
        <w:trPr>
          <w:divId w:val="761755460"/>
        </w:trPr>
        <w:tc>
          <w:tcPr>
            <w:tcW w:w="4206"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u w:val="single"/>
              </w:rPr>
              <w:t>(In thousands)</w:t>
            </w:r>
          </w:p>
        </w:tc>
        <w:tc>
          <w:tcPr>
            <w:tcW w:w="13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5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r>
      <w:tr w:rsidR="00000000">
        <w:trPr>
          <w:divId w:val="761755460"/>
        </w:trPr>
        <w:tc>
          <w:tcPr>
            <w:tcW w:w="420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9.5</w:t>
            </w:r>
            <w:r>
              <w:rPr>
                <w:sz w:val="20"/>
                <w:szCs w:val="20"/>
              </w:rPr>
              <w:t>% Non-Recourse 2035 Notes</w:t>
            </w:r>
          </w:p>
        </w:tc>
        <w:tc>
          <w:tcPr>
            <w:tcW w:w="1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761755460"/>
        </w:trPr>
        <w:tc>
          <w:tcPr>
            <w:tcW w:w="4206"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Principal amoun</w:t>
            </w:r>
            <w:r>
              <w:rPr>
                <w:sz w:val="20"/>
                <w:szCs w:val="20"/>
              </w:rPr>
              <w:t>t</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400,000</w:t>
            </w:r>
          </w:p>
        </w:tc>
      </w:tr>
      <w:tr w:rsidR="00000000">
        <w:trPr>
          <w:divId w:val="761755460"/>
        </w:trPr>
        <w:tc>
          <w:tcPr>
            <w:tcW w:w="420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retention by the Company</w:t>
            </w:r>
          </w:p>
        </w:tc>
        <w:tc>
          <w:tcPr>
            <w:tcW w:w="1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(20,000)</w:t>
            </w:r>
          </w:p>
        </w:tc>
      </w:tr>
      <w:tr w:rsidR="00000000">
        <w:trPr>
          <w:divId w:val="761755460"/>
        </w:trPr>
        <w:tc>
          <w:tcPr>
            <w:tcW w:w="4206"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xml:space="preserve">Unamortized debt issuance costs </w:t>
            </w:r>
            <w:r>
              <w:rPr>
                <w:sz w:val="20"/>
                <w:szCs w:val="20"/>
              </w:rPr>
              <w:t>-</w:t>
            </w:r>
            <w:r>
              <w:rPr>
                <w:sz w:val="20"/>
                <w:szCs w:val="20"/>
              </w:rPr>
              <w:t xml:space="preserve"> 9.5% Non-Recourse 2035 Notes</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(4,350)</w:t>
            </w:r>
          </w:p>
        </w:tc>
      </w:tr>
      <w:tr w:rsidR="00000000">
        <w:trPr>
          <w:divId w:val="761755460"/>
        </w:trPr>
        <w:tc>
          <w:tcPr>
            <w:tcW w:w="4206"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(1,796)</w:t>
            </w:r>
          </w:p>
        </w:tc>
      </w:tr>
      <w:tr w:rsidR="00000000">
        <w:trPr>
          <w:divId w:val="761755460"/>
        </w:trPr>
        <w:tc>
          <w:tcPr>
            <w:tcW w:w="4206" w:type="pct"/>
            <w:noWrap/>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20"/>
                <w:szCs w:val="20"/>
              </w:rPr>
            </w:pPr>
            <w:r>
              <w:rPr>
                <w:sz w:val="20"/>
                <w:szCs w:val="20"/>
              </w:rPr>
              <w:t>Total</w:t>
            </w:r>
          </w:p>
        </w:tc>
        <w:tc>
          <w:tcPr>
            <w:tcW w:w="133"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33"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25" w:type="pct"/>
            <w:tcBorders>
              <w:bottom w:val="doub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373,854</w:t>
            </w:r>
          </w:p>
        </w:tc>
      </w:tr>
    </w:tbl>
    <w:p w:rsidR="00000000" w:rsidRDefault="00DE7B41">
      <w:pPr>
        <w:pStyle w:val="a3"/>
        <w:spacing w:before="0" w:beforeAutospacing="0" w:after="0" w:afterAutospacing="0"/>
        <w:divId w:val="761755460"/>
        <w:rPr>
          <w:sz w:val="20"/>
          <w:szCs w:val="20"/>
        </w:rPr>
      </w:pPr>
      <w:r>
        <w:rPr>
          <w:sz w:val="20"/>
          <w:szCs w:val="20"/>
        </w:rPr>
        <w:t>​</w:t>
      </w:r>
    </w:p>
    <w:p w:rsidR="00000000" w:rsidRDefault="00DE7B41">
      <w:pPr>
        <w:pStyle w:val="a3"/>
        <w:spacing w:before="0" w:beforeAutospacing="0" w:after="0" w:afterAutospacing="0"/>
        <w:ind w:firstLine="720"/>
        <w:divId w:val="761755460"/>
        <w:rPr>
          <w:sz w:val="20"/>
          <w:szCs w:val="20"/>
        </w:rPr>
      </w:pPr>
      <w:r>
        <w:rPr>
          <w:sz w:val="20"/>
          <w:szCs w:val="20"/>
        </w:rPr>
        <w:t>As of March 31, 2020, the net principal and estimated fair value of the Non-Recourse 2035 Notes were $380.0 million and $376.2 million, respectively. The inputs to determine fair value of the Non-Recourse 2035 Notes are categorized as Level 2 inputs. Level</w:t>
      </w:r>
      <w:r>
        <w:rPr>
          <w:sz w:val="20"/>
          <w:szCs w:val="20"/>
        </w:rPr>
        <w:t xml:space="preserve"> 2 inputs include quoted prices for similar instruments in active markets; quoted prices for identical or similar instruments in markets that are not active; and model-derived valuations whose inputs are observable or whose significant value drivers are ob</w:t>
      </w:r>
      <w:r>
        <w:rPr>
          <w:sz w:val="20"/>
          <w:szCs w:val="20"/>
        </w:rPr>
        <w:t>servable.</w:t>
      </w:r>
    </w:p>
    <w:p w:rsidR="00000000" w:rsidRDefault="00DE7B41">
      <w:pPr>
        <w:pStyle w:val="a3"/>
        <w:spacing w:before="0" w:beforeAutospacing="0" w:after="0" w:afterAutospacing="0"/>
        <w:ind w:firstLine="720"/>
        <w:divId w:val="761755460"/>
        <w:rPr>
          <w:sz w:val="20"/>
          <w:szCs w:val="20"/>
        </w:rPr>
      </w:pPr>
      <w:r>
        <w:rPr>
          <w:sz w:val="20"/>
          <w:szCs w:val="20"/>
        </w:rPr>
        <w:t>​</w:t>
      </w:r>
    </w:p>
    <w:p w:rsidR="00000000" w:rsidRDefault="00DE7B41">
      <w:pPr>
        <w:pStyle w:val="a3"/>
        <w:spacing w:before="0" w:beforeAutospacing="0" w:after="0" w:afterAutospacing="0"/>
        <w:divId w:val="761755460"/>
        <w:rPr>
          <w:sz w:val="20"/>
          <w:szCs w:val="20"/>
        </w:rPr>
      </w:pPr>
      <w:r>
        <w:rPr>
          <w:b/>
          <w:bCs/>
          <w:i/>
          <w:iCs/>
          <w:color w:val="212529"/>
          <w:sz w:val="20"/>
          <w:szCs w:val="20"/>
          <w:shd w:val="clear" w:color="auto" w:fill="FFFFFF"/>
        </w:rPr>
        <w:t>9.0% Non-Recourse Notes Due 2033</w:t>
      </w:r>
    </w:p>
    <w:p w:rsidR="00000000" w:rsidRDefault="00DE7B41">
      <w:pPr>
        <w:pStyle w:val="a3"/>
        <w:spacing w:before="0" w:beforeAutospacing="0" w:after="0" w:afterAutospacing="0"/>
        <w:ind w:firstLine="720"/>
        <w:divId w:val="761755460"/>
        <w:rPr>
          <w:sz w:val="20"/>
          <w:szCs w:val="20"/>
        </w:rPr>
      </w:pPr>
      <w:r>
        <w:rPr>
          <w:sz w:val="10"/>
          <w:szCs w:val="10"/>
        </w:rPr>
        <w:t>​</w:t>
      </w:r>
    </w:p>
    <w:p w:rsidR="00000000" w:rsidRDefault="00DE7B41">
      <w:pPr>
        <w:pStyle w:val="a3"/>
        <w:spacing w:before="0" w:beforeAutospacing="0" w:after="0" w:afterAutospacing="0"/>
        <w:ind w:firstLine="720"/>
        <w:divId w:val="761755460"/>
        <w:rPr>
          <w:sz w:val="20"/>
          <w:szCs w:val="20"/>
        </w:rPr>
      </w:pPr>
      <w:r>
        <w:rPr>
          <w:sz w:val="20"/>
          <w:szCs w:val="20"/>
        </w:rPr>
        <w:t>In November 2018, the Company entered into note purchase agreements relating to the private placement of $250.0 million aggregate principal amount of 9.0% non-recourse notes, due on or before 2033 (the "Non-Re</w:t>
      </w:r>
      <w:r>
        <w:rPr>
          <w:sz w:val="20"/>
          <w:szCs w:val="20"/>
        </w:rPr>
        <w:t>course 2033 Notes") issued by the Company’s wholly-owned subsidiary, Triple Royalty Sub LLC (the “Issuer”). On February 28, 2020, the Company refinanced the Non-Recourse 2033 Notes by issuing the Non-Recourse 2035 Notes and a portion of those proceeds were</w:t>
      </w:r>
      <w:r>
        <w:rPr>
          <w:sz w:val="20"/>
          <w:szCs w:val="20"/>
        </w:rPr>
        <w:t xml:space="preserve"> used to repay, in full, the remaining outstanding balance of the Company’s Non-Recourse 2033 Notes. Pursuant to the terms of the Non-Recourse 2033 Notes, the Company paid a debt redemption premium of 5% of the outstanding principal as of the refinancing d</w:t>
      </w:r>
      <w:r>
        <w:rPr>
          <w:sz w:val="20"/>
          <w:szCs w:val="20"/>
        </w:rPr>
        <w:t>ate.</w:t>
      </w:r>
    </w:p>
    <w:p w:rsidR="00000000" w:rsidRDefault="00DE7B41">
      <w:pPr>
        <w:pStyle w:val="a3"/>
        <w:spacing w:before="0" w:beforeAutospacing="0" w:after="0" w:afterAutospacing="0"/>
        <w:ind w:firstLine="720"/>
        <w:divId w:val="761755460"/>
        <w:rPr>
          <w:sz w:val="20"/>
          <w:szCs w:val="20"/>
        </w:rPr>
      </w:pPr>
      <w:r>
        <w:rPr>
          <w:sz w:val="20"/>
          <w:szCs w:val="20"/>
        </w:rPr>
        <w:t>​</w:t>
      </w:r>
    </w:p>
    <w:p w:rsidR="00000000" w:rsidRDefault="00DE7B41">
      <w:pPr>
        <w:pStyle w:val="a3"/>
        <w:spacing w:before="0" w:beforeAutospacing="0" w:after="0" w:afterAutospacing="0"/>
        <w:ind w:firstLine="480"/>
        <w:divId w:val="761755460"/>
        <w:rPr>
          <w:sz w:val="20"/>
          <w:szCs w:val="20"/>
        </w:rPr>
      </w:pPr>
      <w:r>
        <w:rPr>
          <w:sz w:val="20"/>
          <w:szCs w:val="20"/>
        </w:rPr>
        <w:t>The refinancing of the Non-Recourse 2033 Notes involved multiple lenders who were considered members of a loan syndicate. To determine whether the refinancing was to be accounted for as a debt extinguishment or modification, the Company considered w</w:t>
      </w:r>
      <w:r>
        <w:rPr>
          <w:sz w:val="20"/>
          <w:szCs w:val="20"/>
        </w:rPr>
        <w:t xml:space="preserve">hether the lenders involved in the Non-Recourse 2033 Notes and the Non-Recourse 2035 Notes remained the same or changed and whether the change in debt terms was substantial. The debt terms are considered substantially different if the present value of the </w:t>
      </w:r>
      <w:r>
        <w:rPr>
          <w:sz w:val="20"/>
          <w:szCs w:val="20"/>
        </w:rPr>
        <w:t>cash inflows and outflows of the Non-Recourse 2035 Notes, including all principal increases and lender fees on the refinancing date, was at least 10% different from the present value of the remaining cash inflows and outflows of the Non-Recourse 2033 Notes</w:t>
      </w:r>
      <w:r>
        <w:rPr>
          <w:sz w:val="20"/>
          <w:szCs w:val="20"/>
        </w:rPr>
        <w:t xml:space="preserve"> (the “10% Test”). The Company performed the 10% Test for each individual lender participating in the loan syndication by assuming the exercise and non-exercise of the prepayment option. The cash flow assumption generating the smaller change was used as th</w:t>
      </w:r>
      <w:r>
        <w:rPr>
          <w:sz w:val="20"/>
          <w:szCs w:val="20"/>
        </w:rPr>
        <w:t>e basis for determining whether the 10% threshold was met. For existing lenders who participated in the Non-Recourse 2035 Notes as part of the new loan syndicate, the refinancing was accounted for as an extinguishment or a modification depending upon wheth</w:t>
      </w:r>
      <w:r>
        <w:rPr>
          <w:sz w:val="20"/>
          <w:szCs w:val="20"/>
        </w:rPr>
        <w:t>er the change in the cash flows was more or less than 10%, respectively. The lenders from the Non-Recourse 2033 Note offering who did not participate in the Non-Recourse 2035 Notes were accounted for as a debt extinguishment.</w:t>
      </w:r>
    </w:p>
    <w:p w:rsidR="00000000" w:rsidRDefault="00DE7B41">
      <w:pPr>
        <w:pStyle w:val="a3"/>
        <w:spacing w:before="0" w:beforeAutospacing="0" w:after="0" w:afterAutospacing="0"/>
        <w:ind w:firstLine="720"/>
        <w:divId w:val="761755460"/>
        <w:rPr>
          <w:sz w:val="20"/>
          <w:szCs w:val="20"/>
        </w:rPr>
      </w:pPr>
      <w:r>
        <w:rPr>
          <w:sz w:val="20"/>
          <w:szCs w:val="20"/>
        </w:rPr>
        <w:t>​</w:t>
      </w:r>
    </w:p>
    <w:p w:rsidR="00000000" w:rsidRDefault="00DE7B41">
      <w:pPr>
        <w:pStyle w:val="a3"/>
        <w:spacing w:before="0" w:beforeAutospacing="0" w:after="0" w:afterAutospacing="0"/>
        <w:ind w:firstLine="480"/>
        <w:divId w:val="761755460"/>
        <w:rPr>
          <w:sz w:val="20"/>
          <w:szCs w:val="20"/>
        </w:rPr>
      </w:pPr>
      <w:r>
        <w:rPr>
          <w:sz w:val="20"/>
          <w:szCs w:val="20"/>
        </w:rPr>
        <w:t>For debt determined to be ex</w:t>
      </w:r>
      <w:r>
        <w:rPr>
          <w:sz w:val="20"/>
          <w:szCs w:val="20"/>
        </w:rPr>
        <w:t>tinguished, the total unamortized deferred financing costs and the associated redemption premium of $15.5 million were expensed as “Loss on extinguishment of debt” within the condensed consolidated financial statements of operations. For debt determined to</w:t>
      </w:r>
      <w:r>
        <w:rPr>
          <w:sz w:val="20"/>
          <w:szCs w:val="20"/>
        </w:rPr>
        <w:t xml:space="preserve"> be modified, the related unamortized deferred financing costs of $1.8 million continue to be amortized, new creditor fees of $4.4 million were capitalized as a debt discount and new third-party fees of $0.8 million were expensed. </w:t>
      </w:r>
    </w:p>
    <w:p w:rsidR="00000000" w:rsidRDefault="00DE7B41">
      <w:pPr>
        <w:pStyle w:val="a3"/>
        <w:spacing w:before="0" w:beforeAutospacing="0" w:after="0" w:afterAutospacing="0"/>
        <w:divId w:val="761755460"/>
        <w:rPr>
          <w:sz w:val="20"/>
          <w:szCs w:val="20"/>
        </w:rPr>
      </w:pPr>
      <w:r>
        <w:rPr>
          <w:sz w:val="20"/>
          <w:szCs w:val="20"/>
        </w:rPr>
        <w:t>​</w:t>
      </w:r>
    </w:p>
    <w:p w:rsidR="00000000" w:rsidRDefault="00DE7B41">
      <w:pPr>
        <w:pStyle w:val="a3"/>
        <w:spacing w:before="0" w:beforeAutospacing="0" w:after="120" w:afterAutospacing="0"/>
        <w:divId w:val="761755460"/>
        <w:rPr>
          <w:sz w:val="20"/>
          <w:szCs w:val="20"/>
        </w:rPr>
      </w:pPr>
      <w:r>
        <w:rPr>
          <w:b/>
          <w:bCs/>
          <w:i/>
          <w:iCs/>
          <w:sz w:val="20"/>
          <w:szCs w:val="20"/>
        </w:rPr>
        <w:t>3.25% Convertible Seni</w:t>
      </w:r>
      <w:r>
        <w:rPr>
          <w:b/>
          <w:bCs/>
          <w:i/>
          <w:iCs/>
          <w:sz w:val="20"/>
          <w:szCs w:val="20"/>
        </w:rPr>
        <w:t>or Notes Due 2023</w:t>
      </w:r>
    </w:p>
    <w:p w:rsidR="00000000" w:rsidRDefault="00DE7B41">
      <w:pPr>
        <w:pStyle w:val="a3"/>
        <w:spacing w:before="0" w:beforeAutospacing="0" w:after="0" w:afterAutospacing="0"/>
        <w:ind w:firstLine="720"/>
        <w:divId w:val="761755460"/>
        <w:rPr>
          <w:sz w:val="20"/>
          <w:szCs w:val="20"/>
        </w:rPr>
      </w:pPr>
      <w:r>
        <w:rPr>
          <w:sz w:val="20"/>
          <w:szCs w:val="20"/>
        </w:rPr>
        <w:t>The Company has $230.0 million of 3.25% convertible senior notes due in 2023 (“Convertible Senior 2023 Notes”) outstanding as of March 31, 2020 with an estimated fair value of $220.8 million. The estimated fair value was primarily based u</w:t>
      </w:r>
      <w:r>
        <w:rPr>
          <w:sz w:val="20"/>
          <w:szCs w:val="20"/>
        </w:rPr>
        <w:t>pon the underlying price of Theravance Biopharma’s publicly traded shares and other observable inputs as of March 31, 2020. The inputs to determine fair value of the Convertible Senior 2023 Notes are categorized as Level 2 inputs. Level 2 inputs include qu</w:t>
      </w:r>
      <w:r>
        <w:rPr>
          <w:sz w:val="20"/>
          <w:szCs w:val="20"/>
        </w:rPr>
        <w:t>oted prices for similar instruments in active markets; quoted prices for identical or similar instruments in markets that are not active; and model-derived valuations whose inputs are observable or whose significant value drivers are observable.</w:t>
      </w:r>
    </w:p>
    <w:p w:rsidR="00000000" w:rsidRDefault="00DE7B41">
      <w:pPr>
        <w:pStyle w:val="a3"/>
        <w:spacing w:before="360" w:beforeAutospacing="0" w:after="0" w:afterAutospacing="0"/>
        <w:jc w:val="center"/>
        <w:divId w:val="359162985"/>
        <w:rPr>
          <w:sz w:val="20"/>
          <w:szCs w:val="20"/>
        </w:rPr>
      </w:pPr>
      <w:r>
        <w:rPr>
          <w:sz w:val="20"/>
          <w:szCs w:val="20"/>
        </w:rPr>
        <w:t>16</w:t>
      </w:r>
    </w:p>
    <w:p w:rsidR="00000000" w:rsidRDefault="00DE7B41">
      <w:pPr>
        <w:pStyle w:val="a3"/>
        <w:spacing w:before="0" w:beforeAutospacing="0" w:after="600" w:afterAutospacing="0"/>
        <w:divId w:val="284387953"/>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793525187"/>
        <w:rPr>
          <w:sz w:val="20"/>
          <w:szCs w:val="20"/>
        </w:rPr>
      </w:pPr>
      <w:r>
        <w:rPr>
          <w:b/>
          <w:bCs/>
          <w:sz w:val="20"/>
          <w:szCs w:val="20"/>
        </w:rPr>
        <w:t xml:space="preserve">7. Theravance Respiratory Company, LLC </w:t>
      </w:r>
    </w:p>
    <w:p w:rsidR="00000000" w:rsidRDefault="00DE7B41">
      <w:pPr>
        <w:pStyle w:val="a3"/>
        <w:spacing w:before="0" w:beforeAutospacing="0" w:after="0" w:afterAutospacing="0"/>
        <w:divId w:val="793525187"/>
        <w:rPr>
          <w:sz w:val="20"/>
          <w:szCs w:val="20"/>
        </w:rPr>
      </w:pPr>
      <w:r>
        <w:rPr>
          <w:sz w:val="10"/>
          <w:szCs w:val="10"/>
        </w:rPr>
        <w:t>​</w:t>
      </w:r>
    </w:p>
    <w:p w:rsidR="00000000" w:rsidRDefault="00DE7B41">
      <w:pPr>
        <w:pStyle w:val="a3"/>
        <w:spacing w:before="0" w:beforeAutospacing="0" w:after="0" w:afterAutospacing="0"/>
        <w:ind w:firstLine="720"/>
        <w:divId w:val="793525187"/>
        <w:rPr>
          <w:sz w:val="20"/>
          <w:szCs w:val="20"/>
        </w:rPr>
      </w:pPr>
      <w:r>
        <w:rPr>
          <w:sz w:val="20"/>
          <w:szCs w:val="20"/>
        </w:rPr>
        <w:t>Through the Company’s 85% equity interest in TRC, the Company is entitled to receive an 85% economic interest in any future payments made by GSK under the strategic allia</w:t>
      </w:r>
      <w:r>
        <w:rPr>
          <w:sz w:val="20"/>
          <w:szCs w:val="20"/>
        </w:rPr>
        <w:t>nce agreement and under the portion of the collaboration agreement assigned to TRC (net of TRC expenses paid and the amount of cash, if any, expected to be used by TRC pursuant to the TRC LLC Agreement over the next four fiscal quarters). The drug programs</w:t>
      </w:r>
      <w:r>
        <w:rPr>
          <w:sz w:val="20"/>
          <w:szCs w:val="20"/>
        </w:rPr>
        <w:t xml:space="preserve"> assigned to TRC include </w:t>
      </w:r>
      <w:r>
        <w:rPr>
          <w:caps/>
          <w:sz w:val="20"/>
          <w:szCs w:val="20"/>
        </w:rPr>
        <w:t>Trelegy Ellipta</w:t>
      </w:r>
      <w:r>
        <w:rPr>
          <w:sz w:val="20"/>
          <w:szCs w:val="20"/>
        </w:rPr>
        <w:t xml:space="preserve"> and the inhaled Bifunctional Muscarinic Antagonist-Beta2 Agonist (“MABA”) program, as monotherapy and in combination with other therapeutically active components, such as an inhaled corticosteroid (“ICS”), and any o</w:t>
      </w:r>
      <w:r>
        <w:rPr>
          <w:sz w:val="20"/>
          <w:szCs w:val="20"/>
        </w:rPr>
        <w:t xml:space="preserve">ther product or combination of products that may be discovered and developed in the future under the GSK agreements. </w:t>
      </w:r>
    </w:p>
    <w:p w:rsidR="00000000" w:rsidRDefault="00DE7B41">
      <w:pPr>
        <w:pStyle w:val="a3"/>
        <w:spacing w:before="0" w:beforeAutospacing="0" w:after="0" w:afterAutospacing="0"/>
        <w:divId w:val="793525187"/>
        <w:rPr>
          <w:sz w:val="20"/>
          <w:szCs w:val="20"/>
        </w:rPr>
      </w:pPr>
      <w:r>
        <w:rPr>
          <w:sz w:val="20"/>
          <w:szCs w:val="20"/>
        </w:rPr>
        <w:t>​</w:t>
      </w:r>
    </w:p>
    <w:p w:rsidR="00000000" w:rsidRDefault="00DE7B41">
      <w:pPr>
        <w:pStyle w:val="a3"/>
        <w:spacing w:before="0" w:beforeAutospacing="0" w:after="0" w:afterAutospacing="0"/>
        <w:ind w:firstLine="720"/>
        <w:divId w:val="793525187"/>
        <w:rPr>
          <w:sz w:val="20"/>
          <w:szCs w:val="20"/>
        </w:rPr>
      </w:pPr>
      <w:r>
        <w:rPr>
          <w:sz w:val="20"/>
          <w:szCs w:val="20"/>
        </w:rPr>
        <w:t>In May 2014, the Company entered into the TRC LLC Agreement with Innoviva, Inc. (“Innoviva”) that governs the operation of TRC. Under th</w:t>
      </w:r>
      <w:r>
        <w:rPr>
          <w:sz w:val="20"/>
          <w:szCs w:val="20"/>
        </w:rPr>
        <w:t>e TRC LLC Agreement, Innoviva is the manager of TRC, and the business and affairs of TRC are managed exclusively by the manager, including (i) day to day management of the drug programs in accordance with the existing GSK agreements; (ii) preparing an annu</w:t>
      </w:r>
      <w:r>
        <w:rPr>
          <w:sz w:val="20"/>
          <w:szCs w:val="20"/>
        </w:rPr>
        <w:t>al operating plan for TRC; and (iii) taking all actions necessary to ensure that the formation, structure and operation of TRC complies with applicable law and partner agreements. The Company is responsible for its proportionate share of TRC’s administrati</w:t>
      </w:r>
      <w:r>
        <w:rPr>
          <w:sz w:val="20"/>
          <w:szCs w:val="20"/>
        </w:rPr>
        <w:t>ve expenses incurred, and communicated to the Company, by Innoviva.</w:t>
      </w:r>
    </w:p>
    <w:p w:rsidR="00000000" w:rsidRDefault="00DE7B41">
      <w:pPr>
        <w:pStyle w:val="a3"/>
        <w:spacing w:before="0" w:beforeAutospacing="0" w:after="0" w:afterAutospacing="0"/>
        <w:divId w:val="793525187"/>
        <w:rPr>
          <w:sz w:val="20"/>
          <w:szCs w:val="20"/>
        </w:rPr>
      </w:pPr>
      <w:r>
        <w:rPr>
          <w:sz w:val="20"/>
          <w:szCs w:val="20"/>
        </w:rPr>
        <w:t>​</w:t>
      </w:r>
    </w:p>
    <w:p w:rsidR="00000000" w:rsidRDefault="00DE7B41">
      <w:pPr>
        <w:pStyle w:val="a3"/>
        <w:spacing w:before="0" w:beforeAutospacing="0" w:after="0" w:afterAutospacing="0"/>
        <w:ind w:firstLine="720"/>
        <w:divId w:val="793525187"/>
        <w:rPr>
          <w:sz w:val="20"/>
          <w:szCs w:val="20"/>
        </w:rPr>
      </w:pPr>
      <w:r>
        <w:rPr>
          <w:sz w:val="20"/>
          <w:szCs w:val="20"/>
        </w:rPr>
        <w:t>The Company analyzed its ownership, contractual and other interests in TRC to determine if it is a variable-interest entity (“VIE”), whether the Company has a variable interest in TRC an</w:t>
      </w:r>
      <w:r>
        <w:rPr>
          <w:sz w:val="20"/>
          <w:szCs w:val="20"/>
        </w:rPr>
        <w:t>d the nature and extent of that interest. The Company determined that TRC is a VIE. The party with the controlling financial interest, the primary beneficiary, is required to consolidate the entity determined to be a VIE. Therefore, the Company also assess</w:t>
      </w:r>
      <w:r>
        <w:rPr>
          <w:sz w:val="20"/>
          <w:szCs w:val="20"/>
        </w:rPr>
        <w:t>ed whether it is the primary beneficiary of TRC based on the power to direct TRC’s activities that most significantly impact TRC’s economic performance and its obligation to absorb TRC’s losses or the right to receive benefits from TRC that could potential</w:t>
      </w:r>
      <w:r>
        <w:rPr>
          <w:sz w:val="20"/>
          <w:szCs w:val="20"/>
        </w:rPr>
        <w:t xml:space="preserve">ly be significant to TRC. Based on the Company’s assessment, the Company determined that it is not the primary beneficiary of TRC, and, as a result, the Company does not consolidate TRC in its condensed consolidated financial statements. TRC is recognized </w:t>
      </w:r>
      <w:r>
        <w:rPr>
          <w:sz w:val="20"/>
          <w:szCs w:val="20"/>
        </w:rPr>
        <w:t>in the Company’s condensed consolidated financial statements under the equity method of accounting, and the value of the Company’s equity investment in TRC was $26.3 million and $28.6 million as of March 31, 2020 and December 31, 2019, respectively. This a</w:t>
      </w:r>
      <w:r>
        <w:rPr>
          <w:sz w:val="20"/>
          <w:szCs w:val="20"/>
        </w:rPr>
        <w:t>mount includes undistributed earnings from the Company’s investment in TRC which are recorded on the condensed consolidated balance sheets as “Amounts due from TRC, LLC” and are net of the Company’s proportionate share of TRC’s administrative expenses incu</w:t>
      </w:r>
      <w:r>
        <w:rPr>
          <w:sz w:val="20"/>
          <w:szCs w:val="20"/>
        </w:rPr>
        <w:t>rred, and communicated to the Company, by Innoviva. Pursuant to the TRC operating agreement, the cash from the TRELEGY ELLIPTA royalties, net of any expenses, is distributed to the equity holders quarterly.</w:t>
      </w:r>
    </w:p>
    <w:p w:rsidR="00000000" w:rsidRDefault="00DE7B41">
      <w:pPr>
        <w:pStyle w:val="a3"/>
        <w:spacing w:before="0" w:beforeAutospacing="0" w:after="0" w:afterAutospacing="0"/>
        <w:ind w:firstLine="720"/>
        <w:divId w:val="793525187"/>
        <w:rPr>
          <w:sz w:val="20"/>
          <w:szCs w:val="20"/>
        </w:rPr>
      </w:pPr>
      <w:r>
        <w:rPr>
          <w:sz w:val="20"/>
          <w:szCs w:val="20"/>
        </w:rPr>
        <w:t>​</w:t>
      </w:r>
    </w:p>
    <w:p w:rsidR="00000000" w:rsidRDefault="00DE7B41">
      <w:pPr>
        <w:pStyle w:val="a3"/>
        <w:spacing w:before="0" w:beforeAutospacing="0" w:after="0" w:afterAutospacing="0"/>
        <w:ind w:firstLine="720"/>
        <w:divId w:val="793525187"/>
        <w:rPr>
          <w:sz w:val="20"/>
          <w:szCs w:val="20"/>
        </w:rPr>
      </w:pPr>
      <w:r>
        <w:rPr>
          <w:sz w:val="20"/>
          <w:szCs w:val="20"/>
        </w:rPr>
        <w:t xml:space="preserve">For the three months ended March 31, 2020, the </w:t>
      </w:r>
      <w:r>
        <w:rPr>
          <w:sz w:val="20"/>
          <w:szCs w:val="20"/>
        </w:rPr>
        <w:t xml:space="preserve">Company recognized net royalty income of $13.5 million within the condensed consolidated statements of operations within “Income from investment in TRC, LLC”. These amounts were recorded net of the Company’s share of TRC’s expenses of $0.2 million for the </w:t>
      </w:r>
      <w:r>
        <w:rPr>
          <w:sz w:val="20"/>
          <w:szCs w:val="20"/>
        </w:rPr>
        <w:t>three months ended March 31, 2020. For the three months ended March 31, 2019, the Company recognized net royalty income of $6.2 million, after the deducting the Company’s share of minimal TRC expenses.</w:t>
      </w:r>
    </w:p>
    <w:p w:rsidR="00000000" w:rsidRDefault="00DE7B41">
      <w:pPr>
        <w:pStyle w:val="a3"/>
        <w:spacing w:before="0" w:beforeAutospacing="0" w:after="0" w:afterAutospacing="0"/>
        <w:ind w:firstLine="720"/>
        <w:divId w:val="793525187"/>
        <w:rPr>
          <w:sz w:val="20"/>
          <w:szCs w:val="20"/>
        </w:rPr>
      </w:pPr>
      <w:r>
        <w:rPr>
          <w:sz w:val="20"/>
          <w:szCs w:val="20"/>
        </w:rPr>
        <w:t>​</w:t>
      </w:r>
    </w:p>
    <w:p w:rsidR="00000000" w:rsidRDefault="00DE7B41">
      <w:pPr>
        <w:pStyle w:val="a3"/>
        <w:spacing w:before="0" w:beforeAutospacing="0" w:after="0" w:afterAutospacing="0"/>
        <w:divId w:val="793525187"/>
        <w:rPr>
          <w:sz w:val="20"/>
          <w:szCs w:val="20"/>
        </w:rPr>
      </w:pPr>
      <w:r>
        <w:rPr>
          <w:b/>
          <w:bCs/>
          <w:sz w:val="20"/>
          <w:szCs w:val="20"/>
        </w:rPr>
        <w:t>8</w:t>
      </w:r>
      <w:r>
        <w:rPr>
          <w:b/>
          <w:bCs/>
          <w:i/>
          <w:iCs/>
          <w:sz w:val="20"/>
          <w:szCs w:val="20"/>
        </w:rPr>
        <w:t xml:space="preserve">. </w:t>
      </w:r>
      <w:r>
        <w:rPr>
          <w:b/>
          <w:bCs/>
          <w:sz w:val="20"/>
          <w:szCs w:val="20"/>
        </w:rPr>
        <w:t>Share-Based Compensation</w:t>
      </w:r>
    </w:p>
    <w:p w:rsidR="00000000" w:rsidRDefault="00DE7B41">
      <w:pPr>
        <w:pStyle w:val="a3"/>
        <w:spacing w:before="0" w:beforeAutospacing="0" w:after="0" w:afterAutospacing="0"/>
        <w:divId w:val="793525187"/>
        <w:rPr>
          <w:sz w:val="20"/>
          <w:szCs w:val="20"/>
        </w:rPr>
      </w:pPr>
      <w:r>
        <w:rPr>
          <w:sz w:val="10"/>
          <w:szCs w:val="10"/>
        </w:rPr>
        <w:t>​</w:t>
      </w:r>
    </w:p>
    <w:p w:rsidR="00000000" w:rsidRDefault="00DE7B41">
      <w:pPr>
        <w:pStyle w:val="a3"/>
        <w:spacing w:before="0" w:beforeAutospacing="0" w:after="0" w:afterAutospacing="0"/>
        <w:divId w:val="793525187"/>
        <w:rPr>
          <w:sz w:val="20"/>
          <w:szCs w:val="20"/>
        </w:rPr>
      </w:pPr>
      <w:r>
        <w:rPr>
          <w:b/>
          <w:bCs/>
          <w:i/>
          <w:iCs/>
          <w:sz w:val="20"/>
          <w:szCs w:val="20"/>
        </w:rPr>
        <w:t>Share-Based Compensati</w:t>
      </w:r>
      <w:r>
        <w:rPr>
          <w:b/>
          <w:bCs/>
          <w:i/>
          <w:iCs/>
          <w:sz w:val="20"/>
          <w:szCs w:val="20"/>
        </w:rPr>
        <w:t>on Expense Allocation</w:t>
      </w:r>
    </w:p>
    <w:p w:rsidR="00000000" w:rsidRDefault="00DE7B41">
      <w:pPr>
        <w:pStyle w:val="a3"/>
        <w:spacing w:before="0" w:beforeAutospacing="0" w:after="0" w:afterAutospacing="0"/>
        <w:ind w:firstLine="720"/>
        <w:divId w:val="793525187"/>
        <w:rPr>
          <w:sz w:val="20"/>
          <w:szCs w:val="20"/>
        </w:rPr>
      </w:pPr>
      <w:r>
        <w:rPr>
          <w:sz w:val="10"/>
          <w:szCs w:val="10"/>
        </w:rPr>
        <w:t>​</w:t>
      </w:r>
    </w:p>
    <w:p w:rsidR="00000000" w:rsidRDefault="00DE7B41">
      <w:pPr>
        <w:pStyle w:val="a3"/>
        <w:spacing w:before="0" w:beforeAutospacing="0" w:after="0" w:afterAutospacing="0"/>
        <w:ind w:firstLine="720"/>
        <w:divId w:val="793525187"/>
        <w:rPr>
          <w:sz w:val="20"/>
          <w:szCs w:val="20"/>
        </w:rPr>
      </w:pPr>
      <w:r>
        <w:rPr>
          <w:sz w:val="20"/>
          <w:szCs w:val="20"/>
        </w:rPr>
        <w:t>The allocation of share-based compensation expense included in the condensed consolidated statements of operations was as follows:</w:t>
      </w:r>
    </w:p>
    <w:p w:rsidR="00000000" w:rsidRDefault="00DE7B41">
      <w:pPr>
        <w:pStyle w:val="a3"/>
        <w:spacing w:before="0" w:beforeAutospacing="0" w:after="0" w:afterAutospacing="0"/>
        <w:ind w:firstLine="720"/>
        <w:divId w:val="79352518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206"/>
        <w:gridCol w:w="811"/>
        <w:gridCol w:w="206"/>
        <w:gridCol w:w="205"/>
        <w:gridCol w:w="812"/>
      </w:tblGrid>
      <w:tr w:rsidR="00000000">
        <w:trPr>
          <w:divId w:val="793525187"/>
          <w:trHeight w:val="20"/>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divId w:val="10612595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6975934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59532924"/>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4293555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7733793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693724462"/>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E7B41">
            <w:pPr>
              <w:pStyle w:val="a3"/>
              <w:spacing w:before="0" w:beforeAutospacing="0" w:after="0" w:afterAutospacing="0"/>
              <w:divId w:val="1994529648"/>
              <w:rPr>
                <w:sz w:val="20"/>
                <w:szCs w:val="20"/>
              </w:rPr>
            </w:pPr>
            <w:r>
              <w:rPr>
                <w:sz w:val="2"/>
                <w:szCs w:val="2"/>
              </w:rPr>
              <w:t>​</w:t>
            </w:r>
          </w:p>
        </w:tc>
      </w:tr>
      <w:tr w:rsidR="00000000">
        <w:trPr>
          <w:divId w:val="793525187"/>
        </w:trPr>
        <w:tc>
          <w:tcPr>
            <w:tcW w:w="3629"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r>
      <w:tr w:rsidR="00000000">
        <w:trPr>
          <w:divId w:val="793525187"/>
        </w:trPr>
        <w:tc>
          <w:tcPr>
            <w:tcW w:w="3629"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1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r>
      <w:tr w:rsidR="00000000">
        <w:trPr>
          <w:divId w:val="793525187"/>
        </w:trPr>
        <w:tc>
          <w:tcPr>
            <w:tcW w:w="3629"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xml:space="preserve">Research and development </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7,865</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6,159</w:t>
            </w:r>
          </w:p>
        </w:tc>
      </w:tr>
      <w:tr w:rsidR="00000000">
        <w:trPr>
          <w:divId w:val="793525187"/>
        </w:trPr>
        <w:tc>
          <w:tcPr>
            <w:tcW w:w="3629"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xml:space="preserve">Selling, general and administrative </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7,411</w:t>
            </w:r>
          </w:p>
        </w:tc>
        <w:tc>
          <w:tcPr>
            <w:tcW w:w="115"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6,061</w:t>
            </w:r>
          </w:p>
        </w:tc>
      </w:tr>
      <w:tr w:rsidR="00000000">
        <w:trPr>
          <w:divId w:val="793525187"/>
        </w:trPr>
        <w:tc>
          <w:tcPr>
            <w:tcW w:w="3629"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240"/>
              <w:rPr>
                <w:sz w:val="20"/>
                <w:szCs w:val="20"/>
              </w:rPr>
            </w:pPr>
            <w:r>
              <w:rPr>
                <w:sz w:val="20"/>
                <w:szCs w:val="20"/>
              </w:rPr>
              <w:t xml:space="preserve">Total share-based compensation expense </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15,276</w:t>
            </w:r>
          </w:p>
        </w:tc>
        <w:tc>
          <w:tcPr>
            <w:tcW w:w="11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DE7B41">
            <w:pPr>
              <w:pStyle w:val="a3"/>
              <w:spacing w:before="0" w:beforeAutospacing="0" w:after="0" w:afterAutospacing="0"/>
              <w:ind w:right="70"/>
              <w:jc w:val="right"/>
              <w:rPr>
                <w:sz w:val="20"/>
                <w:szCs w:val="20"/>
              </w:rPr>
            </w:pPr>
            <w:r>
              <w:rPr>
                <w:sz w:val="20"/>
                <w:szCs w:val="20"/>
              </w:rPr>
              <w:t>12,220</w:t>
            </w:r>
          </w:p>
        </w:tc>
      </w:tr>
    </w:tbl>
    <w:p w:rsidR="00000000" w:rsidRDefault="00DE7B41">
      <w:pPr>
        <w:pStyle w:val="a3"/>
        <w:spacing w:before="0" w:beforeAutospacing="0" w:after="0" w:afterAutospacing="0"/>
        <w:divId w:val="793525187"/>
        <w:rPr>
          <w:sz w:val="20"/>
          <w:szCs w:val="20"/>
        </w:rPr>
      </w:pPr>
      <w:r>
        <w:rPr>
          <w:sz w:val="2"/>
          <w:szCs w:val="2"/>
        </w:rPr>
        <w:t>​</w:t>
      </w:r>
    </w:p>
    <w:p w:rsidR="00000000" w:rsidRDefault="00DE7B41">
      <w:pPr>
        <w:pStyle w:val="a3"/>
        <w:spacing w:before="360" w:beforeAutospacing="0" w:after="0" w:afterAutospacing="0"/>
        <w:jc w:val="center"/>
        <w:divId w:val="1058934868"/>
        <w:rPr>
          <w:sz w:val="20"/>
          <w:szCs w:val="20"/>
        </w:rPr>
      </w:pPr>
      <w:r>
        <w:rPr>
          <w:sz w:val="20"/>
          <w:szCs w:val="20"/>
        </w:rPr>
        <w:t>17</w:t>
      </w:r>
    </w:p>
    <w:p w:rsidR="00000000" w:rsidRDefault="00DE7B41">
      <w:pPr>
        <w:pStyle w:val="a3"/>
        <w:spacing w:before="0" w:beforeAutospacing="0" w:after="600" w:afterAutospacing="0"/>
        <w:divId w:val="183977799"/>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72894916"/>
        <w:rPr>
          <w:sz w:val="20"/>
          <w:szCs w:val="20"/>
        </w:rPr>
      </w:pPr>
      <w:r>
        <w:rPr>
          <w:b/>
          <w:bCs/>
          <w:i/>
          <w:iCs/>
          <w:sz w:val="20"/>
          <w:szCs w:val="20"/>
        </w:rPr>
        <w:t>Performance-Contingent Awards</w:t>
      </w:r>
    </w:p>
    <w:p w:rsidR="00000000" w:rsidRDefault="00DE7B41">
      <w:pPr>
        <w:pStyle w:val="a3"/>
        <w:spacing w:before="0" w:beforeAutospacing="0" w:after="0" w:afterAutospacing="0"/>
        <w:ind w:firstLine="720"/>
        <w:divId w:val="72894916"/>
        <w:rPr>
          <w:sz w:val="20"/>
          <w:szCs w:val="20"/>
        </w:rPr>
      </w:pPr>
      <w:r>
        <w:rPr>
          <w:sz w:val="20"/>
          <w:szCs w:val="20"/>
        </w:rPr>
        <w:t>In 2016, the Compensation Committee of the Company’s board of directors (“Compensation Committee”) approved the grant of 1,575,000 performance-contingent restricted share awards (“RSAs”) and 135,000 performance-contingent rest</w:t>
      </w:r>
      <w:r>
        <w:rPr>
          <w:sz w:val="20"/>
          <w:szCs w:val="20"/>
        </w:rPr>
        <w:t>ricted share units (“RSUs”) to senior management. The vesting of such awards is dependent on the Company meeting its 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31, 2020, as well as, continued employment. The g</w:t>
      </w:r>
      <w:r>
        <w:rPr>
          <w:sz w:val="20"/>
          <w:szCs w:val="20"/>
        </w:rPr>
        <w:t>oals that must be met in order for the performance-contingent RSAs and RSUs to vest are strategically important for the Company, and the Compensation Committee believes the goals should increase shareholder value. The awards have dual triggers of vesting b</w:t>
      </w:r>
      <w:r>
        <w:rPr>
          <w:sz w:val="20"/>
          <w:szCs w:val="20"/>
        </w:rPr>
        <w:t>ased upon the achievement of these goals and continued employment.</w:t>
      </w:r>
      <w:r>
        <w:rPr>
          <w:sz w:val="20"/>
          <w:szCs w:val="20"/>
        </w:rPr>
        <w:t xml:space="preserve"> </w:t>
      </w:r>
    </w:p>
    <w:p w:rsidR="00000000" w:rsidRDefault="00DE7B41">
      <w:pPr>
        <w:pStyle w:val="a3"/>
        <w:spacing w:before="0" w:beforeAutospacing="0" w:after="0" w:afterAutospacing="0"/>
        <w:ind w:firstLine="720"/>
        <w:divId w:val="72894916"/>
        <w:rPr>
          <w:sz w:val="20"/>
          <w:szCs w:val="20"/>
        </w:rPr>
      </w:pPr>
      <w:r>
        <w:rPr>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Expense associated with these awards may be recognized during the years 2016 to 2020 depending on the probability of meeting certain performance conditions. Compensation expense relating</w:t>
      </w:r>
      <w:r>
        <w:rPr>
          <w:sz w:val="20"/>
          <w:szCs w:val="20"/>
        </w:rPr>
        <w:t xml:space="preserve"> to awards subject to performance conditions is recognized if it is considered probable that the performance goals will be achieved. The probability of achievement is reassessed at each quarter-end reporting period. Previously recognized expense is reverse</w:t>
      </w:r>
      <w:r>
        <w:rPr>
          <w:sz w:val="20"/>
          <w:szCs w:val="20"/>
        </w:rPr>
        <w:t>d in the period in which it becomes probable that the requisite service period will not be rendered. The awards are broken into three separate tranches.</w:t>
      </w:r>
    </w:p>
    <w:p w:rsidR="00000000" w:rsidRDefault="00DE7B41">
      <w:pPr>
        <w:pStyle w:val="a3"/>
        <w:spacing w:before="0" w:beforeAutospacing="0" w:after="0" w:afterAutospacing="0"/>
        <w:ind w:firstLine="720"/>
        <w:divId w:val="72894916"/>
        <w:rPr>
          <w:sz w:val="20"/>
          <w:szCs w:val="20"/>
        </w:rPr>
      </w:pPr>
      <w:r>
        <w:rPr>
          <w:color w:val="FF0000"/>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 xml:space="preserve">As of March 31, 2020, there were 414,000 </w:t>
      </w:r>
      <w:r>
        <w:rPr>
          <w:sz w:val="20"/>
          <w:szCs w:val="20"/>
        </w:rPr>
        <w:t>of these performance-contingent RSAs and 54,000 of these performance-contingent RSUs outstanding, and as of March 31, 2019, there were 877,500 of these performance-contingent RSAs and 101,250 of these performance-contingent RSUs outstanding. The performanc</w:t>
      </w:r>
      <w:r>
        <w:rPr>
          <w:sz w:val="20"/>
          <w:szCs w:val="20"/>
        </w:rPr>
        <w:t>e conditions associated with the first tranche of these awards were completed in the second quarter of 2018, and the expense associated with the first tranche was fully recognized in 2018.</w:t>
      </w:r>
    </w:p>
    <w:p w:rsidR="00000000" w:rsidRDefault="00DE7B41">
      <w:pPr>
        <w:pStyle w:val="a3"/>
        <w:spacing w:before="0" w:beforeAutospacing="0" w:after="0" w:afterAutospacing="0"/>
        <w:ind w:firstLine="720"/>
        <w:divId w:val="72894916"/>
        <w:rPr>
          <w:sz w:val="20"/>
          <w:szCs w:val="20"/>
        </w:rPr>
      </w:pPr>
      <w:r>
        <w:rPr>
          <w:color w:val="FF0000"/>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 xml:space="preserve">The performance conditions associated with the second tranche of </w:t>
      </w:r>
      <w:r>
        <w:rPr>
          <w:sz w:val="20"/>
          <w:szCs w:val="20"/>
        </w:rPr>
        <w:t>these awards were completed in the first quarter of 2019. For three months ended March 31, 2020 and 2019, the Company recognized $0.4 million $0.8 million, respectively, of share-based compensation expense related to the second tranche of these awards, and</w:t>
      </w:r>
      <w:r>
        <w:rPr>
          <w:sz w:val="20"/>
          <w:szCs w:val="20"/>
        </w:rPr>
        <w:t xml:space="preserve"> as of March 31, 2020, the expense associated with this second tranche was fully recognized. </w:t>
      </w:r>
    </w:p>
    <w:p w:rsidR="00000000" w:rsidRDefault="00DE7B41">
      <w:pPr>
        <w:pStyle w:val="a3"/>
        <w:spacing w:before="0" w:beforeAutospacing="0" w:after="0" w:afterAutospacing="0"/>
        <w:ind w:firstLine="720"/>
        <w:divId w:val="72894916"/>
        <w:rPr>
          <w:sz w:val="20"/>
          <w:szCs w:val="20"/>
        </w:rPr>
      </w:pPr>
      <w:r>
        <w:rPr>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In the first quarter of 2020, the performance conditions associated with the remaining third tranche were completed and, as a result, the Company recognized $0.</w:t>
      </w:r>
      <w:r>
        <w:rPr>
          <w:sz w:val="20"/>
          <w:szCs w:val="20"/>
        </w:rPr>
        <w:t>6 million of share-based compensation expense related to these awards for the three months ended March 31, 2020. The maximum remaining expense associated with the third tranche is $2.3 million (allocated as $0.8 million for research and development expense</w:t>
      </w:r>
      <w:r>
        <w:rPr>
          <w:sz w:val="20"/>
          <w:szCs w:val="20"/>
        </w:rPr>
        <w:t xml:space="preserve"> and $1.5 million for selling, general and administrative expense) and will be amortized through the first quarter of 2021.</w:t>
      </w:r>
    </w:p>
    <w:p w:rsidR="00000000" w:rsidRDefault="00DE7B41">
      <w:pPr>
        <w:pStyle w:val="a3"/>
        <w:spacing w:before="0" w:beforeAutospacing="0" w:after="0" w:afterAutospacing="0"/>
        <w:ind w:firstLine="720"/>
        <w:divId w:val="72894916"/>
        <w:rPr>
          <w:sz w:val="20"/>
          <w:szCs w:val="20"/>
        </w:rPr>
      </w:pPr>
      <w:r>
        <w:rPr>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Separate from the performance-contingent awards described above, the Company periodically grants performance-contingent RSUs to in</w:t>
      </w:r>
      <w:r>
        <w:rPr>
          <w:sz w:val="20"/>
          <w:szCs w:val="20"/>
        </w:rPr>
        <w:t>dividual employees. For the three months ended March 31, 2020, the Company recognized $0.2</w:t>
      </w:r>
      <w:r>
        <w:rPr>
          <w:b/>
          <w:bCs/>
          <w:sz w:val="20"/>
          <w:szCs w:val="20"/>
        </w:rPr>
        <w:t xml:space="preserve"> </w:t>
      </w:r>
      <w:r>
        <w:rPr>
          <w:sz w:val="20"/>
          <w:szCs w:val="20"/>
        </w:rPr>
        <w:t xml:space="preserve">million of share-based compensation expense related to such awards. As of March 31, 2020, there were 120,000 shares of these performance-contingent RSUs outstanding </w:t>
      </w:r>
      <w:r>
        <w:rPr>
          <w:sz w:val="20"/>
          <w:szCs w:val="20"/>
        </w:rPr>
        <w:t>that have a maximum remaining share-based compensation expense of $2.3 million with performance expiration dates ranging from December 2020 to June 2022.</w:t>
      </w:r>
    </w:p>
    <w:p w:rsidR="00000000" w:rsidRDefault="00DE7B41">
      <w:pPr>
        <w:pStyle w:val="a3"/>
        <w:spacing w:before="0" w:beforeAutospacing="0" w:after="0" w:afterAutospacing="0"/>
        <w:ind w:firstLine="720"/>
        <w:divId w:val="72894916"/>
        <w:rPr>
          <w:sz w:val="20"/>
          <w:szCs w:val="20"/>
        </w:rPr>
      </w:pPr>
      <w:r>
        <w:rPr>
          <w:sz w:val="20"/>
          <w:szCs w:val="20"/>
        </w:rPr>
        <w:t>​</w:t>
      </w:r>
    </w:p>
    <w:p w:rsidR="00000000" w:rsidRDefault="00DE7B41">
      <w:pPr>
        <w:pStyle w:val="a3"/>
        <w:spacing w:before="0" w:beforeAutospacing="0" w:after="0" w:afterAutospacing="0"/>
        <w:divId w:val="72894916"/>
        <w:rPr>
          <w:sz w:val="20"/>
          <w:szCs w:val="20"/>
        </w:rPr>
      </w:pPr>
      <w:r>
        <w:rPr>
          <w:b/>
          <w:bCs/>
          <w:sz w:val="20"/>
          <w:szCs w:val="20"/>
        </w:rPr>
        <w:t xml:space="preserve">9. Income Taxes </w:t>
      </w:r>
    </w:p>
    <w:p w:rsidR="00000000" w:rsidRDefault="00DE7B41">
      <w:pPr>
        <w:pStyle w:val="a3"/>
        <w:spacing w:before="0" w:beforeAutospacing="0" w:after="0" w:afterAutospacing="0"/>
        <w:divId w:val="72894916"/>
        <w:rPr>
          <w:sz w:val="20"/>
          <w:szCs w:val="20"/>
        </w:rPr>
      </w:pPr>
      <w:r>
        <w:rPr>
          <w:sz w:val="10"/>
          <w:szCs w:val="10"/>
        </w:rPr>
        <w:t>​</w:t>
      </w:r>
    </w:p>
    <w:p w:rsidR="00000000" w:rsidRDefault="00DE7B41">
      <w:pPr>
        <w:pStyle w:val="a3"/>
        <w:spacing w:before="0" w:beforeAutospacing="0" w:after="0" w:afterAutospacing="0"/>
        <w:ind w:firstLine="720"/>
        <w:divId w:val="72894916"/>
        <w:rPr>
          <w:sz w:val="20"/>
          <w:szCs w:val="20"/>
        </w:rPr>
      </w:pPr>
      <w:r>
        <w:rPr>
          <w:sz w:val="20"/>
          <w:szCs w:val="20"/>
        </w:rPr>
        <w:t>The income tax provision was a $0.1 million expense for the three months ended Ma</w:t>
      </w:r>
      <w:r>
        <w:rPr>
          <w:sz w:val="20"/>
          <w:szCs w:val="20"/>
        </w:rPr>
        <w:t>rch 31, 2020. The expense was primarily attributed to recording contingent liabilities for uncertain tax positions taken with respect to transfer pricing and tax credits. No provision for income taxes has been recognized on undistributed earnings of the Co</w:t>
      </w:r>
      <w:r>
        <w:rPr>
          <w:sz w:val="20"/>
          <w:szCs w:val="20"/>
        </w:rPr>
        <w:t xml:space="preserve">mpany’s foreign subsidiaries because it considers such earnings to be indefinitely reinvested. </w:t>
      </w:r>
    </w:p>
    <w:p w:rsidR="00000000" w:rsidRDefault="00DE7B41">
      <w:pPr>
        <w:pStyle w:val="a3"/>
        <w:spacing w:before="0" w:beforeAutospacing="0" w:after="0" w:afterAutospacing="0"/>
        <w:divId w:val="72894916"/>
        <w:rPr>
          <w:sz w:val="20"/>
          <w:szCs w:val="20"/>
        </w:rPr>
      </w:pPr>
      <w:r>
        <w:rPr>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The Company follows the accounting guidance related to accounting for income taxes which requires that a company reduce its deferred tax assets by a valuation</w:t>
      </w:r>
      <w:r>
        <w:rPr>
          <w:sz w:val="20"/>
          <w:szCs w:val="20"/>
        </w:rPr>
        <w:t xml:space="preserve"> allowance if, based on the weight of available evidence, it is more likely than not that some portion or all of its deferred tax assets will not be realized. As of March 31, 2020, the Company’s deferred tax assets were offset in full by a valuation allowa</w:t>
      </w:r>
      <w:r>
        <w:rPr>
          <w:sz w:val="20"/>
          <w:szCs w:val="20"/>
        </w:rPr>
        <w:t>nce.</w:t>
      </w:r>
    </w:p>
    <w:p w:rsidR="00000000" w:rsidRDefault="00DE7B41">
      <w:pPr>
        <w:pStyle w:val="a3"/>
        <w:spacing w:before="0" w:beforeAutospacing="0" w:after="0" w:afterAutospacing="0"/>
        <w:ind w:firstLine="720"/>
        <w:divId w:val="72894916"/>
        <w:rPr>
          <w:sz w:val="20"/>
          <w:szCs w:val="20"/>
        </w:rPr>
      </w:pPr>
      <w:r>
        <w:rPr>
          <w:sz w:val="20"/>
          <w:szCs w:val="20"/>
        </w:rPr>
        <w:t>​</w:t>
      </w:r>
    </w:p>
    <w:p w:rsidR="00000000" w:rsidRDefault="00DE7B41">
      <w:pPr>
        <w:pStyle w:val="a3"/>
        <w:spacing w:before="0" w:beforeAutospacing="0" w:after="0" w:afterAutospacing="0"/>
        <w:ind w:firstLine="720"/>
        <w:divId w:val="72894916"/>
        <w:rPr>
          <w:sz w:val="20"/>
          <w:szCs w:val="20"/>
        </w:rPr>
      </w:pPr>
      <w:r>
        <w:rPr>
          <w:sz w:val="20"/>
          <w:szCs w:val="20"/>
        </w:rPr>
        <w:t xml:space="preserve">The Company records liabilities related to uncertain tax positions in accordance with the income tax guidance which clarifies the accounting for uncertainty in income taxes recognized in an enterprise’s financial statements by prescribing a minimum </w:t>
      </w:r>
      <w:r>
        <w:rPr>
          <w:sz w:val="20"/>
          <w:szCs w:val="20"/>
        </w:rPr>
        <w:t>recognition threshold and measurement attribute for the financial statement recognition and</w:t>
      </w:r>
      <w:r>
        <w:rPr>
          <w:sz w:val="20"/>
          <w:szCs w:val="20"/>
        </w:rPr>
        <w:t xml:space="preserve"> </w:t>
      </w:r>
    </w:p>
    <w:p w:rsidR="00000000" w:rsidRDefault="00DE7B41">
      <w:pPr>
        <w:pStyle w:val="a3"/>
        <w:spacing w:before="360" w:beforeAutospacing="0" w:after="0" w:afterAutospacing="0"/>
        <w:jc w:val="center"/>
        <w:divId w:val="1945574343"/>
        <w:rPr>
          <w:sz w:val="20"/>
          <w:szCs w:val="20"/>
        </w:rPr>
      </w:pPr>
      <w:r>
        <w:rPr>
          <w:sz w:val="20"/>
          <w:szCs w:val="20"/>
        </w:rPr>
        <w:t>18</w:t>
      </w:r>
    </w:p>
    <w:p w:rsidR="00000000" w:rsidRDefault="00DE7B41">
      <w:pPr>
        <w:pStyle w:val="a3"/>
        <w:spacing w:before="0" w:beforeAutospacing="0" w:after="600" w:afterAutospacing="0"/>
        <w:divId w:val="484395202"/>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380932697"/>
        <w:rPr>
          <w:sz w:val="20"/>
          <w:szCs w:val="20"/>
        </w:rPr>
      </w:pPr>
      <w:r>
        <w:rPr>
          <w:sz w:val="20"/>
          <w:szCs w:val="20"/>
        </w:rPr>
        <w:t>measurement of a tax position taken or expected to be taken in a tax return. Resolution of one or more of these unce</w:t>
      </w:r>
      <w:r>
        <w:rPr>
          <w:sz w:val="20"/>
          <w:szCs w:val="20"/>
        </w:rPr>
        <w:t>rtain tax positions in any period may have a material impact on the results of operations for that period. The Company includes any applicable interest and penalties within the provision for income taxes in the condensed consolidated statements of operatio</w:t>
      </w:r>
      <w:r>
        <w:rPr>
          <w:sz w:val="20"/>
          <w:szCs w:val="20"/>
        </w:rPr>
        <w:t>ns</w:t>
      </w:r>
      <w:r>
        <w:rPr>
          <w:sz w:val="20"/>
          <w:szCs w:val="20"/>
        </w:rPr>
        <w:t>.</w:t>
      </w:r>
    </w:p>
    <w:p w:rsidR="00000000" w:rsidRDefault="00DE7B41">
      <w:pPr>
        <w:pStyle w:val="a3"/>
        <w:spacing w:before="0" w:beforeAutospacing="0" w:after="0" w:afterAutospacing="0"/>
        <w:ind w:firstLine="720"/>
        <w:divId w:val="1380932697"/>
        <w:rPr>
          <w:sz w:val="20"/>
          <w:szCs w:val="20"/>
        </w:rPr>
      </w:pPr>
      <w:r>
        <w:rPr>
          <w:sz w:val="20"/>
          <w:szCs w:val="20"/>
        </w:rPr>
        <w:t>​</w:t>
      </w:r>
    </w:p>
    <w:p w:rsidR="00000000" w:rsidRDefault="00DE7B41">
      <w:pPr>
        <w:pStyle w:val="a3"/>
        <w:spacing w:before="0" w:beforeAutospacing="0" w:after="0" w:afterAutospacing="0"/>
        <w:ind w:firstLine="720"/>
        <w:divId w:val="1380932697"/>
        <w:rPr>
          <w:sz w:val="20"/>
          <w:szCs w:val="20"/>
        </w:rPr>
      </w:pPr>
      <w:r>
        <w:rPr>
          <w:sz w:val="20"/>
          <w:szCs w:val="20"/>
        </w:rPr>
        <w:t>The Company is currently under Internal Revenue Service (“IRS”) examination for the tax year ended December 31, 2017. The Company believes that an adequate provision has been made for any adjustments that may result from the tax examination.</w:t>
      </w:r>
    </w:p>
    <w:p w:rsidR="00000000" w:rsidRDefault="00DE7B41">
      <w:pPr>
        <w:pStyle w:val="a3"/>
        <w:spacing w:before="0" w:beforeAutospacing="0" w:after="0" w:afterAutospacing="0"/>
        <w:ind w:firstLine="720"/>
        <w:divId w:val="1380932697"/>
        <w:rPr>
          <w:sz w:val="20"/>
          <w:szCs w:val="20"/>
        </w:rPr>
      </w:pPr>
      <w:r>
        <w:rPr>
          <w:sz w:val="20"/>
          <w:szCs w:val="20"/>
        </w:rPr>
        <w:t>​</w:t>
      </w:r>
    </w:p>
    <w:p w:rsidR="00000000" w:rsidRDefault="00DE7B41">
      <w:pPr>
        <w:pStyle w:val="a3"/>
        <w:spacing w:before="0" w:beforeAutospacing="0" w:after="0" w:afterAutospacing="0"/>
        <w:ind w:firstLine="720"/>
        <w:divId w:val="1380932697"/>
        <w:rPr>
          <w:sz w:val="20"/>
          <w:szCs w:val="20"/>
        </w:rPr>
      </w:pPr>
      <w:r>
        <w:rPr>
          <w:sz w:val="20"/>
          <w:szCs w:val="20"/>
        </w:rPr>
        <w:t>On Mar</w:t>
      </w:r>
      <w:r>
        <w:rPr>
          <w:sz w:val="20"/>
          <w:szCs w:val="20"/>
        </w:rPr>
        <w:t>ch 27, 2020, the </w:t>
      </w:r>
      <w:r>
        <w:rPr>
          <w:i/>
          <w:iCs/>
          <w:sz w:val="20"/>
          <w:szCs w:val="20"/>
        </w:rPr>
        <w:t>Coronavirus Aid, Relief, and Economic Security Act</w:t>
      </w:r>
      <w:r>
        <w:rPr>
          <w:sz w:val="20"/>
          <w:szCs w:val="20"/>
        </w:rPr>
        <w:t> (the “CARES Act”), that features significant tax provision and other measures to assist individuals and businesses impacted by the economic effects of the COVID-19 pandemic, was signed int</w:t>
      </w:r>
      <w:r>
        <w:rPr>
          <w:sz w:val="20"/>
          <w:szCs w:val="20"/>
        </w:rPr>
        <w:t>o law. Tax relief measures for businesses include a five-year net operating loss carryback (including a related technical correction to the 2017 Tax Reform Act), a change in Section 163(j) interest deduction limitations, accelerated alternative minimum tax</w:t>
      </w:r>
      <w:r>
        <w:rPr>
          <w:sz w:val="20"/>
          <w:szCs w:val="20"/>
        </w:rPr>
        <w:t xml:space="preserve"> refunds, payroll tax relief, a temporary suspension of certain aviation excise taxes, a tax credit for employers who retain employees, and a ‘qualified improvement property’ technical correction to the 2017 Tax Reform Act. The Company has considered the c</w:t>
      </w:r>
      <w:r>
        <w:rPr>
          <w:sz w:val="20"/>
          <w:szCs w:val="20"/>
        </w:rPr>
        <w:t>orporate income tax provisions of the CARES Act and related initial guidance as part of its income tax expense forecast for the three months ended March 31, 2020, and these provisions are expected to have an immaterial impact on the Company’s 2020 income t</w:t>
      </w:r>
      <w:r>
        <w:rPr>
          <w:sz w:val="20"/>
          <w:szCs w:val="20"/>
        </w:rPr>
        <w:t>ax expense.</w:t>
      </w:r>
      <w:r>
        <w:rPr>
          <w:b/>
          <w:bCs/>
          <w:sz w:val="20"/>
          <w:szCs w:val="20"/>
        </w:rPr>
        <w:t xml:space="preserve"> </w:t>
      </w:r>
    </w:p>
    <w:p w:rsidR="00000000" w:rsidRDefault="00DE7B41">
      <w:pPr>
        <w:pStyle w:val="a3"/>
        <w:spacing w:before="0" w:beforeAutospacing="0" w:after="0" w:afterAutospacing="0"/>
        <w:divId w:val="1380932697"/>
        <w:rPr>
          <w:sz w:val="20"/>
          <w:szCs w:val="20"/>
        </w:rPr>
      </w:pPr>
      <w:r>
        <w:rPr>
          <w:sz w:val="20"/>
          <w:szCs w:val="20"/>
        </w:rPr>
        <w:t>​</w:t>
      </w:r>
    </w:p>
    <w:p w:rsidR="00000000" w:rsidRDefault="00DE7B41">
      <w:pPr>
        <w:pStyle w:val="a3"/>
        <w:spacing w:before="0" w:beforeAutospacing="0" w:after="0" w:afterAutospacing="0"/>
        <w:ind w:firstLine="720"/>
        <w:divId w:val="1380932697"/>
        <w:rPr>
          <w:sz w:val="20"/>
          <w:szCs w:val="20"/>
        </w:rPr>
      </w:pPr>
      <w:r>
        <w:rPr>
          <w:sz w:val="20"/>
          <w:szCs w:val="20"/>
        </w:rPr>
        <w:t xml:space="preserve">The Company’s future income tax expense may be affected by such factors as changes in tax laws, its business, regulations, tax rates, interpretation of existing laws or regulations, the impact of accounting for share-based compensation, the </w:t>
      </w:r>
      <w:r>
        <w:rPr>
          <w:sz w:val="20"/>
          <w:szCs w:val="20"/>
        </w:rPr>
        <w:t>impact of accounting for business combinations, its international organization, shifts in the amount of income before tax earned in the US as compared with other regions in the world, and changes in overall levels of income before tax.</w:t>
      </w:r>
    </w:p>
    <w:p w:rsidR="00000000" w:rsidRDefault="00DE7B41">
      <w:pPr>
        <w:pStyle w:val="a3"/>
        <w:spacing w:before="0" w:beforeAutospacing="0" w:after="0" w:afterAutospacing="0"/>
        <w:ind w:firstLine="720"/>
        <w:divId w:val="1380932697"/>
        <w:rPr>
          <w:sz w:val="20"/>
          <w:szCs w:val="20"/>
        </w:rPr>
      </w:pPr>
      <w:r>
        <w:rPr>
          <w:sz w:val="20"/>
          <w:szCs w:val="20"/>
        </w:rPr>
        <w:t>​</w:t>
      </w:r>
    </w:p>
    <w:p w:rsidR="00000000" w:rsidRDefault="00DE7B41">
      <w:pPr>
        <w:pStyle w:val="a3"/>
        <w:spacing w:before="0" w:beforeAutospacing="0" w:after="0" w:afterAutospacing="0"/>
        <w:divId w:val="1380932697"/>
        <w:rPr>
          <w:sz w:val="20"/>
          <w:szCs w:val="20"/>
        </w:rPr>
      </w:pPr>
      <w:r>
        <w:rPr>
          <w:b/>
          <w:bCs/>
          <w:sz w:val="20"/>
          <w:szCs w:val="20"/>
        </w:rPr>
        <w:t>10. Public Offering of Ordinary Shares</w:t>
      </w:r>
    </w:p>
    <w:p w:rsidR="00000000" w:rsidRDefault="00DE7B41">
      <w:pPr>
        <w:pStyle w:val="a3"/>
        <w:spacing w:before="0" w:beforeAutospacing="0" w:after="0" w:afterAutospacing="0"/>
        <w:divId w:val="1380932697"/>
        <w:rPr>
          <w:sz w:val="20"/>
          <w:szCs w:val="20"/>
        </w:rPr>
      </w:pPr>
      <w:r>
        <w:rPr>
          <w:b/>
          <w:bCs/>
          <w:sz w:val="10"/>
          <w:szCs w:val="10"/>
        </w:rPr>
        <w:t>​</w:t>
      </w:r>
    </w:p>
    <w:p w:rsidR="00000000" w:rsidRDefault="00DE7B41">
      <w:pPr>
        <w:pStyle w:val="a3"/>
        <w:spacing w:before="0" w:beforeAutospacing="0" w:after="0" w:afterAutospacing="0"/>
        <w:divId w:val="1380932697"/>
        <w:rPr>
          <w:sz w:val="20"/>
          <w:szCs w:val="20"/>
        </w:rPr>
      </w:pPr>
      <w:r>
        <w:rPr>
          <w:sz w:val="20"/>
          <w:szCs w:val="20"/>
        </w:rPr>
        <w:t>On February 14, 2020, the Company sold 5,500,000 ordinary shares at a price to the public of $27.00 per share (the “Shares”</w:t>
      </w:r>
      <w:r>
        <w:rPr>
          <w:sz w:val="20"/>
          <w:szCs w:val="20"/>
        </w:rPr>
        <w:t>). The gross proceeds to the Company from the offering were approximately $148.5 million, before deducting underwriting discounts and commissions and estimated offering expenses. The Shares were issued pursuant to the Company’s currently effective shelf re</w:t>
      </w:r>
      <w:r>
        <w:rPr>
          <w:sz w:val="20"/>
          <w:szCs w:val="20"/>
        </w:rPr>
        <w:t>gistration statement on Form S-3 and an accompanying prospectus (File No. 333-235339) filed with the SEC, which became effective automatically on December 3, 2019, and a prospectus supplement filed with the SEC in connection with the offering.</w:t>
      </w:r>
    </w:p>
    <w:p w:rsidR="00000000" w:rsidRDefault="00DE7B41">
      <w:pPr>
        <w:pStyle w:val="a3"/>
        <w:spacing w:before="0" w:beforeAutospacing="0" w:after="0" w:afterAutospacing="0"/>
        <w:divId w:val="1380932697"/>
        <w:rPr>
          <w:sz w:val="20"/>
          <w:szCs w:val="20"/>
        </w:rPr>
      </w:pPr>
      <w:r>
        <w:rPr>
          <w:sz w:val="20"/>
          <w:szCs w:val="20"/>
        </w:rPr>
        <w:t>​</w:t>
      </w:r>
    </w:p>
    <w:p w:rsidR="00000000" w:rsidRDefault="00DE7B41">
      <w:pPr>
        <w:pStyle w:val="a3"/>
        <w:spacing w:before="0" w:beforeAutospacing="0" w:after="0" w:afterAutospacing="0"/>
        <w:divId w:val="1380932697"/>
        <w:rPr>
          <w:sz w:val="20"/>
          <w:szCs w:val="20"/>
        </w:rPr>
      </w:pPr>
      <w:r>
        <w:rPr>
          <w:sz w:val="20"/>
          <w:szCs w:val="20"/>
        </w:rPr>
        <w:t>​</w:t>
      </w:r>
    </w:p>
    <w:p w:rsidR="00000000" w:rsidRDefault="00DE7B41">
      <w:pPr>
        <w:pStyle w:val="a3"/>
        <w:spacing w:before="0" w:beforeAutospacing="0" w:after="0" w:afterAutospacing="0"/>
        <w:ind w:hanging="900"/>
        <w:divId w:val="1380932697"/>
        <w:rPr>
          <w:sz w:val="20"/>
          <w:szCs w:val="20"/>
        </w:rPr>
      </w:pPr>
      <w:r>
        <w:rPr>
          <w:b/>
          <w:bCs/>
          <w:sz w:val="20"/>
          <w:szCs w:val="20"/>
        </w:rPr>
        <w:t>ITEM 2. </w:t>
      </w:r>
      <w:r>
        <w:rPr>
          <w:b/>
          <w:bCs/>
          <w:sz w:val="20"/>
          <w:szCs w:val="20"/>
        </w:rPr>
        <w:t>  MANAGEMENT’S DISCUSSION AND ANALYSIS OF FINANCIAL CONDITION AND RESULTS OF OPERATIONS</w:t>
      </w:r>
    </w:p>
    <w:p w:rsidR="00000000" w:rsidRDefault="00DE7B41">
      <w:pPr>
        <w:pStyle w:val="a3"/>
        <w:spacing w:before="0" w:beforeAutospacing="0" w:after="0" w:afterAutospacing="0"/>
        <w:divId w:val="1380932697"/>
        <w:rPr>
          <w:sz w:val="20"/>
          <w:szCs w:val="20"/>
        </w:rPr>
      </w:pPr>
      <w:r>
        <w:rPr>
          <w:b/>
          <w:bCs/>
          <w:sz w:val="20"/>
          <w:szCs w:val="20"/>
        </w:rPr>
        <w:t>​</w:t>
      </w:r>
    </w:p>
    <w:p w:rsidR="00000000" w:rsidRDefault="00DE7B41">
      <w:pPr>
        <w:pStyle w:val="a3"/>
        <w:spacing w:before="0" w:beforeAutospacing="0" w:after="0" w:afterAutospacing="0"/>
        <w:divId w:val="1380932697"/>
        <w:rPr>
          <w:sz w:val="20"/>
          <w:szCs w:val="20"/>
        </w:rPr>
      </w:pPr>
      <w:r>
        <w:rPr>
          <w:b/>
          <w:bCs/>
          <w:sz w:val="20"/>
          <w:szCs w:val="20"/>
        </w:rPr>
        <w:t>Forward-Looking Statements</w:t>
      </w:r>
    </w:p>
    <w:p w:rsidR="00000000" w:rsidRDefault="00DE7B41">
      <w:pPr>
        <w:pStyle w:val="a3"/>
        <w:spacing w:before="0" w:beforeAutospacing="0" w:after="0" w:afterAutospacing="0"/>
        <w:divId w:val="1380932697"/>
        <w:rPr>
          <w:sz w:val="20"/>
          <w:szCs w:val="20"/>
        </w:rPr>
      </w:pPr>
      <w:r>
        <w:rPr>
          <w:sz w:val="10"/>
          <w:szCs w:val="10"/>
        </w:rPr>
        <w:t>​</w:t>
      </w:r>
    </w:p>
    <w:p w:rsidR="00000000" w:rsidRDefault="00DE7B41">
      <w:pPr>
        <w:pStyle w:val="a3"/>
        <w:spacing w:before="0" w:beforeAutospacing="0" w:after="0" w:afterAutospacing="0"/>
        <w:ind w:firstLine="720"/>
        <w:divId w:val="1380932697"/>
        <w:rPr>
          <w:sz w:val="20"/>
          <w:szCs w:val="20"/>
        </w:rPr>
      </w:pPr>
      <w:r>
        <w:rPr>
          <w:sz w:val="20"/>
          <w:szCs w:val="20"/>
        </w:rPr>
        <w:t>You should read the following discussion in conjunction with our condensed financial statements (unaudited) and related notes included el</w:t>
      </w:r>
      <w:r>
        <w:rPr>
          <w:sz w:val="20"/>
          <w:szCs w:val="20"/>
        </w:rPr>
        <w:t xml:space="preserve">sewhere in this report. This report includes “forward-looking statements” within the meaning of Section 27A of the Securities Act of 1933, as amended (the “Securities Act”), and Section 21E of the Securities Exchange Act of 1934, as amended (the “Exchange </w:t>
      </w:r>
      <w:r>
        <w:rPr>
          <w:sz w:val="20"/>
          <w:szCs w:val="20"/>
        </w:rPr>
        <w:t>Act”), that involve risks and uncertainties. All statements in this report, other than statements of historical facts, including statements regarding our strategy, future operations, future financial position, future revenues, projected costs, prospects, p</w:t>
      </w:r>
      <w:r>
        <w:rPr>
          <w:sz w:val="20"/>
          <w:szCs w:val="20"/>
        </w:rPr>
        <w:t>lans, intentions, expectations and objectives are forward-looking statements. The words “anticipate,” “assume,” “believe,” “contemplate,” “continue,” “could,” “designed,” “developed,” “drive,” “estimate,” “expect,” “forecast,” “goal,” “intend,” “may,” “mis</w:t>
      </w:r>
      <w:r>
        <w:rPr>
          <w:sz w:val="20"/>
          <w:szCs w:val="20"/>
        </w:rPr>
        <w:t>sion,” “opportunities,” “plan,” “potential,” “predict,” “project,” “pursue,” “seek,” “should,” “target,” “will,” “would,” and similar expressions (including the negatives thereof) are intended to identify forward-looking statements, although not all forwar</w:t>
      </w:r>
      <w:r>
        <w:rPr>
          <w:sz w:val="20"/>
          <w:szCs w:val="20"/>
        </w:rPr>
        <w:t>d-looking statements contain these identifying words. These statements reflect our current views with respect to future events or our future financial performance, are based on assumptions, and involve known and unknown risks, uncertainties and other facto</w:t>
      </w:r>
      <w:r>
        <w:rPr>
          <w:sz w:val="20"/>
          <w:szCs w:val="20"/>
        </w:rPr>
        <w:t>rs which may cause our actual results, performance or achievements to be materially different from any future results, performance or achievements expressed or implied by the forward-looking statements. We may not actually achieve the plans, intentions, ex</w:t>
      </w:r>
      <w:r>
        <w:rPr>
          <w:sz w:val="20"/>
          <w:szCs w:val="20"/>
        </w:rPr>
        <w:t>pectations or objectives disclosed in our forward-looking statements and the assumptions underlying our forward-looking statements may prove incorrect. Therefore, you should not place undue reliance on our forward-looking statements. Actual results or even</w:t>
      </w:r>
      <w:r>
        <w:rPr>
          <w:sz w:val="20"/>
          <w:szCs w:val="20"/>
        </w:rPr>
        <w:t xml:space="preserve">ts could differ materially from </w:t>
      </w:r>
    </w:p>
    <w:p w:rsidR="00000000" w:rsidRDefault="00DE7B41">
      <w:pPr>
        <w:pStyle w:val="a3"/>
        <w:spacing w:before="360" w:beforeAutospacing="0" w:after="0" w:afterAutospacing="0"/>
        <w:jc w:val="center"/>
        <w:divId w:val="1963337813"/>
        <w:rPr>
          <w:sz w:val="20"/>
          <w:szCs w:val="20"/>
        </w:rPr>
      </w:pPr>
      <w:r>
        <w:rPr>
          <w:sz w:val="20"/>
          <w:szCs w:val="20"/>
        </w:rPr>
        <w:t>19</w:t>
      </w:r>
    </w:p>
    <w:p w:rsidR="00000000" w:rsidRDefault="00DE7B41">
      <w:pPr>
        <w:pStyle w:val="a3"/>
        <w:spacing w:before="0" w:beforeAutospacing="0" w:after="600" w:afterAutospacing="0"/>
        <w:divId w:val="1689218346"/>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95970290"/>
        <w:rPr>
          <w:sz w:val="20"/>
          <w:szCs w:val="20"/>
        </w:rPr>
      </w:pPr>
      <w:r>
        <w:rPr>
          <w:sz w:val="20"/>
          <w:szCs w:val="20"/>
        </w:rPr>
        <w:t>the plans, intentions, expectations and objectives disclosed in the forward-looking statements that we make. Factors that we believe could cause actual results or events to dif</w:t>
      </w:r>
      <w:r>
        <w:rPr>
          <w:sz w:val="20"/>
          <w:szCs w:val="20"/>
        </w:rPr>
        <w:t xml:space="preserve">fer materially from our forward-looking statements include, but are not limited to, those discussed in </w:t>
      </w:r>
      <w:r>
        <w:rPr>
          <w:i/>
          <w:iCs/>
          <w:sz w:val="20"/>
          <w:szCs w:val="20"/>
        </w:rPr>
        <w:t>“Risk Factors,” “Management’s Discussion and Analysis of Financial Condition and Results of Operations”</w:t>
      </w:r>
      <w:r>
        <w:rPr>
          <w:sz w:val="20"/>
          <w:szCs w:val="20"/>
        </w:rPr>
        <w:t xml:space="preserve"> and elsewhere in this report and in our Annual Re</w:t>
      </w:r>
      <w:r>
        <w:rPr>
          <w:sz w:val="20"/>
          <w:szCs w:val="20"/>
        </w:rPr>
        <w:t>port on Form 10-K for the year ended December 31, 2019. Our forward-looking statements in this report are based on current expectations and we do not assume any obligation to update any forward-looking statements for any reason, even if new information bec</w:t>
      </w:r>
      <w:r>
        <w:rPr>
          <w:sz w:val="20"/>
          <w:szCs w:val="20"/>
        </w:rPr>
        <w:t>omes available in the future. In addition, while we expect the effects of a novel strain of coronavirus, SARS-CoV-2, causing the Coronavirus Disease 2019, also known as COVID-19 (the “COVID-19 pandemic”) to continue to adversely impact our business operati</w:t>
      </w:r>
      <w:r>
        <w:rPr>
          <w:sz w:val="20"/>
          <w:szCs w:val="20"/>
        </w:rPr>
        <w:t>ons and financial results, the extent of the impact on our ability to generate revenue from YUPELR</w:t>
      </w:r>
      <w:r>
        <w:rPr>
          <w:sz w:val="20"/>
          <w:szCs w:val="20"/>
        </w:rPr>
        <w:t>I</w:t>
      </w:r>
      <w:r>
        <w:rPr>
          <w:sz w:val="15"/>
          <w:szCs w:val="15"/>
          <w:vertAlign w:val="superscript"/>
        </w:rPr>
        <w:t>®</w:t>
      </w:r>
      <w:r>
        <w:rPr>
          <w:sz w:val="20"/>
          <w:szCs w:val="20"/>
        </w:rPr>
        <w:t xml:space="preserve"> (revefenacin), our clinical development programs (in particular our later stage clinical programs for TD-1473 and ampreloxetine), and the value of and mark</w:t>
      </w:r>
      <w:r>
        <w:rPr>
          <w:sz w:val="20"/>
          <w:szCs w:val="20"/>
        </w:rPr>
        <w:t>et for our common shares, will depend on future developments that are highly uncertain and cannot be predicted with confidence at this time. These potential future developments include, but are not limited to, the ultimate duration of the COVID-19 pandemic</w:t>
      </w:r>
      <w:r>
        <w:rPr>
          <w:sz w:val="20"/>
          <w:szCs w:val="20"/>
        </w:rPr>
        <w:t>, travel restrictions, quarantines, social distancing and business closure requirements in the United States and in other countries, and the effectiveness of actions taken globally to contain and treat the disease.</w:t>
      </w:r>
    </w:p>
    <w:p w:rsidR="00000000" w:rsidRDefault="00DE7B41">
      <w:pPr>
        <w:pStyle w:val="a3"/>
        <w:spacing w:before="0" w:beforeAutospacing="0" w:after="0" w:afterAutospacing="0"/>
        <w:ind w:firstLine="720"/>
        <w:divId w:val="195970290"/>
        <w:rPr>
          <w:sz w:val="20"/>
          <w:szCs w:val="20"/>
        </w:rPr>
      </w:pPr>
      <w:r>
        <w:rPr>
          <w:sz w:val="20"/>
          <w:szCs w:val="20"/>
        </w:rPr>
        <w:t>​</w:t>
      </w:r>
    </w:p>
    <w:p w:rsidR="00000000" w:rsidRDefault="00DE7B41">
      <w:pPr>
        <w:pStyle w:val="a3"/>
        <w:spacing w:before="0" w:beforeAutospacing="0" w:after="0" w:afterAutospacing="0"/>
        <w:divId w:val="195970290"/>
        <w:rPr>
          <w:sz w:val="20"/>
          <w:szCs w:val="20"/>
        </w:rPr>
      </w:pPr>
      <w:r>
        <w:rPr>
          <w:b/>
          <w:bCs/>
          <w:sz w:val="20"/>
          <w:szCs w:val="20"/>
        </w:rPr>
        <w:t>Management Overview</w:t>
      </w:r>
    </w:p>
    <w:p w:rsidR="00000000" w:rsidRDefault="00DE7B41">
      <w:pPr>
        <w:pStyle w:val="a3"/>
        <w:spacing w:before="0" w:beforeAutospacing="0" w:after="0" w:afterAutospacing="0"/>
        <w:divId w:val="195970290"/>
        <w:rPr>
          <w:sz w:val="20"/>
          <w:szCs w:val="20"/>
        </w:rPr>
      </w:pPr>
      <w:r>
        <w:rPr>
          <w:sz w:val="10"/>
          <w:szCs w:val="10"/>
        </w:rPr>
        <w:t>​</w:t>
      </w:r>
    </w:p>
    <w:p w:rsidR="00000000" w:rsidRDefault="00DE7B41">
      <w:pPr>
        <w:pStyle w:val="a3"/>
        <w:spacing w:before="0" w:beforeAutospacing="0" w:after="0" w:afterAutospacing="0"/>
        <w:ind w:firstLine="720"/>
        <w:divId w:val="195970290"/>
        <w:rPr>
          <w:sz w:val="20"/>
          <w:szCs w:val="20"/>
        </w:rPr>
      </w:pPr>
      <w:r>
        <w:rPr>
          <w:sz w:val="20"/>
          <w:szCs w:val="20"/>
        </w:rPr>
        <w:t>Theravance Biopha</w:t>
      </w:r>
      <w:r>
        <w:rPr>
          <w:sz w:val="20"/>
          <w:szCs w:val="20"/>
        </w:rPr>
        <w:t xml:space="preserve">rma, Inc. (“we,” “our” or “Theravance Biopharma”) is a diversified biopharmaceutical company primarily focused on the discovery, development and commercialization of organ-selective medicines. Our purpose is to create transformational medicines to improve </w:t>
      </w:r>
      <w:r>
        <w:rPr>
          <w:sz w:val="20"/>
          <w:szCs w:val="20"/>
        </w:rPr>
        <w:t>the lives of patients suffering from serious illnesses. Our research is focused in the areas of inflammation and immunology.</w:t>
      </w:r>
    </w:p>
    <w:p w:rsidR="00000000" w:rsidRDefault="00DE7B41">
      <w:pPr>
        <w:pStyle w:val="a3"/>
        <w:spacing w:before="0" w:beforeAutospacing="0" w:after="0" w:afterAutospacing="0"/>
        <w:ind w:firstLine="720"/>
        <w:divId w:val="195970290"/>
        <w:rPr>
          <w:sz w:val="20"/>
          <w:szCs w:val="20"/>
        </w:rPr>
      </w:pPr>
      <w:r>
        <w:rPr>
          <w:sz w:val="20"/>
          <w:szCs w:val="20"/>
        </w:rPr>
        <w:t>​</w:t>
      </w:r>
    </w:p>
    <w:p w:rsidR="00000000" w:rsidRDefault="00DE7B41">
      <w:pPr>
        <w:pStyle w:val="a3"/>
        <w:spacing w:before="0" w:beforeAutospacing="0" w:after="0" w:afterAutospacing="0"/>
        <w:ind w:firstLine="720"/>
        <w:divId w:val="195970290"/>
        <w:rPr>
          <w:sz w:val="20"/>
          <w:szCs w:val="20"/>
        </w:rPr>
      </w:pPr>
      <w:r>
        <w:rPr>
          <w:sz w:val="20"/>
          <w:szCs w:val="20"/>
        </w:rPr>
        <w:t>In pursuit of our purpose, we apply insights and innovation at each stage of our business and utilize our internal capabilities a</w:t>
      </w:r>
      <w:r>
        <w:rPr>
          <w:sz w:val="20"/>
          <w:szCs w:val="20"/>
        </w:rPr>
        <w:t>nd those of partners around the world. We apply organ-selective expertise to biologically compelling targets to discover and develop medicines designed to treat underserved localized diseases and to limit systemic exposure, in order to maximize patient ben</w:t>
      </w:r>
      <w:r>
        <w:rPr>
          <w:sz w:val="20"/>
          <w:szCs w:val="20"/>
        </w:rPr>
        <w:t>efit and minimize risk. These efforts leverage years of experience in developing lung-selective medicines to treat respiratory disease, including the United States (“US”) Food and Drug Administration (the “FDA”) approved YUPELR</w:t>
      </w:r>
      <w:r>
        <w:rPr>
          <w:sz w:val="20"/>
          <w:szCs w:val="20"/>
        </w:rPr>
        <w:t>I</w:t>
      </w:r>
      <w:r>
        <w:rPr>
          <w:sz w:val="15"/>
          <w:szCs w:val="15"/>
          <w:vertAlign w:val="superscript"/>
        </w:rPr>
        <w:t>®</w:t>
      </w:r>
      <w:r>
        <w:rPr>
          <w:sz w:val="20"/>
          <w:szCs w:val="20"/>
        </w:rPr>
        <w:t xml:space="preserve"> (revefenacin) inhalation s</w:t>
      </w:r>
      <w:r>
        <w:rPr>
          <w:sz w:val="20"/>
          <w:szCs w:val="20"/>
        </w:rPr>
        <w:t>olution indicated for the maintenance treatment of patients with chronic obstructive pulmonary disease (“COPD”). Our pipeline of internally discovered programs is targeted to address significant patient needs.</w:t>
      </w:r>
    </w:p>
    <w:p w:rsidR="00000000" w:rsidRDefault="00DE7B41">
      <w:pPr>
        <w:pStyle w:val="a3"/>
        <w:spacing w:before="0" w:beforeAutospacing="0" w:after="0" w:afterAutospacing="0"/>
        <w:ind w:firstLine="720"/>
        <w:divId w:val="195970290"/>
        <w:rPr>
          <w:sz w:val="20"/>
          <w:szCs w:val="20"/>
        </w:rPr>
      </w:pPr>
      <w:r>
        <w:rPr>
          <w:sz w:val="20"/>
          <w:szCs w:val="20"/>
        </w:rPr>
        <w:t>​</w:t>
      </w:r>
    </w:p>
    <w:p w:rsidR="00000000" w:rsidRDefault="00DE7B41">
      <w:pPr>
        <w:pStyle w:val="a3"/>
        <w:spacing w:before="0" w:beforeAutospacing="0" w:after="0" w:afterAutospacing="0"/>
        <w:divId w:val="195970290"/>
        <w:rPr>
          <w:sz w:val="20"/>
          <w:szCs w:val="20"/>
        </w:rPr>
      </w:pPr>
      <w:r>
        <w:rPr>
          <w:sz w:val="20"/>
          <w:szCs w:val="20"/>
        </w:rPr>
        <w:t>We have an economic interest in potential fu</w:t>
      </w:r>
      <w:r>
        <w:rPr>
          <w:sz w:val="20"/>
          <w:szCs w:val="20"/>
        </w:rPr>
        <w:t>ture payments from Glaxo Group Limited or one of its affiliates (“GSK”) pursuant to its agreements with Innoviva, Inc. (“Innoviva”) relating to certain programs, including TRELEGY ELLIPTA.</w:t>
      </w:r>
    </w:p>
    <w:p w:rsidR="00000000" w:rsidRDefault="00DE7B41">
      <w:pPr>
        <w:pStyle w:val="a3"/>
        <w:spacing w:before="0" w:beforeAutospacing="0" w:after="0" w:afterAutospacing="0"/>
        <w:divId w:val="195970290"/>
        <w:rPr>
          <w:sz w:val="20"/>
          <w:szCs w:val="20"/>
        </w:rPr>
      </w:pPr>
      <w:r>
        <w:rPr>
          <w:sz w:val="20"/>
          <w:szCs w:val="20"/>
        </w:rPr>
        <w:t>​</w:t>
      </w:r>
    </w:p>
    <w:p w:rsidR="00000000" w:rsidRDefault="00DE7B41">
      <w:pPr>
        <w:pStyle w:val="a3"/>
        <w:spacing w:before="0" w:beforeAutospacing="0" w:after="0" w:afterAutospacing="0"/>
        <w:divId w:val="195970290"/>
        <w:rPr>
          <w:sz w:val="20"/>
          <w:szCs w:val="20"/>
        </w:rPr>
      </w:pPr>
      <w:r>
        <w:rPr>
          <w:b/>
          <w:bCs/>
          <w:sz w:val="20"/>
          <w:szCs w:val="20"/>
        </w:rPr>
        <w:t>Impact of COVID-19 Pandemic</w:t>
      </w:r>
    </w:p>
    <w:p w:rsidR="00000000" w:rsidRDefault="00DE7B41">
      <w:pPr>
        <w:pStyle w:val="a3"/>
        <w:spacing w:before="0" w:beforeAutospacing="0" w:after="0" w:afterAutospacing="0"/>
        <w:divId w:val="195970290"/>
        <w:rPr>
          <w:sz w:val="20"/>
          <w:szCs w:val="20"/>
        </w:rPr>
      </w:pPr>
      <w:r>
        <w:rPr>
          <w:b/>
          <w:bCs/>
          <w:color w:val="FF0000"/>
          <w:sz w:val="10"/>
          <w:szCs w:val="10"/>
        </w:rPr>
        <w:t>​</w:t>
      </w:r>
    </w:p>
    <w:p w:rsidR="00000000" w:rsidRDefault="00DE7B41">
      <w:pPr>
        <w:pStyle w:val="a3"/>
        <w:spacing w:before="0" w:beforeAutospacing="0" w:after="0" w:afterAutospacing="0"/>
        <w:ind w:firstLine="720"/>
        <w:divId w:val="195970290"/>
        <w:rPr>
          <w:sz w:val="20"/>
          <w:szCs w:val="20"/>
        </w:rPr>
      </w:pPr>
      <w:r>
        <w:rPr>
          <w:sz w:val="20"/>
          <w:szCs w:val="20"/>
        </w:rPr>
        <w:t>During the three months ended March 31, 2020, the effects of the COVID-19 pandemic and the related actions by governments around the world to attempt to contain the spread of the virus presented a substantial public health and economic challenge around the</w:t>
      </w:r>
      <w:r>
        <w:rPr>
          <w:sz w:val="20"/>
          <w:szCs w:val="20"/>
        </w:rPr>
        <w:t xml:space="preserve"> world and is affecting our employees, patients, communities, clinical trial sites, suppliers, business partners and business operations. </w:t>
      </w:r>
    </w:p>
    <w:p w:rsidR="00000000" w:rsidRDefault="00DE7B41">
      <w:pPr>
        <w:pStyle w:val="a3"/>
        <w:spacing w:before="0" w:beforeAutospacing="0" w:after="0" w:afterAutospacing="0"/>
        <w:ind w:firstLine="720"/>
        <w:divId w:val="195970290"/>
        <w:rPr>
          <w:sz w:val="20"/>
          <w:szCs w:val="20"/>
        </w:rPr>
      </w:pPr>
      <w:r>
        <w:rPr>
          <w:sz w:val="20"/>
          <w:szCs w:val="20"/>
        </w:rPr>
        <w:t>​</w:t>
      </w:r>
    </w:p>
    <w:p w:rsidR="00000000" w:rsidRDefault="00DE7B41">
      <w:pPr>
        <w:pStyle w:val="a3"/>
        <w:spacing w:before="0" w:beforeAutospacing="0" w:after="0" w:afterAutospacing="0"/>
        <w:ind w:firstLine="720"/>
        <w:divId w:val="195970290"/>
        <w:rPr>
          <w:sz w:val="20"/>
          <w:szCs w:val="20"/>
        </w:rPr>
      </w:pPr>
      <w:r>
        <w:rPr>
          <w:sz w:val="20"/>
          <w:szCs w:val="20"/>
        </w:rPr>
        <w:t>The impact the COVID-19 pandemic will have on our business, results of operations and financial condition will depe</w:t>
      </w:r>
      <w:r>
        <w:rPr>
          <w:sz w:val="20"/>
          <w:szCs w:val="20"/>
        </w:rPr>
        <w:t>nd on future developments, which are highly uncertain and cannot be predicted, including, but not limited to the duration and spread of the pandemic, its severity, the actions to contain the virus or address its impact, and how quickly and to what extent n</w:t>
      </w:r>
      <w:r>
        <w:rPr>
          <w:sz w:val="20"/>
          <w:szCs w:val="20"/>
        </w:rPr>
        <w:t>ormal economic and operating activities can resume. We are continuing to assess the potential impact of the COVID-19 pandemic on our business and operations, including our sales, expenses, manufacturing and clinical trials. Despite the measures we have tak</w:t>
      </w:r>
      <w:r>
        <w:rPr>
          <w:sz w:val="20"/>
          <w:szCs w:val="20"/>
        </w:rPr>
        <w:t>en, there are significant internal and external risks and uncertainties to our business operations for the remainder of the year, and particularly over the next few months.</w:t>
      </w:r>
    </w:p>
    <w:p w:rsidR="00000000" w:rsidRDefault="00DE7B41">
      <w:pPr>
        <w:pStyle w:val="a3"/>
        <w:spacing w:before="0" w:beforeAutospacing="0" w:after="0" w:afterAutospacing="0"/>
        <w:ind w:firstLine="720"/>
        <w:divId w:val="195970290"/>
        <w:rPr>
          <w:sz w:val="20"/>
          <w:szCs w:val="20"/>
        </w:rPr>
      </w:pPr>
      <w:r>
        <w:rPr>
          <w:sz w:val="20"/>
          <w:szCs w:val="20"/>
        </w:rPr>
        <w:t>​</w:t>
      </w:r>
    </w:p>
    <w:p w:rsidR="00000000" w:rsidRDefault="00DE7B41">
      <w:pPr>
        <w:pStyle w:val="a3"/>
        <w:spacing w:before="0" w:beforeAutospacing="0" w:after="0" w:afterAutospacing="0"/>
        <w:divId w:val="195970290"/>
        <w:rPr>
          <w:sz w:val="20"/>
          <w:szCs w:val="20"/>
        </w:rPr>
      </w:pPr>
      <w:r>
        <w:rPr>
          <w:b/>
          <w:bCs/>
          <w:i/>
          <w:iCs/>
          <w:sz w:val="20"/>
          <w:szCs w:val="20"/>
        </w:rPr>
        <w:t>YUPELRI (revefenacin) Inhalation Solution</w:t>
      </w:r>
    </w:p>
    <w:p w:rsidR="00000000" w:rsidRDefault="00DE7B41">
      <w:pPr>
        <w:pStyle w:val="a3"/>
        <w:spacing w:before="0" w:beforeAutospacing="0" w:after="0" w:afterAutospacing="0"/>
        <w:ind w:firstLine="720"/>
        <w:divId w:val="195970290"/>
        <w:rPr>
          <w:sz w:val="20"/>
          <w:szCs w:val="20"/>
        </w:rPr>
      </w:pPr>
      <w:r>
        <w:rPr>
          <w:sz w:val="10"/>
          <w:szCs w:val="10"/>
        </w:rPr>
        <w:t>​</w:t>
      </w:r>
    </w:p>
    <w:p w:rsidR="00000000" w:rsidRDefault="00DE7B41">
      <w:pPr>
        <w:pStyle w:val="a3"/>
        <w:spacing w:before="0" w:beforeAutospacing="0" w:after="0" w:afterAutospacing="0"/>
        <w:ind w:firstLine="720"/>
        <w:divId w:val="195970290"/>
        <w:rPr>
          <w:sz w:val="20"/>
          <w:szCs w:val="20"/>
        </w:rPr>
      </w:pPr>
      <w:r>
        <w:rPr>
          <w:sz w:val="20"/>
          <w:szCs w:val="20"/>
        </w:rPr>
        <w:t>We and our collaboration partner, Myl</w:t>
      </w:r>
      <w:r>
        <w:rPr>
          <w:sz w:val="20"/>
          <w:szCs w:val="20"/>
        </w:rPr>
        <w:t>an Ireland Limited (“Mylan”), continue to supply YUPELR</w:t>
      </w:r>
      <w:r>
        <w:rPr>
          <w:sz w:val="20"/>
          <w:szCs w:val="20"/>
        </w:rPr>
        <w:t>I</w:t>
      </w:r>
      <w:r>
        <w:rPr>
          <w:sz w:val="17"/>
          <w:szCs w:val="17"/>
          <w:vertAlign w:val="superscript"/>
        </w:rPr>
        <w:t>®</w:t>
      </w:r>
      <w:r>
        <w:rPr>
          <w:sz w:val="20"/>
          <w:szCs w:val="20"/>
        </w:rPr>
        <w:t xml:space="preserve"> (revefenacin) inhalation solution to our patients and currently do not anticipate any interruptions in supply. The manufacture of YUPELRI continues at or near normal levels. While we currently do no</w:t>
      </w:r>
      <w:r>
        <w:rPr>
          <w:sz w:val="20"/>
          <w:szCs w:val="20"/>
        </w:rPr>
        <w:t xml:space="preserve">t anticipate any interruptions in the manufacturing and supply of </w:t>
      </w:r>
    </w:p>
    <w:p w:rsidR="00000000" w:rsidRDefault="00DE7B41">
      <w:pPr>
        <w:pStyle w:val="a3"/>
        <w:spacing w:before="360" w:beforeAutospacing="0" w:after="0" w:afterAutospacing="0"/>
        <w:jc w:val="center"/>
        <w:divId w:val="524368968"/>
        <w:rPr>
          <w:sz w:val="20"/>
          <w:szCs w:val="20"/>
        </w:rPr>
      </w:pPr>
      <w:r>
        <w:rPr>
          <w:sz w:val="20"/>
          <w:szCs w:val="20"/>
        </w:rPr>
        <w:t>20</w:t>
      </w:r>
    </w:p>
    <w:p w:rsidR="00000000" w:rsidRDefault="00DE7B41">
      <w:pPr>
        <w:pStyle w:val="a3"/>
        <w:spacing w:before="0" w:beforeAutospacing="0" w:after="600" w:afterAutospacing="0"/>
        <w:divId w:val="114682353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025450367"/>
        <w:rPr>
          <w:sz w:val="20"/>
          <w:szCs w:val="20"/>
        </w:rPr>
      </w:pPr>
      <w:r>
        <w:rPr>
          <w:sz w:val="20"/>
          <w:szCs w:val="20"/>
        </w:rPr>
        <w:t>YUPELRI, it is possible that the COVID-19 pandemic and response efforts may have an impact on the manufacture and supply of YUPELRI in the fut</w:t>
      </w:r>
      <w:r>
        <w:rPr>
          <w:sz w:val="20"/>
          <w:szCs w:val="20"/>
        </w:rPr>
        <w:t>ure.</w:t>
      </w:r>
    </w:p>
    <w:p w:rsidR="00000000" w:rsidRDefault="00DE7B41">
      <w:pPr>
        <w:pStyle w:val="a3"/>
        <w:spacing w:before="0" w:beforeAutospacing="0" w:after="0" w:afterAutospacing="0"/>
        <w:divId w:val="1025450367"/>
        <w:rPr>
          <w:sz w:val="20"/>
          <w:szCs w:val="20"/>
        </w:rPr>
      </w:pPr>
      <w:r>
        <w:rPr>
          <w:sz w:val="20"/>
          <w:szCs w:val="20"/>
        </w:rPr>
        <w:t>​</w:t>
      </w:r>
    </w:p>
    <w:p w:rsidR="00000000" w:rsidRDefault="00DE7B41">
      <w:pPr>
        <w:pStyle w:val="a3"/>
        <w:spacing w:before="0" w:beforeAutospacing="0" w:after="0" w:afterAutospacing="0"/>
        <w:ind w:firstLine="720"/>
        <w:divId w:val="1025450367"/>
        <w:rPr>
          <w:sz w:val="20"/>
          <w:szCs w:val="20"/>
        </w:rPr>
      </w:pPr>
      <w:r>
        <w:rPr>
          <w:sz w:val="20"/>
          <w:szCs w:val="20"/>
        </w:rPr>
        <w:t>Although YUPELRI net sales growth continued in the quarter ended March 31, 2020, the trajectory could be impacted by COVID-19, and we have observed increased volatility in YUPELRI sales. In mid-March 2020, we suspended in-person sales calls to accou</w:t>
      </w:r>
      <w:r>
        <w:rPr>
          <w:sz w:val="20"/>
          <w:szCs w:val="20"/>
        </w:rPr>
        <w:t>nts in response to the COVID-19 pandemic, and we are engaging with these customers remotely via telephone calls, electronic mail, digital outreach or video conferencing as we seek to continue to support healthcare professionals and patient care. We are mon</w:t>
      </w:r>
      <w:r>
        <w:rPr>
          <w:sz w:val="20"/>
          <w:szCs w:val="20"/>
        </w:rPr>
        <w:t xml:space="preserve">itoring the impact of the COVID-19 pandemic on demand for YUPELRI, including the duration and degree to which we may see declines in customer orders or delays in starting new patients on YUPELRI. </w:t>
      </w:r>
    </w:p>
    <w:p w:rsidR="00000000" w:rsidRDefault="00DE7B41">
      <w:pPr>
        <w:pStyle w:val="a3"/>
        <w:spacing w:before="0" w:beforeAutospacing="0" w:after="0" w:afterAutospacing="0"/>
        <w:divId w:val="1025450367"/>
        <w:rPr>
          <w:sz w:val="20"/>
          <w:szCs w:val="20"/>
        </w:rPr>
      </w:pPr>
      <w:r>
        <w:rPr>
          <w:sz w:val="20"/>
          <w:szCs w:val="20"/>
        </w:rPr>
        <w:t>​</w:t>
      </w:r>
    </w:p>
    <w:p w:rsidR="00000000" w:rsidRDefault="00DE7B41">
      <w:pPr>
        <w:pStyle w:val="a3"/>
        <w:spacing w:before="0" w:beforeAutospacing="0" w:after="0" w:afterAutospacing="0"/>
        <w:ind w:firstLine="720"/>
        <w:divId w:val="1025450367"/>
        <w:rPr>
          <w:sz w:val="20"/>
          <w:szCs w:val="20"/>
        </w:rPr>
      </w:pPr>
      <w:r>
        <w:rPr>
          <w:sz w:val="20"/>
          <w:szCs w:val="20"/>
        </w:rPr>
        <w:t>We are also preparing for a higher degree of volatility d</w:t>
      </w:r>
      <w:r>
        <w:rPr>
          <w:sz w:val="20"/>
          <w:szCs w:val="20"/>
        </w:rPr>
        <w:t>uring the remainder of 2020 as disruptions of day-to-day operations of hospitals and clinics may continue. We currently expect to be cash-flow positive in the YUPELRI business by end of the year, and we will continue to assess and evaluate the impact of CO</w:t>
      </w:r>
      <w:r>
        <w:rPr>
          <w:sz w:val="20"/>
          <w:szCs w:val="20"/>
        </w:rPr>
        <w:t xml:space="preserve">VID-19. At this stage, we are unable to predict the ultimate disruptive impact of the COVID-19 pandemic on both YUPELRI and the rest of our business. </w:t>
      </w:r>
    </w:p>
    <w:p w:rsidR="00000000" w:rsidRDefault="00DE7B41">
      <w:pPr>
        <w:pStyle w:val="a3"/>
        <w:spacing w:before="0" w:beforeAutospacing="0" w:after="0" w:afterAutospacing="0"/>
        <w:ind w:firstLine="720"/>
        <w:divId w:val="1025450367"/>
        <w:rPr>
          <w:sz w:val="20"/>
          <w:szCs w:val="20"/>
        </w:rPr>
      </w:pPr>
      <w:r>
        <w:rPr>
          <w:sz w:val="20"/>
          <w:szCs w:val="20"/>
        </w:rPr>
        <w:t>​</w:t>
      </w:r>
    </w:p>
    <w:p w:rsidR="00000000" w:rsidRDefault="00DE7B41">
      <w:pPr>
        <w:pStyle w:val="a3"/>
        <w:spacing w:before="0" w:beforeAutospacing="0" w:after="0" w:afterAutospacing="0"/>
        <w:divId w:val="1025450367"/>
        <w:rPr>
          <w:sz w:val="20"/>
          <w:szCs w:val="20"/>
        </w:rPr>
      </w:pPr>
      <w:r>
        <w:rPr>
          <w:b/>
          <w:bCs/>
          <w:i/>
          <w:iCs/>
          <w:sz w:val="20"/>
          <w:szCs w:val="20"/>
        </w:rPr>
        <w:t>Clinical Trial Activity</w:t>
      </w:r>
    </w:p>
    <w:p w:rsidR="00000000" w:rsidRDefault="00DE7B41">
      <w:pPr>
        <w:pStyle w:val="a3"/>
        <w:spacing w:before="0" w:beforeAutospacing="0" w:after="0" w:afterAutospacing="0"/>
        <w:ind w:firstLine="720"/>
        <w:divId w:val="1025450367"/>
        <w:rPr>
          <w:sz w:val="20"/>
          <w:szCs w:val="20"/>
        </w:rPr>
      </w:pPr>
      <w:r>
        <w:rPr>
          <w:sz w:val="10"/>
          <w:szCs w:val="10"/>
        </w:rPr>
        <w:t>​</w:t>
      </w:r>
    </w:p>
    <w:p w:rsidR="00000000" w:rsidRDefault="00DE7B41">
      <w:pPr>
        <w:pStyle w:val="a3"/>
        <w:spacing w:before="0" w:beforeAutospacing="0" w:after="0" w:afterAutospacing="0"/>
        <w:ind w:firstLine="720"/>
        <w:divId w:val="1025450367"/>
        <w:rPr>
          <w:sz w:val="20"/>
          <w:szCs w:val="20"/>
        </w:rPr>
      </w:pPr>
      <w:r>
        <w:rPr>
          <w:sz w:val="20"/>
          <w:szCs w:val="20"/>
        </w:rPr>
        <w:t>While we are currently continuing the clinical trials we have underway in sit</w:t>
      </w:r>
      <w:r>
        <w:rPr>
          <w:sz w:val="20"/>
          <w:szCs w:val="20"/>
        </w:rPr>
        <w:t>es across the globe, the</w:t>
      </w:r>
      <w:r>
        <w:rPr>
          <w:color w:val="FF0000"/>
          <w:sz w:val="20"/>
          <w:szCs w:val="20"/>
        </w:rPr>
        <w:t xml:space="preserve"> </w:t>
      </w:r>
      <w:r>
        <w:rPr>
          <w:sz w:val="20"/>
          <w:szCs w:val="20"/>
        </w:rPr>
        <w:t>COVID-19 pandemic has impacted the timeline for our clinical trials. We been evaluating each of our clinical trial programs to determine necessary modifications and have worked closely with regulators, sites, clinical research orga</w:t>
      </w:r>
      <w:r>
        <w:rPr>
          <w:sz w:val="20"/>
          <w:szCs w:val="20"/>
        </w:rPr>
        <w:t>nizations and data safety monitoring boards. Given the significant strains on the healthcare system across the globe, we made the decision in mid-March 2020 to temporarily suspend the screening of new patients for our TD-1473 trials and ampreloxetine trial</w:t>
      </w:r>
      <w:r>
        <w:rPr>
          <w:sz w:val="20"/>
          <w:szCs w:val="20"/>
        </w:rPr>
        <w:t>s, which are further discussed below, for 4 weeks in order to prioritize ongoing support for patients who were already in screening and those who were already randomized. We have implemented mitigation plans to help ensure patients in the clinical trials h</w:t>
      </w:r>
      <w:r>
        <w:rPr>
          <w:sz w:val="20"/>
          <w:szCs w:val="20"/>
        </w:rPr>
        <w:t>ave continued access to drug supply and regular visits with their physicians for study visits per trial protocols. The Company continues to work to find means of reducing patient needs to travel to sites in hopes of avoiding unnecessary exposure while bala</w:t>
      </w:r>
      <w:r>
        <w:rPr>
          <w:sz w:val="20"/>
          <w:szCs w:val="20"/>
        </w:rPr>
        <w:t>ncing safety monitoring of investigational products. The studies were able to continue randomizing patients into the studies, and the randomized patients were able to continue to receive study medication per the protocol requirements. Screening of new pati</w:t>
      </w:r>
      <w:r>
        <w:rPr>
          <w:sz w:val="20"/>
          <w:szCs w:val="20"/>
        </w:rPr>
        <w:t>ents is now restarting in some countries in a controlled and measured fashion as individual sites confirm their ability to support the study requirements and new patients are able to be assessed for their eligibility to participate in the studies. Given th</w:t>
      </w:r>
      <w:r>
        <w:rPr>
          <w:sz w:val="20"/>
          <w:szCs w:val="20"/>
        </w:rPr>
        <w:t>e global nature of the TD-1473 and ampreloxetine clinical programs, this will allow for flexibility as COVID-19 control measures take effect in different countries. The situation is expected to continue to evolve at different rates in different countries a</w:t>
      </w:r>
      <w:r>
        <w:rPr>
          <w:sz w:val="20"/>
          <w:szCs w:val="20"/>
        </w:rPr>
        <w:t>round the world in response to COVID-19 interventions, and as a result, it is not possible to provide an accurate re-estimation of expected completion dates for these programs at this time. Therefore, data from the Phase 2b study of TD-1473 in ulcerative c</w:t>
      </w:r>
      <w:r>
        <w:rPr>
          <w:sz w:val="20"/>
          <w:szCs w:val="20"/>
        </w:rPr>
        <w:t>olitis, the Phase 2 study of TD-1473 in Crohn’s disease and the Phase 3 SEQUOIA study of ampreloxetine in patients with symptomatic nOH, originally planned for late-2020, are now expected in 2021.</w:t>
      </w:r>
    </w:p>
    <w:p w:rsidR="00000000" w:rsidRDefault="00DE7B41">
      <w:pPr>
        <w:pStyle w:val="a3"/>
        <w:spacing w:before="0" w:beforeAutospacing="0" w:after="0" w:afterAutospacing="0"/>
        <w:ind w:firstLine="720"/>
        <w:divId w:val="1025450367"/>
        <w:rPr>
          <w:sz w:val="20"/>
          <w:szCs w:val="20"/>
        </w:rPr>
      </w:pPr>
      <w:r>
        <w:rPr>
          <w:sz w:val="20"/>
          <w:szCs w:val="20"/>
        </w:rPr>
        <w:t>​</w:t>
      </w:r>
    </w:p>
    <w:p w:rsidR="00000000" w:rsidRDefault="00DE7B41">
      <w:pPr>
        <w:pStyle w:val="a3"/>
        <w:spacing w:before="0" w:beforeAutospacing="0" w:after="0" w:afterAutospacing="0"/>
        <w:ind w:firstLine="720"/>
        <w:divId w:val="1025450367"/>
        <w:rPr>
          <w:sz w:val="20"/>
          <w:szCs w:val="20"/>
        </w:rPr>
      </w:pPr>
      <w:r>
        <w:rPr>
          <w:sz w:val="20"/>
          <w:szCs w:val="20"/>
        </w:rPr>
        <w:t>On April 9, 2020, we announced that we were advancing TD-</w:t>
      </w:r>
      <w:r>
        <w:rPr>
          <w:sz w:val="20"/>
          <w:szCs w:val="20"/>
        </w:rPr>
        <w:t>0903, a lung-selective, nebulized Janus kinase inhibitor (JAKi) into clinical development for the potential treatment of hospitalized patients with Acute Lung Injury (“ALI”) caused by COVID-19. We believe TD-0903 has the potential to inhibit the cytokine s</w:t>
      </w:r>
      <w:r>
        <w:rPr>
          <w:sz w:val="20"/>
          <w:szCs w:val="20"/>
        </w:rPr>
        <w:t xml:space="preserve">torm associated with ALI and prevent progression to Acute Respiratory Distress Syndrome (“ARDS”). On April 23, 2020, we announced that the first healthy volunteer had been dosed in a Phase 1 study of TD-0903. </w:t>
      </w:r>
    </w:p>
    <w:p w:rsidR="00000000" w:rsidRDefault="00DE7B41">
      <w:pPr>
        <w:pStyle w:val="a3"/>
        <w:spacing w:before="0" w:beforeAutospacing="0" w:after="0" w:afterAutospacing="0"/>
        <w:jc w:val="both"/>
        <w:divId w:val="1025450367"/>
        <w:rPr>
          <w:sz w:val="20"/>
          <w:szCs w:val="20"/>
        </w:rPr>
      </w:pPr>
      <w:r>
        <w:rPr>
          <w:i/>
          <w:iCs/>
          <w:sz w:val="20"/>
          <w:szCs w:val="20"/>
        </w:rPr>
        <w:t>​</w:t>
      </w:r>
    </w:p>
    <w:p w:rsidR="00000000" w:rsidRDefault="00DE7B41">
      <w:pPr>
        <w:pStyle w:val="a3"/>
        <w:spacing w:before="0" w:beforeAutospacing="0" w:after="0" w:afterAutospacing="0"/>
        <w:jc w:val="both"/>
        <w:divId w:val="1025450367"/>
        <w:rPr>
          <w:sz w:val="20"/>
          <w:szCs w:val="20"/>
        </w:rPr>
      </w:pPr>
      <w:r>
        <w:rPr>
          <w:b/>
          <w:bCs/>
          <w:i/>
          <w:iCs/>
          <w:sz w:val="20"/>
          <w:szCs w:val="20"/>
        </w:rPr>
        <w:t>Business Operations</w:t>
      </w:r>
    </w:p>
    <w:p w:rsidR="00000000" w:rsidRDefault="00DE7B41">
      <w:pPr>
        <w:pStyle w:val="a3"/>
        <w:spacing w:before="0" w:beforeAutospacing="0" w:after="0" w:afterAutospacing="0"/>
        <w:jc w:val="both"/>
        <w:divId w:val="1025450367"/>
        <w:rPr>
          <w:sz w:val="20"/>
          <w:szCs w:val="20"/>
        </w:rPr>
      </w:pPr>
      <w:r>
        <w:rPr>
          <w:sz w:val="10"/>
          <w:szCs w:val="10"/>
        </w:rPr>
        <w:t>​</w:t>
      </w:r>
    </w:p>
    <w:p w:rsidR="00000000" w:rsidRDefault="00DE7B41">
      <w:pPr>
        <w:pStyle w:val="a3"/>
        <w:spacing w:before="0" w:beforeAutospacing="0" w:after="0" w:afterAutospacing="0"/>
        <w:ind w:firstLine="720"/>
        <w:jc w:val="both"/>
        <w:divId w:val="1025450367"/>
        <w:rPr>
          <w:sz w:val="20"/>
          <w:szCs w:val="20"/>
        </w:rPr>
      </w:pPr>
      <w:r>
        <w:rPr>
          <w:sz w:val="20"/>
          <w:szCs w:val="20"/>
        </w:rPr>
        <w:t>Our office-based employees have been working from home since early March 2020, while ensuring essential staffing levels in our operations remain in place, including key personnel in our laboratories.</w:t>
      </w:r>
    </w:p>
    <w:p w:rsidR="00000000" w:rsidRDefault="00DE7B41">
      <w:pPr>
        <w:pStyle w:val="a3"/>
        <w:spacing w:before="0" w:beforeAutospacing="0" w:after="0" w:afterAutospacing="0"/>
        <w:ind w:firstLine="720"/>
        <w:divId w:val="1025450367"/>
        <w:rPr>
          <w:sz w:val="20"/>
          <w:szCs w:val="20"/>
        </w:rPr>
      </w:pPr>
      <w:r>
        <w:rPr>
          <w:sz w:val="20"/>
          <w:szCs w:val="20"/>
        </w:rPr>
        <w:t>​</w:t>
      </w:r>
    </w:p>
    <w:p w:rsidR="00000000" w:rsidRDefault="00DE7B41">
      <w:pPr>
        <w:pStyle w:val="a3"/>
        <w:spacing w:before="0" w:beforeAutospacing="0" w:after="0" w:afterAutospacing="0"/>
        <w:divId w:val="1025450367"/>
        <w:rPr>
          <w:sz w:val="20"/>
          <w:szCs w:val="20"/>
        </w:rPr>
      </w:pPr>
      <w:r>
        <w:rPr>
          <w:sz w:val="20"/>
          <w:szCs w:val="20"/>
        </w:rPr>
        <w:t>We are well capitalized as of March 31, 2020, with $49</w:t>
      </w:r>
      <w:r>
        <w:rPr>
          <w:sz w:val="20"/>
          <w:szCs w:val="20"/>
        </w:rPr>
        <w:t>2.1 million in cash, cash equivalents, and investments in marketable securities (excluding restricted cash).</w:t>
      </w:r>
    </w:p>
    <w:p w:rsidR="00000000" w:rsidRDefault="00DE7B41">
      <w:pPr>
        <w:pStyle w:val="a3"/>
        <w:spacing w:before="0" w:beforeAutospacing="0" w:after="0" w:afterAutospacing="0"/>
        <w:divId w:val="1025450367"/>
        <w:rPr>
          <w:sz w:val="20"/>
          <w:szCs w:val="20"/>
        </w:rPr>
      </w:pPr>
      <w:r>
        <w:rPr>
          <w:sz w:val="20"/>
          <w:szCs w:val="20"/>
        </w:rPr>
        <w:t>​</w:t>
      </w:r>
    </w:p>
    <w:p w:rsidR="00000000" w:rsidRDefault="00DE7B41">
      <w:pPr>
        <w:pStyle w:val="a3"/>
        <w:spacing w:before="360" w:beforeAutospacing="0" w:after="0" w:afterAutospacing="0"/>
        <w:jc w:val="center"/>
        <w:divId w:val="590434231"/>
        <w:rPr>
          <w:sz w:val="20"/>
          <w:szCs w:val="20"/>
        </w:rPr>
      </w:pPr>
      <w:r>
        <w:rPr>
          <w:sz w:val="20"/>
          <w:szCs w:val="20"/>
        </w:rPr>
        <w:t>21</w:t>
      </w:r>
    </w:p>
    <w:p w:rsidR="00000000" w:rsidRDefault="00DE7B41">
      <w:pPr>
        <w:pStyle w:val="a3"/>
        <w:spacing w:before="0" w:beforeAutospacing="0" w:after="600" w:afterAutospacing="0"/>
        <w:divId w:val="147287683"/>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212882693"/>
        <w:rPr>
          <w:sz w:val="20"/>
          <w:szCs w:val="20"/>
        </w:rPr>
      </w:pPr>
      <w:r>
        <w:rPr>
          <w:b/>
          <w:bCs/>
          <w:sz w:val="20"/>
          <w:szCs w:val="20"/>
        </w:rPr>
        <w:t>Program Highlights</w:t>
      </w:r>
    </w:p>
    <w:p w:rsidR="00000000" w:rsidRDefault="00DE7B41">
      <w:pPr>
        <w:pStyle w:val="a3"/>
        <w:spacing w:before="0" w:beforeAutospacing="0" w:after="0" w:afterAutospacing="0"/>
        <w:ind w:hanging="200"/>
        <w:divId w:val="1212882693"/>
        <w:rPr>
          <w:sz w:val="20"/>
          <w:szCs w:val="20"/>
        </w:rPr>
      </w:pPr>
      <w:r>
        <w:rPr>
          <w:b/>
          <w:bCs/>
          <w:i/>
          <w:iCs/>
          <w:sz w:val="20"/>
          <w:szCs w:val="20"/>
        </w:rPr>
        <w:t>​</w:t>
      </w:r>
    </w:p>
    <w:p w:rsidR="00000000" w:rsidRDefault="00DE7B41">
      <w:pPr>
        <w:pStyle w:val="a3"/>
        <w:spacing w:before="0" w:beforeAutospacing="0" w:after="0" w:afterAutospacing="0"/>
        <w:ind w:hanging="200"/>
        <w:divId w:val="1212882693"/>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DE7B41">
      <w:pPr>
        <w:pStyle w:val="a3"/>
        <w:spacing w:before="0" w:beforeAutospacing="0" w:after="0" w:afterAutospacing="0"/>
        <w:divId w:val="1212882693"/>
        <w:rPr>
          <w:sz w:val="20"/>
          <w:szCs w:val="20"/>
        </w:rPr>
      </w:pPr>
      <w:r>
        <w:rPr>
          <w:sz w:val="10"/>
          <w:szCs w:val="10"/>
        </w:rPr>
        <w:t>​</w:t>
      </w:r>
    </w:p>
    <w:p w:rsidR="00000000" w:rsidRDefault="00DE7B41">
      <w:pPr>
        <w:pStyle w:val="a3"/>
        <w:spacing w:before="0" w:beforeAutospacing="0" w:after="0" w:afterAutospacing="0"/>
        <w:ind w:firstLine="720"/>
        <w:divId w:val="1212882693"/>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treatment guidelines as a cornerstone of ma</w:t>
      </w:r>
      <w:r>
        <w:rPr>
          <w:sz w:val="20"/>
          <w:szCs w:val="20"/>
        </w:rPr>
        <w:t>intenance therapy for COPD, regardless of severity of disease. Our market research indicates there is an enduring population of COPD patients in the US that either need or prefer nebulized delivery for maintenance therapy. The stability of revefenacin in b</w:t>
      </w:r>
      <w:r>
        <w:rPr>
          <w:sz w:val="20"/>
          <w:szCs w:val="20"/>
        </w:rPr>
        <w:t xml:space="preserve">oth metered dose inhaler and dry powder inhaler (“MDI/DPI”) formulations suggests that revefenacin could also serve as a foundation for novel handheld combination products. </w:t>
      </w:r>
    </w:p>
    <w:p w:rsidR="00000000" w:rsidRDefault="00DE7B41">
      <w:pPr>
        <w:pStyle w:val="a3"/>
        <w:spacing w:before="0" w:beforeAutospacing="0" w:after="0" w:afterAutospacing="0"/>
        <w:ind w:firstLine="720"/>
        <w:divId w:val="1212882693"/>
        <w:rPr>
          <w:sz w:val="20"/>
          <w:szCs w:val="20"/>
        </w:rPr>
      </w:pPr>
      <w:r>
        <w:rPr>
          <w:sz w:val="20"/>
          <w:szCs w:val="20"/>
        </w:rPr>
        <w:t>​</w:t>
      </w:r>
    </w:p>
    <w:p w:rsidR="00000000" w:rsidRDefault="00DE7B41">
      <w:pPr>
        <w:pStyle w:val="a3"/>
        <w:spacing w:before="0" w:beforeAutospacing="0" w:after="0" w:afterAutospacing="0"/>
        <w:ind w:firstLine="720"/>
        <w:divId w:val="1212882693"/>
        <w:rPr>
          <w:sz w:val="20"/>
          <w:szCs w:val="20"/>
        </w:rPr>
      </w:pPr>
      <w:r>
        <w:rPr>
          <w:sz w:val="20"/>
          <w:szCs w:val="20"/>
        </w:rPr>
        <w:t xml:space="preserve">In November 2018, YUPELRI was approved by the FDA for the maintenance treatment </w:t>
      </w:r>
      <w:r>
        <w:rPr>
          <w:sz w:val="20"/>
          <w:szCs w:val="20"/>
        </w:rPr>
        <w:t xml:space="preserve">of patients with COPD. Following shipments into commercial channel in late 2018, we and Mylan formally launched our sales and marketing efforts in early 2019. As described above and in </w:t>
      </w:r>
      <w:r>
        <w:rPr>
          <w:i/>
          <w:iCs/>
          <w:sz w:val="20"/>
          <w:szCs w:val="20"/>
        </w:rPr>
        <w:t>Item 1A.</w:t>
      </w:r>
      <w:r>
        <w:rPr>
          <w:sz w:val="20"/>
          <w:szCs w:val="20"/>
        </w:rPr>
        <w:t xml:space="preserve"> </w:t>
      </w:r>
      <w:r>
        <w:rPr>
          <w:i/>
          <w:iCs/>
          <w:sz w:val="20"/>
          <w:szCs w:val="20"/>
        </w:rPr>
        <w:t>Risk Factor</w:t>
      </w:r>
      <w:r>
        <w:rPr>
          <w:sz w:val="20"/>
          <w:szCs w:val="20"/>
        </w:rPr>
        <w:t xml:space="preserve"> </w:t>
      </w:r>
      <w:r>
        <w:rPr>
          <w:i/>
          <w:iCs/>
          <w:sz w:val="20"/>
          <w:szCs w:val="20"/>
        </w:rPr>
        <w:t>entitled</w:t>
      </w:r>
      <w:r>
        <w:rPr>
          <w:sz w:val="20"/>
          <w:szCs w:val="20"/>
        </w:rPr>
        <w:t xml:space="preserve"> </w:t>
      </w:r>
      <w:r>
        <w:rPr>
          <w:i/>
          <w:iCs/>
          <w:sz w:val="20"/>
          <w:szCs w:val="20"/>
        </w:rPr>
        <w:t>“We face risks related to health epidemic</w:t>
      </w:r>
      <w:r>
        <w:rPr>
          <w:i/>
          <w:iCs/>
          <w:sz w:val="20"/>
          <w:szCs w:val="20"/>
        </w:rPr>
        <w:t>s, including the recent COVID-19 pandemic, which could have a material adverse effect on our business and results of operations.”</w:t>
      </w:r>
      <w:r>
        <w:rPr>
          <w:sz w:val="20"/>
          <w:szCs w:val="20"/>
        </w:rPr>
        <w:t>, although YUPELRI net sales growth continued in the quarter ended March 31, 2020, the trajectory could be impacted by COVID-19</w:t>
      </w:r>
      <w:r>
        <w:rPr>
          <w:sz w:val="20"/>
          <w:szCs w:val="20"/>
        </w:rPr>
        <w:t>, and we have observed increased volatility in YUPELRI sales. We are tracking several key performance metrics to gauge success in building early market acceptance, including formulary reviews, formulary wins and market access. Since launch, YUPELRI has bee</w:t>
      </w:r>
      <w:r>
        <w:rPr>
          <w:sz w:val="20"/>
          <w:szCs w:val="20"/>
        </w:rPr>
        <w:t>n accepted on 176 formularies that account for a total of 312 institutional accounts. With respect to market access, we have confirmed commercial coverage of approximately 61% and Medicare Part B coverage for 100% of patients. In May 2019, we announced tha</w:t>
      </w:r>
      <w:r>
        <w:rPr>
          <w:sz w:val="20"/>
          <w:szCs w:val="20"/>
        </w:rPr>
        <w:t xml:space="preserve">t YUPELRI had been assigned a permanent unique Healthcare Common Procedure Coding System (“J-CODE”) ahead of schedule. The permanent J-CODE allows for full automation of prescription adjudication, simplifying the process for pharmacists and patients. </w:t>
      </w:r>
    </w:p>
    <w:p w:rsidR="00000000" w:rsidRDefault="00DE7B41">
      <w:pPr>
        <w:pStyle w:val="a3"/>
        <w:spacing w:before="0" w:beforeAutospacing="0" w:after="0" w:afterAutospacing="0"/>
        <w:divId w:val="1212882693"/>
        <w:rPr>
          <w:sz w:val="20"/>
          <w:szCs w:val="20"/>
        </w:rPr>
      </w:pPr>
      <w:r>
        <w:rPr>
          <w:sz w:val="20"/>
          <w:szCs w:val="20"/>
        </w:rPr>
        <w:t>​</w:t>
      </w:r>
    </w:p>
    <w:p w:rsidR="00000000" w:rsidRDefault="00DE7B41">
      <w:pPr>
        <w:pStyle w:val="a3"/>
        <w:spacing w:before="0" w:beforeAutospacing="0" w:after="0" w:afterAutospacing="0"/>
        <w:divId w:val="1212882693"/>
        <w:rPr>
          <w:sz w:val="20"/>
          <w:szCs w:val="20"/>
        </w:rPr>
      </w:pPr>
      <w:r>
        <w:rPr>
          <w:i/>
          <w:iCs/>
          <w:sz w:val="20"/>
          <w:szCs w:val="20"/>
        </w:rPr>
        <w:t>My</w:t>
      </w:r>
      <w:r>
        <w:rPr>
          <w:i/>
          <w:iCs/>
          <w:sz w:val="20"/>
          <w:szCs w:val="20"/>
        </w:rPr>
        <w:t>lan Collaboration</w:t>
      </w:r>
    </w:p>
    <w:p w:rsidR="00000000" w:rsidRDefault="00DE7B41">
      <w:pPr>
        <w:pStyle w:val="a3"/>
        <w:spacing w:before="0" w:beforeAutospacing="0" w:after="0" w:afterAutospacing="0"/>
        <w:divId w:val="1212882693"/>
        <w:rPr>
          <w:sz w:val="20"/>
          <w:szCs w:val="20"/>
        </w:rPr>
      </w:pPr>
      <w:r>
        <w:rPr>
          <w:sz w:val="10"/>
          <w:szCs w:val="10"/>
        </w:rPr>
        <w:t>​</w:t>
      </w:r>
    </w:p>
    <w:p w:rsidR="00000000" w:rsidRDefault="00DE7B41">
      <w:pPr>
        <w:pStyle w:val="a3"/>
        <w:spacing w:before="0" w:beforeAutospacing="0" w:after="0" w:afterAutospacing="0"/>
        <w:ind w:firstLine="720"/>
        <w:divId w:val="1212882693"/>
        <w:rPr>
          <w:sz w:val="20"/>
          <w:szCs w:val="20"/>
        </w:rPr>
      </w:pPr>
      <w:r>
        <w:rPr>
          <w:sz w:val="20"/>
          <w:szCs w:val="20"/>
        </w:rPr>
        <w:t>In January 2015, Mylan and we established a strategic collaboration for the development and commercialization of revefenacin. Partnering with a world leader in nebulized respiratory therapies enables us to expand the breadth of our reve</w:t>
      </w:r>
      <w:r>
        <w:rPr>
          <w:sz w:val="20"/>
          <w:szCs w:val="20"/>
        </w:rPr>
        <w:t>fenacin development program and extend our commercial reach beyond the acute care setting. Mylan funded the Phase 3 development program of YUPELRI, enabling us to advance other high value pipeline assets alongside YUPELRI.</w:t>
      </w:r>
    </w:p>
    <w:p w:rsidR="00000000" w:rsidRDefault="00DE7B41">
      <w:pPr>
        <w:pStyle w:val="a3"/>
        <w:spacing w:before="0" w:beforeAutospacing="0" w:after="0" w:afterAutospacing="0"/>
        <w:divId w:val="1212882693"/>
        <w:rPr>
          <w:sz w:val="20"/>
          <w:szCs w:val="20"/>
        </w:rPr>
      </w:pPr>
      <w:r>
        <w:rPr>
          <w:sz w:val="20"/>
          <w:szCs w:val="20"/>
        </w:rPr>
        <w:t>​</w:t>
      </w:r>
    </w:p>
    <w:p w:rsidR="00000000" w:rsidRDefault="00DE7B41">
      <w:pPr>
        <w:pStyle w:val="a3"/>
        <w:spacing w:before="0" w:beforeAutospacing="0" w:after="0" w:afterAutospacing="0"/>
        <w:ind w:firstLine="720"/>
        <w:divId w:val="1212882693"/>
        <w:rPr>
          <w:sz w:val="20"/>
          <w:szCs w:val="20"/>
        </w:rPr>
      </w:pPr>
      <w:r>
        <w:rPr>
          <w:sz w:val="20"/>
          <w:szCs w:val="20"/>
        </w:rPr>
        <w:t>Under the terms of the Mylan Development and Commercialization Agreement (the “Mylan Agreement”), Mylan and we co-develop revefenacin for COPD and other respiratory diseases. We led the US Phase 3 development program for YUPELRI in COPD, and Mylan was resp</w:t>
      </w:r>
      <w:r>
        <w:rPr>
          <w:sz w:val="20"/>
          <w:szCs w:val="20"/>
        </w:rPr>
        <w:t>onsible for reimbursement of our costs related to the registrational program up until the approval of the first new drug application (“NDA”), after which costs are shared. With YUPELRI approved in the US, Mylan is leading commercialization, and we co-promo</w:t>
      </w:r>
      <w:r>
        <w:rPr>
          <w:sz w:val="20"/>
          <w:szCs w:val="20"/>
        </w:rPr>
        <w:t>te the product in the US under a profit and loss sharing arrangement (65% to Mylan; 35% to Theravance Biopharma). Outside the US, Mylan is responsible for development and commercialization and will pay us a tiered royalty on net sales at percentage royalty</w:t>
      </w:r>
      <w:r>
        <w:rPr>
          <w:sz w:val="20"/>
          <w:szCs w:val="20"/>
        </w:rPr>
        <w:t xml:space="preserve"> rates ranging from low double-digits to mid-teens. As described above and in </w:t>
      </w:r>
      <w:r>
        <w:rPr>
          <w:i/>
          <w:iCs/>
          <w:sz w:val="20"/>
          <w:szCs w:val="20"/>
        </w:rPr>
        <w:t>Item 1A. Risk Factors,</w:t>
      </w:r>
      <w:r>
        <w:rPr>
          <w:sz w:val="20"/>
          <w:szCs w:val="20"/>
        </w:rPr>
        <w:t xml:space="preserve"> we currently expect to be cash-flow positive in the YUPELRI business by end-of the year, and we will continue to assess and evaluate the impact of the COVI</w:t>
      </w:r>
      <w:r>
        <w:rPr>
          <w:sz w:val="20"/>
          <w:szCs w:val="20"/>
        </w:rPr>
        <w:t>D-19 pandemic. At this stage, we are unable to predict the ultimate disruptive impact of the COVID-19 pandemic on both YUPELRI and the rest of our business.</w:t>
      </w:r>
    </w:p>
    <w:p w:rsidR="00000000" w:rsidRDefault="00DE7B41">
      <w:pPr>
        <w:pStyle w:val="a3"/>
        <w:spacing w:before="0" w:beforeAutospacing="0" w:after="0" w:afterAutospacing="0"/>
        <w:divId w:val="1212882693"/>
        <w:rPr>
          <w:sz w:val="20"/>
          <w:szCs w:val="20"/>
        </w:rPr>
      </w:pPr>
      <w:r>
        <w:rPr>
          <w:sz w:val="20"/>
          <w:szCs w:val="20"/>
        </w:rPr>
        <w:t>​</w:t>
      </w:r>
    </w:p>
    <w:p w:rsidR="00000000" w:rsidRDefault="00DE7B41">
      <w:pPr>
        <w:pStyle w:val="a3"/>
        <w:spacing w:before="0" w:beforeAutospacing="0" w:after="0" w:afterAutospacing="0"/>
        <w:ind w:firstLine="720"/>
        <w:divId w:val="1212882693"/>
        <w:rPr>
          <w:sz w:val="20"/>
          <w:szCs w:val="20"/>
        </w:rPr>
      </w:pPr>
      <w:r>
        <w:rPr>
          <w:sz w:val="20"/>
          <w:szCs w:val="20"/>
        </w:rPr>
        <w:t>In February 2016, we earned a $15.0 million development milestone payment for achieving 50% enrol</w:t>
      </w:r>
      <w:r>
        <w:rPr>
          <w:sz w:val="20"/>
          <w:szCs w:val="20"/>
        </w:rPr>
        <w:t xml:space="preserve">lment in the Phase 3 twelve-month safety study, and </w:t>
      </w:r>
      <w:r>
        <w:rPr>
          <w:sz w:val="20"/>
          <w:szCs w:val="20"/>
          <w:shd w:val="clear" w:color="auto" w:fill="FFFFFF"/>
        </w:rPr>
        <w:t xml:space="preserve">in June 2019, we announced the expansion of the Mylan Agreement to grant Mylan exclusive development and commercialization rights to nebulized revefenacin in China and adjacent territories, which include </w:t>
      </w:r>
      <w:r>
        <w:rPr>
          <w:sz w:val="20"/>
          <w:szCs w:val="20"/>
          <w:shd w:val="clear" w:color="auto" w:fill="FFFFFF"/>
        </w:rPr>
        <w:t xml:space="preserve">Hong Kong SAR, the Macau SAR, and Taiwan. In exchange, we received an upfront payment of $18.5 million (before a required tax withholding) and will be eligible to receive additional potential development and sales milestones totaling $54.0 million and low </w:t>
      </w:r>
      <w:r>
        <w:rPr>
          <w:sz w:val="20"/>
          <w:szCs w:val="20"/>
          <w:shd w:val="clear" w:color="auto" w:fill="FFFFFF"/>
        </w:rPr>
        <w:t>double-digit tiered royalties on net sales of nebulized revefenacin, if approved. In March 2020, we earned a $1.5 million development milestone for the acceptance of a clinical trial application associated with the use of YUPELRI monotherapy in China and a</w:t>
      </w:r>
      <w:r>
        <w:rPr>
          <w:sz w:val="20"/>
          <w:szCs w:val="20"/>
          <w:shd w:val="clear" w:color="auto" w:fill="FFFFFF"/>
        </w:rPr>
        <w:t xml:space="preserve">djacent territories. Mylan is responsible for all aspects of development and commercialization in the partnered regions, including pre- and post-launch activities and product registration and all associated costs. </w:t>
      </w:r>
    </w:p>
    <w:p w:rsidR="00000000" w:rsidRDefault="00DE7B41">
      <w:pPr>
        <w:pStyle w:val="a3"/>
        <w:spacing w:before="0" w:beforeAutospacing="0" w:after="0" w:afterAutospacing="0"/>
        <w:divId w:val="1212882693"/>
        <w:rPr>
          <w:sz w:val="20"/>
          <w:szCs w:val="20"/>
        </w:rPr>
      </w:pPr>
      <w:r>
        <w:rPr>
          <w:sz w:val="20"/>
          <w:szCs w:val="20"/>
          <w:shd w:val="clear" w:color="auto" w:fill="FFFFFF"/>
        </w:rPr>
        <w:t>​</w:t>
      </w:r>
    </w:p>
    <w:p w:rsidR="00000000" w:rsidRDefault="00DE7B41">
      <w:pPr>
        <w:pStyle w:val="a3"/>
        <w:spacing w:before="360" w:beforeAutospacing="0" w:after="0" w:afterAutospacing="0"/>
        <w:jc w:val="center"/>
        <w:divId w:val="123735939"/>
        <w:rPr>
          <w:sz w:val="20"/>
          <w:szCs w:val="20"/>
        </w:rPr>
      </w:pPr>
      <w:r>
        <w:rPr>
          <w:sz w:val="20"/>
          <w:szCs w:val="20"/>
        </w:rPr>
        <w:t>22</w:t>
      </w:r>
    </w:p>
    <w:p w:rsidR="00000000" w:rsidRDefault="00DE7B41">
      <w:pPr>
        <w:pStyle w:val="a3"/>
        <w:spacing w:before="0" w:beforeAutospacing="0" w:after="600" w:afterAutospacing="0"/>
        <w:divId w:val="1096558904"/>
        <w:rPr>
          <w:sz w:val="20"/>
          <w:szCs w:val="20"/>
        </w:rPr>
      </w:pPr>
      <w:hyperlink w:anchor="TOC" w:history="1">
        <w:r>
          <w:rPr>
            <w:rStyle w:val="a4"/>
            <w:sz w:val="20"/>
            <w:szCs w:val="20"/>
          </w:rPr>
          <w:t>Table of C</w:t>
        </w:r>
        <w:r>
          <w:rPr>
            <w:rStyle w:val="a4"/>
            <w:sz w:val="20"/>
            <w:szCs w:val="20"/>
          </w:rPr>
          <w:t>ontents</w:t>
        </w:r>
      </w:hyperlink>
    </w:p>
    <w:p w:rsidR="00000000" w:rsidRDefault="00DE7B41">
      <w:pPr>
        <w:pStyle w:val="a3"/>
        <w:spacing w:before="0" w:beforeAutospacing="0" w:after="0" w:afterAutospacing="0"/>
        <w:ind w:firstLine="720"/>
        <w:divId w:val="1681275692"/>
        <w:rPr>
          <w:sz w:val="20"/>
          <w:szCs w:val="20"/>
        </w:rPr>
      </w:pPr>
      <w:r>
        <w:rPr>
          <w:sz w:val="20"/>
          <w:szCs w:val="20"/>
        </w:rPr>
        <w:t>We retain worldwide rights to revefenacin delivered through other dosage forms, such as a MDI/DPI, while Mylan has certain rights of first negotiation with respect to our development and commercialization of revefenacin delivered other than via a n</w:t>
      </w:r>
      <w:r>
        <w:rPr>
          <w:sz w:val="20"/>
          <w:szCs w:val="20"/>
        </w:rPr>
        <w:t xml:space="preserve">ebulized inhalation product. </w:t>
      </w:r>
    </w:p>
    <w:p w:rsidR="00000000" w:rsidRDefault="00DE7B41">
      <w:pPr>
        <w:pStyle w:val="a3"/>
        <w:spacing w:before="0" w:beforeAutospacing="0" w:after="0" w:afterAutospacing="0"/>
        <w:divId w:val="1681275692"/>
        <w:rPr>
          <w:sz w:val="20"/>
          <w:szCs w:val="20"/>
        </w:rPr>
      </w:pPr>
      <w:r>
        <w:rPr>
          <w:sz w:val="20"/>
          <w:szCs w:val="20"/>
        </w:rPr>
        <w:t>​</w:t>
      </w:r>
    </w:p>
    <w:p w:rsidR="00000000" w:rsidRDefault="00DE7B41">
      <w:pPr>
        <w:pStyle w:val="a3"/>
        <w:spacing w:before="0" w:beforeAutospacing="0" w:after="0" w:afterAutospacing="0"/>
        <w:ind w:firstLine="720"/>
        <w:divId w:val="1681275692"/>
        <w:rPr>
          <w:sz w:val="20"/>
          <w:szCs w:val="20"/>
        </w:rPr>
      </w:pPr>
      <w:r>
        <w:rPr>
          <w:sz w:val="20"/>
          <w:szCs w:val="20"/>
        </w:rPr>
        <w:t>Under the Mylan Agreement, as of March 31, 2020, we are eligible to receive from Mylan potential global development, regulatory and sales milestone payments totaling up to $257.5 million in the aggregate (excluding the aggre</w:t>
      </w:r>
      <w:r>
        <w:rPr>
          <w:sz w:val="20"/>
          <w:szCs w:val="20"/>
        </w:rPr>
        <w:t xml:space="preserve">gate $16.5 million in earned milestones noted above) with $205.0 million associated with YUPELRI monotherapy and $52.5 million associated with future potential combination products. Of the $205.0 million associated with monotherapy, $187.5 million relates </w:t>
      </w:r>
      <w:r>
        <w:rPr>
          <w:sz w:val="20"/>
          <w:szCs w:val="20"/>
        </w:rPr>
        <w:t>to sales milestones based on achieving certain levels of net sales and $17.5 million relates to global development and regulatory actions. The $52.5 million associated with future potential combination products relates solely to global development and regu</w:t>
      </w:r>
      <w:r>
        <w:rPr>
          <w:sz w:val="20"/>
          <w:szCs w:val="20"/>
        </w:rPr>
        <w:t>latory actions. We do not expect to earn any additional development milestone or sales milestone payments from Mylan in 2020.</w:t>
      </w:r>
    </w:p>
    <w:p w:rsidR="00000000" w:rsidRDefault="00DE7B41">
      <w:pPr>
        <w:pStyle w:val="a3"/>
        <w:spacing w:before="0" w:beforeAutospacing="0" w:after="0" w:afterAutospacing="0"/>
        <w:ind w:firstLine="720"/>
        <w:divId w:val="1681275692"/>
        <w:rPr>
          <w:sz w:val="20"/>
          <w:szCs w:val="20"/>
        </w:rPr>
      </w:pPr>
      <w:r>
        <w:rPr>
          <w:sz w:val="20"/>
          <w:szCs w:val="20"/>
        </w:rPr>
        <w:t>​</w:t>
      </w:r>
    </w:p>
    <w:p w:rsidR="00000000" w:rsidRDefault="00DE7B41">
      <w:pPr>
        <w:pStyle w:val="a3"/>
        <w:spacing w:before="0" w:beforeAutospacing="0" w:after="0" w:afterAutospacing="0"/>
        <w:divId w:val="1681275692"/>
        <w:rPr>
          <w:sz w:val="20"/>
          <w:szCs w:val="20"/>
        </w:rPr>
      </w:pPr>
      <w:r>
        <w:rPr>
          <w:b/>
          <w:bCs/>
          <w:i/>
          <w:iCs/>
          <w:sz w:val="20"/>
          <w:szCs w:val="20"/>
        </w:rPr>
        <w:t>Lung-selective, Nebulized Pan-Janus Kinase (JAK) Inhibitor (TD-0903)</w:t>
      </w:r>
    </w:p>
    <w:p w:rsidR="00000000" w:rsidRDefault="00DE7B41">
      <w:pPr>
        <w:pStyle w:val="a3"/>
        <w:spacing w:before="0" w:beforeAutospacing="0" w:after="0" w:afterAutospacing="0"/>
        <w:ind w:firstLine="720"/>
        <w:divId w:val="1681275692"/>
        <w:rPr>
          <w:sz w:val="20"/>
          <w:szCs w:val="20"/>
        </w:rPr>
      </w:pPr>
      <w:r>
        <w:rPr>
          <w:sz w:val="10"/>
          <w:szCs w:val="10"/>
        </w:rPr>
        <w:t>​</w:t>
      </w:r>
    </w:p>
    <w:p w:rsidR="00000000" w:rsidRDefault="00DE7B41">
      <w:pPr>
        <w:pStyle w:val="a3"/>
        <w:spacing w:before="0" w:beforeAutospacing="0" w:after="0" w:afterAutospacing="0"/>
        <w:ind w:firstLine="720"/>
        <w:divId w:val="1681275692"/>
        <w:rPr>
          <w:sz w:val="20"/>
          <w:szCs w:val="20"/>
        </w:rPr>
      </w:pPr>
      <w:r>
        <w:rPr>
          <w:sz w:val="20"/>
          <w:szCs w:val="20"/>
        </w:rPr>
        <w:t>TD-0903 is a lung-selective, nebulized Janus kinase inhib</w:t>
      </w:r>
      <w:r>
        <w:rPr>
          <w:sz w:val="20"/>
          <w:szCs w:val="20"/>
        </w:rPr>
        <w:t>itor (JAKi), in clinical development for the potential treatment of hospitalized patients with Acute Lung Injury (“ALI”) caused by COVID-19. We believe TD-0903 has the potential to inhibit the cytokine storm associated with ALI and prevent progression to A</w:t>
      </w:r>
      <w:r>
        <w:rPr>
          <w:sz w:val="20"/>
          <w:szCs w:val="20"/>
        </w:rPr>
        <w:t xml:space="preserve">cute Respiratory Distress Syndrome (“ARDS”). The first healthy volunteer was dosed in a Phase 1 study of TD-0903 on April 23, 2020. Following completion of the Phase 1 study, we plan to move to a Phase 2 study in hospitalized patients with COVID-19 in the </w:t>
      </w:r>
      <w:r>
        <w:rPr>
          <w:sz w:val="20"/>
          <w:szCs w:val="20"/>
        </w:rPr>
        <w:t>UK, and the Medicines and Healthcare products Regulatory Agency (MHRA), UK approved the Phase 2 study in May 2020.</w:t>
      </w:r>
    </w:p>
    <w:p w:rsidR="00000000" w:rsidRDefault="00DE7B41">
      <w:pPr>
        <w:pStyle w:val="a3"/>
        <w:spacing w:before="0" w:beforeAutospacing="0" w:after="0" w:afterAutospacing="0"/>
        <w:ind w:firstLine="720"/>
        <w:divId w:val="1681275692"/>
        <w:rPr>
          <w:sz w:val="20"/>
          <w:szCs w:val="20"/>
        </w:rPr>
      </w:pPr>
      <w:r>
        <w:rPr>
          <w:sz w:val="20"/>
          <w:szCs w:val="20"/>
        </w:rPr>
        <w:t>​</w:t>
      </w:r>
    </w:p>
    <w:p w:rsidR="00000000" w:rsidRDefault="00DE7B41">
      <w:pPr>
        <w:pStyle w:val="a3"/>
        <w:spacing w:before="0" w:beforeAutospacing="0" w:after="0" w:afterAutospacing="0"/>
        <w:ind w:firstLine="720"/>
        <w:divId w:val="1681275692"/>
        <w:rPr>
          <w:sz w:val="20"/>
          <w:szCs w:val="20"/>
        </w:rPr>
      </w:pPr>
      <w:r>
        <w:rPr>
          <w:sz w:val="20"/>
          <w:szCs w:val="20"/>
        </w:rPr>
        <w:t>We discovered and developed TD-0903, and it has been shown in experimental murine models to have potent, broad inhibition of JAK-STAT signa</w:t>
      </w:r>
      <w:r>
        <w:rPr>
          <w:sz w:val="20"/>
          <w:szCs w:val="20"/>
        </w:rPr>
        <w:t xml:space="preserve">ling in the airways following challenges with multiple cytokines. By its mechanism, TD-0903 has the potential to block release of cytokines and chemokines that may be associated with ALI and the initiation of a cytokine storm syndrome. Preclinical studies </w:t>
      </w:r>
      <w:r>
        <w:rPr>
          <w:sz w:val="20"/>
          <w:szCs w:val="20"/>
        </w:rPr>
        <w:t>suggest that TD-0903 has a very high lung to plasma ratio and rapid metabolic clearance resulting in low systemic exposure, compatible with its lung selectivity. TD-0903 is administered via nebulized inhalation solution, which further enhances its lung sel</w:t>
      </w:r>
      <w:r>
        <w:rPr>
          <w:sz w:val="20"/>
          <w:szCs w:val="20"/>
        </w:rPr>
        <w:t xml:space="preserve">ectivity. Preclinical pharmacodynamic studies indicate that TD-0903 has an extended duration of action that should enable once or twice daily dosing in humans. </w:t>
      </w:r>
    </w:p>
    <w:p w:rsidR="00000000" w:rsidRDefault="00DE7B41">
      <w:pPr>
        <w:pStyle w:val="a3"/>
        <w:spacing w:before="0" w:beforeAutospacing="0" w:after="0" w:afterAutospacing="0"/>
        <w:divId w:val="1681275692"/>
        <w:rPr>
          <w:sz w:val="20"/>
          <w:szCs w:val="20"/>
        </w:rPr>
      </w:pPr>
      <w:r>
        <w:rPr>
          <w:sz w:val="20"/>
          <w:szCs w:val="20"/>
        </w:rPr>
        <w:t>​</w:t>
      </w:r>
    </w:p>
    <w:p w:rsidR="00000000" w:rsidRDefault="00DE7B41">
      <w:pPr>
        <w:pStyle w:val="a3"/>
        <w:spacing w:before="0" w:beforeAutospacing="0" w:after="0" w:afterAutospacing="0"/>
        <w:divId w:val="1681275692"/>
        <w:rPr>
          <w:sz w:val="20"/>
          <w:szCs w:val="20"/>
        </w:rPr>
      </w:pPr>
      <w:r>
        <w:rPr>
          <w:b/>
          <w:bCs/>
          <w:i/>
          <w:iCs/>
          <w:sz w:val="20"/>
          <w:szCs w:val="20"/>
        </w:rPr>
        <w:t>Ampreloxetine (TD-9855)</w:t>
      </w:r>
    </w:p>
    <w:p w:rsidR="00000000" w:rsidRDefault="00DE7B41">
      <w:pPr>
        <w:pStyle w:val="a3"/>
        <w:spacing w:before="0" w:beforeAutospacing="0" w:after="0" w:afterAutospacing="0"/>
        <w:divId w:val="1681275692"/>
        <w:rPr>
          <w:sz w:val="20"/>
          <w:szCs w:val="20"/>
        </w:rPr>
      </w:pPr>
      <w:r>
        <w:rPr>
          <w:b/>
          <w:bCs/>
          <w:sz w:val="10"/>
          <w:szCs w:val="10"/>
        </w:rPr>
        <w:t>​</w:t>
      </w:r>
    </w:p>
    <w:p w:rsidR="00000000" w:rsidRDefault="00DE7B41">
      <w:pPr>
        <w:pStyle w:val="a3"/>
        <w:spacing w:before="0" w:beforeAutospacing="0" w:after="0" w:afterAutospacing="0"/>
        <w:ind w:firstLine="720"/>
        <w:divId w:val="1681275692"/>
        <w:rPr>
          <w:sz w:val="20"/>
          <w:szCs w:val="20"/>
        </w:rPr>
      </w:pPr>
      <w:r>
        <w:rPr>
          <w:sz w:val="20"/>
          <w:szCs w:val="20"/>
        </w:rPr>
        <w:t>Ampreloxetine is an investigational, once-daily norepinephrine reup</w:t>
      </w:r>
      <w:r>
        <w:rPr>
          <w:sz w:val="20"/>
          <w:szCs w:val="20"/>
        </w:rPr>
        <w:t>take inhibitor (“NRI”) being developed for the treatment of patients with symptomatic neurogenic orthostatic hypotension (“nOH”). nOH is caused by primary autonomic failure conditions, including multiple system atrophy, Parkinson’s disease and pure autonom</w:t>
      </w:r>
      <w:r>
        <w:rPr>
          <w:sz w:val="20"/>
          <w:szCs w:val="20"/>
        </w:rPr>
        <w:t>ic failure. The compound has high affinity for binding to norepinephrine transporters. By blocking the action of these transporters, ampreloxetine causes an increase in extracellular concentrations of norepinephrine.</w:t>
      </w:r>
    </w:p>
    <w:p w:rsidR="00000000" w:rsidRDefault="00DE7B41">
      <w:pPr>
        <w:pStyle w:val="a3"/>
        <w:spacing w:before="0" w:beforeAutospacing="0" w:after="0" w:afterAutospacing="0"/>
        <w:divId w:val="1681275692"/>
        <w:rPr>
          <w:sz w:val="20"/>
          <w:szCs w:val="20"/>
        </w:rPr>
      </w:pPr>
      <w:r>
        <w:rPr>
          <w:sz w:val="20"/>
          <w:szCs w:val="20"/>
        </w:rPr>
        <w:t>​</w:t>
      </w:r>
    </w:p>
    <w:p w:rsidR="00000000" w:rsidRDefault="00DE7B41">
      <w:pPr>
        <w:pStyle w:val="a3"/>
        <w:spacing w:before="0" w:beforeAutospacing="0" w:after="0" w:afterAutospacing="0"/>
        <w:ind w:firstLine="720"/>
        <w:divId w:val="1681275692"/>
        <w:rPr>
          <w:sz w:val="20"/>
          <w:szCs w:val="20"/>
        </w:rPr>
      </w:pPr>
      <w:r>
        <w:rPr>
          <w:sz w:val="20"/>
          <w:szCs w:val="20"/>
        </w:rPr>
        <w:t xml:space="preserve">Based on positive top-line four-week </w:t>
      </w:r>
      <w:r>
        <w:rPr>
          <w:sz w:val="20"/>
          <w:szCs w:val="20"/>
        </w:rPr>
        <w:t>results from a small exploratory Phase 2 study in nOH and discussions with the FDA, we advanced ampreloxetine into a Phase 3 program. The Phase 3 program includes two studies. The first study (SEQUOIA) is a four-week, randomized double-blind, placebo-contr</w:t>
      </w:r>
      <w:r>
        <w:rPr>
          <w:sz w:val="20"/>
          <w:szCs w:val="20"/>
        </w:rPr>
        <w:t>olled study designed to evaluate the efficacy and safety of ampreloxetine in patients with symptomatic nOH. The second study (REDWOOD) is a four-month open label study followed by a six-week randomized withdrawal phase to evaluate the durability of patient</w:t>
      </w:r>
      <w:r>
        <w:rPr>
          <w:sz w:val="20"/>
          <w:szCs w:val="20"/>
        </w:rPr>
        <w:t xml:space="preserve"> response of ampreloxetine. We announced the initiation of patient dosing in each Phase 3 study in early 2019. As described above and in </w:t>
      </w:r>
      <w:r>
        <w:rPr>
          <w:i/>
          <w:iCs/>
          <w:sz w:val="20"/>
          <w:szCs w:val="20"/>
        </w:rPr>
        <w:t>Item 1A. Risk Factors</w:t>
      </w:r>
      <w:r>
        <w:rPr>
          <w:sz w:val="20"/>
          <w:szCs w:val="20"/>
        </w:rPr>
        <w:t xml:space="preserve">, the COVID-19 pandemic has impacted the timeline for our clinical trials. While results from the </w:t>
      </w:r>
      <w:r>
        <w:rPr>
          <w:sz w:val="20"/>
          <w:szCs w:val="20"/>
        </w:rPr>
        <w:t>Phase 3 four-week efficacy study were originally planned for late 2020, we now expect the SEQUOIA study to report data in 2021 and are evaluating the impact on the REDWOOD study that follows it.</w:t>
      </w:r>
    </w:p>
    <w:p w:rsidR="00000000" w:rsidRDefault="00DE7B41">
      <w:pPr>
        <w:pStyle w:val="a3"/>
        <w:spacing w:before="0" w:beforeAutospacing="0" w:after="0" w:afterAutospacing="0"/>
        <w:ind w:firstLine="720"/>
        <w:divId w:val="1681275692"/>
        <w:rPr>
          <w:sz w:val="20"/>
          <w:szCs w:val="20"/>
        </w:rPr>
      </w:pPr>
      <w:r>
        <w:rPr>
          <w:sz w:val="20"/>
          <w:szCs w:val="20"/>
        </w:rPr>
        <w:t>​</w:t>
      </w:r>
    </w:p>
    <w:p w:rsidR="00000000" w:rsidRDefault="00DE7B41">
      <w:pPr>
        <w:pStyle w:val="a3"/>
        <w:spacing w:before="0" w:beforeAutospacing="0" w:after="0" w:afterAutospacing="0"/>
        <w:divId w:val="1681275692"/>
        <w:rPr>
          <w:sz w:val="20"/>
          <w:szCs w:val="20"/>
        </w:rPr>
      </w:pPr>
      <w:r>
        <w:rPr>
          <w:b/>
          <w:bCs/>
          <w:i/>
          <w:iCs/>
          <w:sz w:val="20"/>
          <w:szCs w:val="20"/>
        </w:rPr>
        <w:t xml:space="preserve">Gut-selective Pan-JAK Inhibitor Program (TD-1473) </w:t>
      </w:r>
    </w:p>
    <w:p w:rsidR="00000000" w:rsidRDefault="00DE7B41">
      <w:pPr>
        <w:pStyle w:val="a3"/>
        <w:spacing w:before="0" w:beforeAutospacing="0" w:after="0" w:afterAutospacing="0"/>
        <w:divId w:val="1681275692"/>
        <w:rPr>
          <w:sz w:val="20"/>
          <w:szCs w:val="20"/>
        </w:rPr>
      </w:pPr>
      <w:r>
        <w:rPr>
          <w:b/>
          <w:bCs/>
          <w:sz w:val="10"/>
          <w:szCs w:val="10"/>
        </w:rPr>
        <w:t>​</w:t>
      </w:r>
    </w:p>
    <w:p w:rsidR="00000000" w:rsidRDefault="00DE7B41">
      <w:pPr>
        <w:pStyle w:val="a3"/>
        <w:spacing w:before="0" w:beforeAutospacing="0" w:after="0" w:afterAutospacing="0"/>
        <w:ind w:firstLine="720"/>
        <w:divId w:val="1681275692"/>
        <w:rPr>
          <w:sz w:val="20"/>
          <w:szCs w:val="20"/>
        </w:rPr>
      </w:pPr>
      <w:r>
        <w:rPr>
          <w:sz w:val="20"/>
          <w:szCs w:val="20"/>
        </w:rPr>
        <w:t>JAK inhibitors function by inhibiting the activity of one or more of the Janus kinase family of enzymes (JAK1, JAK2, JAK3, TYK2) that play a key role in cytokine signaling. Inhibiting these JAK enzymes interferes with the JAK/STAT signaling pathway and, in</w:t>
      </w:r>
      <w:r>
        <w:rPr>
          <w:sz w:val="20"/>
          <w:szCs w:val="20"/>
        </w:rPr>
        <w:t xml:space="preserve"> turn, modulates the activity of a wide range of pro-inflammatory cytokines. JAK inhibitors are currently approved for the treatment of rheumatoid arthritis, myelofibrosis, and ulcerative colitis and have demonstrated therapeutic benefit for patients with </w:t>
      </w:r>
      <w:r>
        <w:rPr>
          <w:sz w:val="20"/>
          <w:szCs w:val="20"/>
        </w:rPr>
        <w:t xml:space="preserve">Crohn’s disease. However, these products are known to have side effects based on their systemic exposure. In TD-1473, our program goal is to develop an orally administered, gut-selective pan-JAK inhibitor </w:t>
      </w:r>
    </w:p>
    <w:p w:rsidR="00000000" w:rsidRDefault="00DE7B41">
      <w:pPr>
        <w:pStyle w:val="a3"/>
        <w:spacing w:before="360" w:beforeAutospacing="0" w:after="0" w:afterAutospacing="0"/>
        <w:jc w:val="center"/>
        <w:divId w:val="408500858"/>
        <w:rPr>
          <w:sz w:val="20"/>
          <w:szCs w:val="20"/>
        </w:rPr>
      </w:pPr>
      <w:r>
        <w:rPr>
          <w:sz w:val="20"/>
          <w:szCs w:val="20"/>
        </w:rPr>
        <w:t>23</w:t>
      </w:r>
    </w:p>
    <w:p w:rsidR="00000000" w:rsidRDefault="00DE7B41">
      <w:pPr>
        <w:pStyle w:val="a3"/>
        <w:spacing w:before="0" w:beforeAutospacing="0" w:after="600" w:afterAutospacing="0"/>
        <w:divId w:val="1182860221"/>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611471818"/>
        <w:rPr>
          <w:sz w:val="20"/>
          <w:szCs w:val="20"/>
        </w:rPr>
      </w:pPr>
      <w:r>
        <w:rPr>
          <w:sz w:val="20"/>
          <w:szCs w:val="20"/>
        </w:rPr>
        <w:t>spe</w:t>
      </w:r>
      <w:r>
        <w:rPr>
          <w:sz w:val="20"/>
          <w:szCs w:val="20"/>
        </w:rPr>
        <w:t xml:space="preserve">cifically designed to distribute adequately and predominantly to the tissues of the intestinal tract, treating inflammation in those tissues while minimizing systemic exposure. TD-1473 is in development as a potential treatment for a range of inflammatory </w:t>
      </w:r>
      <w:r>
        <w:rPr>
          <w:sz w:val="20"/>
          <w:szCs w:val="20"/>
        </w:rPr>
        <w:t xml:space="preserve">intestinal diseases, including ulcerative colitis and Crohn’s disease. </w:t>
      </w:r>
    </w:p>
    <w:p w:rsidR="00000000" w:rsidRDefault="00DE7B41">
      <w:pPr>
        <w:pStyle w:val="a3"/>
        <w:spacing w:before="0" w:beforeAutospacing="0" w:after="0" w:afterAutospacing="0"/>
        <w:ind w:firstLine="720"/>
        <w:divId w:val="1611471818"/>
        <w:rPr>
          <w:sz w:val="20"/>
          <w:szCs w:val="20"/>
        </w:rPr>
      </w:pPr>
      <w:r>
        <w:rPr>
          <w:sz w:val="20"/>
          <w:szCs w:val="20"/>
        </w:rPr>
        <w:t>​</w:t>
      </w:r>
    </w:p>
    <w:p w:rsidR="00000000" w:rsidRDefault="00DE7B41">
      <w:pPr>
        <w:pStyle w:val="a3"/>
        <w:spacing w:before="0" w:beforeAutospacing="0" w:after="0" w:afterAutospacing="0"/>
        <w:ind w:firstLine="720"/>
        <w:divId w:val="1611471818"/>
        <w:rPr>
          <w:sz w:val="20"/>
          <w:szCs w:val="20"/>
        </w:rPr>
      </w:pPr>
      <w:r>
        <w:rPr>
          <w:sz w:val="20"/>
          <w:szCs w:val="20"/>
        </w:rPr>
        <w:t>Based on positive results from a Phase 1b exploratory study in ulcerative colitis and following dialogues with the FDA and European Medicines Agency (“EMA”) regarding study design, w</w:t>
      </w:r>
      <w:r>
        <w:rPr>
          <w:sz w:val="20"/>
          <w:szCs w:val="20"/>
        </w:rPr>
        <w:t>e advanced TD-1473 into two clinical studies in inflammatory intestinal diseases. The Phase 2 (DIONE) study is a twelve-week randomized, double-blind, placebo-controlled study designed to evaluate the efficacy and safety of patients with Crohn’s disease, w</w:t>
      </w:r>
      <w:r>
        <w:rPr>
          <w:sz w:val="20"/>
          <w:szCs w:val="20"/>
        </w:rPr>
        <w:t xml:space="preserve">hich began dosing patients in late 2018. The Phase 2b/3 (RHEA) study is a randomized, double-blind, placebo-controlled study to evaluate the efficacy and safety of eight weeks induction and 44 weeks maintenance therapy in patients with ulcerative colitis, </w:t>
      </w:r>
      <w:r>
        <w:rPr>
          <w:sz w:val="20"/>
          <w:szCs w:val="20"/>
        </w:rPr>
        <w:t xml:space="preserve">which began dosing patients in early 2019. As described above and in </w:t>
      </w:r>
      <w:r>
        <w:rPr>
          <w:i/>
          <w:iCs/>
          <w:sz w:val="20"/>
          <w:szCs w:val="20"/>
        </w:rPr>
        <w:t>Item 1A. Risk Factors,</w:t>
      </w:r>
      <w:r>
        <w:rPr>
          <w:sz w:val="20"/>
          <w:szCs w:val="20"/>
        </w:rPr>
        <w:t xml:space="preserve"> the COVID-19 pandemic has impacted the timeline for our clinical trials. Data from the Phase 2b portion of the ulcerative colitis and Phase 2 Crohn’s disease studie</w:t>
      </w:r>
      <w:r>
        <w:rPr>
          <w:sz w:val="20"/>
          <w:szCs w:val="20"/>
        </w:rPr>
        <w:t>s, originally planned for late 2020, is now expected in 2021.</w:t>
      </w:r>
    </w:p>
    <w:p w:rsidR="00000000" w:rsidRDefault="00DE7B41">
      <w:pPr>
        <w:pStyle w:val="a3"/>
        <w:spacing w:before="0" w:beforeAutospacing="0" w:after="0" w:afterAutospacing="0"/>
        <w:ind w:firstLine="720"/>
        <w:divId w:val="1611471818"/>
        <w:rPr>
          <w:sz w:val="20"/>
          <w:szCs w:val="20"/>
        </w:rPr>
      </w:pPr>
      <w:r>
        <w:rPr>
          <w:color w:val="FF0000"/>
          <w:sz w:val="20"/>
          <w:szCs w:val="20"/>
        </w:rPr>
        <w:t>​</w:t>
      </w:r>
    </w:p>
    <w:p w:rsidR="00000000" w:rsidRDefault="00DE7B41">
      <w:pPr>
        <w:pStyle w:val="a3"/>
        <w:spacing w:before="0" w:beforeAutospacing="0" w:after="0" w:afterAutospacing="0"/>
        <w:divId w:val="1611471818"/>
        <w:rPr>
          <w:sz w:val="20"/>
          <w:szCs w:val="20"/>
        </w:rPr>
      </w:pPr>
      <w:r>
        <w:rPr>
          <w:b/>
          <w:bCs/>
          <w:i/>
          <w:iCs/>
          <w:sz w:val="20"/>
          <w:szCs w:val="20"/>
        </w:rPr>
        <w:t>Irreversible JAK3 Inhibitor (TD-5202)</w:t>
      </w:r>
    </w:p>
    <w:p w:rsidR="00000000" w:rsidRDefault="00DE7B41">
      <w:pPr>
        <w:pStyle w:val="a3"/>
        <w:spacing w:before="0" w:beforeAutospacing="0" w:after="0" w:afterAutospacing="0"/>
        <w:divId w:val="1611471818"/>
        <w:rPr>
          <w:sz w:val="20"/>
          <w:szCs w:val="20"/>
        </w:rPr>
      </w:pPr>
      <w:r>
        <w:rPr>
          <w:b/>
          <w:bCs/>
          <w:i/>
          <w:iCs/>
          <w:sz w:val="10"/>
          <w:szCs w:val="10"/>
        </w:rPr>
        <w:t>​</w:t>
      </w:r>
    </w:p>
    <w:p w:rsidR="00000000" w:rsidRDefault="00DE7B41">
      <w:pPr>
        <w:pStyle w:val="a3"/>
        <w:spacing w:before="0" w:beforeAutospacing="0" w:after="0" w:afterAutospacing="0"/>
        <w:divId w:val="1611471818"/>
        <w:rPr>
          <w:sz w:val="20"/>
          <w:szCs w:val="20"/>
        </w:rPr>
      </w:pPr>
      <w:r>
        <w:rPr>
          <w:sz w:val="20"/>
          <w:szCs w:val="20"/>
        </w:rPr>
        <w:t>TD-5202 is an investigational, orally administered, gut-selective, irreversible JAK3 inhibitor that has demonstrated a high affinity for the JAK3 enzyme</w:t>
      </w:r>
      <w:r>
        <w:rPr>
          <w:sz w:val="20"/>
          <w:szCs w:val="20"/>
        </w:rPr>
        <w:t xml:space="preserve">. Through the selective inhibition of JAK3, TD-5202 interferes with the JAK/STAT signaling pathway and, in turn, modulates the activity of select pro-inflammatory cytokines, including IL-2, IL-15, and IL-21 which play a central role in the pathogenesis of </w:t>
      </w:r>
      <w:r>
        <w:rPr>
          <w:sz w:val="20"/>
          <w:szCs w:val="20"/>
        </w:rPr>
        <w:t>T-cell mediated disease, including inflammatory intestinal disease, such as celiac disease. Importantly, TD-5202 is specifically designed to act locally within the intestinal wall thereby limiting systemic exposure.</w:t>
      </w:r>
      <w:r>
        <w:rPr>
          <w:sz w:val="20"/>
          <w:szCs w:val="20"/>
        </w:rPr>
        <w:t xml:space="preserve"> </w:t>
      </w:r>
    </w:p>
    <w:p w:rsidR="00000000" w:rsidRDefault="00DE7B41">
      <w:pPr>
        <w:pStyle w:val="a3"/>
        <w:spacing w:before="0" w:beforeAutospacing="0" w:after="0" w:afterAutospacing="0"/>
        <w:divId w:val="1611471818"/>
        <w:rPr>
          <w:sz w:val="20"/>
          <w:szCs w:val="20"/>
        </w:rPr>
      </w:pPr>
      <w:r>
        <w:rPr>
          <w:sz w:val="20"/>
          <w:szCs w:val="20"/>
        </w:rPr>
        <w:t>​</w:t>
      </w:r>
    </w:p>
    <w:p w:rsidR="00000000" w:rsidRDefault="00DE7B41">
      <w:pPr>
        <w:pStyle w:val="a3"/>
        <w:spacing w:before="0" w:beforeAutospacing="0" w:after="0" w:afterAutospacing="0"/>
        <w:divId w:val="1611471818"/>
        <w:rPr>
          <w:sz w:val="20"/>
          <w:szCs w:val="20"/>
        </w:rPr>
      </w:pPr>
      <w:r>
        <w:rPr>
          <w:sz w:val="20"/>
          <w:szCs w:val="20"/>
        </w:rPr>
        <w:t>In September 2019, we announced the i</w:t>
      </w:r>
      <w:r>
        <w:rPr>
          <w:sz w:val="20"/>
          <w:szCs w:val="20"/>
        </w:rPr>
        <w:t>nitiation of a Phase 1 single ascending dose and multiple ascending dose trial designed to evaluate the safety and tolerability of TD-5202 in healthy subjects, plus assess plasma pharmacokinetics of TD-5202 to confirm circulating levels are low, consistent</w:t>
      </w:r>
      <w:r>
        <w:rPr>
          <w:sz w:val="20"/>
          <w:szCs w:val="20"/>
        </w:rPr>
        <w:t xml:space="preserve"> with a gut-selective approach. In February 2020, we announced that data from the Phase 1 study indicated that TD-5202 was generally well tolerated as a single oral dose up to 2000 milligrams and as a twice-daily oral dose up 2000 milligrams total per day </w:t>
      </w:r>
      <w:r>
        <w:rPr>
          <w:sz w:val="20"/>
          <w:szCs w:val="20"/>
        </w:rPr>
        <w:t xml:space="preserve">given for ten consecutive days in healthy subjects. </w:t>
      </w:r>
    </w:p>
    <w:p w:rsidR="00000000" w:rsidRDefault="00DE7B41">
      <w:pPr>
        <w:pStyle w:val="a3"/>
        <w:spacing w:before="0" w:beforeAutospacing="0" w:after="0" w:afterAutospacing="0"/>
        <w:divId w:val="1611471818"/>
        <w:rPr>
          <w:sz w:val="20"/>
          <w:szCs w:val="20"/>
        </w:rPr>
      </w:pPr>
      <w:r>
        <w:rPr>
          <w:sz w:val="20"/>
          <w:szCs w:val="20"/>
        </w:rPr>
        <w:t>​</w:t>
      </w:r>
    </w:p>
    <w:p w:rsidR="00000000" w:rsidRDefault="00DE7B41">
      <w:pPr>
        <w:pStyle w:val="a3"/>
        <w:spacing w:before="0" w:beforeAutospacing="0" w:after="0" w:afterAutospacing="0"/>
        <w:divId w:val="1611471818"/>
        <w:rPr>
          <w:sz w:val="20"/>
          <w:szCs w:val="20"/>
        </w:rPr>
      </w:pPr>
      <w:r>
        <w:rPr>
          <w:sz w:val="20"/>
          <w:szCs w:val="20"/>
        </w:rPr>
        <w:t xml:space="preserve">We are developing TD-1473 and TD-5202 in collaboration with Janssen as part of the companies’ global co-development and commercialization agreement for novel, gut-selective JAK inhibitors. </w:t>
      </w:r>
    </w:p>
    <w:p w:rsidR="00000000" w:rsidRDefault="00DE7B41">
      <w:pPr>
        <w:pStyle w:val="a3"/>
        <w:spacing w:before="0" w:beforeAutospacing="0" w:after="0" w:afterAutospacing="0"/>
        <w:divId w:val="1611471818"/>
        <w:rPr>
          <w:sz w:val="20"/>
          <w:szCs w:val="20"/>
        </w:rPr>
      </w:pPr>
      <w:r>
        <w:rPr>
          <w:sz w:val="20"/>
          <w:szCs w:val="20"/>
        </w:rPr>
        <w:t>​</w:t>
      </w:r>
    </w:p>
    <w:p w:rsidR="00000000" w:rsidRDefault="00DE7B41">
      <w:pPr>
        <w:pStyle w:val="a3"/>
        <w:spacing w:before="0" w:beforeAutospacing="0" w:after="0" w:afterAutospacing="0"/>
        <w:divId w:val="1611471818"/>
        <w:rPr>
          <w:sz w:val="20"/>
          <w:szCs w:val="20"/>
        </w:rPr>
      </w:pPr>
      <w:r>
        <w:rPr>
          <w:i/>
          <w:iCs/>
          <w:sz w:val="20"/>
          <w:szCs w:val="20"/>
        </w:rPr>
        <w:t>Janssen B</w:t>
      </w:r>
      <w:r>
        <w:rPr>
          <w:i/>
          <w:iCs/>
          <w:sz w:val="20"/>
          <w:szCs w:val="20"/>
        </w:rPr>
        <w:t>iotech Collaboration</w:t>
      </w:r>
    </w:p>
    <w:p w:rsidR="00000000" w:rsidRDefault="00DE7B41">
      <w:pPr>
        <w:pStyle w:val="a3"/>
        <w:spacing w:before="0" w:beforeAutospacing="0" w:after="0" w:afterAutospacing="0"/>
        <w:divId w:val="1611471818"/>
        <w:rPr>
          <w:sz w:val="20"/>
          <w:szCs w:val="20"/>
        </w:rPr>
      </w:pPr>
      <w:r>
        <w:rPr>
          <w:i/>
          <w:iCs/>
          <w:sz w:val="10"/>
          <w:szCs w:val="10"/>
        </w:rPr>
        <w:t>​</w:t>
      </w:r>
    </w:p>
    <w:p w:rsidR="00000000" w:rsidRDefault="00DE7B41">
      <w:pPr>
        <w:pStyle w:val="a3"/>
        <w:spacing w:before="0" w:beforeAutospacing="0" w:after="0" w:afterAutospacing="0"/>
        <w:ind w:firstLine="720"/>
        <w:divId w:val="1611471818"/>
        <w:rPr>
          <w:sz w:val="20"/>
          <w:szCs w:val="20"/>
        </w:rPr>
      </w:pPr>
      <w:r>
        <w:rPr>
          <w:sz w:val="20"/>
          <w:szCs w:val="20"/>
        </w:rPr>
        <w:t>In February 2018, we announced a global co-development and commercialization agreement with Janssen for TD-1473 and related back-up compounds for inflammatory intestinal diseases, including ulcerative colitis and Crohn's disease. Und</w:t>
      </w:r>
      <w:r>
        <w:rPr>
          <w:sz w:val="20"/>
          <w:szCs w:val="20"/>
        </w:rPr>
        <w:t>er the terms of the agreement, we received an upfront payment of $100.0 million and will be eligible to receive up to an additional $900.0 million in potential payments, inclusive of a potential opt-in payment following completion of the Phase 2 Crohn’s st</w:t>
      </w:r>
      <w:r>
        <w:rPr>
          <w:sz w:val="20"/>
          <w:szCs w:val="20"/>
        </w:rPr>
        <w:t>udy and the Phase 2b induction portion of the ulcerative colitis study. At that time, Janssen can elect to obtain an exclusive license to develop and commercialize TD-1473 and certain related compounds by paying us a fee of $200.0 million. Upon such electi</w:t>
      </w:r>
      <w:r>
        <w:rPr>
          <w:sz w:val="20"/>
          <w:szCs w:val="20"/>
        </w:rPr>
        <w:t>on, we and Janssen will jointly develop and commercialize TD-1473 in inflammatory intestinal diseases, and we and Janssen will share profits and losses in the US and expenses related to a potential Phase 3 program (67% to Janssen; 33% to Theravance Biophar</w:t>
      </w:r>
      <w:r>
        <w:rPr>
          <w:sz w:val="20"/>
          <w:szCs w:val="20"/>
        </w:rPr>
        <w:t>ma). In addition, we would receive royalties on ex-US sales at double-digit tiered percentage royalty rates.</w:t>
      </w:r>
    </w:p>
    <w:p w:rsidR="00000000" w:rsidRDefault="00DE7B41">
      <w:pPr>
        <w:pStyle w:val="a3"/>
        <w:spacing w:before="0" w:beforeAutospacing="0" w:after="0" w:afterAutospacing="0"/>
        <w:ind w:firstLine="720"/>
        <w:divId w:val="1611471818"/>
        <w:rPr>
          <w:sz w:val="20"/>
          <w:szCs w:val="20"/>
        </w:rPr>
      </w:pPr>
      <w:r>
        <w:rPr>
          <w:sz w:val="20"/>
          <w:szCs w:val="20"/>
        </w:rPr>
        <w:t>​</w:t>
      </w:r>
    </w:p>
    <w:p w:rsidR="00000000" w:rsidRDefault="00DE7B41">
      <w:pPr>
        <w:pStyle w:val="a3"/>
        <w:spacing w:before="0" w:beforeAutospacing="0" w:after="0" w:afterAutospacing="0"/>
        <w:ind w:firstLine="720"/>
        <w:divId w:val="1611471818"/>
        <w:rPr>
          <w:sz w:val="20"/>
          <w:szCs w:val="20"/>
        </w:rPr>
      </w:pPr>
      <w:r>
        <w:rPr>
          <w:sz w:val="20"/>
          <w:szCs w:val="20"/>
        </w:rPr>
        <w:t>The closing of the opt-in portion of the transaction is subject to clearance under the Hart-Scott-Rodino Antitrust Improvements Act (“HSR Act”). </w:t>
      </w:r>
      <w:r>
        <w:rPr>
          <w:sz w:val="20"/>
          <w:szCs w:val="20"/>
        </w:rPr>
        <w:t>After Phase 2, Janssen would lead subsequent development of TD-1473 in Crohn’s disease if it makes such an election. We will lead development of TD-1473 in ulcerative colitis through completion of the Phase 2b/3 study. If TD-1473 is commercialized, we have</w:t>
      </w:r>
      <w:r>
        <w:rPr>
          <w:sz w:val="20"/>
          <w:szCs w:val="20"/>
        </w:rPr>
        <w:t xml:space="preserve"> the option to co-commercialize in the US, and Janssen would have sole commercialization responsibilities outside the US. </w:t>
      </w:r>
    </w:p>
    <w:p w:rsidR="00000000" w:rsidRDefault="00DE7B41">
      <w:pPr>
        <w:pStyle w:val="a3"/>
        <w:spacing w:before="0" w:beforeAutospacing="0" w:after="0" w:afterAutospacing="0"/>
        <w:divId w:val="1611471818"/>
        <w:rPr>
          <w:sz w:val="20"/>
          <w:szCs w:val="20"/>
        </w:rPr>
      </w:pPr>
      <w:r>
        <w:rPr>
          <w:sz w:val="20"/>
          <w:szCs w:val="20"/>
        </w:rPr>
        <w:t>​</w:t>
      </w:r>
    </w:p>
    <w:p w:rsidR="00000000" w:rsidRDefault="00DE7B41">
      <w:pPr>
        <w:pStyle w:val="a3"/>
        <w:spacing w:before="0" w:beforeAutospacing="0" w:after="0" w:afterAutospacing="0"/>
        <w:divId w:val="1611471818"/>
        <w:rPr>
          <w:sz w:val="20"/>
          <w:szCs w:val="20"/>
        </w:rPr>
      </w:pPr>
      <w:r>
        <w:rPr>
          <w:b/>
          <w:bCs/>
          <w:i/>
          <w:iCs/>
          <w:sz w:val="20"/>
          <w:szCs w:val="20"/>
        </w:rPr>
        <w:t>Lung-selective Pan-JAK Inhibitor Program (TD-8236)</w:t>
      </w:r>
    </w:p>
    <w:p w:rsidR="00000000" w:rsidRDefault="00DE7B41">
      <w:pPr>
        <w:pStyle w:val="a3"/>
        <w:spacing w:before="0" w:beforeAutospacing="0" w:after="0" w:afterAutospacing="0"/>
        <w:divId w:val="1611471818"/>
        <w:rPr>
          <w:sz w:val="20"/>
          <w:szCs w:val="20"/>
        </w:rPr>
      </w:pPr>
      <w:r>
        <w:rPr>
          <w:b/>
          <w:bCs/>
          <w:i/>
          <w:iCs/>
          <w:sz w:val="10"/>
          <w:szCs w:val="10"/>
        </w:rPr>
        <w:t>​</w:t>
      </w:r>
    </w:p>
    <w:p w:rsidR="00000000" w:rsidRDefault="00DE7B41">
      <w:pPr>
        <w:pStyle w:val="a3"/>
        <w:spacing w:before="0" w:beforeAutospacing="0" w:after="0" w:afterAutospacing="0"/>
        <w:ind w:firstLine="720"/>
        <w:divId w:val="1611471818"/>
        <w:rPr>
          <w:sz w:val="20"/>
          <w:szCs w:val="20"/>
        </w:rPr>
      </w:pPr>
      <w:r>
        <w:rPr>
          <w:sz w:val="20"/>
          <w:szCs w:val="20"/>
        </w:rPr>
        <w:t>TD-8236 is an investigational, inhaled lung-selective pan-JAK inhibitor that has demonstrated a high affinity for each of the JAK family of enzymes (JAK1, JAK2, JAK3 and TYK2) that play a key role in cytokine signaling. Inhibiting these JAK enzymes interfe</w:t>
      </w:r>
      <w:r>
        <w:rPr>
          <w:sz w:val="20"/>
          <w:szCs w:val="20"/>
        </w:rPr>
        <w:t xml:space="preserve">res with the JAK/STAT signaling pathway and, in turn, modulates the activity of a wide range of </w:t>
      </w:r>
    </w:p>
    <w:p w:rsidR="00000000" w:rsidRDefault="00DE7B41">
      <w:pPr>
        <w:pStyle w:val="a3"/>
        <w:spacing w:before="360" w:beforeAutospacing="0" w:after="0" w:afterAutospacing="0"/>
        <w:jc w:val="center"/>
        <w:divId w:val="399138801"/>
        <w:rPr>
          <w:sz w:val="20"/>
          <w:szCs w:val="20"/>
        </w:rPr>
      </w:pPr>
      <w:r>
        <w:rPr>
          <w:sz w:val="20"/>
          <w:szCs w:val="20"/>
        </w:rPr>
        <w:t>24</w:t>
      </w:r>
    </w:p>
    <w:p w:rsidR="00000000" w:rsidRDefault="00DE7B41">
      <w:pPr>
        <w:pStyle w:val="a3"/>
        <w:spacing w:before="0" w:beforeAutospacing="0" w:after="600" w:afterAutospacing="0"/>
        <w:divId w:val="97768962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306014809"/>
        <w:rPr>
          <w:sz w:val="20"/>
          <w:szCs w:val="20"/>
        </w:rPr>
      </w:pPr>
      <w:r>
        <w:rPr>
          <w:sz w:val="20"/>
          <w:szCs w:val="20"/>
        </w:rPr>
        <w:t>pro-inflammatory cytokines. While orally-administered JAK inhibitors are currently approved for the treatment of</w:t>
      </w:r>
      <w:r>
        <w:rPr>
          <w:sz w:val="20"/>
          <w:szCs w:val="20"/>
        </w:rPr>
        <w:t xml:space="preserve"> a range of inflammatory diseases, no inhaled JAK inhibitor is approved for the treatment of airway disease, including asthma. The pan-JAK activity of TD-8236 suggests that it may impact a broad range of cytokines that have been associated both T2-high and</w:t>
      </w:r>
      <w:r>
        <w:rPr>
          <w:sz w:val="20"/>
          <w:szCs w:val="20"/>
        </w:rPr>
        <w:t xml:space="preserve"> T2-low asthma. Many moderate to severe asthma patients comprising both T2 phenotypes remain symptomatic despite being compliant on high doses of inhaled steroids. Importantly, TD-8236 is designed to distribute and exert its anti-inflammatory effect within</w:t>
      </w:r>
      <w:r>
        <w:rPr>
          <w:sz w:val="20"/>
          <w:szCs w:val="20"/>
        </w:rPr>
        <w:t xml:space="preserve"> the lungs following dry powder inhalation, with the potential to treat inflammation within that organ while minimizing systemic exposure. In preclinical assessments, TD-8236 has shown to potently inhibit targeted mediators of T2-high and T2-low asthma in </w:t>
      </w:r>
      <w:r>
        <w:rPr>
          <w:sz w:val="20"/>
          <w:szCs w:val="20"/>
        </w:rPr>
        <w:t xml:space="preserve">human cells. </w:t>
      </w:r>
    </w:p>
    <w:p w:rsidR="00000000" w:rsidRDefault="00DE7B41">
      <w:pPr>
        <w:pStyle w:val="a3"/>
        <w:spacing w:before="0" w:beforeAutospacing="0" w:after="0" w:afterAutospacing="0"/>
        <w:ind w:firstLine="720"/>
        <w:divId w:val="306014809"/>
        <w:rPr>
          <w:sz w:val="20"/>
          <w:szCs w:val="20"/>
        </w:rPr>
      </w:pPr>
      <w:r>
        <w:rPr>
          <w:sz w:val="20"/>
          <w:szCs w:val="20"/>
        </w:rPr>
        <w:t>​</w:t>
      </w:r>
    </w:p>
    <w:p w:rsidR="00000000" w:rsidRDefault="00DE7B41">
      <w:pPr>
        <w:pStyle w:val="a3"/>
        <w:spacing w:before="0" w:beforeAutospacing="0" w:after="0" w:afterAutospacing="0"/>
        <w:ind w:firstLine="720"/>
        <w:divId w:val="306014809"/>
        <w:rPr>
          <w:sz w:val="20"/>
          <w:szCs w:val="20"/>
        </w:rPr>
      </w:pPr>
      <w:r>
        <w:rPr>
          <w:sz w:val="20"/>
          <w:szCs w:val="20"/>
        </w:rPr>
        <w:t>In September 2019, we announced positive results from a Phase 1 single-ascending dose and multiple-ascending dose clinical trial of TD-8236. The Part C extension portion of the Phase 1 trial assessing additional biomarkers in more severe as</w:t>
      </w:r>
      <w:r>
        <w:rPr>
          <w:sz w:val="20"/>
          <w:szCs w:val="20"/>
        </w:rPr>
        <w:t xml:space="preserve">thmatics is underway with results expected in the second half of 2020. In December 2019, we announced the initiation of a Phase 2 allergen challenge study of TD-8236 in asthma patients, and we expect data from the study in the second half of 2020. </w:t>
      </w:r>
    </w:p>
    <w:p w:rsidR="00000000" w:rsidRDefault="00DE7B41">
      <w:pPr>
        <w:pStyle w:val="a3"/>
        <w:spacing w:before="0" w:beforeAutospacing="0" w:after="0" w:afterAutospacing="0"/>
        <w:divId w:val="306014809"/>
        <w:rPr>
          <w:sz w:val="20"/>
          <w:szCs w:val="20"/>
        </w:rPr>
      </w:pPr>
      <w:r>
        <w:rPr>
          <w:sz w:val="20"/>
          <w:szCs w:val="20"/>
        </w:rPr>
        <w:t>​</w:t>
      </w:r>
    </w:p>
    <w:p w:rsidR="00000000" w:rsidRDefault="00DE7B41">
      <w:pPr>
        <w:pStyle w:val="a3"/>
        <w:spacing w:before="0" w:beforeAutospacing="0" w:after="120" w:afterAutospacing="0"/>
        <w:divId w:val="306014809"/>
        <w:rPr>
          <w:sz w:val="20"/>
          <w:szCs w:val="20"/>
        </w:rPr>
      </w:pPr>
      <w:r>
        <w:rPr>
          <w:b/>
          <w:bCs/>
          <w:sz w:val="20"/>
          <w:szCs w:val="20"/>
        </w:rPr>
        <w:t>Econo</w:t>
      </w:r>
      <w:r>
        <w:rPr>
          <w:b/>
          <w:bCs/>
          <w:sz w:val="20"/>
          <w:szCs w:val="20"/>
        </w:rPr>
        <w:t>mic Interest in GSK-Partnered Respiratory Programs</w:t>
      </w:r>
    </w:p>
    <w:p w:rsidR="00000000" w:rsidRDefault="00DE7B41">
      <w:pPr>
        <w:pStyle w:val="a3"/>
        <w:spacing w:before="0" w:beforeAutospacing="0" w:after="0" w:afterAutospacing="0"/>
        <w:ind w:firstLine="720"/>
        <w:divId w:val="306014809"/>
        <w:rPr>
          <w:sz w:val="20"/>
          <w:szCs w:val="20"/>
        </w:rPr>
      </w:pPr>
      <w:r>
        <w:rPr>
          <w:sz w:val="20"/>
          <w:szCs w:val="20"/>
        </w:rPr>
        <w:t>We hold an 85% economic interest in any future payments that may be made by GSK to Theravance Respiratory Company, LLC (“TRC”) pursuant to its agreements with Innoviva (net of TRC expenses paid and the amo</w:t>
      </w:r>
      <w:r>
        <w:rPr>
          <w:sz w:val="20"/>
          <w:szCs w:val="20"/>
        </w:rPr>
        <w:t>unt of cash, if any, expected to be used by TRC pursuant to the TRC LLC Agreement over the next four fiscal quarters) relating to the GSK-Partnered Respiratory Programs, which Innoviva partnered with GSK and assigned to TRC in connection with Innoviva’s se</w:t>
      </w:r>
      <w:r>
        <w:rPr>
          <w:sz w:val="20"/>
          <w:szCs w:val="20"/>
        </w:rPr>
        <w:t>paration of its biopharmaceutical operations into its then wholly-owned subsidiary Theravance Biopharma in June 2014. The GSK-Partnered Respiratory Programs consist primarily of the TRELEGY ELLIPTA program, which is described in more detail below. We are e</w:t>
      </w:r>
      <w:r>
        <w:rPr>
          <w:sz w:val="20"/>
          <w:szCs w:val="20"/>
        </w:rPr>
        <w:t xml:space="preserve">ntitled to this economic interest through our equity ownership in TRC. Our economic interest does not include any payments associated with RELVAR ELLIPTA/BREO ELLIPTA, ANORO ELLIPTA or vilanterol monotherapy. </w:t>
      </w:r>
    </w:p>
    <w:p w:rsidR="00000000" w:rsidRDefault="00DE7B41">
      <w:pPr>
        <w:pStyle w:val="a3"/>
        <w:spacing w:before="0" w:beforeAutospacing="0" w:after="0" w:afterAutospacing="0"/>
        <w:divId w:val="306014809"/>
        <w:rPr>
          <w:sz w:val="20"/>
          <w:szCs w:val="20"/>
        </w:rPr>
      </w:pPr>
      <w:r>
        <w:rPr>
          <w:sz w:val="20"/>
          <w:szCs w:val="20"/>
        </w:rPr>
        <w:t>​</w:t>
      </w:r>
    </w:p>
    <w:p w:rsidR="00000000" w:rsidRDefault="00DE7B41">
      <w:pPr>
        <w:pStyle w:val="a3"/>
        <w:spacing w:before="0" w:beforeAutospacing="0" w:after="0" w:afterAutospacing="0"/>
        <w:ind w:firstLine="720"/>
        <w:divId w:val="306014809"/>
        <w:rPr>
          <w:sz w:val="20"/>
          <w:szCs w:val="20"/>
        </w:rPr>
      </w:pPr>
      <w:r>
        <w:rPr>
          <w:sz w:val="20"/>
          <w:szCs w:val="20"/>
        </w:rPr>
        <w:t>The following information regarding the TREL</w:t>
      </w:r>
      <w:r>
        <w:rPr>
          <w:sz w:val="20"/>
          <w:szCs w:val="20"/>
        </w:rPr>
        <w:t>EGY ELLIPTA program is based solely upon publicly available information and may not reflect the most recent developments under the programs.</w:t>
      </w:r>
    </w:p>
    <w:p w:rsidR="00000000" w:rsidRDefault="00DE7B41">
      <w:pPr>
        <w:pStyle w:val="a3"/>
        <w:spacing w:before="0" w:beforeAutospacing="0" w:after="0" w:afterAutospacing="0"/>
        <w:ind w:firstLine="720"/>
        <w:divId w:val="306014809"/>
        <w:rPr>
          <w:sz w:val="20"/>
          <w:szCs w:val="20"/>
        </w:rPr>
      </w:pPr>
      <w:r>
        <w:rPr>
          <w:sz w:val="20"/>
          <w:szCs w:val="20"/>
        </w:rPr>
        <w:t>​</w:t>
      </w:r>
    </w:p>
    <w:p w:rsidR="00000000" w:rsidRDefault="00DE7B41">
      <w:pPr>
        <w:pStyle w:val="a3"/>
        <w:spacing w:before="0" w:beforeAutospacing="0" w:after="120" w:afterAutospacing="0"/>
        <w:divId w:val="306014809"/>
        <w:rPr>
          <w:sz w:val="20"/>
          <w:szCs w:val="20"/>
        </w:rPr>
      </w:pPr>
      <w:r>
        <w:rPr>
          <w:b/>
          <w:bCs/>
          <w:i/>
          <w:iCs/>
          <w:sz w:val="20"/>
          <w:szCs w:val="20"/>
        </w:rPr>
        <w:t>TRELEGY ELLIPTA (the combination of fluticasone furoate/umeclidinium bromide/vilanterol)</w:t>
      </w:r>
    </w:p>
    <w:p w:rsidR="00000000" w:rsidRDefault="00DE7B41">
      <w:pPr>
        <w:pStyle w:val="a3"/>
        <w:spacing w:before="0" w:beforeAutospacing="0" w:after="0" w:afterAutospacing="0"/>
        <w:ind w:firstLine="720"/>
        <w:divId w:val="306014809"/>
        <w:rPr>
          <w:sz w:val="20"/>
          <w:szCs w:val="20"/>
        </w:rPr>
      </w:pPr>
      <w:r>
        <w:rPr>
          <w:sz w:val="20"/>
          <w:szCs w:val="20"/>
        </w:rPr>
        <w:t>TRELEGY ELLIPTA provides</w:t>
      </w:r>
      <w:r>
        <w:rPr>
          <w:sz w:val="20"/>
          <w:szCs w:val="20"/>
        </w:rPr>
        <w:t xml:space="preserve"> the activity of an inhaled corticosteroid (FF) plus two bronchodilators (UMEC, a LAMA, and VI, a long-acting beta2 agonist, or LABA) in a single delivery device administered once-daily. TRELEGY ELLIPTA is approved for use in the US and European Union (“EU</w:t>
      </w:r>
      <w:r>
        <w:rPr>
          <w:sz w:val="20"/>
          <w:szCs w:val="20"/>
        </w:rPr>
        <w:t>”) for the long-term, once-daily, maintenance treatment of patients with COPD. We hold an 85% economic interest in the royalties payable by GSK to TRC on worldwide net sales (net of TRC expenses paid and the amount of cash, if any, expected to be used by T</w:t>
      </w:r>
      <w:r>
        <w:rPr>
          <w:sz w:val="20"/>
          <w:szCs w:val="20"/>
        </w:rPr>
        <w:t>RC pursuant to the TRC LLC Agreement over the next four fiscal quarters) through our interest in TRC. Those royalties are upward-tiering from 6.5% to 10%, resulting in cash flows to us of approximately 5.5% to 8.5% of worldwide net sales of TRELEGY ELLIPTA</w:t>
      </w:r>
      <w:r>
        <w:rPr>
          <w:sz w:val="20"/>
          <w:szCs w:val="20"/>
        </w:rPr>
        <w:t xml:space="preserve"> (net of TRC expenses paid and the amount of cash, if any, expected to be used by TRC pursuant to the TRC LLC Agreement over the next four fiscal quarters). Theravance Biopharma is not responsible for any of GSK’s costs related to the development or commer</w:t>
      </w:r>
      <w:r>
        <w:rPr>
          <w:sz w:val="20"/>
          <w:szCs w:val="20"/>
        </w:rPr>
        <w:t>cialization of TRELEGY ELLIPTA.</w:t>
      </w:r>
    </w:p>
    <w:p w:rsidR="00000000" w:rsidRDefault="00DE7B41">
      <w:pPr>
        <w:pStyle w:val="a3"/>
        <w:spacing w:before="0" w:beforeAutospacing="0" w:after="0" w:afterAutospacing="0"/>
        <w:ind w:firstLine="720"/>
        <w:divId w:val="306014809"/>
        <w:rPr>
          <w:sz w:val="20"/>
          <w:szCs w:val="20"/>
        </w:rPr>
      </w:pPr>
      <w:r>
        <w:rPr>
          <w:sz w:val="20"/>
          <w:szCs w:val="20"/>
        </w:rPr>
        <w:t>​</w:t>
      </w:r>
    </w:p>
    <w:p w:rsidR="00000000" w:rsidRDefault="00DE7B41">
      <w:pPr>
        <w:pStyle w:val="a3"/>
        <w:spacing w:before="0" w:beforeAutospacing="0" w:after="0" w:afterAutospacing="0"/>
        <w:ind w:firstLine="720"/>
        <w:divId w:val="306014809"/>
        <w:rPr>
          <w:sz w:val="20"/>
          <w:szCs w:val="20"/>
        </w:rPr>
      </w:pPr>
      <w:r>
        <w:rPr>
          <w:sz w:val="20"/>
          <w:szCs w:val="20"/>
        </w:rPr>
        <w:t>GSK and Innoviva conducted two global pivotal Phase 3 studies of TRELEGY ELLIPTA in COPD, the IMPACT study and the FULFIL study. In September 2017, GSK and Innoviva announced that the FDA approved TRELEGY ELLIPTA for the l</w:t>
      </w:r>
      <w:r>
        <w:rPr>
          <w:sz w:val="20"/>
          <w:szCs w:val="20"/>
        </w:rPr>
        <w:t>ong-term, once-daily, maintenance treatment of appropriate patients with COPD. TRELEGY ELLIPTA is currently approved in 44 markets, including China and Japan, with additional approvals expected in 2020. In August 2019, GSK announced that it had filed a sup</w:t>
      </w:r>
      <w:r>
        <w:rPr>
          <w:sz w:val="20"/>
          <w:szCs w:val="20"/>
        </w:rPr>
        <w:t>plemental new drug application (“sNDA”) to the FDA supporting revised labelling for TRELEGY ELLIPTA on reduction in risk of all-cause mortality compared with ANORO ELLIPTA in patients with COPD. The FDA postponed an Advisory Committee meeting that was prev</w:t>
      </w:r>
      <w:r>
        <w:rPr>
          <w:sz w:val="20"/>
          <w:szCs w:val="20"/>
        </w:rPr>
        <w:t>iously scheduled for April 21, 2020 related to this sNDA, and there has been no further public update provided.</w:t>
      </w:r>
    </w:p>
    <w:p w:rsidR="00000000" w:rsidRDefault="00DE7B41">
      <w:pPr>
        <w:pStyle w:val="a3"/>
        <w:spacing w:before="0" w:beforeAutospacing="0" w:after="0" w:afterAutospacing="0"/>
        <w:ind w:firstLine="720"/>
        <w:divId w:val="306014809"/>
        <w:rPr>
          <w:sz w:val="20"/>
          <w:szCs w:val="20"/>
        </w:rPr>
      </w:pPr>
      <w:r>
        <w:rPr>
          <w:sz w:val="20"/>
          <w:szCs w:val="20"/>
        </w:rPr>
        <w:t>​</w:t>
      </w:r>
    </w:p>
    <w:p w:rsidR="00000000" w:rsidRDefault="00DE7B41">
      <w:pPr>
        <w:pStyle w:val="a3"/>
        <w:spacing w:before="0" w:beforeAutospacing="0" w:after="0" w:afterAutospacing="0"/>
        <w:ind w:firstLine="720"/>
        <w:divId w:val="306014809"/>
        <w:rPr>
          <w:sz w:val="20"/>
          <w:szCs w:val="20"/>
        </w:rPr>
      </w:pPr>
      <w:r>
        <w:rPr>
          <w:sz w:val="20"/>
          <w:szCs w:val="20"/>
        </w:rPr>
        <w:t>Additionally, GSK and Innoviva conducted a Phase 3 (CAPTAIN) study of TRELEGY ELLIPTA in patients with asthma. In May 2019, GSK and Innoviva a</w:t>
      </w:r>
      <w:r>
        <w:rPr>
          <w:sz w:val="20"/>
          <w:szCs w:val="20"/>
        </w:rPr>
        <w:t xml:space="preserve">nnounced that the study had met its primary endpoint, and in October 2019, GSK announced it had filed a sNDA with the FDA seeking an additional indication for the use of once-daily, single-inhaler triple </w:t>
      </w:r>
    </w:p>
    <w:p w:rsidR="00000000" w:rsidRDefault="00DE7B41">
      <w:pPr>
        <w:pStyle w:val="a3"/>
        <w:spacing w:before="360" w:beforeAutospacing="0" w:after="0" w:afterAutospacing="0"/>
        <w:jc w:val="center"/>
        <w:divId w:val="276983128"/>
        <w:rPr>
          <w:sz w:val="20"/>
          <w:szCs w:val="20"/>
        </w:rPr>
      </w:pPr>
      <w:r>
        <w:rPr>
          <w:sz w:val="20"/>
          <w:szCs w:val="20"/>
        </w:rPr>
        <w:t>25</w:t>
      </w:r>
    </w:p>
    <w:p w:rsidR="00000000" w:rsidRDefault="00DE7B41">
      <w:pPr>
        <w:pStyle w:val="a3"/>
        <w:spacing w:before="0" w:beforeAutospacing="0" w:after="600" w:afterAutospacing="0"/>
        <w:divId w:val="912011604"/>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858227987"/>
        <w:rPr>
          <w:sz w:val="20"/>
          <w:szCs w:val="20"/>
        </w:rPr>
      </w:pPr>
      <w:r>
        <w:rPr>
          <w:sz w:val="20"/>
          <w:szCs w:val="20"/>
        </w:rPr>
        <w:t>ther</w:t>
      </w:r>
      <w:r>
        <w:rPr>
          <w:sz w:val="20"/>
          <w:szCs w:val="20"/>
        </w:rPr>
        <w:t>apy, TRELEGY ELLIPTA, for the treatment of asthma in adults. The FDA’s decision on the asthma application is expected by the second half of 2020.</w:t>
      </w:r>
      <w:r>
        <w:t xml:space="preserve"> </w:t>
      </w:r>
    </w:p>
    <w:p w:rsidR="00000000" w:rsidRDefault="00DE7B41">
      <w:pPr>
        <w:pStyle w:val="a3"/>
        <w:spacing w:before="0" w:beforeAutospacing="0" w:after="0" w:afterAutospacing="0"/>
        <w:ind w:firstLine="720"/>
        <w:divId w:val="1858227987"/>
        <w:rPr>
          <w:sz w:val="20"/>
          <w:szCs w:val="20"/>
        </w:rPr>
      </w:pPr>
      <w:r>
        <w:rPr>
          <w:sz w:val="20"/>
          <w:szCs w:val="20"/>
        </w:rPr>
        <w:t>​</w:t>
      </w:r>
    </w:p>
    <w:p w:rsidR="00000000" w:rsidRDefault="00DE7B41">
      <w:pPr>
        <w:pStyle w:val="a3"/>
        <w:spacing w:before="0" w:beforeAutospacing="0" w:after="120" w:afterAutospacing="0"/>
        <w:divId w:val="1858227987"/>
        <w:rPr>
          <w:sz w:val="20"/>
          <w:szCs w:val="20"/>
        </w:rPr>
      </w:pPr>
      <w:r>
        <w:rPr>
          <w:b/>
          <w:bCs/>
          <w:i/>
          <w:iCs/>
          <w:sz w:val="20"/>
          <w:szCs w:val="20"/>
        </w:rPr>
        <w:t>Theravance Respiratory Company, LLC</w:t>
      </w:r>
    </w:p>
    <w:p w:rsidR="00000000" w:rsidRDefault="00DE7B41">
      <w:pPr>
        <w:pStyle w:val="a3"/>
        <w:spacing w:before="0" w:beforeAutospacing="0" w:after="0" w:afterAutospacing="0"/>
        <w:ind w:firstLine="720"/>
        <w:divId w:val="1858227987"/>
        <w:rPr>
          <w:sz w:val="20"/>
          <w:szCs w:val="20"/>
        </w:rPr>
      </w:pPr>
      <w:r>
        <w:rPr>
          <w:sz w:val="20"/>
          <w:szCs w:val="20"/>
        </w:rPr>
        <w:t>Prior to the June 2014 spin-off from Innoviva, our former parent company, Innoviva assigned to Theravance Respiratory Company, LLC (“TRC”), a Delaware limited liability company formed by Innoviva, its strategic alliance agreement with GSK and all of its ri</w:t>
      </w:r>
      <w:r>
        <w:rPr>
          <w:sz w:val="20"/>
          <w:szCs w:val="20"/>
        </w:rPr>
        <w:t>ghts and obligations under its collaboration agreement with GSK other than with respect to RELVAR ELLIPTA/BREO ELLIPTA, ANORO ELLIPTA and vilanterol monotherapy. Our equity interest in TRC is the mechanism by which we are entitled to the 85% economic inter</w:t>
      </w:r>
      <w:r>
        <w:rPr>
          <w:sz w:val="20"/>
          <w:szCs w:val="20"/>
        </w:rPr>
        <w:t xml:space="preserve">est in any future payments made by GSK under the strategic alliance agreement and under the portion of the collaboration agreement assigned to TRC by Innoviva (net of TRC expenses paid and the amount of cash, if any, expected to be used by TRC pursuant to </w:t>
      </w:r>
      <w:r>
        <w:rPr>
          <w:sz w:val="20"/>
          <w:szCs w:val="20"/>
        </w:rPr>
        <w:t xml:space="preserve">the TRC LLC Agreement over the next four fiscal quarters). The royalty payments from GSK to TRC arising from the net sales of </w:t>
      </w:r>
      <w:r>
        <w:rPr>
          <w:caps/>
          <w:sz w:val="20"/>
          <w:szCs w:val="20"/>
        </w:rPr>
        <w:t>Trelegy Ellipta</w:t>
      </w:r>
      <w:r>
        <w:rPr>
          <w:sz w:val="20"/>
          <w:szCs w:val="20"/>
        </w:rPr>
        <w:t xml:space="preserve"> are presented in our condensed consolidated statements of operations within “Income from investment in TRC, LLC” a</w:t>
      </w:r>
      <w:r>
        <w:rPr>
          <w:sz w:val="20"/>
          <w:szCs w:val="20"/>
        </w:rPr>
        <w:t>nd is classified as non-operating income. Seventy-five percent of the “Income from investment in TRC, LLC,” as evidenced by the Issuer II Class C Units (defined below), is available only for payment of the $400.0 million aggregate amount of 9.5% fixed-rate</w:t>
      </w:r>
      <w:r>
        <w:rPr>
          <w:sz w:val="20"/>
          <w:szCs w:val="20"/>
        </w:rPr>
        <w:t xml:space="preserve"> non-recourse term notes due 2035 (the “Non-Recourse 2035 Notes”) and is not available to pay our other obligations or the claims of our other creditors. </w:t>
      </w:r>
    </w:p>
    <w:p w:rsidR="00000000" w:rsidRDefault="00DE7B41">
      <w:pPr>
        <w:pStyle w:val="a3"/>
        <w:spacing w:before="0" w:beforeAutospacing="0" w:after="0" w:afterAutospacing="0"/>
        <w:ind w:firstLine="720"/>
        <w:divId w:val="1858227987"/>
        <w:rPr>
          <w:sz w:val="20"/>
          <w:szCs w:val="20"/>
        </w:rPr>
      </w:pPr>
      <w:r>
        <w:rPr>
          <w:sz w:val="20"/>
          <w:szCs w:val="20"/>
        </w:rPr>
        <w:t>​</w:t>
      </w:r>
    </w:p>
    <w:p w:rsidR="00000000" w:rsidRDefault="00DE7B41">
      <w:pPr>
        <w:pStyle w:val="a3"/>
        <w:spacing w:before="0" w:beforeAutospacing="0" w:after="0" w:afterAutospacing="0"/>
        <w:ind w:firstLine="720"/>
        <w:divId w:val="1858227987"/>
        <w:rPr>
          <w:sz w:val="20"/>
          <w:szCs w:val="20"/>
        </w:rPr>
      </w:pPr>
      <w:r>
        <w:rPr>
          <w:sz w:val="20"/>
          <w:szCs w:val="20"/>
        </w:rPr>
        <w:t xml:space="preserve">Our special purpose subsidiary Triple Royalty Sub II LLC (the “Issuer II”) issued the Non-Recourse </w:t>
      </w:r>
      <w:r>
        <w:rPr>
          <w:sz w:val="20"/>
          <w:szCs w:val="20"/>
        </w:rPr>
        <w:t xml:space="preserve">2035 Notes in February 2020, which proceeds were used in part to repay the outstanding balance of our 9.0% non-recourse notes, due on or before 2033 (the "Non-Recourse 2033 Notes") that were issued in November 2018. The Non-Recourse 2035 Notes are secured </w:t>
      </w:r>
      <w:r>
        <w:rPr>
          <w:sz w:val="20"/>
          <w:szCs w:val="20"/>
        </w:rPr>
        <w:t>by all of the Issuer II’s rights, title and interest as a holder of certain membership interests (the “Issuer II Class C Units”) in TRC. The Issuer II Class C Units entitle the Issuer II to receive 63.75% of the economic interest that TRC receives in any f</w:t>
      </w:r>
      <w:r>
        <w:rPr>
          <w:sz w:val="20"/>
          <w:szCs w:val="20"/>
        </w:rPr>
        <w:t xml:space="preserve">uture payments made by GSK under the agreements described above, or 75% of the income from our 85% ownership interest in TRC. </w:t>
      </w:r>
    </w:p>
    <w:p w:rsidR="00000000" w:rsidRDefault="00DE7B41">
      <w:pPr>
        <w:pStyle w:val="a3"/>
        <w:spacing w:before="0" w:beforeAutospacing="0" w:after="0" w:afterAutospacing="0"/>
        <w:divId w:val="1858227987"/>
        <w:rPr>
          <w:sz w:val="20"/>
          <w:szCs w:val="20"/>
        </w:rPr>
      </w:pPr>
      <w:r>
        <w:rPr>
          <w:b/>
          <w:bCs/>
          <w:sz w:val="20"/>
          <w:szCs w:val="20"/>
        </w:rPr>
        <w:t>​</w:t>
      </w:r>
    </w:p>
    <w:p w:rsidR="00000000" w:rsidRDefault="00DE7B41">
      <w:pPr>
        <w:pStyle w:val="a3"/>
        <w:spacing w:before="0" w:beforeAutospacing="0" w:after="120" w:afterAutospacing="0"/>
        <w:divId w:val="1858227987"/>
        <w:rPr>
          <w:sz w:val="20"/>
          <w:szCs w:val="20"/>
        </w:rPr>
      </w:pPr>
      <w:r>
        <w:rPr>
          <w:b/>
          <w:bCs/>
          <w:sz w:val="20"/>
          <w:szCs w:val="20"/>
        </w:rPr>
        <w:t>Other Economic Interests</w:t>
      </w:r>
    </w:p>
    <w:p w:rsidR="00000000" w:rsidRDefault="00DE7B41">
      <w:pPr>
        <w:pStyle w:val="a3"/>
        <w:spacing w:before="0" w:beforeAutospacing="0" w:after="120" w:afterAutospacing="0"/>
        <w:divId w:val="1858227987"/>
        <w:rPr>
          <w:sz w:val="20"/>
          <w:szCs w:val="20"/>
        </w:rPr>
      </w:pPr>
      <w:r>
        <w:rPr>
          <w:b/>
          <w:bCs/>
          <w:i/>
          <w:iCs/>
          <w:sz w:val="20"/>
          <w:szCs w:val="20"/>
        </w:rPr>
        <w:t>VIBATI</w:t>
      </w:r>
      <w:r>
        <w:rPr>
          <w:b/>
          <w:bCs/>
          <w:i/>
          <w:iCs/>
          <w:sz w:val="20"/>
          <w:szCs w:val="20"/>
        </w:rPr>
        <w:t>V</w:t>
      </w:r>
      <w:r>
        <w:rPr>
          <w:b/>
          <w:bCs/>
          <w:i/>
          <w:iCs/>
          <w:sz w:val="15"/>
          <w:szCs w:val="15"/>
          <w:vertAlign w:val="superscript"/>
        </w:rPr>
        <w:t>®</w:t>
      </w:r>
      <w:r>
        <w:rPr>
          <w:b/>
          <w:bCs/>
          <w:i/>
          <w:iCs/>
          <w:sz w:val="20"/>
          <w:szCs w:val="20"/>
        </w:rPr>
        <w:t xml:space="preserve"> (telavancin)</w:t>
      </w:r>
    </w:p>
    <w:p w:rsidR="00000000" w:rsidRDefault="00DE7B41">
      <w:pPr>
        <w:pStyle w:val="a3"/>
        <w:spacing w:before="0" w:beforeAutospacing="0" w:after="0" w:afterAutospacing="0"/>
        <w:ind w:firstLine="720"/>
        <w:divId w:val="1858227987"/>
        <w:rPr>
          <w:sz w:val="20"/>
          <w:szCs w:val="20"/>
        </w:rPr>
      </w:pPr>
      <w:r>
        <w:rPr>
          <w:sz w:val="20"/>
          <w:szCs w:val="20"/>
        </w:rPr>
        <w:t xml:space="preserve">VIBATIV is </w:t>
      </w:r>
      <w:r>
        <w:rPr>
          <w:sz w:val="20"/>
          <w:szCs w:val="20"/>
          <w:shd w:val="clear" w:color="auto" w:fill="FFFFFF"/>
        </w:rPr>
        <w:t>an FDA-approved injectable antibiotic used in the treatment of certai</w:t>
      </w:r>
      <w:r>
        <w:rPr>
          <w:sz w:val="20"/>
          <w:szCs w:val="20"/>
          <w:shd w:val="clear" w:color="auto" w:fill="FFFFFF"/>
        </w:rPr>
        <w:t>n serious bacterial infections including hospital-acquired and ventilator-associated bacterial pneumonia (“HABP”/”VABP”), as well as complicated skin and skin structure infections (“cSSSI”). This life-saving antibiotic was discovered and developed by us an</w:t>
      </w:r>
      <w:r>
        <w:rPr>
          <w:sz w:val="20"/>
          <w:szCs w:val="20"/>
          <w:shd w:val="clear" w:color="auto" w:fill="FFFFFF"/>
        </w:rPr>
        <w:t>d is designed for difficult to treat Gram-positive bacterial infections, including those that are classified as methicillin-resistant (“MRSA”) or multidrug-resistant.</w:t>
      </w:r>
    </w:p>
    <w:p w:rsidR="00000000" w:rsidRDefault="00DE7B41">
      <w:pPr>
        <w:pStyle w:val="a3"/>
        <w:spacing w:before="0" w:beforeAutospacing="0" w:after="0" w:afterAutospacing="0"/>
        <w:ind w:firstLine="720"/>
        <w:divId w:val="1858227987"/>
        <w:rPr>
          <w:sz w:val="20"/>
          <w:szCs w:val="20"/>
        </w:rPr>
      </w:pPr>
      <w:r>
        <w:rPr>
          <w:sz w:val="20"/>
          <w:szCs w:val="20"/>
        </w:rPr>
        <w:t>​</w:t>
      </w:r>
    </w:p>
    <w:p w:rsidR="00000000" w:rsidRDefault="00DE7B41">
      <w:pPr>
        <w:pStyle w:val="a3"/>
        <w:spacing w:before="0" w:beforeAutospacing="0" w:after="0" w:afterAutospacing="0"/>
        <w:ind w:firstLine="720"/>
        <w:divId w:val="1858227987"/>
        <w:rPr>
          <w:sz w:val="20"/>
          <w:szCs w:val="20"/>
        </w:rPr>
      </w:pPr>
      <w:r>
        <w:rPr>
          <w:sz w:val="20"/>
          <w:szCs w:val="20"/>
        </w:rPr>
        <w:t>In November 2018, we sold VIBATIV to Cumberland Pharmaceuticals Inc. (“Cumberland”) pur</w:t>
      </w:r>
      <w:r>
        <w:rPr>
          <w:sz w:val="20"/>
          <w:szCs w:val="20"/>
        </w:rPr>
        <w:t>suant to an Asset Purchase Agreement (the “Agreement”). Under the Agreement, Cumberland paid us $20.0 million at the closing of the transaction and $5.0 million in April 2019. In addition, Cumberland pays us tiered royalties of up to 20% of US net sales of</w:t>
      </w:r>
      <w:r>
        <w:rPr>
          <w:sz w:val="20"/>
          <w:szCs w:val="20"/>
        </w:rPr>
        <w:t xml:space="preserve"> VIBATIV until such time as royalties cumulatively total $100.0 million.</w:t>
      </w:r>
    </w:p>
    <w:p w:rsidR="00000000" w:rsidRDefault="00DE7B41">
      <w:pPr>
        <w:pStyle w:val="a3"/>
        <w:spacing w:before="0" w:beforeAutospacing="0" w:after="0" w:afterAutospacing="0"/>
        <w:ind w:firstLine="720"/>
        <w:divId w:val="1858227987"/>
        <w:rPr>
          <w:sz w:val="20"/>
          <w:szCs w:val="20"/>
        </w:rPr>
      </w:pPr>
      <w:r>
        <w:rPr>
          <w:b/>
          <w:bCs/>
          <w:sz w:val="20"/>
          <w:szCs w:val="20"/>
        </w:rPr>
        <w:t>​</w:t>
      </w:r>
    </w:p>
    <w:p w:rsidR="00000000" w:rsidRDefault="00DE7B41">
      <w:pPr>
        <w:pStyle w:val="a3"/>
        <w:spacing w:before="0" w:beforeAutospacing="0" w:after="120" w:afterAutospacing="0"/>
        <w:divId w:val="1858227987"/>
        <w:rPr>
          <w:sz w:val="20"/>
          <w:szCs w:val="20"/>
        </w:rPr>
      </w:pPr>
      <w:r>
        <w:rPr>
          <w:b/>
          <w:bCs/>
          <w:i/>
          <w:iCs/>
          <w:sz w:val="20"/>
          <w:szCs w:val="20"/>
        </w:rPr>
        <w:t>Velusetrag (TD-5108)</w:t>
      </w:r>
    </w:p>
    <w:p w:rsidR="00000000" w:rsidRDefault="00DE7B41">
      <w:pPr>
        <w:pStyle w:val="a3"/>
        <w:spacing w:before="0" w:beforeAutospacing="0" w:after="0" w:afterAutospacing="0"/>
        <w:ind w:firstLine="720"/>
        <w:divId w:val="1858227987"/>
        <w:rPr>
          <w:sz w:val="20"/>
          <w:szCs w:val="20"/>
        </w:rPr>
      </w:pPr>
      <w:r>
        <w:rPr>
          <w:sz w:val="20"/>
          <w:szCs w:val="20"/>
        </w:rPr>
        <w:t>Velusetrag is an oral, investigational medicine developed for gastrointestinal motility disorders. It is a highly selective agonist with high intrinsic activity</w:t>
      </w:r>
      <w:r>
        <w:rPr>
          <w:sz w:val="20"/>
          <w:szCs w:val="20"/>
        </w:rPr>
        <w:t xml:space="preserve"> at the human 5-HT4 receptor. </w:t>
      </w:r>
    </w:p>
    <w:p w:rsidR="00000000" w:rsidRDefault="00DE7B41">
      <w:pPr>
        <w:pStyle w:val="a3"/>
        <w:spacing w:before="0" w:beforeAutospacing="0" w:after="0" w:afterAutospacing="0"/>
        <w:divId w:val="1858227987"/>
        <w:rPr>
          <w:sz w:val="20"/>
          <w:szCs w:val="20"/>
        </w:rPr>
      </w:pPr>
      <w:r>
        <w:rPr>
          <w:sz w:val="20"/>
          <w:szCs w:val="20"/>
        </w:rPr>
        <w:t>​</w:t>
      </w:r>
    </w:p>
    <w:p w:rsidR="00000000" w:rsidRDefault="00DE7B41">
      <w:pPr>
        <w:pStyle w:val="a3"/>
        <w:spacing w:before="0" w:beforeAutospacing="0" w:after="0" w:afterAutospacing="0"/>
        <w:divId w:val="1858227987"/>
        <w:rPr>
          <w:sz w:val="20"/>
          <w:szCs w:val="20"/>
        </w:rPr>
      </w:pPr>
      <w:r>
        <w:rPr>
          <w:i/>
          <w:iCs/>
          <w:sz w:val="20"/>
          <w:szCs w:val="20"/>
        </w:rPr>
        <w:t>Alfasigma S.p.A. Collaboration</w:t>
      </w:r>
    </w:p>
    <w:p w:rsidR="00000000" w:rsidRDefault="00DE7B41">
      <w:pPr>
        <w:pStyle w:val="a3"/>
        <w:spacing w:before="0" w:beforeAutospacing="0" w:after="0" w:afterAutospacing="0"/>
        <w:divId w:val="1858227987"/>
        <w:rPr>
          <w:sz w:val="20"/>
          <w:szCs w:val="20"/>
        </w:rPr>
      </w:pPr>
      <w:r>
        <w:rPr>
          <w:i/>
          <w:iCs/>
          <w:sz w:val="10"/>
          <w:szCs w:val="10"/>
        </w:rPr>
        <w:t>​</w:t>
      </w:r>
    </w:p>
    <w:p w:rsidR="00000000" w:rsidRDefault="00DE7B41">
      <w:pPr>
        <w:pStyle w:val="a3"/>
        <w:spacing w:before="0" w:beforeAutospacing="0" w:after="0" w:afterAutospacing="0"/>
        <w:ind w:firstLine="720"/>
        <w:divId w:val="1858227987"/>
        <w:rPr>
          <w:sz w:val="20"/>
          <w:szCs w:val="20"/>
        </w:rPr>
      </w:pPr>
      <w:r>
        <w:rPr>
          <w:sz w:val="20"/>
          <w:szCs w:val="20"/>
        </w:rPr>
        <w:t>In 2012, we partnered with Alfasigma S.p.A. (“Alfasigma”) in the development of velusetrag and its commercialization in certain countries. In April 2018, Alfasigma exercised its option to de</w:t>
      </w:r>
      <w:r>
        <w:rPr>
          <w:sz w:val="20"/>
          <w:szCs w:val="20"/>
        </w:rPr>
        <w:t>velop and commercialize velusetrag, and we elected not to pursue further development. Global rights to develop, manufacture and commercialize velusetrag have been transferred to Alfasigma under the terms of the collaboration agreement. Also, under the term</w:t>
      </w:r>
      <w:r>
        <w:rPr>
          <w:sz w:val="20"/>
          <w:szCs w:val="20"/>
        </w:rPr>
        <w:t>s of the collaboration with Alfasigma, we are entitled to receive future potential development, regulatory and commercial milestone payments of up to $26.8 million and tiered royalties on global net sales ranging from high single digits to the mid-teens.</w:t>
      </w:r>
    </w:p>
    <w:p w:rsidR="00000000" w:rsidRDefault="00DE7B41">
      <w:pPr>
        <w:pStyle w:val="a3"/>
        <w:spacing w:before="0" w:beforeAutospacing="0" w:after="0" w:afterAutospacing="0"/>
        <w:ind w:firstLine="720"/>
        <w:divId w:val="1858227987"/>
        <w:rPr>
          <w:sz w:val="20"/>
          <w:szCs w:val="20"/>
        </w:rPr>
      </w:pPr>
      <w:r>
        <w:rPr>
          <w:b/>
          <w:bCs/>
          <w:sz w:val="20"/>
          <w:szCs w:val="20"/>
        </w:rPr>
        <w:t>​</w:t>
      </w:r>
    </w:p>
    <w:p w:rsidR="00000000" w:rsidRDefault="00DE7B41">
      <w:pPr>
        <w:pStyle w:val="a3"/>
        <w:spacing w:before="360" w:beforeAutospacing="0" w:after="0" w:afterAutospacing="0"/>
        <w:jc w:val="center"/>
        <w:divId w:val="657809601"/>
        <w:rPr>
          <w:sz w:val="20"/>
          <w:szCs w:val="20"/>
        </w:rPr>
      </w:pPr>
      <w:r>
        <w:rPr>
          <w:sz w:val="20"/>
          <w:szCs w:val="20"/>
        </w:rPr>
        <w:t>26</w:t>
      </w:r>
    </w:p>
    <w:p w:rsidR="00000000" w:rsidRDefault="00DE7B41">
      <w:pPr>
        <w:pStyle w:val="a3"/>
        <w:spacing w:before="0" w:beforeAutospacing="0" w:after="600" w:afterAutospacing="0"/>
        <w:divId w:val="554466731"/>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955067545"/>
        <w:rPr>
          <w:sz w:val="20"/>
          <w:szCs w:val="20"/>
        </w:rPr>
      </w:pPr>
      <w:r>
        <w:rPr>
          <w:b/>
          <w:bCs/>
          <w:i/>
          <w:iCs/>
          <w:sz w:val="20"/>
          <w:szCs w:val="20"/>
        </w:rPr>
        <w:t>Selective 5-HT4 Agonist (TD-8954)</w:t>
      </w:r>
    </w:p>
    <w:p w:rsidR="00000000" w:rsidRDefault="00DE7B41">
      <w:pPr>
        <w:pStyle w:val="a3"/>
        <w:spacing w:before="0" w:beforeAutospacing="0" w:after="0" w:afterAutospacing="0"/>
        <w:divId w:val="955067545"/>
        <w:rPr>
          <w:sz w:val="20"/>
          <w:szCs w:val="20"/>
        </w:rPr>
      </w:pPr>
      <w:r>
        <w:rPr>
          <w:sz w:val="10"/>
          <w:szCs w:val="10"/>
        </w:rPr>
        <w:t>​</w:t>
      </w:r>
    </w:p>
    <w:p w:rsidR="00000000" w:rsidRDefault="00DE7B41">
      <w:pPr>
        <w:pStyle w:val="a3"/>
        <w:spacing w:before="0" w:beforeAutospacing="0" w:after="0" w:afterAutospacing="0"/>
        <w:ind w:firstLine="720"/>
        <w:divId w:val="955067545"/>
        <w:rPr>
          <w:sz w:val="20"/>
          <w:szCs w:val="20"/>
        </w:rPr>
      </w:pPr>
      <w:r>
        <w:rPr>
          <w:sz w:val="20"/>
          <w:szCs w:val="20"/>
        </w:rPr>
        <w:t xml:space="preserve">TD-8954 is a selective 5-HT4 receptor agonist being developed for potential use in the treatment of gastrointestinal motility disorders. </w:t>
      </w:r>
    </w:p>
    <w:p w:rsidR="00000000" w:rsidRDefault="00DE7B41">
      <w:pPr>
        <w:pStyle w:val="a3"/>
        <w:spacing w:before="0" w:beforeAutospacing="0" w:after="0" w:afterAutospacing="0"/>
        <w:divId w:val="955067545"/>
        <w:rPr>
          <w:sz w:val="20"/>
          <w:szCs w:val="20"/>
        </w:rPr>
      </w:pPr>
      <w:r>
        <w:rPr>
          <w:sz w:val="20"/>
          <w:szCs w:val="20"/>
        </w:rPr>
        <w:t>​</w:t>
      </w:r>
    </w:p>
    <w:p w:rsidR="00000000" w:rsidRDefault="00DE7B41">
      <w:pPr>
        <w:pStyle w:val="a3"/>
        <w:spacing w:before="0" w:beforeAutospacing="0" w:after="0" w:afterAutospacing="0"/>
        <w:divId w:val="955067545"/>
        <w:rPr>
          <w:sz w:val="20"/>
          <w:szCs w:val="20"/>
        </w:rPr>
      </w:pPr>
      <w:r>
        <w:rPr>
          <w:i/>
          <w:iCs/>
          <w:sz w:val="20"/>
          <w:szCs w:val="20"/>
        </w:rPr>
        <w:t>Takeda Collaborative Arrangement</w:t>
      </w:r>
    </w:p>
    <w:p w:rsidR="00000000" w:rsidRDefault="00DE7B41">
      <w:pPr>
        <w:pStyle w:val="a3"/>
        <w:spacing w:before="0" w:beforeAutospacing="0" w:after="0" w:afterAutospacing="0"/>
        <w:divId w:val="955067545"/>
        <w:rPr>
          <w:sz w:val="20"/>
          <w:szCs w:val="20"/>
        </w:rPr>
      </w:pPr>
      <w:r>
        <w:rPr>
          <w:sz w:val="10"/>
          <w:szCs w:val="10"/>
        </w:rPr>
        <w:t>​</w:t>
      </w:r>
    </w:p>
    <w:p w:rsidR="00000000" w:rsidRDefault="00DE7B41">
      <w:pPr>
        <w:pStyle w:val="a3"/>
        <w:spacing w:before="0" w:beforeAutospacing="0" w:after="0" w:afterAutospacing="0"/>
        <w:ind w:firstLine="720"/>
        <w:divId w:val="955067545"/>
        <w:rPr>
          <w:sz w:val="20"/>
          <w:szCs w:val="20"/>
        </w:rPr>
      </w:pPr>
      <w:r>
        <w:rPr>
          <w:sz w:val="20"/>
          <w:szCs w:val="20"/>
        </w:rPr>
        <w:t>In June 2016, we entered into a License and Collaboration Agreement (the “Takeda Agreement”) with Millennium Pharmaceuticals, Inc. (“Millennium”), in order to establish a collaboration for the development and commercializ</w:t>
      </w:r>
      <w:r>
        <w:rPr>
          <w:sz w:val="20"/>
          <w:szCs w:val="20"/>
        </w:rPr>
        <w:t>ation of TD-8954 (TAK-954). Millennium is an indirect wholly-owned subsidiary of Takeda Pharmaceutical Company Limited (“Takeda”). TD-8954 is currently in a Phase 2 study as a potential treatment for post-operative gastrointestinal dysfunction. Under the t</w:t>
      </w:r>
      <w:r>
        <w:rPr>
          <w:sz w:val="20"/>
          <w:szCs w:val="20"/>
        </w:rPr>
        <w:t>erms of the Takeda Agreement, Takeda is responsible for worldwide development and commercialization of TD-8954. We received an upfront cash payment of $15.0 million and will be eligible to receive success-based development, regulatory and sales milestone p</w:t>
      </w:r>
      <w:r>
        <w:rPr>
          <w:sz w:val="20"/>
          <w:szCs w:val="20"/>
        </w:rPr>
        <w:t>ayments from Takeda. We will also be eligible to receive a tiered royalty on worldwide net sales by Takeda at percentage royalty rates ranging from low double-digits to mid-teens.</w:t>
      </w:r>
    </w:p>
    <w:p w:rsidR="00000000" w:rsidRDefault="00DE7B41">
      <w:pPr>
        <w:pStyle w:val="a3"/>
        <w:spacing w:before="0" w:beforeAutospacing="0" w:after="0" w:afterAutospacing="0"/>
        <w:ind w:firstLine="720"/>
        <w:divId w:val="955067545"/>
        <w:rPr>
          <w:sz w:val="20"/>
          <w:szCs w:val="20"/>
        </w:rPr>
      </w:pPr>
      <w:r>
        <w:rPr>
          <w:b/>
          <w:bCs/>
          <w:sz w:val="20"/>
          <w:szCs w:val="20"/>
        </w:rPr>
        <w:t>​</w:t>
      </w:r>
    </w:p>
    <w:p w:rsidR="00000000" w:rsidRDefault="00DE7B41">
      <w:pPr>
        <w:pStyle w:val="a3"/>
        <w:spacing w:before="0" w:beforeAutospacing="0" w:after="120" w:afterAutospacing="0"/>
        <w:divId w:val="955067545"/>
        <w:rPr>
          <w:sz w:val="20"/>
          <w:szCs w:val="20"/>
        </w:rPr>
      </w:pPr>
      <w:r>
        <w:rPr>
          <w:b/>
          <w:bCs/>
          <w:i/>
          <w:iCs/>
          <w:sz w:val="20"/>
          <w:szCs w:val="20"/>
        </w:rPr>
        <w:t xml:space="preserve">Skin-selective Pan-JAK inhibitor program </w:t>
      </w:r>
    </w:p>
    <w:p w:rsidR="00000000" w:rsidRDefault="00DE7B41">
      <w:pPr>
        <w:pStyle w:val="a3"/>
        <w:spacing w:before="0" w:beforeAutospacing="0" w:after="0" w:afterAutospacing="0"/>
        <w:divId w:val="955067545"/>
        <w:rPr>
          <w:sz w:val="20"/>
          <w:szCs w:val="20"/>
        </w:rPr>
      </w:pPr>
      <w:r>
        <w:rPr>
          <w:sz w:val="20"/>
          <w:szCs w:val="20"/>
        </w:rPr>
        <w:t>In December 2019, we entered into a global license agreement with Pfizer Inc. (“Pfizer”) for our preclinical skin-selective, locally-acting pan-JAK inhibitor program (the “Pfizer Agreement”). The compounds in this program are designed to target validated p</w:t>
      </w:r>
      <w:r>
        <w:rPr>
          <w:sz w:val="20"/>
          <w:szCs w:val="20"/>
        </w:rPr>
        <w:t>ro-inflammatory pathways and are specifically designed to possess skin-selective activity with minimal systemic exposure.</w:t>
      </w:r>
    </w:p>
    <w:p w:rsidR="00000000" w:rsidRDefault="00DE7B41">
      <w:pPr>
        <w:pStyle w:val="a3"/>
        <w:spacing w:before="0" w:beforeAutospacing="0" w:after="0" w:afterAutospacing="0"/>
        <w:divId w:val="955067545"/>
        <w:rPr>
          <w:sz w:val="20"/>
          <w:szCs w:val="20"/>
        </w:rPr>
      </w:pPr>
      <w:r>
        <w:rPr>
          <w:sz w:val="20"/>
          <w:szCs w:val="20"/>
        </w:rPr>
        <w:t>​</w:t>
      </w:r>
    </w:p>
    <w:p w:rsidR="00000000" w:rsidRDefault="00DE7B41">
      <w:pPr>
        <w:pStyle w:val="a3"/>
        <w:spacing w:before="0" w:beforeAutospacing="0" w:after="0" w:afterAutospacing="0"/>
        <w:ind w:firstLine="720"/>
        <w:divId w:val="955067545"/>
        <w:rPr>
          <w:sz w:val="20"/>
          <w:szCs w:val="20"/>
        </w:rPr>
      </w:pPr>
      <w:r>
        <w:rPr>
          <w:sz w:val="20"/>
          <w:szCs w:val="20"/>
        </w:rPr>
        <w:t>Under the Pfizer Agreement, Pfizer has an exclusive license to develop, manufacture and commercialize certain compounds for all uses</w:t>
      </w:r>
      <w:r>
        <w:rPr>
          <w:sz w:val="20"/>
          <w:szCs w:val="20"/>
        </w:rPr>
        <w:t xml:space="preserve"> other than gastrointestinal, ophthalmic and respiratory applications. We received an upfront cash payment of $10.0 million and are eligible to receive up to an additional $240.0 million in development and sales milestone payments from Pfizer. In addition,</w:t>
      </w:r>
      <w:r>
        <w:rPr>
          <w:sz w:val="20"/>
          <w:szCs w:val="20"/>
        </w:rPr>
        <w:t xml:space="preserve"> we are eligible to receive a tiered royalty on worldwide net sales of any potential products under the license at percentage royalty rates ranging from middle single-digits to low double-digits.</w:t>
      </w:r>
    </w:p>
    <w:p w:rsidR="00000000" w:rsidRDefault="00DE7B41">
      <w:pPr>
        <w:pStyle w:val="a3"/>
        <w:spacing w:before="0" w:beforeAutospacing="0" w:after="0" w:afterAutospacing="0"/>
        <w:ind w:firstLine="720"/>
        <w:divId w:val="955067545"/>
        <w:rPr>
          <w:sz w:val="20"/>
          <w:szCs w:val="20"/>
        </w:rPr>
      </w:pPr>
      <w:r>
        <w:rPr>
          <w:b/>
          <w:bCs/>
          <w:sz w:val="20"/>
          <w:szCs w:val="20"/>
        </w:rPr>
        <w:t>​</w:t>
      </w:r>
    </w:p>
    <w:p w:rsidR="00000000" w:rsidRDefault="00DE7B41">
      <w:pPr>
        <w:pStyle w:val="a3"/>
        <w:spacing w:before="0" w:beforeAutospacing="0" w:after="120" w:afterAutospacing="0"/>
        <w:divId w:val="955067545"/>
        <w:rPr>
          <w:sz w:val="20"/>
          <w:szCs w:val="20"/>
        </w:rPr>
      </w:pPr>
      <w:r>
        <w:rPr>
          <w:b/>
          <w:bCs/>
          <w:sz w:val="20"/>
          <w:szCs w:val="20"/>
        </w:rPr>
        <w:t>Research Projects</w:t>
      </w:r>
    </w:p>
    <w:p w:rsidR="00000000" w:rsidRDefault="00DE7B41">
      <w:pPr>
        <w:pStyle w:val="a3"/>
        <w:spacing w:before="0" w:beforeAutospacing="0" w:after="0" w:afterAutospacing="0"/>
        <w:ind w:firstLine="720"/>
        <w:divId w:val="955067545"/>
        <w:rPr>
          <w:sz w:val="20"/>
          <w:szCs w:val="20"/>
        </w:rPr>
      </w:pPr>
      <w:r>
        <w:rPr>
          <w:sz w:val="20"/>
          <w:szCs w:val="20"/>
        </w:rPr>
        <w:t>Our research goal is to design organ-sel</w:t>
      </w:r>
      <w:r>
        <w:rPr>
          <w:sz w:val="20"/>
          <w:szCs w:val="20"/>
        </w:rPr>
        <w:t>ective medicines that target diseased tissues, without systemic exposure, in order to maximize patient benefit and minimize risk. The intention is to expand the therapeutic index of our potential medicines compared to conventional systemic therapies. Our e</w:t>
      </w:r>
      <w:r>
        <w:rPr>
          <w:sz w:val="20"/>
          <w:szCs w:val="20"/>
        </w:rPr>
        <w:t>fforts leverage years of experience in developing lung-selective medicines, such as YUPELRI, to treat respiratory diseases, and have led to the discovery of the gut-selective pan-JAK inhibitor TD-1473 and irreversible JAK3 inhibitor TD-5202 for inflammator</w:t>
      </w:r>
      <w:r>
        <w:rPr>
          <w:sz w:val="20"/>
          <w:szCs w:val="20"/>
        </w:rPr>
        <w:t>y intestinal diseases and the lung-selective inhaled JAK inhibitor TD-8236 and nebulized pan JAK inhibitor TD-0903 in serious respiratory disease. We plan to advance towards the clinic other research projects with various mechanisms of action, each specifi</w:t>
      </w:r>
      <w:r>
        <w:rPr>
          <w:sz w:val="20"/>
          <w:szCs w:val="20"/>
        </w:rPr>
        <w:t>cally tailored for the organ of interest, as we identify and validate potentially appropriate compounds. Our research is focused in the areas of inflammation and immunology, and our pipeline of internally discovered programs is targeted to address signific</w:t>
      </w:r>
      <w:r>
        <w:rPr>
          <w:sz w:val="20"/>
          <w:szCs w:val="20"/>
        </w:rPr>
        <w:t xml:space="preserve">ant patient needs. </w:t>
      </w:r>
    </w:p>
    <w:p w:rsidR="00000000" w:rsidRDefault="00DE7B41">
      <w:pPr>
        <w:pStyle w:val="a3"/>
        <w:spacing w:before="0" w:beforeAutospacing="0" w:after="0" w:afterAutospacing="0"/>
        <w:divId w:val="955067545"/>
        <w:rPr>
          <w:sz w:val="20"/>
          <w:szCs w:val="20"/>
        </w:rPr>
      </w:pPr>
      <w:r>
        <w:rPr>
          <w:sz w:val="20"/>
          <w:szCs w:val="20"/>
        </w:rPr>
        <w:t>​</w:t>
      </w:r>
    </w:p>
    <w:p w:rsidR="00000000" w:rsidRDefault="00DE7B41">
      <w:pPr>
        <w:pStyle w:val="a3"/>
        <w:spacing w:before="0" w:beforeAutospacing="0" w:after="0" w:afterAutospacing="0"/>
        <w:divId w:val="955067545"/>
        <w:rPr>
          <w:sz w:val="20"/>
          <w:szCs w:val="20"/>
        </w:rPr>
      </w:pPr>
      <w:r>
        <w:rPr>
          <w:b/>
          <w:bCs/>
          <w:sz w:val="20"/>
          <w:szCs w:val="20"/>
        </w:rPr>
        <w:t>Critical Accounting Policies and Estimates</w:t>
      </w:r>
    </w:p>
    <w:p w:rsidR="00000000" w:rsidRDefault="00DE7B41">
      <w:pPr>
        <w:pStyle w:val="a3"/>
        <w:spacing w:before="0" w:beforeAutospacing="0" w:after="0" w:afterAutospacing="0"/>
        <w:divId w:val="955067545"/>
        <w:rPr>
          <w:sz w:val="20"/>
          <w:szCs w:val="20"/>
        </w:rPr>
      </w:pPr>
      <w:r>
        <w:rPr>
          <w:sz w:val="10"/>
          <w:szCs w:val="10"/>
        </w:rPr>
        <w:t>​</w:t>
      </w:r>
    </w:p>
    <w:p w:rsidR="00000000" w:rsidRDefault="00DE7B41">
      <w:pPr>
        <w:pStyle w:val="a3"/>
        <w:spacing w:before="0" w:beforeAutospacing="0" w:after="0" w:afterAutospacing="0"/>
        <w:ind w:firstLine="720"/>
        <w:divId w:val="955067545"/>
        <w:rPr>
          <w:sz w:val="20"/>
          <w:szCs w:val="20"/>
        </w:rPr>
      </w:pPr>
      <w:r>
        <w:rPr>
          <w:sz w:val="20"/>
          <w:szCs w:val="20"/>
        </w:rPr>
        <w:t xml:space="preserve">Our management’s discussion and analysis of our financial condition and results of operations is based on our financial statements, which have been prepared in accordance with US generally </w:t>
      </w:r>
      <w:r>
        <w:rPr>
          <w:sz w:val="20"/>
          <w:szCs w:val="20"/>
        </w:rPr>
        <w:t>accepted accounting principles (“GAAP”). The preparation of these financial statements requires us to make estimates and assumptions that affect the reported amounts of assets and liabilities and the disclosure of contingent assets and liabilities at the d</w:t>
      </w:r>
      <w:r>
        <w:rPr>
          <w:sz w:val="20"/>
          <w:szCs w:val="20"/>
        </w:rPr>
        <w:t>ate of the financial statements, as well as the reported revenue generated and expenses incurred during the reporting periods. Our estimates are based on our historical experience and on various other factors that we believe are reasonable under the circum</w:t>
      </w:r>
      <w:r>
        <w:rPr>
          <w:sz w:val="20"/>
          <w:szCs w:val="20"/>
        </w:rPr>
        <w:t>stances, the results of which form the basis for making judgments about the carrying value of assets and liabilities, revenue recognition and clinical trial expenses that are not readily apparent from other sources. The full extent to which the COVID-19 pa</w:t>
      </w:r>
      <w:r>
        <w:rPr>
          <w:sz w:val="20"/>
          <w:szCs w:val="20"/>
        </w:rPr>
        <w:t>ndemic will directly or indirectly impact our business, results of operations and financial condition, including these estimates, will depend on future developments that are highly uncertain.</w:t>
      </w:r>
      <w:r>
        <w:rPr>
          <w:rFonts w:ascii="Franklin Gothic Book" w:hAnsi="Franklin Gothic Book"/>
          <w:color w:val="212529"/>
          <w:sz w:val="20"/>
          <w:szCs w:val="20"/>
          <w:shd w:val="clear" w:color="auto" w:fill="FFFFFF"/>
        </w:rPr>
        <w:t xml:space="preserve"> </w:t>
      </w:r>
      <w:r>
        <w:rPr>
          <w:sz w:val="20"/>
          <w:szCs w:val="20"/>
        </w:rPr>
        <w:t>Actual results may differ from these estimates under different a</w:t>
      </w:r>
      <w:r>
        <w:rPr>
          <w:sz w:val="20"/>
          <w:szCs w:val="20"/>
        </w:rPr>
        <w:t>ssumptions or conditions. There have been no material changes to the critical accounting policies and estimates discussed in our Annual Report on Form 10-K for the year ended December 31, 2019.</w:t>
      </w:r>
    </w:p>
    <w:p w:rsidR="00000000" w:rsidRDefault="00DE7B41">
      <w:pPr>
        <w:pStyle w:val="a3"/>
        <w:spacing w:before="0" w:beforeAutospacing="0" w:after="0" w:afterAutospacing="0"/>
        <w:divId w:val="955067545"/>
        <w:rPr>
          <w:sz w:val="20"/>
          <w:szCs w:val="20"/>
        </w:rPr>
      </w:pPr>
      <w:r>
        <w:rPr>
          <w:sz w:val="20"/>
          <w:szCs w:val="20"/>
        </w:rPr>
        <w:t>​</w:t>
      </w:r>
    </w:p>
    <w:p w:rsidR="00000000" w:rsidRDefault="00DE7B41">
      <w:pPr>
        <w:pStyle w:val="a3"/>
        <w:spacing w:before="360" w:beforeAutospacing="0" w:after="0" w:afterAutospacing="0"/>
        <w:jc w:val="center"/>
        <w:divId w:val="1981029803"/>
        <w:rPr>
          <w:sz w:val="20"/>
          <w:szCs w:val="20"/>
        </w:rPr>
      </w:pPr>
      <w:r>
        <w:rPr>
          <w:sz w:val="20"/>
          <w:szCs w:val="20"/>
        </w:rPr>
        <w:t>27</w:t>
      </w:r>
    </w:p>
    <w:p w:rsidR="00000000" w:rsidRDefault="00DE7B41">
      <w:pPr>
        <w:pStyle w:val="a3"/>
        <w:spacing w:before="0" w:beforeAutospacing="0" w:after="600" w:afterAutospacing="0"/>
        <w:divId w:val="615598922"/>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226496906"/>
        <w:rPr>
          <w:sz w:val="20"/>
          <w:szCs w:val="20"/>
        </w:rPr>
      </w:pPr>
      <w:r>
        <w:rPr>
          <w:b/>
          <w:bCs/>
          <w:sz w:val="20"/>
          <w:szCs w:val="20"/>
        </w:rPr>
        <w:t>Results of Op</w:t>
      </w:r>
      <w:r>
        <w:rPr>
          <w:b/>
          <w:bCs/>
          <w:sz w:val="20"/>
          <w:szCs w:val="20"/>
        </w:rPr>
        <w:t>erations</w:t>
      </w:r>
    </w:p>
    <w:p w:rsidR="00000000" w:rsidRDefault="00DE7B41">
      <w:pPr>
        <w:pStyle w:val="a3"/>
        <w:spacing w:before="0" w:beforeAutospacing="0" w:after="0" w:afterAutospacing="0"/>
        <w:divId w:val="226496906"/>
        <w:rPr>
          <w:sz w:val="20"/>
          <w:szCs w:val="20"/>
        </w:rPr>
      </w:pPr>
      <w:r>
        <w:rPr>
          <w:b/>
          <w:bCs/>
          <w:sz w:val="10"/>
          <w:szCs w:val="10"/>
        </w:rPr>
        <w:t>​</w:t>
      </w:r>
    </w:p>
    <w:p w:rsidR="00000000" w:rsidRDefault="00DE7B41">
      <w:pPr>
        <w:pStyle w:val="a3"/>
        <w:spacing w:before="0" w:beforeAutospacing="0" w:after="0" w:afterAutospacing="0"/>
        <w:divId w:val="226496906"/>
        <w:rPr>
          <w:sz w:val="20"/>
          <w:szCs w:val="20"/>
        </w:rPr>
      </w:pPr>
      <w:r>
        <w:rPr>
          <w:b/>
          <w:bCs/>
          <w:i/>
          <w:iCs/>
          <w:sz w:val="20"/>
          <w:szCs w:val="20"/>
        </w:rPr>
        <w:t>Revenue</w:t>
      </w:r>
    </w:p>
    <w:p w:rsidR="00000000" w:rsidRDefault="00DE7B41">
      <w:pPr>
        <w:pStyle w:val="a3"/>
        <w:spacing w:before="0" w:beforeAutospacing="0" w:after="0" w:afterAutospacing="0"/>
        <w:divId w:val="226496906"/>
        <w:rPr>
          <w:sz w:val="20"/>
          <w:szCs w:val="20"/>
        </w:rPr>
      </w:pPr>
      <w:r>
        <w:rPr>
          <w:b/>
          <w:bCs/>
          <w:sz w:val="10"/>
          <w:szCs w:val="10"/>
        </w:rPr>
        <w:t>​</w:t>
      </w:r>
    </w:p>
    <w:p w:rsidR="00000000" w:rsidRDefault="00DE7B41">
      <w:pPr>
        <w:pStyle w:val="a3"/>
        <w:spacing w:before="0" w:beforeAutospacing="0" w:after="0" w:afterAutospacing="0"/>
        <w:ind w:firstLine="720"/>
        <w:divId w:val="226496906"/>
        <w:rPr>
          <w:sz w:val="20"/>
          <w:szCs w:val="20"/>
        </w:rPr>
      </w:pPr>
      <w:r>
        <w:rPr>
          <w:sz w:val="20"/>
          <w:szCs w:val="20"/>
        </w:rPr>
        <w:t>Revenue, as compared to the comparable period in the prior year, was as follows:</w:t>
      </w:r>
    </w:p>
    <w:tbl>
      <w:tblPr>
        <w:tblW w:w="5128" w:type="pct"/>
        <w:tblInd w:w="-1" w:type="dxa"/>
        <w:tblCellMar>
          <w:top w:w="15" w:type="dxa"/>
          <w:left w:w="0" w:type="dxa"/>
          <w:bottom w:w="15" w:type="dxa"/>
          <w:right w:w="0" w:type="dxa"/>
        </w:tblCellMar>
        <w:tblLook w:val="04A0" w:firstRow="1" w:lastRow="0" w:firstColumn="1" w:lastColumn="0" w:noHBand="0" w:noVBand="1"/>
      </w:tblPr>
      <w:tblGrid>
        <w:gridCol w:w="4419"/>
        <w:gridCol w:w="160"/>
        <w:gridCol w:w="205"/>
        <w:gridCol w:w="811"/>
        <w:gridCol w:w="205"/>
        <w:gridCol w:w="205"/>
        <w:gridCol w:w="814"/>
        <w:gridCol w:w="160"/>
        <w:gridCol w:w="100"/>
        <w:gridCol w:w="620"/>
        <w:gridCol w:w="160"/>
        <w:gridCol w:w="393"/>
        <w:gridCol w:w="267"/>
      </w:tblGrid>
      <w:tr w:rsidR="00000000">
        <w:trPr>
          <w:divId w:val="226496906"/>
          <w:trHeight w:val="20"/>
        </w:trPr>
        <w:tc>
          <w:tcPr>
            <w:tcW w:w="2891" w:type="pct"/>
            <w:tcMar>
              <w:top w:w="0" w:type="dxa"/>
              <w:left w:w="0" w:type="dxa"/>
              <w:bottom w:w="0" w:type="dxa"/>
              <w:right w:w="0" w:type="dxa"/>
            </w:tcMar>
            <w:vAlign w:val="bottom"/>
            <w:hideMark/>
          </w:tcPr>
          <w:p w:rsidR="00000000" w:rsidRDefault="00DE7B41">
            <w:pPr>
              <w:pStyle w:val="a3"/>
              <w:spacing w:before="0" w:beforeAutospacing="0" w:after="0" w:afterAutospacing="0"/>
              <w:divId w:val="186563403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3770150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75806269"/>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8500323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177573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46142532"/>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1266103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1966970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37737323"/>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3110925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68344691"/>
              <w:rPr>
                <w:sz w:val="20"/>
                <w:szCs w:val="20"/>
              </w:rPr>
            </w:pPr>
            <w:r>
              <w:rPr>
                <w:sz w:val="2"/>
                <w:szCs w:val="2"/>
              </w:rPr>
              <w:t>​</w:t>
            </w:r>
          </w:p>
        </w:tc>
        <w:tc>
          <w:tcPr>
            <w:tcW w:w="24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39437661"/>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53775817"/>
              <w:rPr>
                <w:sz w:val="20"/>
                <w:szCs w:val="20"/>
              </w:rPr>
            </w:pPr>
            <w:r>
              <w:rPr>
                <w:sz w:val="2"/>
                <w:szCs w:val="2"/>
              </w:rPr>
              <w:t>​</w:t>
            </w:r>
          </w:p>
        </w:tc>
      </w:tr>
      <w:tr w:rsidR="00000000">
        <w:trPr>
          <w:divId w:val="226496906"/>
        </w:trPr>
        <w:tc>
          <w:tcPr>
            <w:tcW w:w="2891"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9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9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4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24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12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226496906"/>
        </w:trPr>
        <w:tc>
          <w:tcPr>
            <w:tcW w:w="2891"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8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74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2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226496906"/>
        </w:trPr>
        <w:tc>
          <w:tcPr>
            <w:tcW w:w="2891"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49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r>
              <w:rPr>
                <w:b/>
                <w:bCs/>
                <w:sz w:val="16"/>
                <w:szCs w:val="16"/>
              </w:rPr>
              <w:t>   </w:t>
            </w:r>
          </w:p>
        </w:tc>
        <w:tc>
          <w:tcPr>
            <w:tcW w:w="24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2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226496906"/>
        </w:trPr>
        <w:tc>
          <w:tcPr>
            <w:tcW w:w="289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Collaboration revenue</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6,63</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5,33</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1,29</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4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w:t>
            </w:r>
            <w:r>
              <w:rPr>
                <w:sz w:val="20"/>
                <w:szCs w:val="20"/>
              </w:rPr>
              <w:t>4</w:t>
            </w:r>
          </w:p>
        </w:tc>
        <w:tc>
          <w:tcPr>
            <w:tcW w:w="12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226496906"/>
        </w:trPr>
        <w:tc>
          <w:tcPr>
            <w:tcW w:w="2891"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Licensing revenue</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1,50</w:t>
            </w:r>
            <w:r>
              <w:rPr>
                <w:sz w:val="20"/>
                <w:szCs w:val="20"/>
              </w:rPr>
              <w:t>0</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1,50</w:t>
            </w:r>
            <w:r>
              <w:rPr>
                <w:sz w:val="20"/>
                <w:szCs w:val="20"/>
              </w:rPr>
              <w:t>0</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44"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NM</w:t>
            </w:r>
          </w:p>
        </w:tc>
        <w:tc>
          <w:tcPr>
            <w:tcW w:w="12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226496906"/>
        </w:trPr>
        <w:tc>
          <w:tcPr>
            <w:tcW w:w="289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Mylan collaboration agreement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11,73</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11,73</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226496906"/>
        </w:trPr>
        <w:tc>
          <w:tcPr>
            <w:tcW w:w="2891" w:type="pct"/>
            <w:tcMar>
              <w:top w:w="0" w:type="dxa"/>
              <w:left w:w="0" w:type="dxa"/>
              <w:bottom w:w="0" w:type="dxa"/>
              <w:right w:w="0" w:type="dxa"/>
            </w:tcMar>
            <w:vAlign w:val="bottom"/>
            <w:hideMark/>
          </w:tcPr>
          <w:p w:rsidR="00000000" w:rsidRDefault="00DE7B41">
            <w:pPr>
              <w:pStyle w:val="a3"/>
              <w:spacing w:before="0" w:beforeAutospacing="0" w:after="0" w:afterAutospacing="0"/>
              <w:ind w:left="120"/>
              <w:rPr>
                <w:sz w:val="20"/>
                <w:szCs w:val="20"/>
              </w:rPr>
            </w:pPr>
            <w:r>
              <w:rPr>
                <w:sz w:val="20"/>
                <w:szCs w:val="20"/>
              </w:rPr>
              <w:t>Total revenue</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19,86</w:t>
            </w:r>
            <w:r>
              <w:rPr>
                <w:sz w:val="20"/>
                <w:szCs w:val="20"/>
              </w:rPr>
              <w:t>2</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5,33</w:t>
            </w:r>
            <w:r>
              <w:rPr>
                <w:sz w:val="20"/>
                <w:szCs w:val="20"/>
              </w:rPr>
              <w:t>8</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14,52</w:t>
            </w:r>
            <w:r>
              <w:rPr>
                <w:sz w:val="20"/>
                <w:szCs w:val="20"/>
              </w:rPr>
              <w:t>4</w:t>
            </w:r>
          </w:p>
        </w:tc>
        <w:tc>
          <w:tcPr>
            <w:tcW w:w="77"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44" w:type="pct"/>
            <w:tcBorders>
              <w:bottom w:val="doub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27</w:t>
            </w:r>
            <w:r>
              <w:rPr>
                <w:sz w:val="20"/>
                <w:szCs w:val="20"/>
              </w:rPr>
              <w:t>2</w:t>
            </w:r>
          </w:p>
        </w:tc>
        <w:tc>
          <w:tcPr>
            <w:tcW w:w="12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divId w:val="226496906"/>
        <w:rPr>
          <w:sz w:val="20"/>
          <w:szCs w:val="20"/>
        </w:rPr>
      </w:pPr>
      <w:r>
        <w:rPr>
          <w:sz w:val="20"/>
          <w:szCs w:val="20"/>
        </w:rPr>
        <w:t>NM: Not Meaningful</w:t>
      </w:r>
    </w:p>
    <w:p w:rsidR="00000000" w:rsidRDefault="00DE7B41">
      <w:pPr>
        <w:pStyle w:val="a3"/>
        <w:spacing w:before="0" w:beforeAutospacing="0" w:after="0" w:afterAutospacing="0"/>
        <w:divId w:val="226496906"/>
        <w:rPr>
          <w:sz w:val="20"/>
          <w:szCs w:val="20"/>
        </w:rPr>
      </w:pPr>
      <w:r>
        <w:rPr>
          <w:sz w:val="20"/>
          <w:szCs w:val="20"/>
        </w:rPr>
        <w:t>​</w:t>
      </w:r>
    </w:p>
    <w:p w:rsidR="00000000" w:rsidRDefault="00DE7B41">
      <w:pPr>
        <w:pStyle w:val="a3"/>
        <w:spacing w:before="0" w:beforeAutospacing="0" w:after="0" w:afterAutospacing="0"/>
        <w:ind w:firstLine="720"/>
        <w:divId w:val="226496906"/>
        <w:rPr>
          <w:sz w:val="20"/>
          <w:szCs w:val="20"/>
        </w:rPr>
      </w:pPr>
      <w:r>
        <w:rPr>
          <w:sz w:val="20"/>
          <w:szCs w:val="20"/>
        </w:rPr>
        <w:t xml:space="preserve">Collaboration revenue increased by $1.3 million for the three months ended March 31, 2020 compared to the same period in 2019. The increase was attributed to a larger portion of recognized revenue related to the $100.0 million upfront </w:t>
      </w:r>
      <w:r>
        <w:rPr>
          <w:sz w:val="20"/>
          <w:szCs w:val="20"/>
        </w:rPr>
        <w:t>payment from the Janssen collaboration agreement that was entered into in February 2018.</w:t>
      </w:r>
    </w:p>
    <w:p w:rsidR="00000000" w:rsidRDefault="00DE7B41">
      <w:pPr>
        <w:pStyle w:val="a3"/>
        <w:spacing w:before="0" w:beforeAutospacing="0" w:after="0" w:afterAutospacing="0"/>
        <w:ind w:firstLine="720"/>
        <w:divId w:val="226496906"/>
        <w:rPr>
          <w:sz w:val="20"/>
          <w:szCs w:val="20"/>
        </w:rPr>
      </w:pPr>
      <w:r>
        <w:rPr>
          <w:sz w:val="20"/>
          <w:szCs w:val="20"/>
        </w:rPr>
        <w:t>​</w:t>
      </w:r>
    </w:p>
    <w:p w:rsidR="00000000" w:rsidRDefault="00DE7B41">
      <w:pPr>
        <w:pStyle w:val="a3"/>
        <w:spacing w:before="0" w:beforeAutospacing="0" w:after="0" w:afterAutospacing="0"/>
        <w:ind w:firstLine="720"/>
        <w:divId w:val="226496906"/>
        <w:rPr>
          <w:sz w:val="20"/>
          <w:szCs w:val="20"/>
        </w:rPr>
      </w:pPr>
      <w:r>
        <w:rPr>
          <w:sz w:val="20"/>
          <w:szCs w:val="20"/>
        </w:rPr>
        <w:t xml:space="preserve">Licensing revenue was $1.5 million for the three months ended March 31, 2020 resulting from the achievement of a </w:t>
      </w:r>
      <w:r>
        <w:rPr>
          <w:sz w:val="20"/>
          <w:szCs w:val="20"/>
          <w:shd w:val="clear" w:color="auto" w:fill="FFFFFF"/>
        </w:rPr>
        <w:t xml:space="preserve">milestone related to the acceptance of a clinical trial application </w:t>
      </w:r>
      <w:r>
        <w:rPr>
          <w:sz w:val="20"/>
          <w:szCs w:val="20"/>
        </w:rPr>
        <w:t>associated with the commercialization and development r</w:t>
      </w:r>
      <w:r>
        <w:rPr>
          <w:sz w:val="20"/>
          <w:szCs w:val="20"/>
          <w:shd w:val="clear" w:color="auto" w:fill="FFFFFF"/>
        </w:rPr>
        <w:t>ights to nebulized r</w:t>
      </w:r>
      <w:r>
        <w:rPr>
          <w:sz w:val="20"/>
          <w:szCs w:val="20"/>
          <w:shd w:val="clear" w:color="auto" w:fill="FFFFFF"/>
        </w:rPr>
        <w:t>evefenacin in China and adjacent territories under the Mylan licensing agreement.</w:t>
      </w:r>
    </w:p>
    <w:p w:rsidR="00000000" w:rsidRDefault="00DE7B41">
      <w:pPr>
        <w:pStyle w:val="a3"/>
        <w:spacing w:before="0" w:beforeAutospacing="0" w:after="0" w:afterAutospacing="0"/>
        <w:ind w:firstLine="720"/>
        <w:divId w:val="226496906"/>
        <w:rPr>
          <w:sz w:val="20"/>
          <w:szCs w:val="20"/>
        </w:rPr>
      </w:pPr>
      <w:r>
        <w:rPr>
          <w:sz w:val="20"/>
          <w:szCs w:val="20"/>
        </w:rPr>
        <w:t>​</w:t>
      </w:r>
    </w:p>
    <w:p w:rsidR="00000000" w:rsidRDefault="00DE7B41">
      <w:pPr>
        <w:pStyle w:val="a3"/>
        <w:spacing w:before="0" w:beforeAutospacing="0" w:after="0" w:afterAutospacing="0"/>
        <w:ind w:firstLine="720"/>
        <w:divId w:val="226496906"/>
        <w:rPr>
          <w:sz w:val="20"/>
          <w:szCs w:val="20"/>
        </w:rPr>
      </w:pPr>
      <w:r>
        <w:rPr>
          <w:sz w:val="20"/>
          <w:szCs w:val="20"/>
        </w:rPr>
        <w:t xml:space="preserve">We are entitled to a share of US profits and losses (65% to Mylan; 35% to Theravance Biopharma) received in connection with commercialization of YUPELRI. </w:t>
      </w:r>
      <w:r>
        <w:rPr>
          <w:sz w:val="20"/>
          <w:szCs w:val="20"/>
          <w:shd w:val="clear" w:color="auto" w:fill="FFFFFF"/>
        </w:rPr>
        <w:t>In accordance with</w:t>
      </w:r>
      <w:r>
        <w:rPr>
          <w:sz w:val="20"/>
          <w:szCs w:val="20"/>
          <w:shd w:val="clear" w:color="auto" w:fill="FFFFFF"/>
        </w:rPr>
        <w:t xml:space="preserve"> the applicable accounting guidance, amounts receivable</w:t>
      </w:r>
      <w:r>
        <w:rPr>
          <w:sz w:val="20"/>
          <w:szCs w:val="20"/>
        </w:rPr>
        <w:t xml:space="preserve"> from Mylan in connection with the commercialization of YUPELRI are recorded within the condensed consolidated statements of operations as revenue from “Mylan collaboration agreement” irrespective of w</w:t>
      </w:r>
      <w:r>
        <w:rPr>
          <w:sz w:val="20"/>
          <w:szCs w:val="20"/>
        </w:rPr>
        <w:t>hether the overall collaboration is profitable. A</w:t>
      </w:r>
      <w:r>
        <w:rPr>
          <w:sz w:val="20"/>
          <w:szCs w:val="20"/>
          <w:shd w:val="clear" w:color="auto" w:fill="FFFFFF"/>
        </w:rPr>
        <w:t>mounts payable to Mylan in connection with the commercialization of YUPELRI are recorded within the condensed consolidated statements of operations as a collaboration loss within selling, general and adminis</w:t>
      </w:r>
      <w:r>
        <w:rPr>
          <w:sz w:val="20"/>
          <w:szCs w:val="20"/>
          <w:shd w:val="clear" w:color="auto" w:fill="FFFFFF"/>
        </w:rPr>
        <w:t>trative expenses. Any reimbursement from Mylan attributed to the 65% cost-sharing of our R&amp;D expenses is characterized as a reduction of R&amp;D expense, as we do not consider performing research and development services for reimbursement to be a part of our o</w:t>
      </w:r>
      <w:r>
        <w:rPr>
          <w:sz w:val="20"/>
          <w:szCs w:val="20"/>
          <w:shd w:val="clear" w:color="auto" w:fill="FFFFFF"/>
        </w:rPr>
        <w:t>rdinary operations.</w:t>
      </w:r>
    </w:p>
    <w:p w:rsidR="00000000" w:rsidRDefault="00DE7B41">
      <w:pPr>
        <w:pStyle w:val="a3"/>
        <w:spacing w:before="0" w:beforeAutospacing="0" w:after="0" w:afterAutospacing="0"/>
        <w:ind w:firstLine="720"/>
        <w:divId w:val="226496906"/>
        <w:rPr>
          <w:sz w:val="20"/>
          <w:szCs w:val="20"/>
        </w:rPr>
      </w:pPr>
      <w:r>
        <w:rPr>
          <w:sz w:val="20"/>
          <w:szCs w:val="20"/>
          <w:shd w:val="clear" w:color="auto" w:fill="FFFFFF"/>
        </w:rPr>
        <w:t>​</w:t>
      </w:r>
    </w:p>
    <w:p w:rsidR="00000000" w:rsidRDefault="00DE7B41">
      <w:pPr>
        <w:pStyle w:val="a3"/>
        <w:spacing w:before="0" w:beforeAutospacing="0" w:after="0" w:afterAutospacing="0"/>
        <w:ind w:firstLine="720"/>
        <w:divId w:val="226496906"/>
        <w:rPr>
          <w:sz w:val="20"/>
          <w:szCs w:val="20"/>
        </w:rPr>
      </w:pPr>
      <w:r>
        <w:rPr>
          <w:sz w:val="20"/>
          <w:szCs w:val="20"/>
          <w:shd w:val="clear" w:color="auto" w:fill="FFFFFF"/>
        </w:rPr>
        <w:t xml:space="preserve">For the three months ended March 31, 2020, we </w:t>
      </w:r>
      <w:r>
        <w:rPr>
          <w:sz w:val="20"/>
          <w:szCs w:val="20"/>
        </w:rPr>
        <w:t xml:space="preserve">recognized $11.7 million in revenue from the Mylan collaboration agreement for YUPELRI which represented the receivables due from Mylan during the period. YUPELRI was formally launched in </w:t>
      </w:r>
      <w:r>
        <w:rPr>
          <w:sz w:val="20"/>
          <w:szCs w:val="20"/>
        </w:rPr>
        <w:t xml:space="preserve">the first quarter of 2019, and we did not recognize any revenue related to YUPELRI during the three months ended March 31, 2019. </w:t>
      </w:r>
    </w:p>
    <w:p w:rsidR="00000000" w:rsidRDefault="00DE7B41">
      <w:pPr>
        <w:pStyle w:val="a3"/>
        <w:spacing w:before="0" w:beforeAutospacing="0" w:after="0" w:afterAutospacing="0"/>
        <w:ind w:firstLine="720"/>
        <w:divId w:val="226496906"/>
        <w:rPr>
          <w:sz w:val="20"/>
          <w:szCs w:val="20"/>
        </w:rPr>
      </w:pPr>
      <w:r>
        <w:rPr>
          <w:sz w:val="20"/>
          <w:szCs w:val="20"/>
          <w:shd w:val="clear" w:color="auto" w:fill="FFFFFF"/>
        </w:rPr>
        <w:t>​</w:t>
      </w:r>
    </w:p>
    <w:p w:rsidR="00000000" w:rsidRDefault="00DE7B41">
      <w:pPr>
        <w:pStyle w:val="a3"/>
        <w:spacing w:before="0" w:beforeAutospacing="0" w:after="0" w:afterAutospacing="0"/>
        <w:divId w:val="226496906"/>
        <w:rPr>
          <w:sz w:val="20"/>
          <w:szCs w:val="20"/>
        </w:rPr>
      </w:pPr>
      <w:r>
        <w:rPr>
          <w:b/>
          <w:bCs/>
          <w:i/>
          <w:iCs/>
          <w:sz w:val="20"/>
          <w:szCs w:val="20"/>
        </w:rPr>
        <w:t>Research and Development</w:t>
      </w:r>
    </w:p>
    <w:p w:rsidR="00000000" w:rsidRDefault="00DE7B41">
      <w:pPr>
        <w:pStyle w:val="a3"/>
        <w:spacing w:before="0" w:beforeAutospacing="0" w:after="0" w:afterAutospacing="0"/>
        <w:divId w:val="226496906"/>
        <w:rPr>
          <w:sz w:val="20"/>
          <w:szCs w:val="20"/>
        </w:rPr>
      </w:pPr>
      <w:r>
        <w:rPr>
          <w:sz w:val="10"/>
          <w:szCs w:val="10"/>
        </w:rPr>
        <w:t>​</w:t>
      </w:r>
    </w:p>
    <w:p w:rsidR="00000000" w:rsidRDefault="00DE7B41">
      <w:pPr>
        <w:pStyle w:val="a3"/>
        <w:spacing w:before="0" w:beforeAutospacing="0" w:after="0" w:afterAutospacing="0"/>
        <w:ind w:firstLine="720"/>
        <w:divId w:val="226496906"/>
        <w:rPr>
          <w:sz w:val="20"/>
          <w:szCs w:val="20"/>
        </w:rPr>
      </w:pPr>
      <w:r>
        <w:rPr>
          <w:sz w:val="20"/>
          <w:szCs w:val="20"/>
        </w:rPr>
        <w:t>Our R&amp;</w:t>
      </w:r>
      <w:r>
        <w:rPr>
          <w:sz w:val="20"/>
          <w:szCs w:val="20"/>
        </w:rPr>
        <w:t>D expenses consist primarily of employee-related costs, external costs, and various allocable expenses. We budget total R&amp;D expenses on an internal department level basis, and we manage and report our R&amp;D activities across the following four cost categorie</w:t>
      </w:r>
      <w:r>
        <w:rPr>
          <w:sz w:val="20"/>
          <w:szCs w:val="20"/>
        </w:rPr>
        <w:t>s:</w:t>
      </w:r>
    </w:p>
    <w:p w:rsidR="00000000" w:rsidRDefault="00DE7B41">
      <w:pPr>
        <w:pStyle w:val="a3"/>
        <w:spacing w:before="0" w:beforeAutospacing="0" w:after="0" w:afterAutospacing="0"/>
        <w:divId w:val="226496906"/>
        <w:rPr>
          <w:sz w:val="20"/>
          <w:szCs w:val="20"/>
        </w:rPr>
      </w:pPr>
      <w:r>
        <w:rPr>
          <w:sz w:val="20"/>
          <w:szCs w:val="20"/>
        </w:rPr>
        <w:t>​</w:t>
      </w:r>
    </w:p>
    <w:p w:rsidR="00000000" w:rsidRDefault="00DE7B41">
      <w:pPr>
        <w:ind w:hanging="360"/>
        <w:divId w:val="1025598731"/>
        <w:rPr>
          <w:rFonts w:eastAsia="Times New Roman"/>
          <w:sz w:val="20"/>
          <w:szCs w:val="20"/>
        </w:rPr>
      </w:pPr>
      <w:r>
        <w:rPr>
          <w:rFonts w:eastAsia="Times New Roman"/>
          <w:sz w:val="20"/>
          <w:szCs w:val="20"/>
        </w:rPr>
        <w:t>1</w:t>
      </w:r>
      <w:r>
        <w:rPr>
          <w:rFonts w:eastAsia="Times New Roman"/>
          <w:sz w:val="20"/>
          <w:szCs w:val="20"/>
        </w:rPr>
        <w:t>)</w:t>
      </w:r>
      <w:r>
        <w:rPr>
          <w:rFonts w:eastAsia="Times New Roman"/>
          <w:sz w:val="20"/>
          <w:szCs w:val="20"/>
        </w:rPr>
        <w:t>Employee-related costs, which include salaries, wages and benefits;</w:t>
      </w:r>
    </w:p>
    <w:p w:rsidR="00000000" w:rsidRDefault="00DE7B41">
      <w:pPr>
        <w:pStyle w:val="a3"/>
        <w:spacing w:before="0" w:beforeAutospacing="0" w:after="0" w:afterAutospacing="0"/>
        <w:ind w:left="720" w:hanging="360"/>
        <w:divId w:val="226496906"/>
        <w:rPr>
          <w:sz w:val="20"/>
          <w:szCs w:val="20"/>
        </w:rPr>
      </w:pPr>
      <w:r>
        <w:rPr>
          <w:sz w:val="20"/>
          <w:szCs w:val="20"/>
        </w:rPr>
        <w:t>​</w:t>
      </w:r>
    </w:p>
    <w:p w:rsidR="00000000" w:rsidRDefault="00DE7B41">
      <w:pPr>
        <w:ind w:hanging="360"/>
        <w:divId w:val="1916085373"/>
        <w:rPr>
          <w:rFonts w:eastAsia="Times New Roman"/>
          <w:sz w:val="20"/>
          <w:szCs w:val="20"/>
        </w:rPr>
      </w:pPr>
      <w:r>
        <w:rPr>
          <w:rFonts w:eastAsia="Times New Roman"/>
          <w:sz w:val="20"/>
          <w:szCs w:val="20"/>
        </w:rPr>
        <w:t>2</w:t>
      </w:r>
      <w:r>
        <w:rPr>
          <w:rFonts w:eastAsia="Times New Roman"/>
          <w:sz w:val="20"/>
          <w:szCs w:val="20"/>
        </w:rPr>
        <w:t>)</w:t>
      </w:r>
      <w:r>
        <w:rPr>
          <w:rFonts w:eastAsia="Times New Roman"/>
          <w:sz w:val="20"/>
          <w:szCs w:val="20"/>
        </w:rPr>
        <w:t>Share-based compensation, which includes expenses associated with our equity plans;</w:t>
      </w:r>
    </w:p>
    <w:p w:rsidR="00000000" w:rsidRDefault="00DE7B41">
      <w:pPr>
        <w:pStyle w:val="a3"/>
        <w:spacing w:before="0" w:beforeAutospacing="0" w:after="0" w:afterAutospacing="0"/>
        <w:ind w:left="720" w:hanging="360"/>
        <w:divId w:val="226496906"/>
        <w:rPr>
          <w:sz w:val="20"/>
          <w:szCs w:val="20"/>
        </w:rPr>
      </w:pPr>
      <w:r>
        <w:rPr>
          <w:sz w:val="20"/>
          <w:szCs w:val="20"/>
        </w:rPr>
        <w:t>​</w:t>
      </w:r>
    </w:p>
    <w:p w:rsidR="00000000" w:rsidRDefault="00DE7B41">
      <w:pPr>
        <w:ind w:hanging="360"/>
        <w:divId w:val="1717972891"/>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External-related costs, which include clinical trial related expenses, other contract res</w:t>
      </w:r>
      <w:r>
        <w:rPr>
          <w:rFonts w:eastAsia="Times New Roman"/>
          <w:sz w:val="20"/>
          <w:szCs w:val="20"/>
        </w:rPr>
        <w:t>earch fees, consulting fees, and contract manufacturing fees; and</w:t>
      </w:r>
    </w:p>
    <w:p w:rsidR="00000000" w:rsidRDefault="00DE7B41">
      <w:pPr>
        <w:pStyle w:val="a3"/>
        <w:spacing w:before="0" w:beforeAutospacing="0" w:after="0" w:afterAutospacing="0"/>
        <w:ind w:left="720" w:hanging="360"/>
        <w:divId w:val="226496906"/>
        <w:rPr>
          <w:sz w:val="20"/>
          <w:szCs w:val="20"/>
        </w:rPr>
      </w:pPr>
      <w:r>
        <w:rPr>
          <w:sz w:val="20"/>
          <w:szCs w:val="20"/>
        </w:rPr>
        <w:t>​</w:t>
      </w:r>
    </w:p>
    <w:p w:rsidR="00000000" w:rsidRDefault="00DE7B41">
      <w:pPr>
        <w:ind w:hanging="360"/>
        <w:divId w:val="1513378705"/>
        <w:rPr>
          <w:rFonts w:eastAsia="Times New Roman"/>
          <w:sz w:val="20"/>
          <w:szCs w:val="20"/>
        </w:rPr>
      </w:pPr>
      <w:r>
        <w:rPr>
          <w:rFonts w:eastAsia="Times New Roman"/>
          <w:sz w:val="20"/>
          <w:szCs w:val="20"/>
        </w:rPr>
        <w:t>4</w:t>
      </w:r>
      <w:r>
        <w:rPr>
          <w:rFonts w:eastAsia="Times New Roman"/>
          <w:sz w:val="20"/>
          <w:szCs w:val="20"/>
        </w:rPr>
        <w:t>)</w:t>
      </w:r>
      <w:r>
        <w:rPr>
          <w:rFonts w:eastAsia="Times New Roman"/>
          <w:sz w:val="20"/>
          <w:szCs w:val="20"/>
        </w:rPr>
        <w:t>Facilities and other, which include laboratory and office supplies, depreciation and other allocated expenses, which include general and administrative support functions, insurance and g</w:t>
      </w:r>
      <w:r>
        <w:rPr>
          <w:rFonts w:eastAsia="Times New Roman"/>
          <w:sz w:val="20"/>
          <w:szCs w:val="20"/>
        </w:rPr>
        <w:t>eneral supplies.</w:t>
      </w:r>
    </w:p>
    <w:p w:rsidR="00000000" w:rsidRDefault="00DE7B41">
      <w:pPr>
        <w:pStyle w:val="a3"/>
        <w:spacing w:before="0" w:beforeAutospacing="0" w:after="0" w:afterAutospacing="0"/>
        <w:divId w:val="226496906"/>
        <w:rPr>
          <w:sz w:val="20"/>
          <w:szCs w:val="20"/>
        </w:rPr>
      </w:pPr>
      <w:r>
        <w:rPr>
          <w:sz w:val="20"/>
          <w:szCs w:val="20"/>
        </w:rPr>
        <w:t>​</w:t>
      </w:r>
    </w:p>
    <w:p w:rsidR="00000000" w:rsidRDefault="00DE7B41">
      <w:pPr>
        <w:pStyle w:val="a3"/>
        <w:spacing w:before="360" w:beforeAutospacing="0" w:after="0" w:afterAutospacing="0"/>
        <w:jc w:val="center"/>
        <w:divId w:val="1831287852"/>
        <w:rPr>
          <w:sz w:val="20"/>
          <w:szCs w:val="20"/>
        </w:rPr>
      </w:pPr>
      <w:r>
        <w:rPr>
          <w:sz w:val="20"/>
          <w:szCs w:val="20"/>
        </w:rPr>
        <w:t>28</w:t>
      </w:r>
    </w:p>
    <w:p w:rsidR="00000000" w:rsidRDefault="00DE7B41">
      <w:pPr>
        <w:pStyle w:val="a3"/>
        <w:spacing w:before="0" w:beforeAutospacing="0" w:after="600" w:afterAutospacing="0"/>
        <w:divId w:val="1510215675"/>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ind w:firstLine="720"/>
        <w:divId w:val="1083836692"/>
        <w:rPr>
          <w:sz w:val="20"/>
          <w:szCs w:val="20"/>
        </w:rPr>
      </w:pPr>
      <w:r>
        <w:rPr>
          <w:sz w:val="20"/>
          <w:szCs w:val="20"/>
        </w:rPr>
        <w:t>The following table summarizes our R&amp;D expenses incurred, net of any reimbursements from collaboration partners, as compared to the prior year comparable period:</w:t>
      </w:r>
    </w:p>
    <w:tbl>
      <w:tblPr>
        <w:tblW w:w="5000" w:type="pct"/>
        <w:tblCellMar>
          <w:top w:w="15" w:type="dxa"/>
          <w:left w:w="0" w:type="dxa"/>
          <w:bottom w:w="15" w:type="dxa"/>
          <w:right w:w="0" w:type="dxa"/>
        </w:tblCellMar>
        <w:tblLook w:val="04A0" w:firstRow="1" w:lastRow="0" w:firstColumn="1" w:lastColumn="0" w:noHBand="0" w:noVBand="1"/>
      </w:tblPr>
      <w:tblGrid>
        <w:gridCol w:w="4205"/>
        <w:gridCol w:w="160"/>
        <w:gridCol w:w="206"/>
        <w:gridCol w:w="811"/>
        <w:gridCol w:w="204"/>
        <w:gridCol w:w="203"/>
        <w:gridCol w:w="816"/>
        <w:gridCol w:w="220"/>
        <w:gridCol w:w="100"/>
        <w:gridCol w:w="620"/>
        <w:gridCol w:w="160"/>
        <w:gridCol w:w="334"/>
        <w:gridCol w:w="267"/>
      </w:tblGrid>
      <w:tr w:rsidR="00000000">
        <w:trPr>
          <w:divId w:val="1083836692"/>
          <w:trHeight w:val="20"/>
        </w:trPr>
        <w:tc>
          <w:tcPr>
            <w:tcW w:w="2881" w:type="pct"/>
            <w:tcMar>
              <w:top w:w="0" w:type="dxa"/>
              <w:left w:w="0" w:type="dxa"/>
              <w:bottom w:w="0" w:type="dxa"/>
              <w:right w:w="0" w:type="dxa"/>
            </w:tcMar>
            <w:vAlign w:val="bottom"/>
            <w:hideMark/>
          </w:tcPr>
          <w:p w:rsidR="00000000" w:rsidRDefault="00DE7B41">
            <w:pPr>
              <w:pStyle w:val="a3"/>
              <w:spacing w:before="0" w:beforeAutospacing="0" w:after="0" w:afterAutospacing="0"/>
              <w:divId w:val="42226131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7381193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20285308"/>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61167328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9102457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81447100"/>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111198251"/>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4918195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124110270"/>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3148541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10311742"/>
              <w:rPr>
                <w:sz w:val="20"/>
                <w:szCs w:val="20"/>
              </w:rPr>
            </w:pPr>
            <w:r>
              <w:rPr>
                <w:sz w:val="2"/>
                <w:szCs w:val="2"/>
              </w:rPr>
              <w:t>​</w:t>
            </w:r>
          </w:p>
        </w:tc>
        <w:tc>
          <w:tcPr>
            <w:tcW w:w="22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44037479"/>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58234458"/>
              <w:rPr>
                <w:sz w:val="20"/>
                <w:szCs w:val="20"/>
              </w:rPr>
            </w:pPr>
            <w:r>
              <w:rPr>
                <w:sz w:val="2"/>
                <w:szCs w:val="2"/>
              </w:rPr>
              <w:t>​</w:t>
            </w:r>
          </w:p>
        </w:tc>
      </w:tr>
      <w:tr w:rsidR="00000000">
        <w:trPr>
          <w:divId w:val="1083836692"/>
        </w:trPr>
        <w:tc>
          <w:tcPr>
            <w:tcW w:w="2881"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3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22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1083836692"/>
        </w:trPr>
        <w:tc>
          <w:tcPr>
            <w:tcW w:w="2881"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10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687"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1083836692"/>
        </w:trPr>
        <w:tc>
          <w:tcPr>
            <w:tcW w:w="2881"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10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    </w:t>
            </w:r>
          </w:p>
        </w:tc>
        <w:tc>
          <w:tcPr>
            <w:tcW w:w="3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2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1083836692"/>
        </w:trPr>
        <w:tc>
          <w:tcPr>
            <w:tcW w:w="288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Employee-related</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16,20</w:t>
            </w: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18,39</w:t>
            </w:r>
            <w:r>
              <w:rPr>
                <w:sz w:val="20"/>
                <w:szCs w:val="20"/>
              </w:rPr>
              <w:t>6</w:t>
            </w:r>
          </w:p>
        </w:tc>
        <w:tc>
          <w:tcPr>
            <w:tcW w:w="10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3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(2,194</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2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(12</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r w:rsidR="00000000">
        <w:trPr>
          <w:divId w:val="1083836692"/>
        </w:trPr>
        <w:tc>
          <w:tcPr>
            <w:tcW w:w="2881"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Share-based compensation</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7,86</w:t>
            </w:r>
            <w:r>
              <w:rPr>
                <w:sz w:val="20"/>
                <w:szCs w:val="20"/>
              </w:rPr>
              <w:t>5</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6,15</w:t>
            </w:r>
            <w:r>
              <w:rPr>
                <w:sz w:val="20"/>
                <w:szCs w:val="20"/>
              </w:rPr>
              <w:t>9</w:t>
            </w:r>
          </w:p>
        </w:tc>
        <w:tc>
          <w:tcPr>
            <w:tcW w:w="10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9"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3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1,70</w:t>
            </w:r>
            <w:r>
              <w:rPr>
                <w:sz w:val="20"/>
                <w:szCs w:val="20"/>
              </w:rPr>
              <w:t>6</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21"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w:t>
            </w:r>
            <w:r>
              <w:rPr>
                <w:sz w:val="20"/>
                <w:szCs w:val="20"/>
              </w:rPr>
              <w:t>8</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1083836692"/>
        </w:trPr>
        <w:tc>
          <w:tcPr>
            <w:tcW w:w="288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External-related</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33,10</w:t>
            </w:r>
            <w:r>
              <w:rPr>
                <w:sz w:val="20"/>
                <w:szCs w:val="20"/>
              </w:rPr>
              <w:t>3</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20,66</w:t>
            </w:r>
            <w:r>
              <w:rPr>
                <w:sz w:val="20"/>
                <w:szCs w:val="20"/>
              </w:rPr>
              <w:t>9</w:t>
            </w:r>
          </w:p>
        </w:tc>
        <w:tc>
          <w:tcPr>
            <w:tcW w:w="10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3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12,43</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2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1083836692"/>
        </w:trPr>
        <w:tc>
          <w:tcPr>
            <w:tcW w:w="2881"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Facilities, depreciation and other allocated expenses</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2"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8,84</w:t>
            </w:r>
            <w:r>
              <w:rPr>
                <w:sz w:val="20"/>
                <w:szCs w:val="20"/>
              </w:rPr>
              <w:t>3</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3"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8,59</w:t>
            </w:r>
            <w:r>
              <w:rPr>
                <w:sz w:val="20"/>
                <w:szCs w:val="20"/>
              </w:rPr>
              <w:t>4</w:t>
            </w:r>
          </w:p>
        </w:tc>
        <w:tc>
          <w:tcPr>
            <w:tcW w:w="10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36"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24</w:t>
            </w:r>
            <w:r>
              <w:rPr>
                <w:sz w:val="20"/>
                <w:szCs w:val="20"/>
              </w:rPr>
              <w:t>9</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21" w:type="pct"/>
            <w:tcBorders>
              <w:bottom w:val="single" w:sz="6" w:space="0" w:color="000000"/>
            </w:tcBorders>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3</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r>
      <w:tr w:rsidR="00000000">
        <w:trPr>
          <w:divId w:val="1083836692"/>
        </w:trPr>
        <w:tc>
          <w:tcPr>
            <w:tcW w:w="2881"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ind w:left="120"/>
              <w:rPr>
                <w:sz w:val="20"/>
                <w:szCs w:val="20"/>
              </w:rPr>
            </w:pPr>
            <w:r>
              <w:rPr>
                <w:sz w:val="20"/>
                <w:szCs w:val="20"/>
              </w:rPr>
              <w:t>Total research &amp; development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66,01</w:t>
            </w:r>
            <w:r>
              <w:rPr>
                <w:sz w:val="20"/>
                <w:szCs w:val="20"/>
              </w:rPr>
              <w:t>3</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53,81</w:t>
            </w:r>
            <w:r>
              <w:rPr>
                <w:sz w:val="20"/>
                <w:szCs w:val="20"/>
              </w:rPr>
              <w:t>8</w:t>
            </w:r>
          </w:p>
        </w:tc>
        <w:tc>
          <w:tcPr>
            <w:tcW w:w="10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12,19</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w:t>
            </w:r>
            <w:r>
              <w:rPr>
                <w:sz w:val="20"/>
                <w:szCs w:val="20"/>
              </w:rPr>
              <w:t>3</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divId w:val="1083836692"/>
        <w:rPr>
          <w:sz w:val="20"/>
          <w:szCs w:val="20"/>
        </w:rPr>
      </w:pPr>
      <w:r>
        <w:rPr>
          <w:sz w:val="20"/>
          <w:szCs w:val="20"/>
        </w:rPr>
        <w:t>​</w:t>
      </w:r>
    </w:p>
    <w:p w:rsidR="00000000" w:rsidRDefault="00DE7B41">
      <w:pPr>
        <w:pStyle w:val="a3"/>
        <w:spacing w:before="0" w:beforeAutospacing="0" w:after="0" w:afterAutospacing="0"/>
        <w:ind w:firstLine="720"/>
        <w:divId w:val="1083836692"/>
        <w:rPr>
          <w:sz w:val="20"/>
          <w:szCs w:val="20"/>
        </w:rPr>
      </w:pPr>
      <w:r>
        <w:rPr>
          <w:sz w:val="20"/>
          <w:szCs w:val="20"/>
        </w:rPr>
        <w:t>R&amp;</w:t>
      </w:r>
      <w:r>
        <w:rPr>
          <w:sz w:val="20"/>
          <w:szCs w:val="20"/>
        </w:rPr>
        <w:t>D expenses increased by $12.2 million for the three months ended March 31, 2020 compared to same period in 2019. The increase was primarily attributed to a $12.4 million increase in external-related expenses and a $1.7 million increase in share-based compe</w:t>
      </w:r>
      <w:r>
        <w:rPr>
          <w:sz w:val="20"/>
          <w:szCs w:val="20"/>
        </w:rPr>
        <w:t xml:space="preserve">nsation expense. The increase in external-related expenses was primarily due to the advancement of our priority programs, notably TD-1473, ampreloxetine, and TD-8236. The increase in share-based compensation expense was primarily due an increase in annual </w:t>
      </w:r>
      <w:r>
        <w:rPr>
          <w:sz w:val="20"/>
          <w:szCs w:val="20"/>
        </w:rPr>
        <w:t>grants of share-based awards to employees.</w:t>
      </w:r>
    </w:p>
    <w:p w:rsidR="00000000" w:rsidRDefault="00DE7B41">
      <w:pPr>
        <w:pStyle w:val="a3"/>
        <w:spacing w:before="0" w:beforeAutospacing="0" w:after="0" w:afterAutospacing="0"/>
        <w:ind w:firstLine="720"/>
        <w:divId w:val="1083836692"/>
        <w:rPr>
          <w:sz w:val="20"/>
          <w:szCs w:val="20"/>
        </w:rPr>
      </w:pPr>
      <w:r>
        <w:rPr>
          <w:sz w:val="20"/>
          <w:szCs w:val="20"/>
        </w:rPr>
        <w:t>​</w:t>
      </w:r>
    </w:p>
    <w:p w:rsidR="00000000" w:rsidRDefault="00DE7B41">
      <w:pPr>
        <w:pStyle w:val="a3"/>
        <w:spacing w:before="0" w:beforeAutospacing="0" w:after="0" w:afterAutospacing="0"/>
        <w:ind w:firstLine="720"/>
        <w:divId w:val="1083836692"/>
        <w:rPr>
          <w:sz w:val="20"/>
          <w:szCs w:val="20"/>
        </w:rPr>
      </w:pPr>
      <w:r>
        <w:rPr>
          <w:sz w:val="20"/>
          <w:szCs w:val="20"/>
        </w:rPr>
        <w:t>The increases above were partially offset by a $2.2 million decrease in employee-related expenses. The decrease in employee-related expenses was primarily attributed to lower payroll and other costs resulting from our workforce reduction in the first quart</w:t>
      </w:r>
      <w:r>
        <w:rPr>
          <w:sz w:val="20"/>
          <w:szCs w:val="20"/>
        </w:rPr>
        <w:t>er of 2019.</w:t>
      </w:r>
    </w:p>
    <w:p w:rsidR="00000000" w:rsidRDefault="00DE7B41">
      <w:pPr>
        <w:pStyle w:val="a3"/>
        <w:spacing w:before="0" w:beforeAutospacing="0" w:after="0" w:afterAutospacing="0"/>
        <w:divId w:val="1083836692"/>
        <w:rPr>
          <w:sz w:val="20"/>
          <w:szCs w:val="20"/>
        </w:rPr>
      </w:pPr>
      <w:r>
        <w:rPr>
          <w:sz w:val="20"/>
          <w:szCs w:val="20"/>
        </w:rPr>
        <w:t>​</w:t>
      </w:r>
    </w:p>
    <w:p w:rsidR="00000000" w:rsidRDefault="00DE7B41">
      <w:pPr>
        <w:pStyle w:val="a3"/>
        <w:spacing w:before="0" w:beforeAutospacing="0" w:after="0" w:afterAutospacing="0"/>
        <w:ind w:firstLine="720"/>
        <w:divId w:val="1083836692"/>
        <w:rPr>
          <w:sz w:val="20"/>
          <w:szCs w:val="20"/>
        </w:rPr>
      </w:pPr>
      <w:r>
        <w:rPr>
          <w:sz w:val="20"/>
          <w:szCs w:val="20"/>
        </w:rPr>
        <w:t>Under certain of our collaborative arrangements, we receive partial reimbursement of employee-related costs and external costs, which have been reflected as a reduction of R&amp;D expenses of $2.5 million and $1.6 million for three months ended M</w:t>
      </w:r>
      <w:r>
        <w:rPr>
          <w:sz w:val="20"/>
          <w:szCs w:val="20"/>
        </w:rPr>
        <w:t xml:space="preserve">arch 31, 2020 and 2019, respectively. </w:t>
      </w:r>
    </w:p>
    <w:p w:rsidR="00000000" w:rsidRDefault="00DE7B41">
      <w:pPr>
        <w:pStyle w:val="a3"/>
        <w:spacing w:before="0" w:beforeAutospacing="0" w:after="0" w:afterAutospacing="0"/>
        <w:ind w:firstLine="720"/>
        <w:divId w:val="1083836692"/>
        <w:rPr>
          <w:sz w:val="20"/>
          <w:szCs w:val="20"/>
        </w:rPr>
      </w:pPr>
      <w:r>
        <w:rPr>
          <w:sz w:val="20"/>
          <w:szCs w:val="20"/>
        </w:rPr>
        <w:t>​</w:t>
      </w:r>
    </w:p>
    <w:p w:rsidR="00000000" w:rsidRDefault="00DE7B41">
      <w:pPr>
        <w:pStyle w:val="a3"/>
        <w:spacing w:before="0" w:beforeAutospacing="0" w:after="0" w:afterAutospacing="0"/>
        <w:ind w:firstLine="720"/>
        <w:divId w:val="1083836692"/>
        <w:rPr>
          <w:sz w:val="20"/>
          <w:szCs w:val="20"/>
        </w:rPr>
      </w:pPr>
      <w:r>
        <w:rPr>
          <w:sz w:val="20"/>
          <w:szCs w:val="20"/>
        </w:rPr>
        <w:t>We anticipate our future R&amp;D expenses will increase from the current levels over the next 12 months due primarily to the progression of our priority programs and the advancement of our research programs into the cli</w:t>
      </w:r>
      <w:r>
        <w:rPr>
          <w:sz w:val="20"/>
          <w:szCs w:val="20"/>
        </w:rPr>
        <w:t>nic.</w:t>
      </w:r>
    </w:p>
    <w:p w:rsidR="00000000" w:rsidRDefault="00DE7B41">
      <w:pPr>
        <w:pStyle w:val="a3"/>
        <w:spacing w:before="0" w:beforeAutospacing="0" w:after="0" w:afterAutospacing="0"/>
        <w:ind w:firstLine="720"/>
        <w:divId w:val="1083836692"/>
        <w:rPr>
          <w:sz w:val="20"/>
          <w:szCs w:val="20"/>
        </w:rPr>
      </w:pPr>
      <w:r>
        <w:rPr>
          <w:sz w:val="20"/>
          <w:szCs w:val="20"/>
        </w:rPr>
        <w:t>​</w:t>
      </w:r>
    </w:p>
    <w:p w:rsidR="00000000" w:rsidRDefault="00DE7B41">
      <w:pPr>
        <w:pStyle w:val="a3"/>
        <w:spacing w:before="0" w:beforeAutospacing="0" w:after="0" w:afterAutospacing="0"/>
        <w:divId w:val="1083836692"/>
        <w:rPr>
          <w:sz w:val="20"/>
          <w:szCs w:val="20"/>
        </w:rPr>
      </w:pPr>
      <w:r>
        <w:rPr>
          <w:b/>
          <w:bCs/>
          <w:i/>
          <w:iCs/>
          <w:sz w:val="20"/>
          <w:szCs w:val="20"/>
        </w:rPr>
        <w:t>Selling, General and Administrative Expenses</w:t>
      </w:r>
    </w:p>
    <w:p w:rsidR="00000000" w:rsidRDefault="00DE7B41">
      <w:pPr>
        <w:pStyle w:val="a3"/>
        <w:spacing w:before="0" w:beforeAutospacing="0" w:after="0" w:afterAutospacing="0"/>
        <w:divId w:val="1083836692"/>
        <w:rPr>
          <w:sz w:val="20"/>
          <w:szCs w:val="20"/>
        </w:rPr>
      </w:pPr>
      <w:r>
        <w:rPr>
          <w:sz w:val="10"/>
          <w:szCs w:val="10"/>
        </w:rPr>
        <w:t>​</w:t>
      </w:r>
    </w:p>
    <w:p w:rsidR="00000000" w:rsidRDefault="00DE7B41">
      <w:pPr>
        <w:pStyle w:val="a3"/>
        <w:spacing w:before="0" w:beforeAutospacing="0" w:after="0" w:afterAutospacing="0"/>
        <w:ind w:firstLine="720"/>
        <w:divId w:val="1083836692"/>
        <w:rPr>
          <w:sz w:val="20"/>
          <w:szCs w:val="20"/>
        </w:rPr>
      </w:pPr>
      <w:r>
        <w:rPr>
          <w:sz w:val="20"/>
          <w:szCs w:val="20"/>
        </w:rPr>
        <w:t>Selling, general and administrative expenses, as compared to the comparable period in the prior year, were as follows:</w:t>
      </w:r>
    </w:p>
    <w:tbl>
      <w:tblPr>
        <w:tblW w:w="5000" w:type="pct"/>
        <w:tblCellMar>
          <w:top w:w="15" w:type="dxa"/>
          <w:left w:w="0" w:type="dxa"/>
          <w:bottom w:w="15" w:type="dxa"/>
          <w:right w:w="0" w:type="dxa"/>
        </w:tblCellMar>
        <w:tblLook w:val="04A0" w:firstRow="1" w:lastRow="0" w:firstColumn="1" w:lastColumn="0" w:noHBand="0" w:noVBand="1"/>
      </w:tblPr>
      <w:tblGrid>
        <w:gridCol w:w="4529"/>
        <w:gridCol w:w="160"/>
        <w:gridCol w:w="206"/>
        <w:gridCol w:w="811"/>
        <w:gridCol w:w="204"/>
        <w:gridCol w:w="203"/>
        <w:gridCol w:w="816"/>
        <w:gridCol w:w="160"/>
        <w:gridCol w:w="100"/>
        <w:gridCol w:w="520"/>
        <w:gridCol w:w="160"/>
        <w:gridCol w:w="170"/>
        <w:gridCol w:w="267"/>
      </w:tblGrid>
      <w:tr w:rsidR="00000000">
        <w:trPr>
          <w:divId w:val="1083836692"/>
          <w:trHeight w:val="20"/>
        </w:trPr>
        <w:tc>
          <w:tcPr>
            <w:tcW w:w="2887" w:type="pct"/>
            <w:tcMar>
              <w:top w:w="0" w:type="dxa"/>
              <w:left w:w="0" w:type="dxa"/>
              <w:bottom w:w="0" w:type="dxa"/>
              <w:right w:w="0" w:type="dxa"/>
            </w:tcMar>
            <w:vAlign w:val="bottom"/>
            <w:hideMark/>
          </w:tcPr>
          <w:p w:rsidR="00000000" w:rsidRDefault="00DE7B41">
            <w:pPr>
              <w:pStyle w:val="a3"/>
              <w:spacing w:before="0" w:beforeAutospacing="0" w:after="0" w:afterAutospacing="0"/>
              <w:divId w:val="1142010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6179714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338652878"/>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7301297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516629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98709482"/>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91181387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3909241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26523304"/>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5278287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93511631"/>
              <w:rPr>
                <w:sz w:val="20"/>
                <w:szCs w:val="20"/>
              </w:rPr>
            </w:pPr>
            <w:r>
              <w:rPr>
                <w:sz w:val="2"/>
                <w:szCs w:val="2"/>
              </w:rPr>
              <w:t>​</w:t>
            </w:r>
          </w:p>
        </w:tc>
        <w:tc>
          <w:tcPr>
            <w:tcW w:w="23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93293544"/>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22986778"/>
              <w:rPr>
                <w:sz w:val="20"/>
                <w:szCs w:val="20"/>
              </w:rPr>
            </w:pPr>
            <w:r>
              <w:rPr>
                <w:sz w:val="2"/>
                <w:szCs w:val="2"/>
              </w:rPr>
              <w:t>​</w:t>
            </w:r>
          </w:p>
        </w:tc>
      </w:tr>
      <w:tr w:rsidR="00000000">
        <w:trPr>
          <w:divId w:val="1083836692"/>
        </w:trPr>
        <w:tc>
          <w:tcPr>
            <w:tcW w:w="28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4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23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1083836692"/>
        </w:trPr>
        <w:tc>
          <w:tcPr>
            <w:tcW w:w="28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10"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1083836692"/>
        </w:trPr>
        <w:tc>
          <w:tcPr>
            <w:tcW w:w="2887"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39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3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1083836692"/>
        </w:trPr>
        <w:tc>
          <w:tcPr>
            <w:tcW w:w="28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Selling, general and administrative</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26,32</w:t>
            </w:r>
            <w:r>
              <w:rPr>
                <w:sz w:val="20"/>
                <w:szCs w:val="20"/>
              </w:rPr>
              <w:t>5</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25,18</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1,13</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5</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ind w:firstLine="720"/>
        <w:divId w:val="1083836692"/>
        <w:rPr>
          <w:sz w:val="20"/>
          <w:szCs w:val="20"/>
        </w:rPr>
      </w:pPr>
      <w:r>
        <w:rPr>
          <w:sz w:val="20"/>
          <w:szCs w:val="20"/>
        </w:rPr>
        <w:t>​</w:t>
      </w:r>
    </w:p>
    <w:p w:rsidR="00000000" w:rsidRDefault="00DE7B41">
      <w:pPr>
        <w:pStyle w:val="a3"/>
        <w:spacing w:before="0" w:beforeAutospacing="0" w:after="0" w:afterAutospacing="0"/>
        <w:ind w:firstLine="720"/>
        <w:divId w:val="1083836692"/>
        <w:rPr>
          <w:sz w:val="20"/>
          <w:szCs w:val="20"/>
        </w:rPr>
      </w:pPr>
      <w:r>
        <w:rPr>
          <w:sz w:val="20"/>
          <w:szCs w:val="20"/>
        </w:rPr>
        <w:t>Selling, general and administrative expenses increased by $1.1 million for the three months ended March 31, 2020 compared to the same period in 2019. The increase was primarily attributed to a $1.4 million increase in share-based compensation expense, a $0</w:t>
      </w:r>
      <w:r>
        <w:rPr>
          <w:sz w:val="20"/>
          <w:szCs w:val="20"/>
        </w:rPr>
        <w:t>.8 million increase in employee-related expenses, and a $0.6 million increase in external-related expenses. The increase in share-based compensation expense was primarily due to an increase in annual grants of share-based awards to employees, and the incre</w:t>
      </w:r>
      <w:r>
        <w:rPr>
          <w:sz w:val="20"/>
          <w:szCs w:val="20"/>
        </w:rPr>
        <w:t>ases in employee-related expenses and external-related expenses were primarily due to additional expenses incurred in support of YUPELRI.</w:t>
      </w:r>
    </w:p>
    <w:p w:rsidR="00000000" w:rsidRDefault="00DE7B41">
      <w:pPr>
        <w:pStyle w:val="a3"/>
        <w:spacing w:before="0" w:beforeAutospacing="0" w:after="0" w:afterAutospacing="0"/>
        <w:divId w:val="1083836692"/>
        <w:rPr>
          <w:sz w:val="20"/>
          <w:szCs w:val="20"/>
        </w:rPr>
      </w:pPr>
      <w:r>
        <w:rPr>
          <w:sz w:val="20"/>
          <w:szCs w:val="20"/>
        </w:rPr>
        <w:t>​</w:t>
      </w:r>
    </w:p>
    <w:p w:rsidR="00000000" w:rsidRDefault="00DE7B41">
      <w:pPr>
        <w:pStyle w:val="a3"/>
        <w:spacing w:before="0" w:beforeAutospacing="0" w:after="0" w:afterAutospacing="0"/>
        <w:ind w:firstLine="720"/>
        <w:divId w:val="1083836692"/>
        <w:rPr>
          <w:sz w:val="20"/>
          <w:szCs w:val="20"/>
        </w:rPr>
      </w:pPr>
      <w:r>
        <w:rPr>
          <w:sz w:val="20"/>
          <w:szCs w:val="20"/>
        </w:rPr>
        <w:t>These increases above were partially offset by a $1.4 million decrease related to collaboration expenses payable to Mylan in connection with the commercialization of YUPELRI which was formally launched in the first quarter of 2019.</w:t>
      </w:r>
    </w:p>
    <w:p w:rsidR="00000000" w:rsidRDefault="00DE7B41">
      <w:pPr>
        <w:pStyle w:val="a3"/>
        <w:spacing w:before="0" w:beforeAutospacing="0" w:after="0" w:afterAutospacing="0"/>
        <w:divId w:val="1083836692"/>
        <w:rPr>
          <w:sz w:val="20"/>
          <w:szCs w:val="20"/>
        </w:rPr>
      </w:pPr>
      <w:r>
        <w:rPr>
          <w:sz w:val="20"/>
          <w:szCs w:val="20"/>
        </w:rPr>
        <w:t>​</w:t>
      </w:r>
    </w:p>
    <w:p w:rsidR="00000000" w:rsidRDefault="00DE7B41">
      <w:pPr>
        <w:pStyle w:val="a3"/>
        <w:spacing w:before="0" w:beforeAutospacing="0" w:after="0" w:afterAutospacing="0"/>
        <w:divId w:val="1083836692"/>
        <w:rPr>
          <w:sz w:val="20"/>
          <w:szCs w:val="20"/>
        </w:rPr>
      </w:pPr>
      <w:r>
        <w:rPr>
          <w:b/>
          <w:bCs/>
          <w:i/>
          <w:iCs/>
          <w:sz w:val="20"/>
          <w:szCs w:val="20"/>
        </w:rPr>
        <w:t>Income from Investment</w:t>
      </w:r>
      <w:r>
        <w:rPr>
          <w:b/>
          <w:bCs/>
          <w:i/>
          <w:iCs/>
          <w:sz w:val="20"/>
          <w:szCs w:val="20"/>
        </w:rPr>
        <w:t xml:space="preserve"> in TRC, LLC</w:t>
      </w:r>
    </w:p>
    <w:p w:rsidR="00000000" w:rsidRDefault="00DE7B41">
      <w:pPr>
        <w:pStyle w:val="a3"/>
        <w:spacing w:before="0" w:beforeAutospacing="0" w:after="0" w:afterAutospacing="0"/>
        <w:divId w:val="1083836692"/>
        <w:rPr>
          <w:sz w:val="20"/>
          <w:szCs w:val="20"/>
        </w:rPr>
      </w:pPr>
      <w:r>
        <w:rPr>
          <w:sz w:val="12"/>
          <w:szCs w:val="12"/>
        </w:rPr>
        <w:t>​</w:t>
      </w:r>
    </w:p>
    <w:p w:rsidR="00000000" w:rsidRDefault="00DE7B41">
      <w:pPr>
        <w:pStyle w:val="a3"/>
        <w:spacing w:before="0" w:beforeAutospacing="0" w:after="0" w:afterAutospacing="0"/>
        <w:ind w:firstLine="720"/>
        <w:divId w:val="1083836692"/>
        <w:rPr>
          <w:sz w:val="20"/>
          <w:szCs w:val="20"/>
        </w:rPr>
      </w:pPr>
      <w:r>
        <w:rPr>
          <w:sz w:val="20"/>
          <w:szCs w:val="20"/>
        </w:rPr>
        <w:t>Income from investment in TRC, as compared to the comparable period in the prior year, was as follows:</w:t>
      </w:r>
    </w:p>
    <w:tbl>
      <w:tblPr>
        <w:tblW w:w="5000" w:type="pct"/>
        <w:tblCellMar>
          <w:top w:w="15" w:type="dxa"/>
          <w:left w:w="0" w:type="dxa"/>
          <w:bottom w:w="15" w:type="dxa"/>
          <w:right w:w="0" w:type="dxa"/>
        </w:tblCellMar>
        <w:tblLook w:val="04A0" w:firstRow="1" w:lastRow="0" w:firstColumn="1" w:lastColumn="0" w:noHBand="0" w:noVBand="1"/>
      </w:tblPr>
      <w:tblGrid>
        <w:gridCol w:w="4329"/>
        <w:gridCol w:w="160"/>
        <w:gridCol w:w="206"/>
        <w:gridCol w:w="811"/>
        <w:gridCol w:w="204"/>
        <w:gridCol w:w="203"/>
        <w:gridCol w:w="816"/>
        <w:gridCol w:w="160"/>
        <w:gridCol w:w="100"/>
        <w:gridCol w:w="520"/>
        <w:gridCol w:w="160"/>
        <w:gridCol w:w="370"/>
        <w:gridCol w:w="267"/>
      </w:tblGrid>
      <w:tr w:rsidR="00000000">
        <w:trPr>
          <w:divId w:val="1083836692"/>
          <w:trHeight w:val="20"/>
        </w:trPr>
        <w:tc>
          <w:tcPr>
            <w:tcW w:w="2887" w:type="pct"/>
            <w:tcMar>
              <w:top w:w="0" w:type="dxa"/>
              <w:left w:w="0" w:type="dxa"/>
              <w:bottom w:w="0" w:type="dxa"/>
              <w:right w:w="0" w:type="dxa"/>
            </w:tcMar>
            <w:vAlign w:val="bottom"/>
            <w:hideMark/>
          </w:tcPr>
          <w:p w:rsidR="00000000" w:rsidRDefault="00DE7B41">
            <w:pPr>
              <w:pStyle w:val="a3"/>
              <w:spacing w:before="0" w:beforeAutospacing="0" w:after="0" w:afterAutospacing="0"/>
              <w:divId w:val="86509869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6437555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78786190"/>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2421042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1524456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51160988"/>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99067124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07887897"/>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93731834"/>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280955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91253516"/>
              <w:rPr>
                <w:sz w:val="20"/>
                <w:szCs w:val="20"/>
              </w:rPr>
            </w:pPr>
            <w:r>
              <w:rPr>
                <w:sz w:val="2"/>
                <w:szCs w:val="2"/>
              </w:rPr>
              <w:t>​</w:t>
            </w:r>
          </w:p>
        </w:tc>
        <w:tc>
          <w:tcPr>
            <w:tcW w:w="23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84691318"/>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21772041"/>
              <w:rPr>
                <w:sz w:val="20"/>
                <w:szCs w:val="20"/>
              </w:rPr>
            </w:pPr>
            <w:r>
              <w:rPr>
                <w:sz w:val="2"/>
                <w:szCs w:val="2"/>
              </w:rPr>
              <w:t>​</w:t>
            </w:r>
          </w:p>
        </w:tc>
      </w:tr>
      <w:tr w:rsidR="00000000">
        <w:trPr>
          <w:divId w:val="1083836692"/>
        </w:trPr>
        <w:tc>
          <w:tcPr>
            <w:tcW w:w="28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4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23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1083836692"/>
        </w:trPr>
        <w:tc>
          <w:tcPr>
            <w:tcW w:w="28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10"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1083836692"/>
        </w:trPr>
        <w:tc>
          <w:tcPr>
            <w:tcW w:w="2887"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sz w:val="16"/>
                <w:szCs w:val="16"/>
              </w:rPr>
              <w:t>    </w:t>
            </w:r>
          </w:p>
        </w:tc>
        <w:tc>
          <w:tcPr>
            <w:tcW w:w="39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3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1083836692"/>
        </w:trPr>
        <w:tc>
          <w:tcPr>
            <w:tcW w:w="28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Income from investment in TRC, LLC</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13,51</w:t>
            </w:r>
            <w:r>
              <w:rPr>
                <w:sz w:val="20"/>
                <w:szCs w:val="20"/>
              </w:rPr>
              <w:t>5</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6,22</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7,28</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11</w:t>
            </w:r>
            <w:r>
              <w:rPr>
                <w:sz w:val="20"/>
                <w:szCs w:val="20"/>
              </w:rPr>
              <w:t>7</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360" w:beforeAutospacing="0" w:after="0" w:afterAutospacing="0"/>
        <w:jc w:val="center"/>
        <w:divId w:val="1109541800"/>
        <w:rPr>
          <w:sz w:val="20"/>
          <w:szCs w:val="20"/>
        </w:rPr>
      </w:pPr>
      <w:r>
        <w:rPr>
          <w:sz w:val="20"/>
          <w:szCs w:val="20"/>
        </w:rPr>
        <w:t>29</w:t>
      </w:r>
    </w:p>
    <w:p w:rsidR="00000000" w:rsidRDefault="00DE7B41">
      <w:pPr>
        <w:pStyle w:val="a3"/>
        <w:spacing w:before="0" w:beforeAutospacing="0" w:after="600" w:afterAutospacing="0"/>
        <w:divId w:val="551386431"/>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ind w:firstLine="720"/>
        <w:divId w:val="2097827256"/>
        <w:rPr>
          <w:sz w:val="20"/>
          <w:szCs w:val="20"/>
        </w:rPr>
      </w:pPr>
      <w:r>
        <w:rPr>
          <w:sz w:val="20"/>
          <w:szCs w:val="20"/>
        </w:rPr>
        <w:t>​</w:t>
      </w:r>
    </w:p>
    <w:p w:rsidR="00000000" w:rsidRDefault="00DE7B41">
      <w:pPr>
        <w:pStyle w:val="a3"/>
        <w:spacing w:before="0" w:beforeAutospacing="0" w:after="0" w:afterAutospacing="0"/>
        <w:divId w:val="2097827256"/>
        <w:rPr>
          <w:sz w:val="20"/>
          <w:szCs w:val="20"/>
        </w:rPr>
      </w:pPr>
      <w:r>
        <w:rPr>
          <w:sz w:val="20"/>
          <w:szCs w:val="20"/>
        </w:rPr>
        <w:t>The income from investment in TRC, LLC represents our share of the royalty payments from GSK to TRC on the net sales of TRELEGY ELLIPTA (net of our share of TRC expenses paid and the amount of cash, if any, expected to be used by TRC pursuant to the TRC LL</w:t>
      </w:r>
      <w:r>
        <w:rPr>
          <w:sz w:val="20"/>
          <w:szCs w:val="20"/>
        </w:rPr>
        <w:t>C Agreement over the next four fiscal quarters). Income from investment in TRC increased by $7.3 million for the three months ended March 31, 2020 compared to the same period in 2019 and was primarily attributed to sales growth of TRELEGY ELLIPTA.</w:t>
      </w:r>
    </w:p>
    <w:p w:rsidR="00000000" w:rsidRDefault="00DE7B41">
      <w:pPr>
        <w:pStyle w:val="a3"/>
        <w:spacing w:before="0" w:beforeAutospacing="0" w:after="0" w:afterAutospacing="0"/>
        <w:divId w:val="2097827256"/>
        <w:rPr>
          <w:sz w:val="20"/>
          <w:szCs w:val="20"/>
        </w:rPr>
      </w:pPr>
      <w:r>
        <w:rPr>
          <w:color w:val="FF0000"/>
          <w:sz w:val="20"/>
          <w:szCs w:val="20"/>
        </w:rPr>
        <w:t>​</w:t>
      </w:r>
    </w:p>
    <w:p w:rsidR="00000000" w:rsidRDefault="00DE7B41">
      <w:pPr>
        <w:pStyle w:val="a3"/>
        <w:spacing w:before="0" w:beforeAutospacing="0" w:after="0" w:afterAutospacing="0"/>
        <w:ind w:firstLine="720"/>
        <w:divId w:val="2097827256"/>
        <w:rPr>
          <w:sz w:val="20"/>
          <w:szCs w:val="20"/>
        </w:rPr>
      </w:pPr>
      <w:r>
        <w:rPr>
          <w:sz w:val="20"/>
          <w:szCs w:val="20"/>
        </w:rPr>
        <w:t>In con</w:t>
      </w:r>
      <w:r>
        <w:rPr>
          <w:sz w:val="20"/>
          <w:szCs w:val="20"/>
        </w:rPr>
        <w:t>nection with the issuance of our $380.0 million net principal amount Non-Recourse 2035 Notes in February 2020, 75% of the income from our investment in TRC is available only for payment of the Non-Recourse 2035 Notes and is not available to pay other credi</w:t>
      </w:r>
      <w:r>
        <w:rPr>
          <w:sz w:val="20"/>
          <w:szCs w:val="20"/>
        </w:rPr>
        <w:t xml:space="preserve">tor obligations or claims. </w:t>
      </w:r>
    </w:p>
    <w:p w:rsidR="00000000" w:rsidRDefault="00DE7B41">
      <w:pPr>
        <w:pStyle w:val="a3"/>
        <w:spacing w:before="0" w:beforeAutospacing="0" w:after="0" w:afterAutospacing="0"/>
        <w:divId w:val="2097827256"/>
        <w:rPr>
          <w:sz w:val="20"/>
          <w:szCs w:val="20"/>
        </w:rPr>
      </w:pPr>
      <w:r>
        <w:rPr>
          <w:color w:val="FF0000"/>
          <w:sz w:val="20"/>
          <w:szCs w:val="20"/>
        </w:rPr>
        <w:t>​</w:t>
      </w:r>
    </w:p>
    <w:p w:rsidR="00000000" w:rsidRDefault="00DE7B41">
      <w:pPr>
        <w:pStyle w:val="a3"/>
        <w:spacing w:before="0" w:beforeAutospacing="0" w:after="0" w:afterAutospacing="0"/>
        <w:divId w:val="2097827256"/>
        <w:rPr>
          <w:sz w:val="20"/>
          <w:szCs w:val="20"/>
        </w:rPr>
      </w:pPr>
      <w:r>
        <w:rPr>
          <w:b/>
          <w:bCs/>
          <w:i/>
          <w:iCs/>
          <w:sz w:val="20"/>
          <w:szCs w:val="20"/>
        </w:rPr>
        <w:t>Interest Expense</w:t>
      </w:r>
    </w:p>
    <w:p w:rsidR="00000000" w:rsidRDefault="00DE7B41">
      <w:pPr>
        <w:pStyle w:val="a3"/>
        <w:spacing w:before="0" w:beforeAutospacing="0" w:after="0" w:afterAutospacing="0"/>
        <w:divId w:val="2097827256"/>
        <w:rPr>
          <w:sz w:val="20"/>
          <w:szCs w:val="20"/>
        </w:rPr>
      </w:pPr>
      <w:r>
        <w:rPr>
          <w:sz w:val="10"/>
          <w:szCs w:val="10"/>
        </w:rPr>
        <w:t>​</w:t>
      </w:r>
    </w:p>
    <w:p w:rsidR="00000000" w:rsidRDefault="00DE7B41">
      <w:pPr>
        <w:pStyle w:val="a3"/>
        <w:spacing w:before="0" w:beforeAutospacing="0" w:after="0" w:afterAutospacing="0"/>
        <w:ind w:firstLine="720"/>
        <w:divId w:val="2097827256"/>
        <w:rPr>
          <w:sz w:val="20"/>
          <w:szCs w:val="20"/>
        </w:rPr>
      </w:pPr>
      <w:r>
        <w:rPr>
          <w:sz w:val="20"/>
          <w:szCs w:val="20"/>
        </w:rPr>
        <w:t>Interest expense primarily consisted of interest payments due on the Convertible Senior 2023 Notes, the retired Non-Recourse 2033 Notes, and the recently issued Non-Recourse 2035 Notes, as well as, the amort</w:t>
      </w:r>
      <w:r>
        <w:rPr>
          <w:sz w:val="20"/>
          <w:szCs w:val="20"/>
        </w:rPr>
        <w:t>ization of the associated debt issuance costs. Interest expense, as compared to the comparable period in the prior year, was as follows:</w:t>
      </w:r>
    </w:p>
    <w:tbl>
      <w:tblPr>
        <w:tblW w:w="5000" w:type="pct"/>
        <w:tblCellMar>
          <w:top w:w="15" w:type="dxa"/>
          <w:left w:w="0" w:type="dxa"/>
          <w:bottom w:w="15" w:type="dxa"/>
          <w:right w:w="0" w:type="dxa"/>
        </w:tblCellMar>
        <w:tblLook w:val="04A0" w:firstRow="1" w:lastRow="0" w:firstColumn="1" w:lastColumn="0" w:noHBand="0" w:noVBand="1"/>
      </w:tblPr>
      <w:tblGrid>
        <w:gridCol w:w="4325"/>
        <w:gridCol w:w="200"/>
        <w:gridCol w:w="206"/>
        <w:gridCol w:w="811"/>
        <w:gridCol w:w="204"/>
        <w:gridCol w:w="203"/>
        <w:gridCol w:w="816"/>
        <w:gridCol w:w="160"/>
        <w:gridCol w:w="100"/>
        <w:gridCol w:w="584"/>
        <w:gridCol w:w="160"/>
        <w:gridCol w:w="270"/>
        <w:gridCol w:w="267"/>
      </w:tblGrid>
      <w:tr w:rsidR="00000000">
        <w:trPr>
          <w:divId w:val="2097827256"/>
          <w:trHeight w:val="20"/>
        </w:trPr>
        <w:tc>
          <w:tcPr>
            <w:tcW w:w="2882" w:type="pct"/>
            <w:tcMar>
              <w:top w:w="0" w:type="dxa"/>
              <w:left w:w="0" w:type="dxa"/>
              <w:bottom w:w="0" w:type="dxa"/>
              <w:right w:w="0" w:type="dxa"/>
            </w:tcMar>
            <w:vAlign w:val="bottom"/>
            <w:hideMark/>
          </w:tcPr>
          <w:p w:rsidR="00000000" w:rsidRDefault="00DE7B41">
            <w:pPr>
              <w:pStyle w:val="a3"/>
              <w:spacing w:before="0" w:beforeAutospacing="0" w:after="0" w:afterAutospacing="0"/>
              <w:divId w:val="42187325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3496173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555578876"/>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10575789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96392195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63607191"/>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46478328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60981826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30308426"/>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56171349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861971151"/>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2594732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77358983"/>
              <w:rPr>
                <w:sz w:val="20"/>
                <w:szCs w:val="20"/>
              </w:rPr>
            </w:pPr>
            <w:r>
              <w:rPr>
                <w:sz w:val="2"/>
                <w:szCs w:val="2"/>
              </w:rPr>
              <w:t>​</w:t>
            </w:r>
          </w:p>
        </w:tc>
      </w:tr>
      <w:tr w:rsidR="00000000">
        <w:trPr>
          <w:divId w:val="2097827256"/>
        </w:trPr>
        <w:tc>
          <w:tcPr>
            <w:tcW w:w="288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3"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5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3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22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2097827256"/>
        </w:trPr>
        <w:tc>
          <w:tcPr>
            <w:tcW w:w="2882"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69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2097827256"/>
        </w:trPr>
        <w:tc>
          <w:tcPr>
            <w:tcW w:w="2882"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2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2097827256"/>
        </w:trPr>
        <w:tc>
          <w:tcPr>
            <w:tcW w:w="2882"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(9,941</w:t>
            </w: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(7,858</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(2,083</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w:t>
            </w:r>
            <w:r>
              <w:rPr>
                <w:sz w:val="20"/>
                <w:szCs w:val="20"/>
              </w:rPr>
              <w:t>7</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divId w:val="2097827256"/>
        <w:rPr>
          <w:sz w:val="20"/>
          <w:szCs w:val="20"/>
        </w:rPr>
      </w:pPr>
      <w:r>
        <w:rPr>
          <w:color w:val="FF0000"/>
          <w:sz w:val="20"/>
          <w:szCs w:val="20"/>
        </w:rPr>
        <w:t>​</w:t>
      </w:r>
    </w:p>
    <w:p w:rsidR="00000000" w:rsidRDefault="00DE7B41">
      <w:pPr>
        <w:pStyle w:val="a3"/>
        <w:spacing w:before="0" w:beforeAutospacing="0" w:after="0" w:afterAutospacing="0"/>
        <w:ind w:firstLine="720"/>
        <w:divId w:val="2097827256"/>
        <w:rPr>
          <w:sz w:val="20"/>
          <w:szCs w:val="20"/>
        </w:rPr>
      </w:pPr>
      <w:r>
        <w:rPr>
          <w:sz w:val="20"/>
          <w:szCs w:val="20"/>
        </w:rPr>
        <w:t>Interest expense increased by $2.1 million for the three months ended March 31, 2020 compared to the same period in 2019. The increase was attributed to additional interest expense related to the issuance of the Non-Recourse 2035 Notes in February 2020. Th</w:t>
      </w:r>
      <w:r>
        <w:rPr>
          <w:sz w:val="20"/>
          <w:szCs w:val="20"/>
        </w:rPr>
        <w:t>e Non-Recourse 2035 Notes have a net principal amount of $380.0 million and an interest rate of 9.5% compared to the retired Non-Recourse 2033 Notes which had an original net principal amount of $237.5 million and an interest rate of 9.0%.</w:t>
      </w:r>
    </w:p>
    <w:p w:rsidR="00000000" w:rsidRDefault="00DE7B41">
      <w:pPr>
        <w:pStyle w:val="a3"/>
        <w:spacing w:before="0" w:beforeAutospacing="0" w:after="0" w:afterAutospacing="0"/>
        <w:divId w:val="2097827256"/>
        <w:rPr>
          <w:sz w:val="20"/>
          <w:szCs w:val="20"/>
        </w:rPr>
      </w:pPr>
      <w:r>
        <w:rPr>
          <w:sz w:val="20"/>
          <w:szCs w:val="20"/>
        </w:rPr>
        <w:t>​</w:t>
      </w:r>
    </w:p>
    <w:p w:rsidR="00000000" w:rsidRDefault="00DE7B41">
      <w:pPr>
        <w:pStyle w:val="a3"/>
        <w:spacing w:before="0" w:beforeAutospacing="0" w:after="0" w:afterAutospacing="0"/>
        <w:divId w:val="2097827256"/>
        <w:rPr>
          <w:sz w:val="20"/>
          <w:szCs w:val="20"/>
        </w:rPr>
      </w:pPr>
      <w:r>
        <w:rPr>
          <w:b/>
          <w:bCs/>
          <w:i/>
          <w:iCs/>
          <w:sz w:val="20"/>
          <w:szCs w:val="20"/>
        </w:rPr>
        <w:t>Loss on Extinguishment of Debt</w:t>
      </w:r>
    </w:p>
    <w:p w:rsidR="00000000" w:rsidRDefault="00DE7B41">
      <w:pPr>
        <w:pStyle w:val="a3"/>
        <w:spacing w:before="0" w:beforeAutospacing="0" w:after="0" w:afterAutospacing="0"/>
        <w:divId w:val="2097827256"/>
        <w:rPr>
          <w:sz w:val="20"/>
          <w:szCs w:val="20"/>
        </w:rPr>
      </w:pPr>
      <w:r>
        <w:rPr>
          <w:i/>
          <w:iCs/>
          <w:sz w:val="10"/>
          <w:szCs w:val="10"/>
        </w:rPr>
        <w:t>​</w:t>
      </w:r>
    </w:p>
    <w:p w:rsidR="00000000" w:rsidRDefault="00DE7B41">
      <w:pPr>
        <w:pStyle w:val="a3"/>
        <w:spacing w:before="0" w:beforeAutospacing="0" w:after="0" w:afterAutospacing="0"/>
        <w:ind w:firstLine="720"/>
        <w:divId w:val="2097827256"/>
        <w:rPr>
          <w:sz w:val="20"/>
          <w:szCs w:val="20"/>
        </w:rPr>
      </w:pPr>
      <w:r>
        <w:rPr>
          <w:sz w:val="20"/>
          <w:szCs w:val="20"/>
        </w:rPr>
        <w:t>Loss on extinguishment of debt as compared to the comparable period in the prior year, was as follows:</w:t>
      </w:r>
    </w:p>
    <w:tbl>
      <w:tblPr>
        <w:tblW w:w="5000" w:type="pct"/>
        <w:tblCellMar>
          <w:top w:w="15" w:type="dxa"/>
          <w:left w:w="0" w:type="dxa"/>
          <w:bottom w:w="15" w:type="dxa"/>
          <w:right w:w="0" w:type="dxa"/>
        </w:tblCellMar>
        <w:tblLook w:val="04A0" w:firstRow="1" w:lastRow="0" w:firstColumn="1" w:lastColumn="0" w:noHBand="0" w:noVBand="1"/>
      </w:tblPr>
      <w:tblGrid>
        <w:gridCol w:w="4112"/>
        <w:gridCol w:w="200"/>
        <w:gridCol w:w="206"/>
        <w:gridCol w:w="811"/>
        <w:gridCol w:w="206"/>
        <w:gridCol w:w="203"/>
        <w:gridCol w:w="814"/>
        <w:gridCol w:w="160"/>
        <w:gridCol w:w="100"/>
        <w:gridCol w:w="684"/>
        <w:gridCol w:w="160"/>
        <w:gridCol w:w="383"/>
        <w:gridCol w:w="267"/>
      </w:tblGrid>
      <w:tr w:rsidR="00000000">
        <w:trPr>
          <w:divId w:val="2097827256"/>
          <w:trHeight w:val="20"/>
        </w:trPr>
        <w:tc>
          <w:tcPr>
            <w:tcW w:w="2878" w:type="pct"/>
            <w:tcMar>
              <w:top w:w="0" w:type="dxa"/>
              <w:left w:w="0" w:type="dxa"/>
              <w:bottom w:w="0" w:type="dxa"/>
              <w:right w:w="0" w:type="dxa"/>
            </w:tcMar>
            <w:vAlign w:val="bottom"/>
            <w:hideMark/>
          </w:tcPr>
          <w:p w:rsidR="00000000" w:rsidRDefault="00DE7B41">
            <w:pPr>
              <w:pStyle w:val="a3"/>
              <w:spacing w:before="0" w:beforeAutospacing="0" w:after="0" w:afterAutospacing="0"/>
              <w:divId w:val="29788200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9421891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130542278"/>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5398454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5156422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5620150"/>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7874625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2211740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923147643"/>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21493013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51104314"/>
              <w:rPr>
                <w:sz w:val="20"/>
                <w:szCs w:val="20"/>
              </w:rPr>
            </w:pPr>
            <w:r>
              <w:rPr>
                <w:sz w:val="2"/>
                <w:szCs w:val="2"/>
              </w:rPr>
              <w:t>​</w:t>
            </w:r>
          </w:p>
        </w:tc>
        <w:tc>
          <w:tcPr>
            <w:tcW w:w="205"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4381256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26525658"/>
              <w:rPr>
                <w:sz w:val="20"/>
                <w:szCs w:val="20"/>
              </w:rPr>
            </w:pPr>
            <w:r>
              <w:rPr>
                <w:sz w:val="2"/>
                <w:szCs w:val="2"/>
              </w:rPr>
              <w:t>​</w:t>
            </w:r>
          </w:p>
        </w:tc>
      </w:tr>
      <w:tr w:rsidR="00000000">
        <w:trPr>
          <w:divId w:val="2097827256"/>
        </w:trPr>
        <w:tc>
          <w:tcPr>
            <w:tcW w:w="2878"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5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6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205"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2097827256"/>
        </w:trPr>
        <w:tc>
          <w:tcPr>
            <w:tcW w:w="2878"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69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2097827256"/>
        </w:trPr>
        <w:tc>
          <w:tcPr>
            <w:tcW w:w="2878"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1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0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2097827256"/>
        </w:trPr>
        <w:tc>
          <w:tcPr>
            <w:tcW w:w="287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Loss on extinguishment of debt</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(15,464</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(15,464</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05"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divId w:val="2097827256"/>
        <w:rPr>
          <w:sz w:val="20"/>
          <w:szCs w:val="20"/>
        </w:rPr>
      </w:pPr>
      <w:r>
        <w:rPr>
          <w:sz w:val="20"/>
          <w:szCs w:val="20"/>
        </w:rPr>
        <w:t>NM: Not Meaningful</w:t>
      </w:r>
    </w:p>
    <w:p w:rsidR="00000000" w:rsidRDefault="00DE7B41">
      <w:pPr>
        <w:pStyle w:val="a3"/>
        <w:spacing w:before="0" w:beforeAutospacing="0" w:after="0" w:afterAutospacing="0"/>
        <w:divId w:val="2097827256"/>
        <w:rPr>
          <w:sz w:val="20"/>
          <w:szCs w:val="20"/>
        </w:rPr>
      </w:pPr>
      <w:r>
        <w:rPr>
          <w:sz w:val="20"/>
          <w:szCs w:val="20"/>
        </w:rPr>
        <w:t>​</w:t>
      </w:r>
    </w:p>
    <w:p w:rsidR="00000000" w:rsidRDefault="00DE7B41">
      <w:pPr>
        <w:pStyle w:val="a3"/>
        <w:spacing w:before="0" w:beforeAutospacing="0" w:after="0" w:afterAutospacing="0"/>
        <w:ind w:firstLine="720"/>
        <w:divId w:val="2097827256"/>
        <w:rPr>
          <w:sz w:val="20"/>
          <w:szCs w:val="20"/>
        </w:rPr>
      </w:pPr>
      <w:r>
        <w:rPr>
          <w:sz w:val="20"/>
          <w:szCs w:val="20"/>
        </w:rPr>
        <w:t>The $15.5 million loss on extinguishment of debt is related to the issuance of the Non-Recourse 2035 Notes in February 2020. A portion of the proceeds from the Non-Recourse 2035 Notes were used to repay the outstanding balance of the Non-Recourse 2033 Note</w:t>
      </w:r>
      <w:r>
        <w:rPr>
          <w:sz w:val="20"/>
          <w:szCs w:val="20"/>
        </w:rPr>
        <w:t>s that were issued in November 2018. The $15.5 million loss was comprised of a redemption premium related to the early repayment of the Non-Recourse 2033 Notes and the write-off of the previously deferred debt issuance costs related to the portion of the N</w:t>
      </w:r>
      <w:r>
        <w:rPr>
          <w:sz w:val="20"/>
          <w:szCs w:val="20"/>
        </w:rPr>
        <w:t>on-Recourse 2033 Notes that was considered extinguished.</w:t>
      </w:r>
    </w:p>
    <w:p w:rsidR="00000000" w:rsidRDefault="00DE7B41">
      <w:pPr>
        <w:pStyle w:val="a3"/>
        <w:spacing w:before="0" w:beforeAutospacing="0" w:after="0" w:afterAutospacing="0"/>
        <w:ind w:firstLine="720"/>
        <w:divId w:val="2097827256"/>
        <w:rPr>
          <w:sz w:val="20"/>
          <w:szCs w:val="20"/>
        </w:rPr>
      </w:pPr>
      <w:r>
        <w:rPr>
          <w:sz w:val="20"/>
          <w:szCs w:val="20"/>
        </w:rPr>
        <w:t>​</w:t>
      </w:r>
    </w:p>
    <w:p w:rsidR="00000000" w:rsidRDefault="00DE7B41">
      <w:pPr>
        <w:pStyle w:val="a3"/>
        <w:spacing w:before="0" w:beforeAutospacing="0" w:after="0" w:afterAutospacing="0"/>
        <w:divId w:val="2097827256"/>
        <w:rPr>
          <w:sz w:val="20"/>
          <w:szCs w:val="20"/>
        </w:rPr>
      </w:pPr>
      <w:r>
        <w:rPr>
          <w:b/>
          <w:bCs/>
          <w:i/>
          <w:iCs/>
          <w:sz w:val="20"/>
          <w:szCs w:val="20"/>
        </w:rPr>
        <w:t>Interest and Other Income, net</w:t>
      </w:r>
    </w:p>
    <w:p w:rsidR="00000000" w:rsidRDefault="00DE7B41">
      <w:pPr>
        <w:pStyle w:val="a3"/>
        <w:spacing w:before="0" w:beforeAutospacing="0" w:after="0" w:afterAutospacing="0"/>
        <w:divId w:val="2097827256"/>
        <w:rPr>
          <w:sz w:val="20"/>
          <w:szCs w:val="20"/>
        </w:rPr>
      </w:pPr>
      <w:r>
        <w:rPr>
          <w:i/>
          <w:iCs/>
          <w:sz w:val="10"/>
          <w:szCs w:val="10"/>
        </w:rPr>
        <w:t>​</w:t>
      </w:r>
    </w:p>
    <w:p w:rsidR="00000000" w:rsidRDefault="00DE7B41">
      <w:pPr>
        <w:pStyle w:val="a3"/>
        <w:spacing w:before="0" w:beforeAutospacing="0" w:after="0" w:afterAutospacing="0"/>
        <w:ind w:firstLine="720"/>
        <w:divId w:val="2097827256"/>
        <w:rPr>
          <w:sz w:val="20"/>
          <w:szCs w:val="20"/>
        </w:rPr>
      </w:pPr>
      <w:r>
        <w:rPr>
          <w:sz w:val="20"/>
          <w:szCs w:val="20"/>
        </w:rPr>
        <w:t>Interest and other income, net, as compared to the comparable period in the prior year, was as follows:</w:t>
      </w:r>
    </w:p>
    <w:tbl>
      <w:tblPr>
        <w:tblW w:w="5062" w:type="pct"/>
        <w:tblCellMar>
          <w:top w:w="15" w:type="dxa"/>
          <w:left w:w="0" w:type="dxa"/>
          <w:bottom w:w="15" w:type="dxa"/>
          <w:right w:w="0" w:type="dxa"/>
        </w:tblCellMar>
        <w:tblLook w:val="04A0" w:firstRow="1" w:lastRow="0" w:firstColumn="1" w:lastColumn="0" w:noHBand="0" w:noVBand="1"/>
      </w:tblPr>
      <w:tblGrid>
        <w:gridCol w:w="4364"/>
        <w:gridCol w:w="200"/>
        <w:gridCol w:w="207"/>
        <w:gridCol w:w="811"/>
        <w:gridCol w:w="202"/>
        <w:gridCol w:w="202"/>
        <w:gridCol w:w="818"/>
        <w:gridCol w:w="160"/>
        <w:gridCol w:w="100"/>
        <w:gridCol w:w="584"/>
        <w:gridCol w:w="160"/>
        <w:gridCol w:w="334"/>
        <w:gridCol w:w="267"/>
      </w:tblGrid>
      <w:tr w:rsidR="00000000">
        <w:trPr>
          <w:divId w:val="2097827256"/>
          <w:trHeight w:val="20"/>
        </w:trPr>
        <w:tc>
          <w:tcPr>
            <w:tcW w:w="2884" w:type="pct"/>
            <w:tcMar>
              <w:top w:w="0" w:type="dxa"/>
              <w:left w:w="0" w:type="dxa"/>
              <w:bottom w:w="0" w:type="dxa"/>
              <w:right w:w="0" w:type="dxa"/>
            </w:tcMar>
            <w:vAlign w:val="bottom"/>
            <w:hideMark/>
          </w:tcPr>
          <w:p w:rsidR="00000000" w:rsidRDefault="00DE7B41">
            <w:pPr>
              <w:pStyle w:val="a3"/>
              <w:spacing w:before="0" w:beforeAutospacing="0" w:after="0" w:afterAutospacing="0"/>
              <w:divId w:val="1590692599"/>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8588322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41223853"/>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88914880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3442964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668410622"/>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30365685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59275593"/>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9375635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2324006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53389686"/>
              <w:rPr>
                <w:sz w:val="20"/>
                <w:szCs w:val="20"/>
              </w:rPr>
            </w:pPr>
            <w:r>
              <w:rPr>
                <w:sz w:val="2"/>
                <w:szCs w:val="2"/>
              </w:rPr>
              <w:t>​</w:t>
            </w:r>
          </w:p>
        </w:tc>
        <w:tc>
          <w:tcPr>
            <w:tcW w:w="2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85744253"/>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311013619"/>
              <w:rPr>
                <w:sz w:val="20"/>
                <w:szCs w:val="20"/>
              </w:rPr>
            </w:pPr>
            <w:r>
              <w:rPr>
                <w:sz w:val="2"/>
                <w:szCs w:val="2"/>
              </w:rPr>
              <w:t>​</w:t>
            </w:r>
          </w:p>
        </w:tc>
      </w:tr>
      <w:tr w:rsidR="00000000">
        <w:trPr>
          <w:divId w:val="2097827256"/>
        </w:trPr>
        <w:tc>
          <w:tcPr>
            <w:tcW w:w="288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39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5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4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2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13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2097827256"/>
        </w:trPr>
        <w:tc>
          <w:tcPr>
            <w:tcW w:w="2884"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9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1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2097827256"/>
        </w:trPr>
        <w:tc>
          <w:tcPr>
            <w:tcW w:w="2884"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97"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    </w:t>
            </w:r>
          </w:p>
        </w:tc>
        <w:tc>
          <w:tcPr>
            <w:tcW w:w="4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9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4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8"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3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2097827256"/>
        </w:trPr>
        <w:tc>
          <w:tcPr>
            <w:tcW w:w="2884"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Interest and other income, net</w:t>
            </w:r>
          </w:p>
        </w:tc>
        <w:tc>
          <w:tcPr>
            <w:tcW w:w="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1,46</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2,79</w:t>
            </w:r>
            <w:r>
              <w:rPr>
                <w:sz w:val="20"/>
                <w:szCs w:val="20"/>
              </w:rPr>
              <w:t>5</w:t>
            </w:r>
          </w:p>
        </w:tc>
        <w:tc>
          <w:tcPr>
            <w:tcW w:w="7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(1,335</w:t>
            </w: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(48</w:t>
            </w: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divId w:val="2097827256"/>
        <w:rPr>
          <w:sz w:val="20"/>
          <w:szCs w:val="20"/>
        </w:rPr>
      </w:pPr>
      <w:r>
        <w:rPr>
          <w:sz w:val="20"/>
          <w:szCs w:val="20"/>
        </w:rPr>
        <w:t>​</w:t>
      </w:r>
    </w:p>
    <w:p w:rsidR="00000000" w:rsidRDefault="00DE7B41">
      <w:pPr>
        <w:pStyle w:val="a3"/>
        <w:spacing w:before="0" w:beforeAutospacing="0" w:after="0" w:afterAutospacing="0"/>
        <w:ind w:firstLine="720"/>
        <w:divId w:val="2097827256"/>
        <w:rPr>
          <w:sz w:val="20"/>
          <w:szCs w:val="20"/>
        </w:rPr>
      </w:pPr>
      <w:r>
        <w:rPr>
          <w:sz w:val="20"/>
          <w:szCs w:val="20"/>
        </w:rPr>
        <w:t>Interest and other income decreased by $1.3 million for the three months ended March 31, 2020 compared to the same period in 2019. The decrease was primarily attributed to the additional interest income earned in the first quarter of 2019 resulting from hi</w:t>
      </w:r>
      <w:r>
        <w:rPr>
          <w:sz w:val="20"/>
          <w:szCs w:val="20"/>
        </w:rPr>
        <w:t xml:space="preserve">gher investment balances following the issuance of the Non-Recourse 2033 Notes in November 2018. </w:t>
      </w:r>
    </w:p>
    <w:p w:rsidR="00000000" w:rsidRDefault="00DE7B41">
      <w:pPr>
        <w:pStyle w:val="a3"/>
        <w:spacing w:before="0" w:beforeAutospacing="0" w:after="0" w:afterAutospacing="0"/>
        <w:divId w:val="2097827256"/>
        <w:rPr>
          <w:sz w:val="20"/>
          <w:szCs w:val="20"/>
        </w:rPr>
      </w:pPr>
      <w:r>
        <w:rPr>
          <w:sz w:val="20"/>
          <w:szCs w:val="20"/>
        </w:rPr>
        <w:t>​</w:t>
      </w:r>
    </w:p>
    <w:p w:rsidR="00000000" w:rsidRDefault="00DE7B41">
      <w:pPr>
        <w:pStyle w:val="a3"/>
        <w:spacing w:before="360" w:beforeAutospacing="0" w:after="0" w:afterAutospacing="0"/>
        <w:jc w:val="center"/>
        <w:divId w:val="510337068"/>
        <w:rPr>
          <w:sz w:val="20"/>
          <w:szCs w:val="20"/>
        </w:rPr>
      </w:pPr>
      <w:r>
        <w:rPr>
          <w:sz w:val="20"/>
          <w:szCs w:val="20"/>
        </w:rPr>
        <w:t>30</w:t>
      </w:r>
    </w:p>
    <w:p w:rsidR="00000000" w:rsidRDefault="00DE7B41">
      <w:pPr>
        <w:pStyle w:val="a3"/>
        <w:spacing w:before="0" w:beforeAutospacing="0" w:after="600" w:afterAutospacing="0"/>
        <w:divId w:val="1197694857"/>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2116165625"/>
        <w:rPr>
          <w:sz w:val="20"/>
          <w:szCs w:val="20"/>
        </w:rPr>
      </w:pPr>
      <w:r>
        <w:rPr>
          <w:b/>
          <w:bCs/>
          <w:i/>
          <w:iCs/>
          <w:sz w:val="20"/>
          <w:szCs w:val="20"/>
        </w:rPr>
        <w:t>Provision for Income Tax</w:t>
      </w:r>
    </w:p>
    <w:p w:rsidR="00000000" w:rsidRDefault="00DE7B41">
      <w:pPr>
        <w:pStyle w:val="a3"/>
        <w:spacing w:before="0" w:beforeAutospacing="0" w:after="0" w:afterAutospacing="0"/>
        <w:divId w:val="2116165625"/>
        <w:rPr>
          <w:sz w:val="20"/>
          <w:szCs w:val="20"/>
        </w:rPr>
      </w:pPr>
      <w:r>
        <w:rPr>
          <w:sz w:val="10"/>
          <w:szCs w:val="10"/>
        </w:rPr>
        <w:t>​</w:t>
      </w:r>
    </w:p>
    <w:p w:rsidR="00000000" w:rsidRDefault="00DE7B41">
      <w:pPr>
        <w:pStyle w:val="a3"/>
        <w:spacing w:before="0" w:beforeAutospacing="0" w:after="0" w:afterAutospacing="0"/>
        <w:ind w:firstLine="720"/>
        <w:divId w:val="2116165625"/>
        <w:rPr>
          <w:sz w:val="20"/>
          <w:szCs w:val="20"/>
        </w:rPr>
      </w:pPr>
      <w:r>
        <w:rPr>
          <w:sz w:val="20"/>
          <w:szCs w:val="20"/>
        </w:rPr>
        <w:t>The provision for income tax, as compared to the comparable period in the prior year, was as follows:</w:t>
      </w:r>
    </w:p>
    <w:tbl>
      <w:tblPr>
        <w:tblW w:w="5000" w:type="pct"/>
        <w:tblCellMar>
          <w:top w:w="15" w:type="dxa"/>
          <w:left w:w="0" w:type="dxa"/>
          <w:bottom w:w="15" w:type="dxa"/>
          <w:right w:w="0" w:type="dxa"/>
        </w:tblCellMar>
        <w:tblLook w:val="04A0" w:firstRow="1" w:lastRow="0" w:firstColumn="1" w:lastColumn="0" w:noHBand="0" w:noVBand="1"/>
      </w:tblPr>
      <w:tblGrid>
        <w:gridCol w:w="4589"/>
        <w:gridCol w:w="160"/>
        <w:gridCol w:w="206"/>
        <w:gridCol w:w="811"/>
        <w:gridCol w:w="206"/>
        <w:gridCol w:w="203"/>
        <w:gridCol w:w="814"/>
        <w:gridCol w:w="160"/>
        <w:gridCol w:w="100"/>
        <w:gridCol w:w="360"/>
        <w:gridCol w:w="160"/>
        <w:gridCol w:w="270"/>
        <w:gridCol w:w="267"/>
      </w:tblGrid>
      <w:tr w:rsidR="00000000">
        <w:trPr>
          <w:divId w:val="2116165625"/>
          <w:trHeight w:val="20"/>
        </w:trPr>
        <w:tc>
          <w:tcPr>
            <w:tcW w:w="2887" w:type="pct"/>
            <w:tcMar>
              <w:top w:w="0" w:type="dxa"/>
              <w:left w:w="0" w:type="dxa"/>
              <w:bottom w:w="0" w:type="dxa"/>
              <w:right w:w="0" w:type="dxa"/>
            </w:tcMar>
            <w:vAlign w:val="bottom"/>
            <w:hideMark/>
          </w:tcPr>
          <w:p w:rsidR="00000000" w:rsidRDefault="00DE7B41">
            <w:pPr>
              <w:pStyle w:val="a3"/>
              <w:spacing w:before="0" w:beforeAutospacing="0" w:after="0" w:afterAutospacing="0"/>
              <w:divId w:val="82185393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798468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189828531"/>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6018853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68741516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978338697"/>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5790171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4341058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337073586"/>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61817496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26836625"/>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835220514"/>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3505910"/>
              <w:rPr>
                <w:sz w:val="20"/>
                <w:szCs w:val="20"/>
              </w:rPr>
            </w:pPr>
            <w:r>
              <w:rPr>
                <w:sz w:val="2"/>
                <w:szCs w:val="2"/>
              </w:rPr>
              <w:t>​</w:t>
            </w:r>
          </w:p>
        </w:tc>
      </w:tr>
      <w:tr w:rsidR="00000000">
        <w:trPr>
          <w:divId w:val="2116165625"/>
        </w:trPr>
        <w:tc>
          <w:tcPr>
            <w:tcW w:w="28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101"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4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5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4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234"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2"/>
                <w:szCs w:val="22"/>
              </w:rPr>
              <w:t>​</w:t>
            </w:r>
          </w:p>
        </w:tc>
      </w:tr>
      <w:tr w:rsidR="00000000">
        <w:trPr>
          <w:divId w:val="2116165625"/>
        </w:trPr>
        <w:tc>
          <w:tcPr>
            <w:tcW w:w="2887"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710"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2116165625"/>
        </w:trPr>
        <w:tc>
          <w:tcPr>
            <w:tcW w:w="2887"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r>
              <w:rPr>
                <w:b/>
                <w:bCs/>
                <w:sz w:val="16"/>
                <w:szCs w:val="16"/>
              </w:rPr>
              <w:t>   </w:t>
            </w:r>
          </w:p>
        </w:tc>
        <w:tc>
          <w:tcPr>
            <w:tcW w:w="23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r>
      <w:tr w:rsidR="00000000">
        <w:trPr>
          <w:divId w:val="2116165625"/>
        </w:trPr>
        <w:tc>
          <w:tcPr>
            <w:tcW w:w="2887"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Provision for income tax expense</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(147</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(80</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(67</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8</w:t>
            </w: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  </w:t>
            </w:r>
          </w:p>
        </w:tc>
      </w:tr>
    </w:tbl>
    <w:p w:rsidR="00000000" w:rsidRDefault="00DE7B41">
      <w:pPr>
        <w:pStyle w:val="a3"/>
        <w:spacing w:before="0" w:beforeAutospacing="0" w:after="0" w:afterAutospacing="0"/>
        <w:divId w:val="2116165625"/>
        <w:rPr>
          <w:sz w:val="20"/>
          <w:szCs w:val="20"/>
        </w:rPr>
      </w:pPr>
      <w:r>
        <w:rPr>
          <w:sz w:val="20"/>
          <w:szCs w:val="20"/>
        </w:rPr>
        <w:t>​</w:t>
      </w:r>
    </w:p>
    <w:p w:rsidR="00000000" w:rsidRDefault="00DE7B41">
      <w:pPr>
        <w:pStyle w:val="a3"/>
        <w:spacing w:before="0" w:beforeAutospacing="0" w:after="0" w:afterAutospacing="0"/>
        <w:ind w:firstLine="720"/>
        <w:divId w:val="2116165625"/>
        <w:rPr>
          <w:sz w:val="20"/>
          <w:szCs w:val="20"/>
        </w:rPr>
      </w:pPr>
      <w:r>
        <w:rPr>
          <w:sz w:val="20"/>
          <w:szCs w:val="20"/>
        </w:rPr>
        <w:t>For the three months ended March 31, 2020, the provision for income tax expense increased slightly by approximately $0.1 million compared to the same period in 2019. Although we incurred operating losses on a consolidated basis, the provision for income ta</w:t>
      </w:r>
      <w:r>
        <w:rPr>
          <w:sz w:val="20"/>
          <w:szCs w:val="20"/>
        </w:rPr>
        <w:t xml:space="preserve">xes was due to the uncertain tax positions taken with respect to transfer pricing and tax credits. </w:t>
      </w:r>
    </w:p>
    <w:p w:rsidR="00000000" w:rsidRDefault="00DE7B41">
      <w:pPr>
        <w:pStyle w:val="a3"/>
        <w:spacing w:before="0" w:beforeAutospacing="0" w:after="0" w:afterAutospacing="0"/>
        <w:ind w:firstLine="720"/>
        <w:divId w:val="2116165625"/>
        <w:rPr>
          <w:sz w:val="20"/>
          <w:szCs w:val="20"/>
        </w:rPr>
      </w:pPr>
      <w:r>
        <w:rPr>
          <w:sz w:val="20"/>
          <w:szCs w:val="20"/>
        </w:rPr>
        <w:t>​</w:t>
      </w:r>
    </w:p>
    <w:p w:rsidR="00000000" w:rsidRDefault="00DE7B41">
      <w:pPr>
        <w:pStyle w:val="a3"/>
        <w:spacing w:before="0" w:beforeAutospacing="0" w:after="0" w:afterAutospacing="0"/>
        <w:ind w:firstLine="720"/>
        <w:divId w:val="2116165625"/>
        <w:rPr>
          <w:sz w:val="20"/>
          <w:szCs w:val="20"/>
        </w:rPr>
      </w:pPr>
      <w:r>
        <w:rPr>
          <w:sz w:val="20"/>
          <w:szCs w:val="20"/>
        </w:rPr>
        <w:t>We are currently under Internal Revenue Service (“IRS”</w:t>
      </w:r>
      <w:r>
        <w:rPr>
          <w:sz w:val="20"/>
          <w:szCs w:val="20"/>
        </w:rPr>
        <w:t>) examination for the tax year ended December 31, 2017. We believe that an adequate provision has been made for any adjustments that may result from the tax examination.</w:t>
      </w:r>
    </w:p>
    <w:p w:rsidR="00000000" w:rsidRDefault="00DE7B41">
      <w:pPr>
        <w:pStyle w:val="a3"/>
        <w:spacing w:before="0" w:beforeAutospacing="0" w:after="0" w:afterAutospacing="0"/>
        <w:divId w:val="2116165625"/>
        <w:rPr>
          <w:sz w:val="20"/>
          <w:szCs w:val="20"/>
        </w:rPr>
      </w:pPr>
      <w:r>
        <w:rPr>
          <w:color w:val="FF0000"/>
          <w:sz w:val="20"/>
          <w:szCs w:val="20"/>
        </w:rPr>
        <w:t>​</w:t>
      </w:r>
    </w:p>
    <w:p w:rsidR="00000000" w:rsidRDefault="00DE7B41">
      <w:pPr>
        <w:pStyle w:val="a3"/>
        <w:spacing w:before="0" w:beforeAutospacing="0" w:after="120" w:afterAutospacing="0"/>
        <w:divId w:val="2116165625"/>
        <w:rPr>
          <w:sz w:val="20"/>
          <w:szCs w:val="20"/>
        </w:rPr>
      </w:pPr>
      <w:r>
        <w:rPr>
          <w:b/>
          <w:bCs/>
          <w:sz w:val="20"/>
          <w:szCs w:val="20"/>
        </w:rPr>
        <w:t>Liquidity and Capital Resources</w:t>
      </w:r>
    </w:p>
    <w:p w:rsidR="00000000" w:rsidRDefault="00DE7B41">
      <w:pPr>
        <w:pStyle w:val="a3"/>
        <w:spacing w:before="0" w:beforeAutospacing="0" w:after="0" w:afterAutospacing="0"/>
        <w:ind w:firstLine="720"/>
        <w:divId w:val="2116165625"/>
        <w:rPr>
          <w:sz w:val="20"/>
          <w:szCs w:val="20"/>
        </w:rPr>
      </w:pPr>
      <w:r>
        <w:rPr>
          <w:sz w:val="20"/>
          <w:szCs w:val="20"/>
        </w:rPr>
        <w:t>We have financed our operations primarily through pu</w:t>
      </w:r>
      <w:r>
        <w:rPr>
          <w:sz w:val="20"/>
          <w:szCs w:val="20"/>
        </w:rPr>
        <w:t>blic offering of equity and debt securities, private placements of equity and debt, revenue from collaboration and licensing arrangements and, to a lesser extent, revenue from product sales. As of March 31, 2020, we had approximately $492.1 million in cash</w:t>
      </w:r>
      <w:r>
        <w:rPr>
          <w:sz w:val="20"/>
          <w:szCs w:val="20"/>
        </w:rPr>
        <w:t>, cash equivalents, and investments in marketable securities (excluding restricted cash). Also, as of March 31, 2020, we had outstanding (i) $230.0 million in principal Convertible Senior 2023 Notes and (ii) $380.0 million in principal Non-Recourse 2035 No</w:t>
      </w:r>
      <w:r>
        <w:rPr>
          <w:sz w:val="20"/>
          <w:szCs w:val="20"/>
        </w:rPr>
        <w:t xml:space="preserve">tes which are stated net of a 5.0% retention by us as discussed in </w:t>
      </w:r>
      <w:r>
        <w:rPr>
          <w:i/>
          <w:iCs/>
          <w:sz w:val="20"/>
          <w:szCs w:val="20"/>
        </w:rPr>
        <w:t xml:space="preserve">“Economic Interest in GSK-Partnered Respiratory Programs—Theravance Respiratory Company, LLC” </w:t>
      </w:r>
      <w:r>
        <w:rPr>
          <w:sz w:val="20"/>
          <w:szCs w:val="20"/>
        </w:rPr>
        <w:t>section above.</w:t>
      </w:r>
    </w:p>
    <w:p w:rsidR="00000000" w:rsidRDefault="00DE7B41">
      <w:pPr>
        <w:pStyle w:val="a3"/>
        <w:spacing w:before="0" w:beforeAutospacing="0" w:after="0" w:afterAutospacing="0"/>
        <w:divId w:val="2116165625"/>
        <w:rPr>
          <w:sz w:val="20"/>
          <w:szCs w:val="20"/>
        </w:rPr>
      </w:pPr>
      <w:r>
        <w:rPr>
          <w:sz w:val="20"/>
          <w:szCs w:val="20"/>
        </w:rPr>
        <w:t>​</w:t>
      </w:r>
    </w:p>
    <w:p w:rsidR="00000000" w:rsidRDefault="00DE7B41">
      <w:pPr>
        <w:pStyle w:val="a3"/>
        <w:spacing w:before="0" w:beforeAutospacing="0" w:after="0" w:afterAutospacing="0"/>
        <w:ind w:firstLine="720"/>
        <w:divId w:val="2116165625"/>
        <w:rPr>
          <w:sz w:val="20"/>
          <w:szCs w:val="20"/>
        </w:rPr>
      </w:pPr>
      <w:r>
        <w:rPr>
          <w:sz w:val="20"/>
          <w:szCs w:val="20"/>
        </w:rPr>
        <w:t>The Non-Recourse 2035 Notes were issued on February 28, 2020 and are secured b</w:t>
      </w:r>
      <w:r>
        <w:rPr>
          <w:sz w:val="20"/>
          <w:szCs w:val="20"/>
        </w:rPr>
        <w:t>y all of the Triple Royalty Sub II LLC’s (the “Issuer II”) rights, title and interest as a holder of the Issuer II Class C Units in TRC. The primary source of funds to make payments on the Non-Recourse 2035 Notes will be the 63.75% economic interest of the</w:t>
      </w:r>
      <w:r>
        <w:rPr>
          <w:sz w:val="20"/>
          <w:szCs w:val="20"/>
        </w:rPr>
        <w:t xml:space="preserve"> Issuer (evidenced by the Issuer II Class C Units) in any future payments that may be made by GSK to TRC under the strategic alliance agreement and under the portion of the collaboration agreement assigned to TRC by Innoviva (net of TRC expenses paid and t</w:t>
      </w:r>
      <w:r>
        <w:rPr>
          <w:sz w:val="20"/>
          <w:szCs w:val="20"/>
        </w:rPr>
        <w:t xml:space="preserve">he amount of cash, if any, expected to be used by TRC pursuant to the TRC LLC Agreement over the next four fiscal quarters) relating to the GSK-Partnered Respiratory Programs, including the </w:t>
      </w:r>
      <w:r>
        <w:rPr>
          <w:caps/>
          <w:sz w:val="20"/>
          <w:szCs w:val="20"/>
        </w:rPr>
        <w:t>Trelegy Ellipta</w:t>
      </w:r>
      <w:r>
        <w:rPr>
          <w:sz w:val="20"/>
          <w:szCs w:val="20"/>
        </w:rPr>
        <w:t xml:space="preserve"> program. As a result, the holders of the Non-Recou</w:t>
      </w:r>
      <w:r>
        <w:rPr>
          <w:sz w:val="20"/>
          <w:szCs w:val="20"/>
        </w:rPr>
        <w:t>rse 2035 Notes have no recourse against Theravance Biopharma even if the TRELEGY ELLIPTA payments are insufficient to cover the principal and interest payments for the Non-Recourse 2035 Notes. Prior to and including the December 5, 2024 payment date, in th</w:t>
      </w:r>
      <w:r>
        <w:rPr>
          <w:sz w:val="20"/>
          <w:szCs w:val="20"/>
        </w:rPr>
        <w:t>e event that the distributions received by the Issuer II from TRC in a quarter is less than the interest accrued for that quarter, the principal amount of the Non-Recourse 2035 Notes will increase by the interest shortfall amount for that quarter. While th</w:t>
      </w:r>
      <w:r>
        <w:rPr>
          <w:sz w:val="20"/>
          <w:szCs w:val="20"/>
        </w:rPr>
        <w:t>e holders of the Non-Recourse 2035 Notes have no recourse against Theravance Biopharma, the terms of the Non-Recourse 2035 Notes also provide that Theravance Biopharma, at its option, may satisfy the quarterly interest payment obligations by making a capit</w:t>
      </w:r>
      <w:r>
        <w:rPr>
          <w:sz w:val="20"/>
          <w:szCs w:val="20"/>
        </w:rPr>
        <w:t>al contribution to the Issuer II.</w:t>
      </w:r>
    </w:p>
    <w:p w:rsidR="00000000" w:rsidRDefault="00DE7B41">
      <w:pPr>
        <w:pStyle w:val="a3"/>
        <w:spacing w:before="0" w:beforeAutospacing="0" w:after="0" w:afterAutospacing="0"/>
        <w:ind w:firstLine="720"/>
        <w:divId w:val="2116165625"/>
        <w:rPr>
          <w:sz w:val="20"/>
          <w:szCs w:val="20"/>
        </w:rPr>
      </w:pPr>
      <w:r>
        <w:rPr>
          <w:sz w:val="20"/>
          <w:szCs w:val="20"/>
        </w:rPr>
        <w:t>​</w:t>
      </w:r>
    </w:p>
    <w:p w:rsidR="00000000" w:rsidRDefault="00DE7B41">
      <w:pPr>
        <w:pStyle w:val="a3"/>
        <w:spacing w:before="0" w:beforeAutospacing="0" w:after="0" w:afterAutospacing="0"/>
        <w:ind w:firstLine="720"/>
        <w:divId w:val="2116165625"/>
        <w:rPr>
          <w:sz w:val="20"/>
          <w:szCs w:val="20"/>
        </w:rPr>
      </w:pPr>
      <w:r>
        <w:rPr>
          <w:sz w:val="20"/>
          <w:szCs w:val="20"/>
        </w:rPr>
        <w:t>A portion of the proceeds from the Non-Recourse 2035 Notes issuance were used to repay, in full, the remaining outstanding balance of the Non-Recourse 2033 Notes, as well as, a 5% premium on the early redemption of the N</w:t>
      </w:r>
      <w:r>
        <w:rPr>
          <w:sz w:val="20"/>
          <w:szCs w:val="20"/>
        </w:rPr>
        <w:t xml:space="preserve">on-Recourse 2033 Notes. The Non-Recourse 2033 Notes were issued in November 2018 and were structured similarly to the Non-Recourse 2035 Notes. </w:t>
      </w:r>
    </w:p>
    <w:p w:rsidR="00000000" w:rsidRDefault="00DE7B41">
      <w:pPr>
        <w:pStyle w:val="a3"/>
        <w:spacing w:before="0" w:beforeAutospacing="0" w:after="0" w:afterAutospacing="0"/>
        <w:divId w:val="2116165625"/>
        <w:rPr>
          <w:sz w:val="20"/>
          <w:szCs w:val="20"/>
        </w:rPr>
      </w:pPr>
      <w:r>
        <w:rPr>
          <w:sz w:val="20"/>
          <w:szCs w:val="20"/>
        </w:rPr>
        <w:t>​</w:t>
      </w:r>
    </w:p>
    <w:p w:rsidR="00000000" w:rsidRDefault="00DE7B41">
      <w:pPr>
        <w:pStyle w:val="a3"/>
        <w:spacing w:before="0" w:beforeAutospacing="0" w:after="0" w:afterAutospacing="0"/>
        <w:ind w:firstLine="720"/>
        <w:divId w:val="2116165625"/>
        <w:rPr>
          <w:sz w:val="20"/>
          <w:szCs w:val="20"/>
        </w:rPr>
      </w:pPr>
      <w:r>
        <w:rPr>
          <w:sz w:val="20"/>
          <w:szCs w:val="20"/>
        </w:rPr>
        <w:t>We expect to continue to incur net losses over at least the next several years due to significant expenditures</w:t>
      </w:r>
      <w:r>
        <w:rPr>
          <w:sz w:val="20"/>
          <w:szCs w:val="20"/>
        </w:rPr>
        <w:t xml:space="preserve"> relating to our continuing drug discovery efforts, preclinical and clinical development of our current product candidates and commercialization costs relating to YUPELRI. In particular, to the extent we advance our product candidates into and through late</w:t>
      </w:r>
      <w:r>
        <w:rPr>
          <w:sz w:val="20"/>
          <w:szCs w:val="20"/>
        </w:rPr>
        <w:t xml:space="preserve">r-stage clinical studies without a partner, we will incur substantial expenses. We expect the clinical development of our key development programs will require significant investment in order to continue to advance in clinical development. In addition, we </w:t>
      </w:r>
      <w:r>
        <w:rPr>
          <w:sz w:val="20"/>
          <w:szCs w:val="20"/>
        </w:rPr>
        <w:t>expect to invest strategically in our research efforts to continue to grow our development pipeline. In the past, we have received a number of significant payments from collaboration agreements and other significant transactions. In the future, we may cont</w:t>
      </w:r>
      <w:r>
        <w:rPr>
          <w:sz w:val="20"/>
          <w:szCs w:val="20"/>
        </w:rPr>
        <w:t xml:space="preserve">inue to receive potential substantial payments from future collaboration transactions if the drug candidates in our pipeline achieve positive clinical or regulatory outcomes or if our product candidates are approved and meet </w:t>
      </w:r>
    </w:p>
    <w:p w:rsidR="00000000" w:rsidRDefault="00DE7B41">
      <w:pPr>
        <w:pStyle w:val="a3"/>
        <w:spacing w:before="360" w:beforeAutospacing="0" w:after="0" w:afterAutospacing="0"/>
        <w:jc w:val="center"/>
        <w:divId w:val="322978802"/>
        <w:rPr>
          <w:sz w:val="20"/>
          <w:szCs w:val="20"/>
        </w:rPr>
      </w:pPr>
      <w:r>
        <w:rPr>
          <w:sz w:val="20"/>
          <w:szCs w:val="20"/>
        </w:rPr>
        <w:t>31</w:t>
      </w:r>
    </w:p>
    <w:p w:rsidR="00000000" w:rsidRDefault="00DE7B41">
      <w:pPr>
        <w:pStyle w:val="a3"/>
        <w:spacing w:before="0" w:beforeAutospacing="0" w:after="600" w:afterAutospacing="0"/>
        <w:divId w:val="657270883"/>
        <w:rPr>
          <w:sz w:val="20"/>
          <w:szCs w:val="20"/>
        </w:rPr>
      </w:pPr>
      <w:hyperlink w:anchor="TOC" w:history="1">
        <w:r>
          <w:rPr>
            <w:rStyle w:val="a4"/>
            <w:sz w:val="20"/>
            <w:szCs w:val="20"/>
          </w:rPr>
          <w:t>T</w:t>
        </w:r>
        <w:r>
          <w:rPr>
            <w:rStyle w:val="a4"/>
            <w:sz w:val="20"/>
            <w:szCs w:val="20"/>
          </w:rPr>
          <w:t>able of Contents</w:t>
        </w:r>
      </w:hyperlink>
    </w:p>
    <w:p w:rsidR="00000000" w:rsidRDefault="00DE7B41">
      <w:pPr>
        <w:pStyle w:val="a3"/>
        <w:spacing w:before="0" w:beforeAutospacing="0" w:after="0" w:afterAutospacing="0"/>
        <w:divId w:val="1289555770"/>
        <w:rPr>
          <w:sz w:val="20"/>
          <w:szCs w:val="20"/>
        </w:rPr>
      </w:pPr>
      <w:r>
        <w:rPr>
          <w:sz w:val="20"/>
          <w:szCs w:val="20"/>
        </w:rPr>
        <w:t>certain milestones. Our current business plan is subject to significant uncertainties and risks as a result of, among other factors, the COVID-19 pandemic, clinical program outcomes, whether, when and on what terms we are able to enter int</w:t>
      </w:r>
      <w:r>
        <w:rPr>
          <w:sz w:val="20"/>
          <w:szCs w:val="20"/>
        </w:rPr>
        <w:t>o new collaboration arrangements, expenses being higher than anticipated, the sales levels of any approved products, unplanned expenses, cash receipts being lower than anticipated, and the need to satisfy contingent liabilities, including litigation matter</w:t>
      </w:r>
      <w:r>
        <w:rPr>
          <w:sz w:val="20"/>
          <w:szCs w:val="20"/>
        </w:rPr>
        <w:t>s and indemnification obligations.</w:t>
      </w:r>
    </w:p>
    <w:p w:rsidR="00000000" w:rsidRDefault="00DE7B41">
      <w:pPr>
        <w:pStyle w:val="a3"/>
        <w:spacing w:before="0" w:beforeAutospacing="0" w:after="0" w:afterAutospacing="0"/>
        <w:divId w:val="1289555770"/>
        <w:rPr>
          <w:sz w:val="20"/>
          <w:szCs w:val="20"/>
        </w:rPr>
      </w:pPr>
      <w:r>
        <w:rPr>
          <w:sz w:val="20"/>
          <w:szCs w:val="20"/>
        </w:rPr>
        <w:t>​</w:t>
      </w:r>
    </w:p>
    <w:p w:rsidR="00000000" w:rsidRDefault="00DE7B41">
      <w:pPr>
        <w:pStyle w:val="a3"/>
        <w:spacing w:before="0" w:beforeAutospacing="0" w:after="0" w:afterAutospacing="0"/>
        <w:divId w:val="1289555770"/>
        <w:rPr>
          <w:sz w:val="20"/>
          <w:szCs w:val="20"/>
        </w:rPr>
      </w:pPr>
      <w:r>
        <w:rPr>
          <w:i/>
          <w:iCs/>
          <w:sz w:val="20"/>
          <w:szCs w:val="20"/>
        </w:rPr>
        <w:t>Adequacy of cash resources to meet future needs</w:t>
      </w:r>
    </w:p>
    <w:p w:rsidR="00000000" w:rsidRDefault="00DE7B41">
      <w:pPr>
        <w:pStyle w:val="a3"/>
        <w:spacing w:before="0" w:beforeAutospacing="0" w:after="0" w:afterAutospacing="0"/>
        <w:divId w:val="1289555770"/>
        <w:rPr>
          <w:sz w:val="20"/>
          <w:szCs w:val="20"/>
        </w:rPr>
      </w:pPr>
      <w:r>
        <w:rPr>
          <w:sz w:val="10"/>
          <w:szCs w:val="10"/>
        </w:rPr>
        <w:t>​</w:t>
      </w:r>
    </w:p>
    <w:p w:rsidR="00000000" w:rsidRDefault="00DE7B41">
      <w:pPr>
        <w:pStyle w:val="a3"/>
        <w:spacing w:before="0" w:beforeAutospacing="0" w:after="0" w:afterAutospacing="0"/>
        <w:ind w:firstLine="720"/>
        <w:divId w:val="1289555770"/>
        <w:rPr>
          <w:sz w:val="20"/>
          <w:szCs w:val="20"/>
        </w:rPr>
      </w:pPr>
      <w:r>
        <w:rPr>
          <w:sz w:val="20"/>
          <w:szCs w:val="20"/>
        </w:rPr>
        <w:t>We expect our cash and cash equivalents and marketable securities will be sufficient to fund our operations for at least the next 12 months from the issuance date of the</w:t>
      </w:r>
      <w:r>
        <w:rPr>
          <w:sz w:val="20"/>
          <w:szCs w:val="20"/>
        </w:rPr>
        <w:t>se condensed consolidated financial statements based on current operating plans and financial forecasts.</w:t>
      </w:r>
    </w:p>
    <w:p w:rsidR="00000000" w:rsidRDefault="00DE7B41">
      <w:pPr>
        <w:pStyle w:val="a3"/>
        <w:spacing w:before="0" w:beforeAutospacing="0" w:after="0" w:afterAutospacing="0"/>
        <w:divId w:val="1289555770"/>
        <w:rPr>
          <w:sz w:val="20"/>
          <w:szCs w:val="20"/>
        </w:rPr>
      </w:pPr>
      <w:r>
        <w:rPr>
          <w:color w:val="FF0000"/>
          <w:sz w:val="20"/>
          <w:szCs w:val="20"/>
        </w:rPr>
        <w:t>​</w:t>
      </w:r>
    </w:p>
    <w:p w:rsidR="00000000" w:rsidRDefault="00DE7B41">
      <w:pPr>
        <w:pStyle w:val="a3"/>
        <w:spacing w:before="0" w:beforeAutospacing="0" w:after="0" w:afterAutospacing="0"/>
        <w:ind w:firstLine="720"/>
        <w:divId w:val="1289555770"/>
        <w:rPr>
          <w:sz w:val="20"/>
          <w:szCs w:val="20"/>
        </w:rPr>
      </w:pPr>
      <w:r>
        <w:rPr>
          <w:sz w:val="20"/>
          <w:szCs w:val="20"/>
        </w:rPr>
        <w:t>On February 14, 2020, we sold 5,500,000 ordinary shares at a price to the public of $27.00 per share (the “Shares”). The gross proceeds from the offe</w:t>
      </w:r>
      <w:r>
        <w:rPr>
          <w:sz w:val="20"/>
          <w:szCs w:val="20"/>
        </w:rPr>
        <w:t>ring were approximately $148.5 million, before deducting underwriting discounts and commissions and estimated offering expenses. The Shares were issued pursuant to our currently effective shelf registration statement on Form S-3, which became effective aut</w:t>
      </w:r>
      <w:r>
        <w:rPr>
          <w:sz w:val="20"/>
          <w:szCs w:val="20"/>
        </w:rPr>
        <w:t>omatically on December 3, 2019, and a prospectus supplement filed with the SEC in connection with the offering.</w:t>
      </w:r>
    </w:p>
    <w:p w:rsidR="00000000" w:rsidRDefault="00DE7B41">
      <w:pPr>
        <w:pStyle w:val="a3"/>
        <w:spacing w:before="0" w:beforeAutospacing="0" w:after="0" w:afterAutospacing="0"/>
        <w:ind w:firstLine="720"/>
        <w:divId w:val="1289555770"/>
        <w:rPr>
          <w:sz w:val="20"/>
          <w:szCs w:val="20"/>
        </w:rPr>
      </w:pPr>
      <w:r>
        <w:rPr>
          <w:sz w:val="20"/>
          <w:szCs w:val="20"/>
        </w:rPr>
        <w:t>​</w:t>
      </w:r>
    </w:p>
    <w:p w:rsidR="00000000" w:rsidRDefault="00DE7B41">
      <w:pPr>
        <w:pStyle w:val="a3"/>
        <w:spacing w:before="0" w:beforeAutospacing="0" w:after="0" w:afterAutospacing="0"/>
        <w:ind w:firstLine="720"/>
        <w:divId w:val="1289555770"/>
        <w:rPr>
          <w:sz w:val="20"/>
          <w:szCs w:val="20"/>
        </w:rPr>
      </w:pPr>
      <w:r>
        <w:rPr>
          <w:sz w:val="20"/>
          <w:szCs w:val="20"/>
        </w:rPr>
        <w:t xml:space="preserve">We may seek to obtain additional financing in the form of public or private equity offerings, debt financing or additional collaborations and </w:t>
      </w:r>
      <w:r>
        <w:rPr>
          <w:sz w:val="20"/>
          <w:szCs w:val="20"/>
        </w:rPr>
        <w:t>licensing arrangements. However, future financing may not be available in amounts or on terms acceptable to us.</w:t>
      </w:r>
    </w:p>
    <w:p w:rsidR="00000000" w:rsidRDefault="00DE7B41">
      <w:pPr>
        <w:pStyle w:val="a3"/>
        <w:spacing w:before="0" w:beforeAutospacing="0" w:after="0" w:afterAutospacing="0"/>
        <w:divId w:val="1289555770"/>
        <w:rPr>
          <w:sz w:val="20"/>
          <w:szCs w:val="20"/>
        </w:rPr>
      </w:pPr>
      <w:r>
        <w:rPr>
          <w:sz w:val="20"/>
          <w:szCs w:val="20"/>
        </w:rPr>
        <w:t>​</w:t>
      </w:r>
    </w:p>
    <w:p w:rsidR="00000000" w:rsidRDefault="00DE7B41">
      <w:pPr>
        <w:pStyle w:val="a3"/>
        <w:spacing w:before="0" w:beforeAutospacing="0" w:after="0" w:afterAutospacing="0"/>
        <w:ind w:firstLine="720"/>
        <w:divId w:val="1289555770"/>
        <w:rPr>
          <w:sz w:val="20"/>
          <w:szCs w:val="20"/>
        </w:rPr>
      </w:pPr>
      <w:r>
        <w:rPr>
          <w:sz w:val="20"/>
          <w:szCs w:val="20"/>
        </w:rPr>
        <w:t>Without adequate financial resources to fund our operations as presently conducted, we may be required to relinquish rights to our technologie</w:t>
      </w:r>
      <w:r>
        <w:rPr>
          <w:sz w:val="20"/>
          <w:szCs w:val="20"/>
        </w:rPr>
        <w:t xml:space="preserve">s, product candidates or territories, or grant licenses on terms that are not favorable to us, in order to raise additional funds through collaborations or licensing arrangements. We may also have to sequence preclinical and clinical studies as opposed to </w:t>
      </w:r>
      <w:r>
        <w:rPr>
          <w:sz w:val="20"/>
          <w:szCs w:val="20"/>
        </w:rPr>
        <w:t>conducting them concomitantly in order to conserve resources, or delay, reduce or eliminate one or more of our research or development programs and reduce overall overhead expenses. In addition, we may have to make reductions in our workforce and may be pr</w:t>
      </w:r>
      <w:r>
        <w:rPr>
          <w:sz w:val="20"/>
          <w:szCs w:val="20"/>
        </w:rPr>
        <w:t>evented from continuing our discovery, development and commercialization efforts and exploiting other corporate opportunities.</w:t>
      </w:r>
    </w:p>
    <w:p w:rsidR="00000000" w:rsidRDefault="00DE7B41">
      <w:pPr>
        <w:pStyle w:val="a3"/>
        <w:spacing w:before="0" w:beforeAutospacing="0" w:after="0" w:afterAutospacing="0"/>
        <w:divId w:val="1289555770"/>
        <w:rPr>
          <w:sz w:val="20"/>
          <w:szCs w:val="20"/>
        </w:rPr>
      </w:pPr>
      <w:r>
        <w:rPr>
          <w:sz w:val="20"/>
          <w:szCs w:val="20"/>
        </w:rPr>
        <w:t>​</w:t>
      </w:r>
    </w:p>
    <w:p w:rsidR="00000000" w:rsidRDefault="00DE7B41">
      <w:pPr>
        <w:pStyle w:val="a3"/>
        <w:spacing w:before="0" w:beforeAutospacing="0" w:after="0" w:afterAutospacing="0"/>
        <w:divId w:val="1289555770"/>
        <w:rPr>
          <w:sz w:val="20"/>
          <w:szCs w:val="20"/>
        </w:rPr>
      </w:pPr>
      <w:r>
        <w:rPr>
          <w:b/>
          <w:bCs/>
          <w:i/>
          <w:iCs/>
          <w:sz w:val="20"/>
          <w:szCs w:val="20"/>
        </w:rPr>
        <w:t>Cash Flows</w:t>
      </w:r>
    </w:p>
    <w:p w:rsidR="00000000" w:rsidRDefault="00DE7B41">
      <w:pPr>
        <w:pStyle w:val="a3"/>
        <w:spacing w:before="0" w:beforeAutospacing="0" w:after="0" w:afterAutospacing="0"/>
        <w:divId w:val="1289555770"/>
        <w:rPr>
          <w:sz w:val="20"/>
          <w:szCs w:val="20"/>
        </w:rPr>
      </w:pPr>
      <w:r>
        <w:rPr>
          <w:sz w:val="10"/>
          <w:szCs w:val="10"/>
        </w:rPr>
        <w:t>​</w:t>
      </w:r>
    </w:p>
    <w:p w:rsidR="00000000" w:rsidRDefault="00DE7B41">
      <w:pPr>
        <w:pStyle w:val="a3"/>
        <w:spacing w:before="0" w:beforeAutospacing="0" w:after="0" w:afterAutospacing="0"/>
        <w:ind w:firstLine="720"/>
        <w:divId w:val="1289555770"/>
        <w:rPr>
          <w:sz w:val="20"/>
          <w:szCs w:val="20"/>
        </w:rPr>
      </w:pPr>
      <w:r>
        <w:rPr>
          <w:sz w:val="20"/>
          <w:szCs w:val="20"/>
        </w:rPr>
        <w:t>Cash flows, as compared to the comparable period in the prior year, were as follows:</w:t>
      </w:r>
    </w:p>
    <w:tbl>
      <w:tblPr>
        <w:tblW w:w="5000" w:type="pct"/>
        <w:tblCellMar>
          <w:top w:w="15" w:type="dxa"/>
          <w:left w:w="0" w:type="dxa"/>
          <w:bottom w:w="15" w:type="dxa"/>
          <w:right w:w="0" w:type="dxa"/>
        </w:tblCellMar>
        <w:tblLook w:val="04A0" w:firstRow="1" w:lastRow="0" w:firstColumn="1" w:lastColumn="0" w:noHBand="0" w:noVBand="1"/>
      </w:tblPr>
      <w:tblGrid>
        <w:gridCol w:w="4926"/>
        <w:gridCol w:w="160"/>
        <w:gridCol w:w="206"/>
        <w:gridCol w:w="811"/>
        <w:gridCol w:w="206"/>
        <w:gridCol w:w="205"/>
        <w:gridCol w:w="812"/>
        <w:gridCol w:w="160"/>
        <w:gridCol w:w="100"/>
        <w:gridCol w:w="720"/>
      </w:tblGrid>
      <w:tr w:rsidR="00000000">
        <w:trPr>
          <w:divId w:val="1289555770"/>
          <w:trHeight w:val="20"/>
        </w:trPr>
        <w:tc>
          <w:tcPr>
            <w:tcW w:w="3190" w:type="pct"/>
            <w:tcMar>
              <w:top w:w="0" w:type="dxa"/>
              <w:left w:w="0" w:type="dxa"/>
              <w:bottom w:w="0" w:type="dxa"/>
              <w:right w:w="0" w:type="dxa"/>
            </w:tcMar>
            <w:vAlign w:val="bottom"/>
            <w:hideMark/>
          </w:tcPr>
          <w:p w:rsidR="00000000" w:rsidRDefault="00DE7B41">
            <w:pPr>
              <w:pStyle w:val="a3"/>
              <w:spacing w:before="0" w:beforeAutospacing="0" w:after="0" w:afterAutospacing="0"/>
              <w:divId w:val="193482257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91535638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48990140"/>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2639416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209913775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67311924"/>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86963745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75736032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1080174716"/>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DE7B41">
            <w:pPr>
              <w:pStyle w:val="a3"/>
              <w:spacing w:before="0" w:beforeAutospacing="0" w:after="0" w:afterAutospacing="0"/>
              <w:divId w:val="751391450"/>
              <w:rPr>
                <w:sz w:val="20"/>
                <w:szCs w:val="20"/>
              </w:rPr>
            </w:pPr>
            <w:r>
              <w:rPr>
                <w:sz w:val="2"/>
                <w:szCs w:val="2"/>
              </w:rPr>
              <w:t>​</w:t>
            </w:r>
          </w:p>
        </w:tc>
      </w:tr>
      <w:tr w:rsidR="00000000">
        <w:trPr>
          <w:divId w:val="1289555770"/>
        </w:trPr>
        <w:tc>
          <w:tcPr>
            <w:tcW w:w="3190"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111" w:type="pct"/>
            <w:gridSpan w:val="5"/>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39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r>
      <w:tr w:rsidR="00000000">
        <w:trPr>
          <w:divId w:val="1289555770"/>
        </w:trPr>
        <w:tc>
          <w:tcPr>
            <w:tcW w:w="3190" w:type="pct"/>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11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Three Months Ended March 31, </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c>
          <w:tcPr>
            <w:tcW w:w="396"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16"/>
                <w:szCs w:val="16"/>
              </w:rPr>
              <w:t>​</w:t>
            </w:r>
          </w:p>
        </w:tc>
      </w:tr>
      <w:tr w:rsidR="00000000">
        <w:trPr>
          <w:divId w:val="1289555770"/>
        </w:trPr>
        <w:tc>
          <w:tcPr>
            <w:tcW w:w="3190" w:type="pct"/>
            <w:tcBorders>
              <w:bottom w:val="single" w:sz="6" w:space="0" w:color="000000"/>
            </w:tcBorders>
            <w:shd w:val="clear" w:color="auto" w:fill="auto"/>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(In thousands)</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5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2020</w:t>
            </w:r>
          </w:p>
        </w:tc>
        <w:tc>
          <w:tcPr>
            <w:tcW w:w="102"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5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2019</w:t>
            </w:r>
          </w:p>
        </w:tc>
        <w:tc>
          <w:tcPr>
            <w:tcW w:w="100" w:type="pct"/>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Change</w:t>
            </w:r>
          </w:p>
        </w:tc>
      </w:tr>
      <w:tr w:rsidR="00000000">
        <w:trPr>
          <w:divId w:val="1289555770"/>
        </w:trPr>
        <w:tc>
          <w:tcPr>
            <w:tcW w:w="3190"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Net cash used in operating activities</w:t>
            </w:r>
          </w:p>
        </w:tc>
        <w:tc>
          <w:tcPr>
            <w:tcW w:w="10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(55,101</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4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(81,193</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26,09</w:t>
            </w:r>
            <w:r>
              <w:rPr>
                <w:sz w:val="20"/>
                <w:szCs w:val="20"/>
              </w:rPr>
              <w:t>2</w:t>
            </w:r>
          </w:p>
        </w:tc>
      </w:tr>
      <w:tr w:rsidR="00000000">
        <w:trPr>
          <w:divId w:val="1289555770"/>
        </w:trPr>
        <w:tc>
          <w:tcPr>
            <w:tcW w:w="3190"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Net cash provided by (used in) investing activities</w:t>
            </w:r>
          </w:p>
        </w:tc>
        <w:tc>
          <w:tcPr>
            <w:tcW w:w="100"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68,40</w:t>
            </w:r>
            <w:r>
              <w:rPr>
                <w:sz w:val="20"/>
                <w:szCs w:val="20"/>
              </w:rPr>
              <w:t>3</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(72,160</w:t>
            </w:r>
            <w:r>
              <w:rPr>
                <w:sz w:val="20"/>
                <w:szCs w:val="20"/>
              </w:rPr>
              <w:t>)</w:t>
            </w:r>
          </w:p>
        </w:tc>
        <w:tc>
          <w:tcPr>
            <w:tcW w:w="100"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140,56</w:t>
            </w:r>
            <w:r>
              <w:rPr>
                <w:sz w:val="20"/>
                <w:szCs w:val="20"/>
              </w:rPr>
              <w:t>3</w:t>
            </w:r>
          </w:p>
        </w:tc>
      </w:tr>
      <w:tr w:rsidR="00000000">
        <w:trPr>
          <w:divId w:val="1289555770"/>
        </w:trPr>
        <w:tc>
          <w:tcPr>
            <w:tcW w:w="3190" w:type="pct"/>
            <w:shd w:val="clear" w:color="auto" w:fill="CCEEFF"/>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Net cash provided by (used in) financing activities</w:t>
            </w:r>
          </w:p>
        </w:tc>
        <w:tc>
          <w:tcPr>
            <w:tcW w:w="10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261,43</w:t>
            </w: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(1,433</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DE7B41">
            <w:pPr>
              <w:pStyle w:val="a3"/>
              <w:spacing w:before="0" w:beforeAutospacing="0" w:after="0" w:afterAutospacing="0"/>
              <w:ind w:right="70"/>
              <w:jc w:val="right"/>
              <w:rPr>
                <w:sz w:val="20"/>
                <w:szCs w:val="20"/>
              </w:rPr>
            </w:pPr>
            <w:r>
              <w:rPr>
                <w:sz w:val="20"/>
                <w:szCs w:val="20"/>
              </w:rPr>
              <w:t>262,86</w:t>
            </w:r>
            <w:r>
              <w:rPr>
                <w:sz w:val="20"/>
                <w:szCs w:val="20"/>
              </w:rPr>
              <w:t>5</w:t>
            </w:r>
          </w:p>
        </w:tc>
      </w:tr>
    </w:tbl>
    <w:p w:rsidR="00000000" w:rsidRDefault="00DE7B41">
      <w:pPr>
        <w:pStyle w:val="a3"/>
        <w:spacing w:before="0" w:beforeAutospacing="0" w:after="0" w:afterAutospacing="0"/>
        <w:divId w:val="1289555770"/>
        <w:rPr>
          <w:sz w:val="20"/>
          <w:szCs w:val="20"/>
        </w:rPr>
      </w:pPr>
      <w:r>
        <w:rPr>
          <w:sz w:val="20"/>
          <w:szCs w:val="20"/>
        </w:rPr>
        <w:t>​</w:t>
      </w:r>
    </w:p>
    <w:p w:rsidR="00000000" w:rsidRDefault="00DE7B41">
      <w:pPr>
        <w:pStyle w:val="a3"/>
        <w:spacing w:before="0" w:beforeAutospacing="0" w:after="0" w:afterAutospacing="0"/>
        <w:divId w:val="1289555770"/>
        <w:rPr>
          <w:sz w:val="20"/>
          <w:szCs w:val="20"/>
        </w:rPr>
      </w:pPr>
      <w:r>
        <w:rPr>
          <w:i/>
          <w:iCs/>
          <w:sz w:val="20"/>
          <w:szCs w:val="20"/>
        </w:rPr>
        <w:t>Cash flows used in operating activities</w:t>
      </w:r>
    </w:p>
    <w:p w:rsidR="00000000" w:rsidRDefault="00DE7B41">
      <w:pPr>
        <w:pStyle w:val="a3"/>
        <w:spacing w:before="0" w:beforeAutospacing="0" w:after="0" w:afterAutospacing="0"/>
        <w:divId w:val="1289555770"/>
        <w:rPr>
          <w:sz w:val="20"/>
          <w:szCs w:val="20"/>
        </w:rPr>
      </w:pPr>
      <w:r>
        <w:rPr>
          <w:sz w:val="10"/>
          <w:szCs w:val="10"/>
        </w:rPr>
        <w:t>​</w:t>
      </w:r>
    </w:p>
    <w:p w:rsidR="00000000" w:rsidRDefault="00DE7B41">
      <w:pPr>
        <w:pStyle w:val="a3"/>
        <w:spacing w:before="0" w:beforeAutospacing="0" w:after="0" w:afterAutospacing="0"/>
        <w:ind w:firstLine="720"/>
        <w:divId w:val="1289555770"/>
        <w:rPr>
          <w:sz w:val="20"/>
          <w:szCs w:val="20"/>
        </w:rPr>
      </w:pPr>
      <w:r>
        <w:rPr>
          <w:sz w:val="20"/>
          <w:szCs w:val="20"/>
        </w:rPr>
        <w:t>Net cash used in operating activities was $55.1 million for the three months ended March 31, 2020, consisting primarily of a net loss of $83.1 million, a net increase in cash resulting from adjustments for non-cash and other reconciling items of $35.4 mill</w:t>
      </w:r>
      <w:r>
        <w:rPr>
          <w:sz w:val="20"/>
          <w:szCs w:val="20"/>
        </w:rPr>
        <w:t xml:space="preserve">ion and a net decrease in cash resulting from changes in operating assets and liabilities of $7.4 million. Overall, net cash used in operating activities decreased by $26.1 million compared to the comparable period in 2019 and was primarily due to (i) the </w:t>
      </w:r>
      <w:r>
        <w:rPr>
          <w:sz w:val="20"/>
          <w:szCs w:val="20"/>
        </w:rPr>
        <w:t>$15.5 million reconciling adjustment to net loss related to the loss on the extinguishment of debt; (ii) a $8.5 million increase in cash received related to amounts due from TRC, LLC; and (iii) an $8.9 million decrease in net cash used related to other ope</w:t>
      </w:r>
      <w:r>
        <w:rPr>
          <w:sz w:val="20"/>
          <w:szCs w:val="20"/>
        </w:rPr>
        <w:t>rating assets and liabilities primarily due to an increase in the receivables from collaborative and licensing arrangements and other prepaid and current assets. These changes were partially offset by a $10.5 million increase in our net loss during the com</w:t>
      </w:r>
      <w:r>
        <w:rPr>
          <w:sz w:val="20"/>
          <w:szCs w:val="20"/>
        </w:rPr>
        <w:t xml:space="preserve">parable periods. </w:t>
      </w:r>
    </w:p>
    <w:p w:rsidR="00000000" w:rsidRDefault="00DE7B41">
      <w:pPr>
        <w:pStyle w:val="a3"/>
        <w:spacing w:before="0" w:beforeAutospacing="0" w:after="0" w:afterAutospacing="0"/>
        <w:ind w:firstLine="720"/>
        <w:divId w:val="1289555770"/>
        <w:rPr>
          <w:sz w:val="20"/>
          <w:szCs w:val="20"/>
        </w:rPr>
      </w:pPr>
      <w:r>
        <w:rPr>
          <w:sz w:val="20"/>
          <w:szCs w:val="20"/>
        </w:rPr>
        <w:t>​</w:t>
      </w:r>
    </w:p>
    <w:p w:rsidR="00000000" w:rsidRDefault="00DE7B41">
      <w:pPr>
        <w:pStyle w:val="a3"/>
        <w:spacing w:before="0" w:beforeAutospacing="0" w:after="0" w:afterAutospacing="0"/>
        <w:ind w:firstLine="720"/>
        <w:divId w:val="1289555770"/>
        <w:rPr>
          <w:sz w:val="20"/>
          <w:szCs w:val="20"/>
        </w:rPr>
      </w:pPr>
      <w:r>
        <w:rPr>
          <w:sz w:val="20"/>
          <w:szCs w:val="20"/>
        </w:rPr>
        <w:t>Net cash used in in operating activities was $81.2 million for the three months ended March 31, 2019. The $81.2 million used in operating activities consisted primarily of net loss of $72.6 million, adjusted for non-cash items such as $</w:t>
      </w:r>
      <w:r>
        <w:rPr>
          <w:sz w:val="20"/>
          <w:szCs w:val="20"/>
        </w:rPr>
        <w:t xml:space="preserve">12.2 million for share-based compensation expense, and $16.3 million of net cash outflow related to changes in operating assets and liabilities for the three months ended March 31, 2019. </w:t>
      </w:r>
    </w:p>
    <w:p w:rsidR="00000000" w:rsidRDefault="00DE7B41">
      <w:pPr>
        <w:pStyle w:val="a3"/>
        <w:spacing w:before="360" w:beforeAutospacing="0" w:after="0" w:afterAutospacing="0"/>
        <w:jc w:val="center"/>
        <w:divId w:val="830176299"/>
        <w:rPr>
          <w:sz w:val="20"/>
          <w:szCs w:val="20"/>
        </w:rPr>
      </w:pPr>
      <w:r>
        <w:rPr>
          <w:sz w:val="20"/>
          <w:szCs w:val="20"/>
        </w:rPr>
        <w:t>32</w:t>
      </w:r>
    </w:p>
    <w:p w:rsidR="00000000" w:rsidRDefault="00DE7B41">
      <w:pPr>
        <w:pStyle w:val="a3"/>
        <w:spacing w:before="0" w:beforeAutospacing="0" w:after="600" w:afterAutospacing="0"/>
        <w:divId w:val="2135907716"/>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060982423"/>
        <w:rPr>
          <w:sz w:val="20"/>
          <w:szCs w:val="20"/>
        </w:rPr>
      </w:pPr>
      <w:r>
        <w:rPr>
          <w:sz w:val="20"/>
          <w:szCs w:val="20"/>
        </w:rPr>
        <w:t>​</w:t>
      </w:r>
    </w:p>
    <w:p w:rsidR="00000000" w:rsidRDefault="00DE7B41">
      <w:pPr>
        <w:pStyle w:val="a3"/>
        <w:spacing w:before="0" w:beforeAutospacing="0" w:after="0" w:afterAutospacing="0"/>
        <w:divId w:val="1060982423"/>
        <w:rPr>
          <w:sz w:val="20"/>
          <w:szCs w:val="20"/>
        </w:rPr>
      </w:pPr>
      <w:r>
        <w:rPr>
          <w:i/>
          <w:iCs/>
          <w:sz w:val="20"/>
          <w:szCs w:val="20"/>
        </w:rPr>
        <w:t>Cash flows provided by (used in) investing activities</w:t>
      </w:r>
    </w:p>
    <w:p w:rsidR="00000000" w:rsidRDefault="00DE7B41">
      <w:pPr>
        <w:pStyle w:val="a3"/>
        <w:spacing w:before="0" w:beforeAutospacing="0" w:after="0" w:afterAutospacing="0"/>
        <w:divId w:val="1060982423"/>
        <w:rPr>
          <w:sz w:val="20"/>
          <w:szCs w:val="20"/>
        </w:rPr>
      </w:pPr>
      <w:r>
        <w:rPr>
          <w:sz w:val="10"/>
          <w:szCs w:val="10"/>
        </w:rPr>
        <w:t>​</w:t>
      </w:r>
    </w:p>
    <w:p w:rsidR="00000000" w:rsidRDefault="00DE7B41">
      <w:pPr>
        <w:pStyle w:val="a3"/>
        <w:spacing w:before="0" w:beforeAutospacing="0" w:after="0" w:afterAutospacing="0"/>
        <w:ind w:firstLine="720"/>
        <w:divId w:val="1060982423"/>
        <w:rPr>
          <w:sz w:val="20"/>
          <w:szCs w:val="20"/>
        </w:rPr>
      </w:pPr>
      <w:r>
        <w:rPr>
          <w:sz w:val="20"/>
          <w:szCs w:val="20"/>
        </w:rPr>
        <w:t>Net cash provided by investing activities was $68.4 million for the three months ended March 31, 2020, consisting primarily of cash inflows from the net purchase and maturities of marketable securitie</w:t>
      </w:r>
      <w:r>
        <w:rPr>
          <w:sz w:val="20"/>
          <w:szCs w:val="20"/>
        </w:rPr>
        <w:t xml:space="preserve">s of $54.4 million and $14.9 million from the sale of marketable securities. </w:t>
      </w:r>
    </w:p>
    <w:p w:rsidR="00000000" w:rsidRDefault="00DE7B41">
      <w:pPr>
        <w:pStyle w:val="a3"/>
        <w:spacing w:before="0" w:beforeAutospacing="0" w:after="0" w:afterAutospacing="0"/>
        <w:ind w:firstLine="720"/>
        <w:divId w:val="1060982423"/>
        <w:rPr>
          <w:sz w:val="20"/>
          <w:szCs w:val="20"/>
        </w:rPr>
      </w:pPr>
      <w:r>
        <w:rPr>
          <w:sz w:val="20"/>
          <w:szCs w:val="20"/>
        </w:rPr>
        <w:t>​</w:t>
      </w:r>
    </w:p>
    <w:p w:rsidR="00000000" w:rsidRDefault="00DE7B41">
      <w:pPr>
        <w:pStyle w:val="a3"/>
        <w:spacing w:before="0" w:beforeAutospacing="0" w:after="0" w:afterAutospacing="0"/>
        <w:ind w:firstLine="720"/>
        <w:divId w:val="1060982423"/>
        <w:rPr>
          <w:sz w:val="20"/>
          <w:szCs w:val="20"/>
        </w:rPr>
      </w:pPr>
      <w:r>
        <w:rPr>
          <w:sz w:val="20"/>
          <w:szCs w:val="20"/>
        </w:rPr>
        <w:t>Net cash used in investing activities was $72.2 million for the three months ended March 31, 2019, consisting of cash outflows resulting from net purchases and maturities of ma</w:t>
      </w:r>
      <w:r>
        <w:rPr>
          <w:sz w:val="20"/>
          <w:szCs w:val="20"/>
        </w:rPr>
        <w:t xml:space="preserve">rketable securities of $70.9 million and $1.2 million in cash outflow related to the acquisition of property and equipment. </w:t>
      </w:r>
    </w:p>
    <w:p w:rsidR="00000000" w:rsidRDefault="00DE7B41">
      <w:pPr>
        <w:pStyle w:val="a3"/>
        <w:spacing w:before="0" w:beforeAutospacing="0" w:after="0" w:afterAutospacing="0"/>
        <w:divId w:val="1060982423"/>
        <w:rPr>
          <w:sz w:val="20"/>
          <w:szCs w:val="20"/>
        </w:rPr>
      </w:pPr>
      <w:r>
        <w:rPr>
          <w:sz w:val="20"/>
          <w:szCs w:val="20"/>
        </w:rPr>
        <w:t>​</w:t>
      </w:r>
    </w:p>
    <w:p w:rsidR="00000000" w:rsidRDefault="00DE7B41">
      <w:pPr>
        <w:pStyle w:val="a3"/>
        <w:spacing w:before="0" w:beforeAutospacing="0" w:after="0" w:afterAutospacing="0"/>
        <w:divId w:val="1060982423"/>
        <w:rPr>
          <w:sz w:val="20"/>
          <w:szCs w:val="20"/>
        </w:rPr>
      </w:pPr>
      <w:r>
        <w:rPr>
          <w:i/>
          <w:iCs/>
          <w:sz w:val="20"/>
          <w:szCs w:val="20"/>
        </w:rPr>
        <w:t>Cash flows provided by (used in) financing activities</w:t>
      </w:r>
    </w:p>
    <w:p w:rsidR="00000000" w:rsidRDefault="00DE7B41">
      <w:pPr>
        <w:pStyle w:val="a3"/>
        <w:spacing w:before="0" w:beforeAutospacing="0" w:after="0" w:afterAutospacing="0"/>
        <w:divId w:val="1060982423"/>
        <w:rPr>
          <w:sz w:val="20"/>
          <w:szCs w:val="20"/>
        </w:rPr>
      </w:pPr>
      <w:r>
        <w:rPr>
          <w:sz w:val="10"/>
          <w:szCs w:val="10"/>
        </w:rPr>
        <w:t>​</w:t>
      </w:r>
    </w:p>
    <w:p w:rsidR="00000000" w:rsidRDefault="00DE7B41">
      <w:pPr>
        <w:pStyle w:val="a3"/>
        <w:spacing w:before="0" w:beforeAutospacing="0" w:after="0" w:afterAutospacing="0"/>
        <w:ind w:firstLine="720"/>
        <w:divId w:val="1060982423"/>
        <w:rPr>
          <w:sz w:val="20"/>
          <w:szCs w:val="20"/>
        </w:rPr>
      </w:pPr>
      <w:r>
        <w:rPr>
          <w:sz w:val="20"/>
          <w:szCs w:val="20"/>
        </w:rPr>
        <w:t>Net cash provided by financing activities was $261.4 million for the thre</w:t>
      </w:r>
      <w:r>
        <w:rPr>
          <w:sz w:val="20"/>
          <w:szCs w:val="20"/>
        </w:rPr>
        <w:t>e months ended March 31, 2020, consisting primarily of the sale of 5,500,000 ordinary shares for total net proceeds of $139.9 million and the issuance of our Non-Recourse 2035 Notes for total net proceeds of $374.9 million. A portion of the of the Non-Reco</w:t>
      </w:r>
      <w:r>
        <w:rPr>
          <w:sz w:val="20"/>
          <w:szCs w:val="20"/>
        </w:rPr>
        <w:t>urse 2035 Notes proceeds were used to repay, in full, the remaining $235.3 million outstanding balance of our Non-Recourse 2033 Notes and an $11.5 million redemption premium related to the payoff of the Non-Recourse 2033 Notes. In addition to the above, ne</w:t>
      </w:r>
      <w:r>
        <w:rPr>
          <w:sz w:val="20"/>
          <w:szCs w:val="20"/>
        </w:rPr>
        <w:t>t cash inflow provided by financing activities was partially offset by the repurchase of shares to satisfy tax withholding obligations in the amount of $6.8 million.</w:t>
      </w:r>
    </w:p>
    <w:p w:rsidR="00000000" w:rsidRDefault="00DE7B41">
      <w:pPr>
        <w:pStyle w:val="a3"/>
        <w:spacing w:before="0" w:beforeAutospacing="0" w:after="0" w:afterAutospacing="0"/>
        <w:divId w:val="1060982423"/>
        <w:rPr>
          <w:sz w:val="20"/>
          <w:szCs w:val="20"/>
        </w:rPr>
      </w:pPr>
      <w:r>
        <w:rPr>
          <w:sz w:val="20"/>
          <w:szCs w:val="20"/>
        </w:rPr>
        <w:t>​</w:t>
      </w:r>
    </w:p>
    <w:p w:rsidR="00000000" w:rsidRDefault="00DE7B41">
      <w:pPr>
        <w:pStyle w:val="a3"/>
        <w:spacing w:before="0" w:beforeAutospacing="0" w:after="0" w:afterAutospacing="0"/>
        <w:ind w:firstLine="720"/>
        <w:divId w:val="1060982423"/>
        <w:rPr>
          <w:sz w:val="20"/>
          <w:szCs w:val="20"/>
        </w:rPr>
      </w:pPr>
      <w:r>
        <w:rPr>
          <w:sz w:val="20"/>
          <w:szCs w:val="20"/>
        </w:rPr>
        <w:t xml:space="preserve">Net cash used in financing activities was $1.4 million for the three months ended March </w:t>
      </w:r>
      <w:r>
        <w:rPr>
          <w:sz w:val="20"/>
          <w:szCs w:val="20"/>
        </w:rPr>
        <w:t>31, 2019 and primarily consisted of the repurchase of shares to satisfy tax withholding obligations.</w:t>
      </w:r>
    </w:p>
    <w:p w:rsidR="00000000" w:rsidRDefault="00DE7B41">
      <w:pPr>
        <w:pStyle w:val="a3"/>
        <w:spacing w:before="0" w:beforeAutospacing="0" w:after="0" w:afterAutospacing="0"/>
        <w:divId w:val="1060982423"/>
        <w:rPr>
          <w:sz w:val="20"/>
          <w:szCs w:val="20"/>
        </w:rPr>
      </w:pPr>
      <w:r>
        <w:rPr>
          <w:sz w:val="20"/>
          <w:szCs w:val="20"/>
        </w:rPr>
        <w:t>​</w:t>
      </w:r>
    </w:p>
    <w:p w:rsidR="00000000" w:rsidRDefault="00DE7B41">
      <w:pPr>
        <w:pStyle w:val="a3"/>
        <w:spacing w:before="0" w:beforeAutospacing="0" w:after="0" w:afterAutospacing="0"/>
        <w:divId w:val="1060982423"/>
        <w:rPr>
          <w:sz w:val="20"/>
          <w:szCs w:val="20"/>
        </w:rPr>
      </w:pPr>
      <w:r>
        <w:rPr>
          <w:b/>
          <w:bCs/>
          <w:i/>
          <w:iCs/>
          <w:sz w:val="20"/>
          <w:szCs w:val="20"/>
        </w:rPr>
        <w:t>Commitments and Contingencies</w:t>
      </w:r>
    </w:p>
    <w:p w:rsidR="00000000" w:rsidRDefault="00DE7B41">
      <w:pPr>
        <w:pStyle w:val="a3"/>
        <w:spacing w:before="0" w:beforeAutospacing="0" w:after="0" w:afterAutospacing="0"/>
        <w:divId w:val="1060982423"/>
        <w:rPr>
          <w:sz w:val="20"/>
          <w:szCs w:val="20"/>
        </w:rPr>
      </w:pPr>
      <w:r>
        <w:rPr>
          <w:sz w:val="10"/>
          <w:szCs w:val="10"/>
        </w:rPr>
        <w:t>​</w:t>
      </w:r>
    </w:p>
    <w:p w:rsidR="00000000" w:rsidRDefault="00DE7B41">
      <w:pPr>
        <w:pStyle w:val="a3"/>
        <w:spacing w:before="0" w:beforeAutospacing="0" w:after="0" w:afterAutospacing="0"/>
        <w:ind w:firstLine="720"/>
        <w:divId w:val="1060982423"/>
        <w:rPr>
          <w:sz w:val="20"/>
          <w:szCs w:val="20"/>
        </w:rPr>
      </w:pPr>
      <w:r>
        <w:rPr>
          <w:sz w:val="20"/>
          <w:szCs w:val="20"/>
        </w:rPr>
        <w:t>We indemnify our officers and directors for certain events or occurrences, subject to certain limits. We believe the fair</w:t>
      </w:r>
      <w:r>
        <w:rPr>
          <w:sz w:val="20"/>
          <w:szCs w:val="20"/>
        </w:rPr>
        <w:t xml:space="preserve"> value of these indemnification agreements is minimal. Accordingly, we have not recognized any liabilities relating to these agreements as of March 31, 2020.</w:t>
      </w:r>
    </w:p>
    <w:p w:rsidR="00000000" w:rsidRDefault="00DE7B41">
      <w:pPr>
        <w:pStyle w:val="a3"/>
        <w:spacing w:before="0" w:beforeAutospacing="0" w:after="0" w:afterAutospacing="0"/>
        <w:ind w:firstLine="720"/>
        <w:divId w:val="1060982423"/>
        <w:rPr>
          <w:sz w:val="20"/>
          <w:szCs w:val="20"/>
        </w:rPr>
      </w:pPr>
      <w:r>
        <w:rPr>
          <w:sz w:val="20"/>
          <w:szCs w:val="20"/>
        </w:rPr>
        <w:t>​</w:t>
      </w:r>
    </w:p>
    <w:p w:rsidR="00000000" w:rsidRDefault="00DE7B41">
      <w:pPr>
        <w:pStyle w:val="a3"/>
        <w:spacing w:before="0" w:beforeAutospacing="0" w:after="0" w:afterAutospacing="0"/>
        <w:divId w:val="1060982423"/>
        <w:rPr>
          <w:sz w:val="20"/>
          <w:szCs w:val="20"/>
        </w:rPr>
      </w:pPr>
      <w:r>
        <w:rPr>
          <w:i/>
          <w:iCs/>
          <w:sz w:val="20"/>
          <w:szCs w:val="20"/>
        </w:rPr>
        <w:t>Performance-Contingent Awards</w:t>
      </w:r>
    </w:p>
    <w:p w:rsidR="00000000" w:rsidRDefault="00DE7B41">
      <w:pPr>
        <w:pStyle w:val="a3"/>
        <w:spacing w:before="0" w:beforeAutospacing="0" w:after="0" w:afterAutospacing="0"/>
        <w:divId w:val="1060982423"/>
        <w:rPr>
          <w:sz w:val="20"/>
          <w:szCs w:val="20"/>
        </w:rPr>
      </w:pPr>
      <w:r>
        <w:rPr>
          <w:sz w:val="12"/>
          <w:szCs w:val="12"/>
        </w:rPr>
        <w:t>​</w:t>
      </w:r>
    </w:p>
    <w:p w:rsidR="00000000" w:rsidRDefault="00DE7B41">
      <w:pPr>
        <w:pStyle w:val="a3"/>
        <w:spacing w:before="0" w:beforeAutospacing="0" w:after="0" w:afterAutospacing="0"/>
        <w:ind w:firstLine="720"/>
        <w:divId w:val="1060982423"/>
        <w:rPr>
          <w:sz w:val="20"/>
          <w:szCs w:val="20"/>
        </w:rPr>
      </w:pPr>
      <w:r>
        <w:rPr>
          <w:sz w:val="20"/>
          <w:szCs w:val="20"/>
        </w:rPr>
        <w:t>In 2016, we granted long-term retention and incentive restricted</w:t>
      </w:r>
      <w:r>
        <w:rPr>
          <w:sz w:val="20"/>
          <w:szCs w:val="20"/>
        </w:rPr>
        <w:t xml:space="preserve"> share awards (“RSAs”) and restricted share units (“RSUs”) to members of senior management and long-term retention and incentive cash bonus awards to certain employees. The vesting and payout of such awards is dependent on meeting certain operating goals a</w:t>
      </w:r>
      <w:r>
        <w:rPr>
          <w:sz w:val="20"/>
          <w:szCs w:val="20"/>
        </w:rPr>
        <w:t>nd objectives during the five-year period from 2016 to December 31, 2020. These goals are strategically important for us, and we believe the goals should increase shareholder value. The awards have dual triggers of vesting based upon the achievement of the</w:t>
      </w:r>
      <w:r>
        <w:rPr>
          <w:sz w:val="20"/>
          <w:szCs w:val="20"/>
        </w:rPr>
        <w:t>se goals and continued employment, and they are broken into three separate tranches. We recognize compensation expense relating to awards subject to performance conditions if it is considered probable that the performance goals will be achieved. The probab</w:t>
      </w:r>
      <w:r>
        <w:rPr>
          <w:sz w:val="20"/>
          <w:szCs w:val="20"/>
        </w:rPr>
        <w:t>ility of achievement is reassessed at each quarter-end reporting period. Previously recognized expense is reversed in the period in which it becomes probable that the requisite service period will not be rendered.</w:t>
      </w:r>
    </w:p>
    <w:p w:rsidR="00000000" w:rsidRDefault="00DE7B41">
      <w:pPr>
        <w:pStyle w:val="a3"/>
        <w:spacing w:before="0" w:beforeAutospacing="0" w:after="0" w:afterAutospacing="0"/>
        <w:divId w:val="1060982423"/>
        <w:rPr>
          <w:sz w:val="20"/>
          <w:szCs w:val="20"/>
        </w:rPr>
      </w:pPr>
      <w:r>
        <w:rPr>
          <w:sz w:val="20"/>
          <w:szCs w:val="20"/>
        </w:rPr>
        <w:t>​</w:t>
      </w:r>
    </w:p>
    <w:p w:rsidR="00000000" w:rsidRDefault="00DE7B41">
      <w:pPr>
        <w:pStyle w:val="a3"/>
        <w:spacing w:before="0" w:beforeAutospacing="0" w:after="0" w:afterAutospacing="0"/>
        <w:ind w:firstLine="720"/>
        <w:divId w:val="1060982423"/>
        <w:rPr>
          <w:sz w:val="20"/>
          <w:szCs w:val="20"/>
        </w:rPr>
      </w:pPr>
      <w:r>
        <w:rPr>
          <w:sz w:val="20"/>
          <w:szCs w:val="20"/>
        </w:rPr>
        <w:t>We determined that achievement of the re</w:t>
      </w:r>
      <w:r>
        <w:rPr>
          <w:sz w:val="20"/>
          <w:szCs w:val="20"/>
        </w:rPr>
        <w:t xml:space="preserve">quisite performance conditions for the first tranche was completed in June 2018, and the expense associated with this first tranche was fully recognized in 2018. We determined that achievement of the requisite performance conditions for the second tranche </w:t>
      </w:r>
      <w:r>
        <w:rPr>
          <w:sz w:val="20"/>
          <w:szCs w:val="20"/>
        </w:rPr>
        <w:t>were completed in February 2019, and the expense associated with this second tranche was fully recognized as of March 31, 2020. For the three months ended March 31, 2020, we recognized $0.4 million and $0.5 million of share-based compensation expense and c</w:t>
      </w:r>
      <w:r>
        <w:rPr>
          <w:sz w:val="20"/>
          <w:szCs w:val="20"/>
        </w:rPr>
        <w:t xml:space="preserve">ash bonus expense, respectively, related to the second tranche of these awards. </w:t>
      </w:r>
    </w:p>
    <w:p w:rsidR="00000000" w:rsidRDefault="00DE7B41">
      <w:pPr>
        <w:pStyle w:val="a3"/>
        <w:spacing w:before="0" w:beforeAutospacing="0" w:after="0" w:afterAutospacing="0"/>
        <w:divId w:val="1060982423"/>
        <w:rPr>
          <w:sz w:val="20"/>
          <w:szCs w:val="20"/>
        </w:rPr>
      </w:pPr>
      <w:r>
        <w:rPr>
          <w:sz w:val="20"/>
          <w:szCs w:val="20"/>
        </w:rPr>
        <w:t>​</w:t>
      </w:r>
    </w:p>
    <w:p w:rsidR="00000000" w:rsidRDefault="00DE7B41">
      <w:pPr>
        <w:pStyle w:val="a3"/>
        <w:spacing w:before="0" w:beforeAutospacing="0" w:after="0" w:afterAutospacing="0"/>
        <w:ind w:firstLine="720"/>
        <w:divId w:val="1060982423"/>
        <w:rPr>
          <w:sz w:val="20"/>
          <w:szCs w:val="20"/>
        </w:rPr>
      </w:pPr>
      <w:r>
        <w:rPr>
          <w:sz w:val="20"/>
          <w:szCs w:val="20"/>
        </w:rPr>
        <w:t>In December 2019, we determined that the requisite performance conditions for the third tranche was probable of vesting. For the three months ended March 31, 2020, we recognized $0.6 million and $0.8 million of share-based compensation expense and cash bon</w:t>
      </w:r>
      <w:r>
        <w:rPr>
          <w:sz w:val="20"/>
          <w:szCs w:val="20"/>
        </w:rPr>
        <w:t>us expense, respectively, related to the third tranche of these awards. As of March 31, 2020, the maximum remaining share-based compensation expense and cash bonus expense associated with the third tranche was $2.3 million and $2.7 million, respectively.</w:t>
      </w:r>
    </w:p>
    <w:p w:rsidR="00000000" w:rsidRDefault="00DE7B41">
      <w:pPr>
        <w:pStyle w:val="a3"/>
        <w:spacing w:before="0" w:beforeAutospacing="0" w:after="0" w:afterAutospacing="0"/>
        <w:ind w:firstLine="720"/>
        <w:divId w:val="1060982423"/>
        <w:rPr>
          <w:sz w:val="20"/>
          <w:szCs w:val="20"/>
        </w:rPr>
      </w:pPr>
      <w:r>
        <w:rPr>
          <w:rFonts w:ascii="Times" w:hAnsi="Times"/>
          <w:sz w:val="20"/>
          <w:szCs w:val="20"/>
          <w:shd w:val="clear" w:color="auto" w:fill="FFFFFF"/>
        </w:rPr>
        <w:t>​</w:t>
      </w:r>
    </w:p>
    <w:p w:rsidR="00000000" w:rsidRDefault="00DE7B41">
      <w:pPr>
        <w:pStyle w:val="a3"/>
        <w:spacing w:before="360" w:beforeAutospacing="0" w:after="0" w:afterAutospacing="0"/>
        <w:jc w:val="center"/>
        <w:divId w:val="664167967"/>
        <w:rPr>
          <w:sz w:val="20"/>
          <w:szCs w:val="20"/>
        </w:rPr>
      </w:pPr>
      <w:r>
        <w:rPr>
          <w:sz w:val="20"/>
          <w:szCs w:val="20"/>
        </w:rPr>
        <w:t>33</w:t>
      </w:r>
    </w:p>
    <w:p w:rsidR="00000000" w:rsidRDefault="00DE7B41">
      <w:pPr>
        <w:pStyle w:val="a3"/>
        <w:spacing w:before="0" w:beforeAutospacing="0" w:after="600" w:afterAutospacing="0"/>
        <w:divId w:val="1400715148"/>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ind w:firstLine="720"/>
        <w:divId w:val="135755940"/>
        <w:rPr>
          <w:sz w:val="20"/>
          <w:szCs w:val="20"/>
        </w:rPr>
      </w:pPr>
      <w:r>
        <w:rPr>
          <w:sz w:val="20"/>
          <w:szCs w:val="20"/>
        </w:rPr>
        <w:t>Separate from the performance-contingent awards described above, we periodically grant performance-contingent RSUs to individual employees. For the three months ended March 31, 2020, we recognized $0.2</w:t>
      </w:r>
      <w:r>
        <w:rPr>
          <w:b/>
          <w:bCs/>
          <w:sz w:val="20"/>
          <w:szCs w:val="20"/>
        </w:rPr>
        <w:t xml:space="preserve"> </w:t>
      </w:r>
      <w:r>
        <w:rPr>
          <w:sz w:val="20"/>
          <w:szCs w:val="20"/>
        </w:rPr>
        <w:t>millio</w:t>
      </w:r>
      <w:r>
        <w:rPr>
          <w:sz w:val="20"/>
          <w:szCs w:val="20"/>
        </w:rPr>
        <w:t>n of share-based compensation expense related to such awards. As of March 31, 2020, there were 120,000 shares of these performance-contingent RSUs outstanding that have a maximum remaining share-based compensation expense of $2.3 million with performance e</w:t>
      </w:r>
      <w:r>
        <w:rPr>
          <w:sz w:val="20"/>
          <w:szCs w:val="20"/>
        </w:rPr>
        <w:t>xpiration dates ranging from December 2020 to June 2022.</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i/>
          <w:iCs/>
          <w:sz w:val="20"/>
          <w:szCs w:val="20"/>
        </w:rPr>
        <w:t>Off-Balance Sheet Arrangements</w:t>
      </w:r>
    </w:p>
    <w:p w:rsidR="00000000" w:rsidRDefault="00DE7B41">
      <w:pPr>
        <w:pStyle w:val="a3"/>
        <w:spacing w:before="0" w:beforeAutospacing="0" w:after="0" w:afterAutospacing="0"/>
        <w:divId w:val="135755940"/>
        <w:rPr>
          <w:sz w:val="20"/>
          <w:szCs w:val="20"/>
        </w:rPr>
      </w:pPr>
      <w:r>
        <w:rPr>
          <w:sz w:val="10"/>
          <w:szCs w:val="10"/>
        </w:rPr>
        <w:t>​</w:t>
      </w:r>
    </w:p>
    <w:p w:rsidR="00000000" w:rsidRDefault="00DE7B41">
      <w:pPr>
        <w:pStyle w:val="a3"/>
        <w:spacing w:before="0" w:beforeAutospacing="0" w:after="0" w:afterAutospacing="0"/>
        <w:ind w:firstLine="720"/>
        <w:divId w:val="135755940"/>
        <w:rPr>
          <w:sz w:val="20"/>
          <w:szCs w:val="20"/>
        </w:rPr>
      </w:pPr>
      <w:r>
        <w:rPr>
          <w:sz w:val="20"/>
          <w:szCs w:val="20"/>
        </w:rPr>
        <w:t>There have been no material changes in our off-balance sheet arrangements from those set forth in our Annual Report on Form 10-K for the year ended December 31, 201</w:t>
      </w:r>
      <w:r>
        <w:rPr>
          <w:sz w:val="20"/>
          <w:szCs w:val="20"/>
        </w:rPr>
        <w:t>9, filed with the SEC on February 27, 2020.</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i/>
          <w:iCs/>
          <w:sz w:val="20"/>
          <w:szCs w:val="20"/>
        </w:rPr>
        <w:t>Contractual Obligations and Commercial Commitments</w:t>
      </w:r>
    </w:p>
    <w:p w:rsidR="00000000" w:rsidRDefault="00DE7B41">
      <w:pPr>
        <w:pStyle w:val="a3"/>
        <w:spacing w:before="0" w:beforeAutospacing="0" w:after="0" w:afterAutospacing="0"/>
        <w:divId w:val="135755940"/>
        <w:rPr>
          <w:sz w:val="20"/>
          <w:szCs w:val="20"/>
        </w:rPr>
      </w:pPr>
      <w:r>
        <w:rPr>
          <w:sz w:val="10"/>
          <w:szCs w:val="10"/>
        </w:rPr>
        <w:t>​</w:t>
      </w:r>
    </w:p>
    <w:p w:rsidR="00000000" w:rsidRDefault="00DE7B41">
      <w:pPr>
        <w:pStyle w:val="a3"/>
        <w:spacing w:before="0" w:beforeAutospacing="0" w:after="0" w:afterAutospacing="0"/>
        <w:ind w:firstLine="720"/>
        <w:divId w:val="135755940"/>
        <w:rPr>
          <w:sz w:val="20"/>
          <w:szCs w:val="20"/>
        </w:rPr>
      </w:pPr>
      <w:r>
        <w:rPr>
          <w:sz w:val="20"/>
          <w:szCs w:val="20"/>
        </w:rPr>
        <w:t xml:space="preserve">There have been no material changes in our contractual obligations and commercial commitments from those set forth in our Annual Report on Form 10-K for the </w:t>
      </w:r>
      <w:r>
        <w:rPr>
          <w:sz w:val="20"/>
          <w:szCs w:val="20"/>
        </w:rPr>
        <w:t xml:space="preserve">year ended December 31, 2019, filed with the SEC on February 27, 2020. </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sz w:val="20"/>
          <w:szCs w:val="20"/>
        </w:rPr>
        <w:t xml:space="preserve">ITEM 3.   QUANTITATIVE AND QUALITATIVE DISCLOSURES ABOUT MARKET RISK </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hd w:val="clear" w:color="auto" w:fill="FFFFFF"/>
        <w:spacing w:before="0" w:beforeAutospacing="0" w:after="0" w:afterAutospacing="0"/>
        <w:ind w:firstLine="720"/>
        <w:divId w:val="135755940"/>
        <w:rPr>
          <w:sz w:val="20"/>
          <w:szCs w:val="20"/>
        </w:rPr>
      </w:pPr>
      <w:r>
        <w:rPr>
          <w:sz w:val="20"/>
          <w:szCs w:val="20"/>
        </w:rPr>
        <w:t xml:space="preserve">Our market risks, as of March 31, 2020, have not changed materially from those discussed in </w:t>
      </w:r>
      <w:r>
        <w:rPr>
          <w:i/>
          <w:iCs/>
          <w:sz w:val="20"/>
          <w:szCs w:val="20"/>
        </w:rPr>
        <w:t>“Item 7A. Quantita</w:t>
      </w:r>
      <w:r>
        <w:rPr>
          <w:i/>
          <w:iCs/>
          <w:sz w:val="20"/>
          <w:szCs w:val="20"/>
        </w:rPr>
        <w:t>tive and Qualitative Disclosures About Market Risk”</w:t>
      </w:r>
      <w:r>
        <w:rPr>
          <w:sz w:val="20"/>
          <w:szCs w:val="20"/>
        </w:rPr>
        <w:t xml:space="preserve"> of our Annual Report on Form 10-K for the year ended December 31, 2019, filed with the SEC on February 27, 2020. </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sz w:val="20"/>
          <w:szCs w:val="20"/>
        </w:rPr>
        <w:t>ITEM 4.   CONTROLS AND PROCEDURES</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i/>
          <w:iCs/>
          <w:sz w:val="20"/>
          <w:szCs w:val="20"/>
        </w:rPr>
        <w:t>Evaluation of Disclosure Controls and Procedures</w:t>
      </w:r>
    </w:p>
    <w:p w:rsidR="00000000" w:rsidRDefault="00DE7B41">
      <w:pPr>
        <w:pStyle w:val="a3"/>
        <w:spacing w:before="0" w:beforeAutospacing="0" w:after="0" w:afterAutospacing="0"/>
        <w:divId w:val="135755940"/>
        <w:rPr>
          <w:sz w:val="20"/>
          <w:szCs w:val="20"/>
        </w:rPr>
      </w:pPr>
      <w:r>
        <w:rPr>
          <w:sz w:val="10"/>
          <w:szCs w:val="10"/>
        </w:rPr>
        <w:t>​</w:t>
      </w:r>
    </w:p>
    <w:p w:rsidR="00000000" w:rsidRDefault="00DE7B41">
      <w:pPr>
        <w:pStyle w:val="a3"/>
        <w:spacing w:before="0" w:beforeAutospacing="0" w:after="0" w:afterAutospacing="0"/>
        <w:ind w:firstLine="720"/>
        <w:divId w:val="135755940"/>
        <w:rPr>
          <w:sz w:val="20"/>
          <w:szCs w:val="20"/>
        </w:rPr>
      </w:pPr>
      <w:r>
        <w:rPr>
          <w:sz w:val="20"/>
          <w:szCs w:val="20"/>
        </w:rPr>
        <w:t>We conducted an evaluation required by paragraph (d) of Rule 13a-15 of the Exchange Act as of March 31, 2020, under the supervision and with the participation of our management, including our Chief Executive Officer and Chief Financial Officer, of the effe</w:t>
      </w:r>
      <w:r>
        <w:rPr>
          <w:sz w:val="20"/>
          <w:szCs w:val="20"/>
        </w:rPr>
        <w:t>ctiveness of the design and operation of our disclosure controls and procedures (as defined under Rule 13a-15(e) of the Exchange Act), which are controls and other procedures of a company that are designed to ensure that information required to be disclose</w:t>
      </w:r>
      <w:r>
        <w:rPr>
          <w:sz w:val="20"/>
          <w:szCs w:val="20"/>
        </w:rPr>
        <w:t xml:space="preserve">d by a company in the reports that it files under the Exchange Act is recorded, processed, summarized and reported within required time periods. Based upon that evaluation, our Chief Executive Officer and Chief Financial Officer concluded that, as of such </w:t>
      </w:r>
      <w:r>
        <w:rPr>
          <w:sz w:val="20"/>
          <w:szCs w:val="20"/>
        </w:rPr>
        <w:t>date, our disclosure controls and procedures were effective at the reasonable assurance level.</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i/>
          <w:iCs/>
          <w:sz w:val="20"/>
          <w:szCs w:val="20"/>
        </w:rPr>
        <w:t>Limitations on the Effectiveness of Controls</w:t>
      </w:r>
    </w:p>
    <w:p w:rsidR="00000000" w:rsidRDefault="00DE7B41">
      <w:pPr>
        <w:pStyle w:val="a3"/>
        <w:spacing w:before="0" w:beforeAutospacing="0" w:after="0" w:afterAutospacing="0"/>
        <w:divId w:val="135755940"/>
        <w:rPr>
          <w:sz w:val="20"/>
          <w:szCs w:val="20"/>
        </w:rPr>
      </w:pPr>
      <w:r>
        <w:rPr>
          <w:sz w:val="10"/>
          <w:szCs w:val="10"/>
        </w:rPr>
        <w:t>​</w:t>
      </w:r>
    </w:p>
    <w:p w:rsidR="00000000" w:rsidRDefault="00DE7B41">
      <w:pPr>
        <w:pStyle w:val="a3"/>
        <w:spacing w:before="0" w:beforeAutospacing="0" w:after="0" w:afterAutospacing="0"/>
        <w:ind w:firstLine="720"/>
        <w:divId w:val="135755940"/>
        <w:rPr>
          <w:sz w:val="20"/>
          <w:szCs w:val="20"/>
        </w:rPr>
      </w:pPr>
      <w:r>
        <w:rPr>
          <w:sz w:val="20"/>
          <w:szCs w:val="20"/>
        </w:rPr>
        <w:t>Our management, including our Chief Executive Officer and Chief Financial Officer, does not expect that our disc</w:t>
      </w:r>
      <w:r>
        <w:rPr>
          <w:sz w:val="20"/>
          <w:szCs w:val="20"/>
        </w:rPr>
        <w:t>losure controls and procedures or our internal control over financial reporting will prevent all error and all fraud. A control system, no matter how well conceived and operated, can provide only reasonable, not absolute, assurance that the objectives of t</w:t>
      </w:r>
      <w:r>
        <w:rPr>
          <w:sz w:val="20"/>
          <w:szCs w:val="20"/>
        </w:rPr>
        <w:t>he control system are met. Further, the design of a control system must reflect the fact that there are resource constraints, and the benefit of controls must be considered relative to their costs. Because of the inherent limitations in all control systems</w:t>
      </w:r>
      <w:r>
        <w:rPr>
          <w:sz w:val="20"/>
          <w:szCs w:val="20"/>
        </w:rPr>
        <w:t>, no evaluation of controls can provide absolute assurance that all control issues and instances of fraud, if any, within Theravance Biopharma have been detected. Also, projections of any evaluation of effectiveness to future periods are subject to the ris</w:t>
      </w:r>
      <w:r>
        <w:rPr>
          <w:sz w:val="20"/>
          <w:szCs w:val="20"/>
        </w:rPr>
        <w:t>k that controls may become inadequate because of changes in conditions, or that the degree of compliance with the policies or procedures may deteriorate.</w:t>
      </w:r>
    </w:p>
    <w:p w:rsidR="00000000" w:rsidRDefault="00DE7B41">
      <w:pPr>
        <w:pStyle w:val="a3"/>
        <w:spacing w:before="0" w:beforeAutospacing="0" w:after="0" w:afterAutospacing="0"/>
        <w:divId w:val="135755940"/>
        <w:rPr>
          <w:sz w:val="20"/>
          <w:szCs w:val="20"/>
        </w:rPr>
      </w:pPr>
      <w:r>
        <w:rPr>
          <w:sz w:val="20"/>
          <w:szCs w:val="20"/>
        </w:rPr>
        <w:t>​</w:t>
      </w:r>
    </w:p>
    <w:p w:rsidR="00000000" w:rsidRDefault="00DE7B41">
      <w:pPr>
        <w:pStyle w:val="a3"/>
        <w:spacing w:before="0" w:beforeAutospacing="0" w:after="0" w:afterAutospacing="0"/>
        <w:divId w:val="135755940"/>
        <w:rPr>
          <w:sz w:val="20"/>
          <w:szCs w:val="20"/>
        </w:rPr>
      </w:pPr>
      <w:r>
        <w:rPr>
          <w:b/>
          <w:bCs/>
          <w:i/>
          <w:iCs/>
          <w:sz w:val="20"/>
          <w:szCs w:val="20"/>
        </w:rPr>
        <w:t>Changes in Internal Control over Financial Reporting</w:t>
      </w:r>
    </w:p>
    <w:p w:rsidR="00000000" w:rsidRDefault="00DE7B41">
      <w:pPr>
        <w:pStyle w:val="a3"/>
        <w:spacing w:before="0" w:beforeAutospacing="0" w:after="0" w:afterAutospacing="0"/>
        <w:divId w:val="135755940"/>
        <w:rPr>
          <w:sz w:val="20"/>
          <w:szCs w:val="20"/>
        </w:rPr>
      </w:pPr>
      <w:r>
        <w:rPr>
          <w:sz w:val="10"/>
          <w:szCs w:val="10"/>
        </w:rPr>
        <w:t>​</w:t>
      </w:r>
    </w:p>
    <w:p w:rsidR="00000000" w:rsidRDefault="00DE7B41">
      <w:pPr>
        <w:pStyle w:val="a3"/>
        <w:spacing w:before="0" w:beforeAutospacing="0" w:after="240" w:afterAutospacing="0"/>
        <w:ind w:firstLine="720"/>
        <w:divId w:val="135755940"/>
        <w:rPr>
          <w:sz w:val="20"/>
          <w:szCs w:val="20"/>
        </w:rPr>
      </w:pPr>
      <w:r>
        <w:rPr>
          <w:sz w:val="20"/>
          <w:szCs w:val="20"/>
        </w:rPr>
        <w:t>There was no change in our internal control o</w:t>
      </w:r>
      <w:r>
        <w:rPr>
          <w:sz w:val="20"/>
          <w:szCs w:val="20"/>
        </w:rPr>
        <w:t>ver financial reporting (as defined in Rule 13a-15(f) of the Exchange Act) identified in connection with the evaluation required by paragraph (d) of Rule 13a-15 of the Exchange Act, which occurred during the first quarter of the year ending December 31, 20</w:t>
      </w:r>
      <w:r>
        <w:rPr>
          <w:sz w:val="20"/>
          <w:szCs w:val="20"/>
        </w:rPr>
        <w:t>20 which has materially affected, or is reasonably likely to materially affect, our internal control over financial reporting.</w:t>
      </w:r>
    </w:p>
    <w:p w:rsidR="00000000" w:rsidRDefault="00DE7B41">
      <w:pPr>
        <w:pStyle w:val="a3"/>
        <w:spacing w:before="360" w:beforeAutospacing="0" w:after="0" w:afterAutospacing="0"/>
        <w:jc w:val="center"/>
        <w:divId w:val="1516187387"/>
        <w:rPr>
          <w:sz w:val="20"/>
          <w:szCs w:val="20"/>
        </w:rPr>
      </w:pPr>
      <w:r>
        <w:rPr>
          <w:sz w:val="20"/>
          <w:szCs w:val="20"/>
        </w:rPr>
        <w:t>34</w:t>
      </w:r>
    </w:p>
    <w:p w:rsidR="00000000" w:rsidRDefault="00DE7B41">
      <w:pPr>
        <w:pStyle w:val="a3"/>
        <w:spacing w:before="0" w:beforeAutospacing="0" w:after="600" w:afterAutospacing="0"/>
        <w:divId w:val="1824545806"/>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883203901"/>
        <w:rPr>
          <w:sz w:val="20"/>
          <w:szCs w:val="20"/>
        </w:rPr>
      </w:pPr>
      <w:r>
        <w:rPr>
          <w:b/>
          <w:bCs/>
          <w:sz w:val="20"/>
          <w:szCs w:val="20"/>
        </w:rPr>
        <w:t>PART II.  OTHER INFORMATION</w:t>
      </w:r>
    </w:p>
    <w:p w:rsidR="00000000" w:rsidRDefault="00DE7B41">
      <w:pPr>
        <w:pStyle w:val="a3"/>
        <w:spacing w:before="0" w:beforeAutospacing="0" w:after="0" w:afterAutospacing="0"/>
        <w:divId w:val="1883203901"/>
        <w:rPr>
          <w:sz w:val="20"/>
          <w:szCs w:val="20"/>
        </w:rPr>
      </w:pPr>
      <w:r>
        <w:rPr>
          <w:sz w:val="20"/>
          <w:szCs w:val="20"/>
        </w:rPr>
        <w:t>​</w:t>
      </w:r>
    </w:p>
    <w:p w:rsidR="00000000" w:rsidRDefault="00DE7B41">
      <w:pPr>
        <w:pStyle w:val="a3"/>
        <w:spacing w:before="0" w:beforeAutospacing="0" w:after="0" w:afterAutospacing="0"/>
        <w:divId w:val="1883203901"/>
        <w:rPr>
          <w:sz w:val="20"/>
          <w:szCs w:val="20"/>
        </w:rPr>
      </w:pPr>
      <w:r>
        <w:rPr>
          <w:b/>
          <w:bCs/>
          <w:sz w:val="20"/>
          <w:szCs w:val="20"/>
        </w:rPr>
        <w:t xml:space="preserve">ITEM 1.   LEGAL PROCEEDINGS </w:t>
      </w:r>
    </w:p>
    <w:p w:rsidR="00000000" w:rsidRDefault="00DE7B41">
      <w:pPr>
        <w:pStyle w:val="a3"/>
        <w:spacing w:before="0" w:beforeAutospacing="0" w:after="0" w:afterAutospacing="0"/>
        <w:divId w:val="1883203901"/>
        <w:rPr>
          <w:sz w:val="20"/>
          <w:szCs w:val="20"/>
        </w:rPr>
      </w:pPr>
      <w:r>
        <w:rPr>
          <w:sz w:val="20"/>
          <w:szCs w:val="20"/>
        </w:rPr>
        <w:t>​</w:t>
      </w:r>
    </w:p>
    <w:p w:rsidR="00000000" w:rsidRDefault="00DE7B41">
      <w:pPr>
        <w:pStyle w:val="a3"/>
        <w:spacing w:before="0" w:beforeAutospacing="0" w:after="0" w:afterAutospacing="0"/>
        <w:ind w:firstLine="720"/>
        <w:divId w:val="1883203901"/>
        <w:rPr>
          <w:sz w:val="20"/>
          <w:szCs w:val="20"/>
        </w:rPr>
      </w:pPr>
      <w:r>
        <w:rPr>
          <w:sz w:val="20"/>
          <w:szCs w:val="20"/>
        </w:rPr>
        <w:t xml:space="preserve">We are not currently </w:t>
      </w:r>
      <w:r>
        <w:rPr>
          <w:sz w:val="20"/>
          <w:szCs w:val="20"/>
        </w:rPr>
        <w:t xml:space="preserve">a party to any material litigation or other material legal proceedings. </w:t>
      </w:r>
    </w:p>
    <w:p w:rsidR="00000000" w:rsidRDefault="00DE7B41">
      <w:pPr>
        <w:pStyle w:val="a3"/>
        <w:spacing w:before="0" w:beforeAutospacing="0" w:after="0" w:afterAutospacing="0"/>
        <w:divId w:val="1883203901"/>
        <w:rPr>
          <w:sz w:val="20"/>
          <w:szCs w:val="20"/>
        </w:rPr>
      </w:pPr>
      <w:r>
        <w:rPr>
          <w:sz w:val="20"/>
          <w:szCs w:val="20"/>
        </w:rPr>
        <w:t>​</w:t>
      </w:r>
    </w:p>
    <w:p w:rsidR="00000000" w:rsidRDefault="00DE7B41">
      <w:pPr>
        <w:pStyle w:val="a3"/>
        <w:spacing w:before="0" w:beforeAutospacing="0" w:after="0" w:afterAutospacing="0"/>
        <w:divId w:val="1883203901"/>
        <w:rPr>
          <w:sz w:val="20"/>
          <w:szCs w:val="20"/>
        </w:rPr>
      </w:pPr>
      <w:r>
        <w:rPr>
          <w:b/>
          <w:bCs/>
          <w:sz w:val="20"/>
          <w:szCs w:val="20"/>
        </w:rPr>
        <w:t xml:space="preserve">ITEM 1A.  RISK FACTORS </w:t>
      </w:r>
    </w:p>
    <w:p w:rsidR="00000000" w:rsidRDefault="00DE7B41">
      <w:pPr>
        <w:pStyle w:val="a3"/>
        <w:spacing w:before="0" w:beforeAutospacing="0" w:after="0" w:afterAutospacing="0"/>
        <w:divId w:val="1883203901"/>
        <w:rPr>
          <w:sz w:val="20"/>
          <w:szCs w:val="20"/>
        </w:rPr>
      </w:pPr>
      <w:r>
        <w:rPr>
          <w:sz w:val="20"/>
          <w:szCs w:val="20"/>
        </w:rPr>
        <w:t>​</w:t>
      </w:r>
    </w:p>
    <w:p w:rsidR="00000000" w:rsidRDefault="00DE7B41">
      <w:pPr>
        <w:pStyle w:val="a3"/>
        <w:spacing w:before="0" w:beforeAutospacing="0" w:after="0" w:afterAutospacing="0"/>
        <w:divId w:val="1883203901"/>
        <w:rPr>
          <w:sz w:val="20"/>
          <w:szCs w:val="20"/>
        </w:rPr>
      </w:pPr>
      <w:r>
        <w:rPr>
          <w:b/>
          <w:bCs/>
          <w:sz w:val="20"/>
          <w:szCs w:val="20"/>
        </w:rPr>
        <w:t xml:space="preserve">RISKS RELATING TO THE COMPANY </w:t>
      </w:r>
    </w:p>
    <w:p w:rsidR="00000000" w:rsidRDefault="00DE7B41">
      <w:pPr>
        <w:pStyle w:val="a3"/>
        <w:spacing w:before="0" w:beforeAutospacing="0" w:after="0" w:afterAutospacing="0"/>
        <w:divId w:val="1883203901"/>
        <w:rPr>
          <w:sz w:val="20"/>
          <w:szCs w:val="20"/>
        </w:rPr>
      </w:pPr>
      <w:r>
        <w:rPr>
          <w:b/>
          <w:bCs/>
          <w:sz w:val="20"/>
          <w:szCs w:val="20"/>
        </w:rPr>
        <w:t>​</w:t>
      </w:r>
    </w:p>
    <w:p w:rsidR="00000000" w:rsidRDefault="00DE7B41">
      <w:pPr>
        <w:pStyle w:val="a3"/>
        <w:spacing w:before="0" w:beforeAutospacing="0" w:after="120" w:afterAutospacing="0"/>
        <w:divId w:val="1883203901"/>
        <w:rPr>
          <w:sz w:val="20"/>
          <w:szCs w:val="20"/>
        </w:rPr>
      </w:pPr>
      <w:r>
        <w:rPr>
          <w:b/>
          <w:bCs/>
          <w:i/>
          <w:iCs/>
          <w:sz w:val="20"/>
          <w:szCs w:val="20"/>
        </w:rPr>
        <w:t>We anticipate that we will incur losses for the foreseeable future. We may never achieve or sustain profitability.</w:t>
      </w:r>
    </w:p>
    <w:p w:rsidR="00000000" w:rsidRDefault="00DE7B41">
      <w:pPr>
        <w:pStyle w:val="a3"/>
        <w:spacing w:before="0" w:beforeAutospacing="0" w:after="0" w:afterAutospacing="0"/>
        <w:ind w:firstLine="720"/>
        <w:divId w:val="1883203901"/>
        <w:rPr>
          <w:sz w:val="20"/>
          <w:szCs w:val="20"/>
        </w:rPr>
      </w:pPr>
      <w:r>
        <w:rPr>
          <w:sz w:val="20"/>
          <w:szCs w:val="20"/>
        </w:rPr>
        <w:t>First as part of Innoviva, Inc., and since June 2, 2014 as Theravance Biopharma, we have been engaged in discovery and development of compounds and product candidates since mid-1997. We may never generate sufficient revenue from the sale of medicines, roya</w:t>
      </w:r>
      <w:r>
        <w:rPr>
          <w:sz w:val="20"/>
          <w:szCs w:val="20"/>
        </w:rPr>
        <w:t>lties on sales by our partners or from our interest in Theravance Respiratory Company, LLC (“TRC”) to achieve profitability. During the three months ended March 31, 2020 and years ended December 31, 2019 and 2018, we recognized net losses of $83.1 million,</w:t>
      </w:r>
      <w:r>
        <w:rPr>
          <w:sz w:val="20"/>
          <w:szCs w:val="20"/>
        </w:rPr>
        <w:t xml:space="preserve"> $236.5 million, and $215.5 million, respectively, which are reflected in the shareholders’ deficit on our condensed consolidated balance sheets. We reflect cumulative net loss incurred after June 2, 2014, the effective date of our spin-off from Innoviva, </w:t>
      </w:r>
      <w:r>
        <w:rPr>
          <w:sz w:val="20"/>
          <w:szCs w:val="20"/>
        </w:rPr>
        <w:t>Inc. (the “Spin-Off”), as accumulated deficit on our condensed consolidated balance sheets, which was $1.3 billion as of March 31, 2020. We expect to continue to incur net losses at least over the next several years as we continue our drug discovery and de</w:t>
      </w:r>
      <w:r>
        <w:rPr>
          <w:sz w:val="20"/>
          <w:szCs w:val="20"/>
        </w:rPr>
        <w:t>velopment efforts and incur significant preclinical and clinical development costs related to our current product candidates and commercialization and development costs relating to YUPELRI. In particular, to the extent we continue to advance our product ca</w:t>
      </w:r>
      <w:r>
        <w:rPr>
          <w:sz w:val="20"/>
          <w:szCs w:val="20"/>
        </w:rPr>
        <w:t>ndidates into and through additional clinical studies, we will incur substantial expenses. For example, we initiated a Phase 2b/3 induction and maintenance study of TD-1473 in ulcerative colitis, we initiated a Phase 2 induction study of TD-1473 in Crohn’s</w:t>
      </w:r>
      <w:r>
        <w:rPr>
          <w:sz w:val="20"/>
          <w:szCs w:val="20"/>
        </w:rPr>
        <w:t xml:space="preserve"> disease, and we have progressed ampreloxetine (TD-9855) into a Phase 3 registrational program. The expenses associated with these clinical studies are substantial. We will incur costs and expenses associated with our co-promotion agreement with Mylan for </w:t>
      </w:r>
      <w:r>
        <w:rPr>
          <w:sz w:val="20"/>
          <w:szCs w:val="20"/>
        </w:rPr>
        <w:t xml:space="preserve">commercialization of YUPELRI in the United States (“US”), including the maintenance of an independent sales and marketing organization with appropriate technical expertise, a medical affairs presence and consultant support, and post-marketing studies. Our </w:t>
      </w:r>
      <w:r>
        <w:rPr>
          <w:sz w:val="20"/>
          <w:szCs w:val="20"/>
        </w:rPr>
        <w:t>commitment of resources to the continued development of our existing product candidates, our discovery programs, and YUPELRI will require significant additional funding. Our operating expenses also will increase if, among other things:</w:t>
      </w:r>
    </w:p>
    <w:p w:rsidR="00000000" w:rsidRDefault="00DE7B41">
      <w:pPr>
        <w:pStyle w:val="a3"/>
        <w:spacing w:before="0" w:beforeAutospacing="0" w:after="0" w:afterAutospacing="0"/>
        <w:divId w:val="1883203901"/>
        <w:rPr>
          <w:sz w:val="20"/>
          <w:szCs w:val="20"/>
        </w:rPr>
      </w:pPr>
      <w: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3203901"/>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our earlier stage potential products move into later-stage clinical development, which is generally more expensive than early stage development;</w:t>
            </w:r>
          </w:p>
        </w:tc>
      </w:tr>
    </w:tbl>
    <w:p w:rsidR="00000000" w:rsidRDefault="00DE7B41">
      <w:pPr>
        <w:divId w:val="18832039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883203901"/>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additional preclinical product candidates are selected for clinical development;</w:t>
            </w:r>
          </w:p>
        </w:tc>
      </w:tr>
    </w:tbl>
    <w:p w:rsidR="00000000" w:rsidRDefault="00DE7B41">
      <w:pPr>
        <w:divId w:val="18832039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trPr>
          <w:divId w:val="1883203901"/>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we pursue clinical d</w:t>
            </w:r>
            <w:r>
              <w:rPr>
                <w:sz w:val="20"/>
                <w:szCs w:val="20"/>
              </w:rPr>
              <w:t>evelopment of our potential or current products in new indications;</w:t>
            </w:r>
          </w:p>
        </w:tc>
      </w:tr>
    </w:tbl>
    <w:p w:rsidR="00000000" w:rsidRDefault="00DE7B41">
      <w:pPr>
        <w:divId w:val="188320390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3203901"/>
        </w:trPr>
        <w:tc>
          <w:tcPr>
            <w:tcW w:w="720" w:type="dxa"/>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7B41">
            <w:pPr>
              <w:spacing w:after="240"/>
              <w:rPr>
                <w:rFonts w:eastAsia="Times New Roman"/>
                <w:sz w:val="20"/>
                <w:szCs w:val="20"/>
              </w:rPr>
            </w:pPr>
            <w:r>
              <w:rPr>
                <w:rFonts w:eastAsia="Times New Roman"/>
                <w:color w:val="000000"/>
                <w:sz w:val="20"/>
                <w:szCs w:val="20"/>
              </w:rPr>
              <w:t xml:space="preserve">our clinical trials become more complicated due to the COVID-19 pandemic or other similar external factors; </w:t>
            </w:r>
          </w:p>
        </w:tc>
      </w:tr>
    </w:tbl>
    <w:p w:rsidR="00000000" w:rsidRDefault="00DE7B41">
      <w:pPr>
        <w:divId w:val="188320390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3203901"/>
        </w:trPr>
        <w:tc>
          <w:tcPr>
            <w:tcW w:w="720" w:type="dxa"/>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7B41">
            <w:pPr>
              <w:rPr>
                <w:rFonts w:eastAsia="Times New Roman"/>
                <w:sz w:val="20"/>
                <w:szCs w:val="20"/>
              </w:rPr>
            </w:pPr>
            <w:r>
              <w:rPr>
                <w:rFonts w:eastAsia="Times New Roman"/>
                <w:color w:val="000000"/>
                <w:sz w:val="20"/>
                <w:szCs w:val="20"/>
              </w:rPr>
              <w:t>we increase the number of patents we are prosecuting or otherwise expend additional resources on patent prosecution or defense; or</w:t>
            </w:r>
          </w:p>
        </w:tc>
      </w:tr>
    </w:tbl>
    <w:p w:rsidR="00000000" w:rsidRDefault="00DE7B41">
      <w:pPr>
        <w:pStyle w:val="a3"/>
        <w:spacing w:before="0" w:beforeAutospacing="0" w:after="0" w:afterAutospacing="0"/>
        <w:ind w:left="1080"/>
        <w:divId w:val="188320390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3203901"/>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we ac</w:t>
            </w:r>
            <w:r>
              <w:rPr>
                <w:sz w:val="20"/>
                <w:szCs w:val="20"/>
              </w:rPr>
              <w:t>quire or in-license additional technologies, product candidates, products or businesses.</w:t>
            </w:r>
          </w:p>
        </w:tc>
      </w:tr>
    </w:tbl>
    <w:p w:rsidR="00000000" w:rsidRDefault="00DE7B41">
      <w:pPr>
        <w:pStyle w:val="a3"/>
        <w:spacing w:before="0" w:beforeAutospacing="0" w:after="240" w:afterAutospacing="0"/>
        <w:ind w:firstLine="720"/>
        <w:divId w:val="1883203901"/>
        <w:rPr>
          <w:sz w:val="20"/>
          <w:szCs w:val="20"/>
        </w:rPr>
      </w:pPr>
      <w:r>
        <w:rPr>
          <w:sz w:val="20"/>
          <w:szCs w:val="20"/>
        </w:rPr>
        <w:t>While we are generating revenues from (i) sales of YUPELRI, (ii) our economic interest in royalties from net sales of TRELEGY ELLIPTA paid to TRC (63.75% of which amo</w:t>
      </w:r>
      <w:r>
        <w:rPr>
          <w:sz w:val="20"/>
          <w:szCs w:val="20"/>
        </w:rPr>
        <w:t>unts are used to make payments on the Non-Recourse 2033 Notes), (iii) payments under collaboration agreements, and (iv) minor royalties from the net sales of VIBATIV, we do not expect to generate significant revenues or become profitable in the immediate f</w:t>
      </w:r>
      <w:r>
        <w:rPr>
          <w:sz w:val="20"/>
          <w:szCs w:val="20"/>
        </w:rPr>
        <w:t>uture. As a result of the COVID-19 pandemic (defined below), we could experience declines in revenues from these sources. Since we or our collaborators or licensees may not successfully develop additional products, obtain required regulatory approvals, man</w:t>
      </w:r>
      <w:r>
        <w:rPr>
          <w:sz w:val="20"/>
          <w:szCs w:val="20"/>
        </w:rPr>
        <w:t>ufacture products at an acceptable cost or with appropriate quality, or successfully market and sell such products with desired margins, our expenses will continue to exceed any revenues we may receive for the foreseeable future.</w:t>
      </w:r>
    </w:p>
    <w:p w:rsidR="00000000" w:rsidRDefault="00DE7B41">
      <w:pPr>
        <w:pStyle w:val="a3"/>
        <w:spacing w:before="360" w:beforeAutospacing="0" w:after="0" w:afterAutospacing="0"/>
        <w:jc w:val="center"/>
        <w:divId w:val="2003966873"/>
        <w:rPr>
          <w:sz w:val="20"/>
          <w:szCs w:val="20"/>
        </w:rPr>
      </w:pPr>
      <w:r>
        <w:rPr>
          <w:sz w:val="20"/>
          <w:szCs w:val="20"/>
        </w:rPr>
        <w:t>35</w:t>
      </w:r>
    </w:p>
    <w:p w:rsidR="00000000" w:rsidRDefault="00DE7B41">
      <w:pPr>
        <w:pStyle w:val="a3"/>
        <w:spacing w:before="0" w:beforeAutospacing="0" w:after="600" w:afterAutospacing="0"/>
        <w:divId w:val="212498787"/>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ind w:firstLine="720"/>
        <w:divId w:val="50277925"/>
        <w:rPr>
          <w:sz w:val="20"/>
          <w:szCs w:val="20"/>
        </w:rPr>
      </w:pPr>
      <w:r>
        <w:rPr>
          <w:sz w:val="20"/>
          <w:szCs w:val="20"/>
        </w:rPr>
        <w:t xml:space="preserve">In the absence of substantial licensing payments, contingent payments or other revenues from third-party collaborators, royalties on sales of products licensed under our intellectual property rights, future revenues from those product </w:t>
      </w:r>
      <w:r>
        <w:rPr>
          <w:sz w:val="20"/>
          <w:szCs w:val="20"/>
        </w:rPr>
        <w:t>candidates in development that receive regulatory approval or other sources of revenues, we will continue to incur operating losses and will require additional capital to execute our business strategy. The likelihood of reaching, and the time required to r</w:t>
      </w:r>
      <w:r>
        <w:rPr>
          <w:sz w:val="20"/>
          <w:szCs w:val="20"/>
        </w:rPr>
        <w:t>each, and then to sustain, profitability are highly uncertain. As a result, we expect to continue to incur substantial losses for the foreseeable future. We are uncertain when or if we will ever be able to achieve or sustain profitability. Failure to becom</w:t>
      </w:r>
      <w:r>
        <w:rPr>
          <w:sz w:val="20"/>
          <w:szCs w:val="20"/>
        </w:rPr>
        <w:t>e and remain profitable would adversely affect the price of our securities and our ability to raise capital and continue operations.</w:t>
      </w:r>
    </w:p>
    <w:p w:rsidR="00000000" w:rsidRDefault="00DE7B41">
      <w:pPr>
        <w:pStyle w:val="a3"/>
        <w:spacing w:before="0" w:beforeAutospacing="0" w:after="120" w:afterAutospacing="0"/>
        <w:divId w:val="50277925"/>
        <w:rPr>
          <w:sz w:val="20"/>
          <w:szCs w:val="20"/>
        </w:rPr>
      </w:pPr>
      <w:r>
        <w:rPr>
          <w:b/>
          <w:bCs/>
          <w:i/>
          <w:iCs/>
          <w:sz w:val="20"/>
          <w:szCs w:val="20"/>
        </w:rPr>
        <w:t>We face risks related to health epidemics, including the recent COVID-19 pandemic, which could have a material adverse effe</w:t>
      </w:r>
      <w:r>
        <w:rPr>
          <w:b/>
          <w:bCs/>
          <w:i/>
          <w:iCs/>
          <w:sz w:val="20"/>
          <w:szCs w:val="20"/>
        </w:rPr>
        <w:t>ct on our business and results of operations.</w:t>
      </w:r>
    </w:p>
    <w:p w:rsidR="00000000" w:rsidRDefault="00DE7B41">
      <w:pPr>
        <w:pStyle w:val="a3"/>
        <w:spacing w:before="0" w:beforeAutospacing="0" w:after="240" w:afterAutospacing="0"/>
        <w:ind w:firstLine="720"/>
        <w:divId w:val="50277925"/>
        <w:rPr>
          <w:sz w:val="20"/>
          <w:szCs w:val="20"/>
        </w:rPr>
      </w:pPr>
      <w:r>
        <w:rPr>
          <w:sz w:val="20"/>
          <w:szCs w:val="20"/>
        </w:rPr>
        <w:t xml:space="preserve">Our business has been and will continue to be adversely affected by the recent widespread and contagious outbreak of respiratory illness caused by a novel strain of coronavirus, SARS-CoV-2, causing the Coronavirus Disease 2019, also known as COVID-19 (the </w:t>
      </w:r>
      <w:r>
        <w:rPr>
          <w:sz w:val="20"/>
          <w:szCs w:val="20"/>
        </w:rPr>
        <w:t>“COVID-19 pandemic”). Global health concerns relating to the COVID-19 pandemic have been weighing on the macroeconomic environment, and the pandemic has significantly increased economic volatility and uncertainty.</w:t>
      </w:r>
    </w:p>
    <w:p w:rsidR="00000000" w:rsidRDefault="00DE7B41">
      <w:pPr>
        <w:pStyle w:val="a3"/>
        <w:spacing w:before="0" w:beforeAutospacing="0" w:after="240" w:afterAutospacing="0"/>
        <w:ind w:firstLine="720"/>
        <w:divId w:val="50277925"/>
        <w:rPr>
          <w:sz w:val="20"/>
          <w:szCs w:val="20"/>
        </w:rPr>
      </w:pPr>
      <w:r>
        <w:rPr>
          <w:sz w:val="20"/>
          <w:szCs w:val="20"/>
        </w:rPr>
        <w:t>The pandemic has resulted in government au</w:t>
      </w:r>
      <w:r>
        <w:rPr>
          <w:sz w:val="20"/>
          <w:szCs w:val="20"/>
        </w:rPr>
        <w:t>thorities implementing numerous measures to try to contain the virus, such as travel bans and restrictions, quarantines, shelter-in-place or stay-at-home orders, and business shutdowns. For example, our personnel located at our headquarters in California a</w:t>
      </w:r>
      <w:r>
        <w:rPr>
          <w:sz w:val="20"/>
          <w:szCs w:val="20"/>
        </w:rPr>
        <w:t>nd elsewhere in the US, Ireland and in other countries, are currently subject to shelter-in-place or stay-at-home orders from state and local governments. These measures have adversely impacted and may further impact our employees and operations and the op</w:t>
      </w:r>
      <w:r>
        <w:rPr>
          <w:sz w:val="20"/>
          <w:szCs w:val="20"/>
        </w:rPr>
        <w:t>erations of our customers, suppliers and business partners, and may negatively impact spending patterns, payment cycles and insurance coverage levels. In addition, certain aspects of our business, such as laboratory-based research, cannot be conducted remo</w:t>
      </w:r>
      <w:r>
        <w:rPr>
          <w:sz w:val="20"/>
          <w:szCs w:val="20"/>
        </w:rPr>
        <w:t>tely and other aspects of our business, like our hospital-based sales team, our field-based medical affairs team, and our support of sites in our clinical trials, cannot be accomplished as effectively or efficiently remotely. These measures by government a</w:t>
      </w:r>
      <w:r>
        <w:rPr>
          <w:sz w:val="20"/>
          <w:szCs w:val="20"/>
        </w:rPr>
        <w:t>uthorities may continue to remain in place for a significant period of time, and they are likely to continue to adversely affect our business and results of operations.</w:t>
      </w:r>
    </w:p>
    <w:p w:rsidR="00000000" w:rsidRDefault="00DE7B41">
      <w:pPr>
        <w:pStyle w:val="a3"/>
        <w:spacing w:before="0" w:beforeAutospacing="0" w:after="0" w:afterAutospacing="0"/>
        <w:ind w:firstLine="720"/>
        <w:divId w:val="50277925"/>
        <w:rPr>
          <w:sz w:val="20"/>
          <w:szCs w:val="20"/>
        </w:rPr>
      </w:pPr>
      <w:r>
        <w:rPr>
          <w:sz w:val="20"/>
          <w:szCs w:val="20"/>
        </w:rPr>
        <w:t xml:space="preserve">In addition, we expect sales cycles, particularly for new customers, to be impacted as </w:t>
      </w:r>
      <w:r>
        <w:rPr>
          <w:sz w:val="20"/>
          <w:szCs w:val="20"/>
        </w:rPr>
        <w:t>a result of the COVID-19 pandemic, and we have observed increased volatility in YUPELRI sales. Sales momentum has been affected by COVID-19 and may continue to be in the future. We market YUPELRI in the hospital setting, where healthcare workers are priori</w:t>
      </w:r>
      <w:r>
        <w:rPr>
          <w:sz w:val="20"/>
          <w:szCs w:val="20"/>
        </w:rPr>
        <w:t>tizing the treatment of patients with or suspected of COVID-19 disease. In mid-March 2020, we suspended in-person sales calls to accounts in response to the COVID-19 pandemic, and we are engaging with these customers remotely via telephone calls, electroni</w:t>
      </w:r>
      <w:r>
        <w:rPr>
          <w:sz w:val="20"/>
          <w:szCs w:val="20"/>
        </w:rPr>
        <w:t>c mail, digital outreach or video conferencing as we seek to continue to support healthcare professionals and patient care. We may see declines in customer orders or delays in starting new patients on YUPELRI as a result of, among other things, advance sal</w:t>
      </w:r>
      <w:r>
        <w:rPr>
          <w:sz w:val="20"/>
          <w:szCs w:val="20"/>
        </w:rPr>
        <w:t>es due to an early stock-up of supply, a shift in our marketing efforts to remote communication methods, increased workload of healthcare providers, and the impact of the Center for Disease Control interim guidelines for limiting the exposure of health car</w:t>
      </w:r>
      <w:r>
        <w:rPr>
          <w:sz w:val="20"/>
          <w:szCs w:val="20"/>
        </w:rPr>
        <w:t>e workers to the virus that causes COVID-19, in which drug nebulization in COVID-19 positive patients is listed as a high-risk exposure while present in the room for procedures when the healthcare providers’ eyes, nose, or mouth are not protected. We are p</w:t>
      </w:r>
      <w:r>
        <w:rPr>
          <w:sz w:val="20"/>
          <w:szCs w:val="20"/>
        </w:rPr>
        <w:t>reparing for a higher degree of volatility during the remainder of 2020 as disruptions of day-to-day operations of hospitals and clinics may continue. In addition, while we do not currently anticipate any supply issues, the COVID-19 pandemic could impact o</w:t>
      </w:r>
      <w:r>
        <w:rPr>
          <w:sz w:val="20"/>
          <w:szCs w:val="20"/>
        </w:rPr>
        <w:t>ur supply of YUPELRI in the future. At this stage, we are unable to predict the ultimate disruptive impact of the COVID-19 pandemic on both YUPELRI and the rest of our business.</w:t>
      </w:r>
      <w:r>
        <w:rPr>
          <w:sz w:val="20"/>
          <w:szCs w:val="20"/>
        </w:rPr>
        <w:t xml:space="preserve"> </w:t>
      </w:r>
    </w:p>
    <w:p w:rsidR="00000000" w:rsidRDefault="00DE7B41">
      <w:pPr>
        <w:pStyle w:val="a3"/>
        <w:spacing w:before="360" w:beforeAutospacing="0" w:after="0" w:afterAutospacing="0"/>
        <w:jc w:val="center"/>
        <w:divId w:val="1489711024"/>
        <w:rPr>
          <w:sz w:val="20"/>
          <w:szCs w:val="20"/>
        </w:rPr>
      </w:pPr>
      <w:r>
        <w:rPr>
          <w:sz w:val="20"/>
          <w:szCs w:val="20"/>
        </w:rPr>
        <w:t>36</w:t>
      </w:r>
    </w:p>
    <w:p w:rsidR="00000000" w:rsidRDefault="00DE7B41">
      <w:pPr>
        <w:pStyle w:val="a3"/>
        <w:spacing w:before="0" w:beforeAutospacing="0" w:after="600" w:afterAutospacing="0"/>
        <w:divId w:val="824978112"/>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ind w:firstLine="720"/>
        <w:divId w:val="1407461683"/>
        <w:rPr>
          <w:sz w:val="20"/>
          <w:szCs w:val="20"/>
        </w:rPr>
      </w:pPr>
      <w:r>
        <w:rPr>
          <w:sz w:val="20"/>
          <w:szCs w:val="20"/>
        </w:rPr>
        <w:t>In addition, the COVID-19 pand</w:t>
      </w:r>
      <w:r>
        <w:rPr>
          <w:sz w:val="20"/>
          <w:szCs w:val="20"/>
        </w:rPr>
        <w:t xml:space="preserve">emic makes the conduct of clinical trials more challenging given the paramount importance of adequate safety monitoring, collection of data and distribution of study drug, all of which are traditionally achieved by in person visits to our study sites. </w:t>
      </w:r>
      <w:r>
        <w:rPr>
          <w:color w:val="333333"/>
          <w:sz w:val="20"/>
          <w:szCs w:val="20"/>
          <w:shd w:val="clear" w:color="auto" w:fill="FFFFFF"/>
        </w:rPr>
        <w:t>We e</w:t>
      </w:r>
      <w:r>
        <w:rPr>
          <w:color w:val="333333"/>
          <w:sz w:val="20"/>
          <w:szCs w:val="20"/>
          <w:shd w:val="clear" w:color="auto" w:fill="FFFFFF"/>
        </w:rPr>
        <w:t xml:space="preserve">xpect challenges to arise from </w:t>
      </w:r>
      <w:r>
        <w:rPr>
          <w:sz w:val="20"/>
          <w:szCs w:val="20"/>
        </w:rPr>
        <w:t>quarantines, shelter-in-place or stay-at-home orders</w:t>
      </w:r>
      <w:r>
        <w:rPr>
          <w:color w:val="333333"/>
          <w:sz w:val="20"/>
          <w:szCs w:val="20"/>
          <w:shd w:val="clear" w:color="auto" w:fill="FFFFFF"/>
        </w:rPr>
        <w:t xml:space="preserve">, site closures, travel limitations, </w:t>
      </w:r>
      <w:r>
        <w:rPr>
          <w:sz w:val="20"/>
          <w:szCs w:val="20"/>
          <w:shd w:val="clear" w:color="auto" w:fill="FFFFFF"/>
        </w:rPr>
        <w:t xml:space="preserve">potential interruptions to the supply chain for investigational products, or other considerations if site personnel or trial </w:t>
      </w:r>
      <w:r>
        <w:rPr>
          <w:color w:val="333333"/>
          <w:sz w:val="20"/>
          <w:szCs w:val="20"/>
          <w:shd w:val="clear" w:color="auto" w:fill="FFFFFF"/>
        </w:rPr>
        <w:t>subjects be</w:t>
      </w:r>
      <w:r>
        <w:rPr>
          <w:color w:val="333333"/>
          <w:sz w:val="20"/>
          <w:szCs w:val="20"/>
          <w:shd w:val="clear" w:color="auto" w:fill="FFFFFF"/>
        </w:rPr>
        <w:t xml:space="preserve">come infected with COVID-19. These challenges may lead to difficulties in meeting protocol-specified procedures. </w:t>
      </w:r>
      <w:r>
        <w:rPr>
          <w:sz w:val="20"/>
          <w:szCs w:val="20"/>
        </w:rPr>
        <w:t>In light of the COVID-19 pandemic, the Company is implementing mitigation plans to help ensure patients in the clinical trials have continued a</w:t>
      </w:r>
      <w:r>
        <w:rPr>
          <w:sz w:val="20"/>
          <w:szCs w:val="20"/>
        </w:rPr>
        <w:t>ccess to drug supply and regular visits with their physicians for study visits per trial protocols, but there is a risk that our trial data could be impacted if our efforts are insufficient. It is also possible that demand for products that we may pursue c</w:t>
      </w:r>
      <w:r>
        <w:rPr>
          <w:sz w:val="20"/>
          <w:szCs w:val="20"/>
        </w:rPr>
        <w:t>ould be materially and adversely affected as a result of COVID-19 and any related economic impact. Furthermore, we cannot assure you that our recent publicly-announced initiatives addressing COVID-19 will result in commercially-viable products.</w:t>
      </w:r>
    </w:p>
    <w:p w:rsidR="00000000" w:rsidRDefault="00DE7B41">
      <w:pPr>
        <w:pStyle w:val="a3"/>
        <w:spacing w:before="0" w:beforeAutospacing="0" w:after="240" w:afterAutospacing="0"/>
        <w:ind w:firstLine="720"/>
        <w:divId w:val="1407461683"/>
        <w:rPr>
          <w:sz w:val="20"/>
          <w:szCs w:val="20"/>
        </w:rPr>
      </w:pPr>
      <w:r>
        <w:rPr>
          <w:sz w:val="20"/>
          <w:szCs w:val="20"/>
        </w:rPr>
        <w:t xml:space="preserve">The spread </w:t>
      </w:r>
      <w:r>
        <w:rPr>
          <w:sz w:val="20"/>
          <w:szCs w:val="20"/>
        </w:rPr>
        <w:t>of COVID-19 has caused us to modify our business practices (including employee travel, mandating that all non-essential personnel work from home, temporary closures of our offices, and cancellation of physical participation in commercial activities, meetin</w:t>
      </w:r>
      <w:r>
        <w:rPr>
          <w:sz w:val="20"/>
          <w:szCs w:val="20"/>
        </w:rPr>
        <w:t>gs, events and conferences), and we may take further actions as may be required by government authorities or that we determine are in the best interests of our employees, customers and business partners. There is no certainty that such actions will be suff</w:t>
      </w:r>
      <w:r>
        <w:rPr>
          <w:sz w:val="20"/>
          <w:szCs w:val="20"/>
        </w:rPr>
        <w:t xml:space="preserve">icient to mitigate the risks posed by the virus or otherwise be satisfactory to government authorities. If significant portions of our workforce, and particularly our field-based teams and laboratory staff, are unable to work effectively, including due to </w:t>
      </w:r>
      <w:r>
        <w:rPr>
          <w:sz w:val="20"/>
          <w:szCs w:val="20"/>
        </w:rPr>
        <w:t xml:space="preserve">illness, quarantines, social distancing, government actions or other restrictions in connection with the COVID-19 pandemic, our operations will be impacted. The COVID-19 pandemic could limit the ability of our customers, suppliers and business partners to </w:t>
      </w:r>
      <w:r>
        <w:rPr>
          <w:sz w:val="20"/>
          <w:szCs w:val="20"/>
        </w:rPr>
        <w:t>perform under their contracts with us, including third-party payers’ ability to make timely payments to us during and following the pandemic. We may also experience a shortage of supplies and materials or a suspension of services from third parties. Additi</w:t>
      </w:r>
      <w:r>
        <w:rPr>
          <w:sz w:val="20"/>
          <w:szCs w:val="20"/>
        </w:rPr>
        <w:t>onally, while the potential economic impact brought by, and the duration of, the coronavirus pandemic is difficult to assess or predict, the impact of the coronavirus on the global financial markets may reduce our ability to access capital, which could neg</w:t>
      </w:r>
      <w:r>
        <w:rPr>
          <w:sz w:val="20"/>
          <w:szCs w:val="20"/>
        </w:rPr>
        <w:t xml:space="preserve">atively impact our long-term liquidity. Even after the COVID-19 pandemic has subsided, we may continue to experience an adverse impact to our business as a result of its global economic impact, including any recession that has occurred or may occur in the </w:t>
      </w:r>
      <w:r>
        <w:rPr>
          <w:sz w:val="20"/>
          <w:szCs w:val="20"/>
        </w:rPr>
        <w:t>future.</w:t>
      </w:r>
    </w:p>
    <w:p w:rsidR="00000000" w:rsidRDefault="00DE7B41">
      <w:pPr>
        <w:pStyle w:val="a3"/>
        <w:spacing w:before="0" w:beforeAutospacing="0" w:after="240" w:afterAutospacing="0"/>
        <w:ind w:firstLine="720"/>
        <w:divId w:val="1407461683"/>
        <w:rPr>
          <w:sz w:val="20"/>
          <w:szCs w:val="20"/>
        </w:rPr>
      </w:pPr>
      <w:r>
        <w:rPr>
          <w:sz w:val="20"/>
          <w:szCs w:val="20"/>
        </w:rPr>
        <w:t>The extent to which the COVID-19 pandemic impacts our business, results of operations and financial condition will depend on future developments, which are highly uncertain and cannot be predicted, including, but not limited to, the duration and sp</w:t>
      </w:r>
      <w:r>
        <w:rPr>
          <w:sz w:val="20"/>
          <w:szCs w:val="20"/>
        </w:rPr>
        <w:t>read of the pandemic, its severity, the actions to contain the virus or address its impact, and how quickly and to what extent normal economic and operating activities can resume. There are no comparable recent events which may provide guidance as to the e</w:t>
      </w:r>
      <w:r>
        <w:rPr>
          <w:sz w:val="20"/>
          <w:szCs w:val="20"/>
        </w:rPr>
        <w:t>ffect of the spread of the COVID-19 pandemic, and, as a result, the ultimate impact of the COVID-19 pandemic or a similar health epidemic is highly uncertain and subject to change. We do not yet know the full extent of COVID-19’s impact on our business, ou</w:t>
      </w:r>
      <w:r>
        <w:rPr>
          <w:sz w:val="20"/>
          <w:szCs w:val="20"/>
        </w:rPr>
        <w:t>r operations, or the global economy as a whole. However, the effects will have a material adverse impact on our future results of operations.</w:t>
      </w:r>
    </w:p>
    <w:p w:rsidR="00000000" w:rsidRDefault="00DE7B41">
      <w:pPr>
        <w:pStyle w:val="a3"/>
        <w:spacing w:before="0" w:beforeAutospacing="0" w:after="0" w:afterAutospacing="0"/>
        <w:divId w:val="1407461683"/>
        <w:rPr>
          <w:sz w:val="20"/>
          <w:szCs w:val="20"/>
        </w:rPr>
      </w:pPr>
      <w:r>
        <w:rPr>
          <w:b/>
          <w:bCs/>
          <w:i/>
          <w:iCs/>
          <w:sz w:val="20"/>
          <w:szCs w:val="20"/>
        </w:rPr>
        <w:t>Any delay in commencing or completing clinical studies for product candidates and any adverse results from clinica</w:t>
      </w:r>
      <w:r>
        <w:rPr>
          <w:b/>
          <w:bCs/>
          <w:i/>
          <w:iCs/>
          <w:sz w:val="20"/>
          <w:szCs w:val="20"/>
        </w:rPr>
        <w:t>l or non-clinical studies or regulatory obstacles product candidates may face, would harm our business and the price of our securities could fall.</w:t>
      </w:r>
    </w:p>
    <w:p w:rsidR="00000000" w:rsidRDefault="00DE7B41">
      <w:pPr>
        <w:pStyle w:val="a3"/>
        <w:spacing w:before="0" w:beforeAutospacing="0" w:after="0" w:afterAutospacing="0"/>
        <w:divId w:val="1407461683"/>
        <w:rPr>
          <w:sz w:val="20"/>
          <w:szCs w:val="20"/>
        </w:rPr>
      </w:pPr>
      <w:r>
        <w:rPr>
          <w:b/>
          <w:bCs/>
          <w:i/>
          <w:iCs/>
          <w:sz w:val="20"/>
          <w:szCs w:val="20"/>
        </w:rPr>
        <w:t>​</w:t>
      </w:r>
    </w:p>
    <w:p w:rsidR="00000000" w:rsidRDefault="00DE7B41">
      <w:pPr>
        <w:pStyle w:val="a3"/>
        <w:spacing w:before="0" w:beforeAutospacing="0" w:after="240" w:afterAutospacing="0"/>
        <w:ind w:firstLine="720"/>
        <w:divId w:val="1407461683"/>
        <w:rPr>
          <w:sz w:val="20"/>
          <w:szCs w:val="20"/>
        </w:rPr>
      </w:pPr>
      <w:r>
        <w:rPr>
          <w:sz w:val="20"/>
          <w:szCs w:val="20"/>
        </w:rPr>
        <w:t>Each of our product candidates must undergo extensive non-clinical and clinical studies as a condition to r</w:t>
      </w:r>
      <w:r>
        <w:rPr>
          <w:sz w:val="20"/>
          <w:szCs w:val="20"/>
        </w:rPr>
        <w:t>egulatory approval. Non-clinical and clinical studies are expensive, take many years to complete and study results may lead to delays in further studies, new requirements for conducting future studies or decisions to terminate programs. The commencement an</w:t>
      </w:r>
      <w:r>
        <w:rPr>
          <w:sz w:val="20"/>
          <w:szCs w:val="20"/>
        </w:rPr>
        <w:t>d completion of clinical studies for our product candidates may be delayed and programs may be terminated due to many factors,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trPr>
          <w:divId w:val="1407461683"/>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lack of effectiveness of product candidates during clinical studies;</w:t>
            </w:r>
          </w:p>
        </w:tc>
      </w:tr>
    </w:tbl>
    <w:p w:rsidR="00000000" w:rsidRDefault="00DE7B41">
      <w:pPr>
        <w:divId w:val="140746168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7461683"/>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adverse events, safety issues or side effects (or perceived adverse developments or results) relating to the product candidates or their formulation into medicines;</w:t>
            </w:r>
          </w:p>
        </w:tc>
      </w:tr>
    </w:tbl>
    <w:p w:rsidR="00000000" w:rsidRDefault="00DE7B41">
      <w:pPr>
        <w:divId w:val="140746168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7461683"/>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inability to raise additional capital in sufficient amounts to continue our developmen</w:t>
            </w:r>
            <w:r>
              <w:rPr>
                <w:sz w:val="20"/>
                <w:szCs w:val="20"/>
              </w:rPr>
              <w:t>t programs, which are very expensive;</w:t>
            </w:r>
          </w:p>
        </w:tc>
      </w:tr>
    </w:tbl>
    <w:p w:rsidR="00000000" w:rsidRDefault="00DE7B41">
      <w:pPr>
        <w:pStyle w:val="a3"/>
        <w:spacing w:before="360" w:beforeAutospacing="0" w:after="0" w:afterAutospacing="0"/>
        <w:jc w:val="center"/>
        <w:divId w:val="744957906"/>
        <w:rPr>
          <w:sz w:val="20"/>
          <w:szCs w:val="20"/>
        </w:rPr>
      </w:pPr>
      <w:r>
        <w:rPr>
          <w:sz w:val="20"/>
          <w:szCs w:val="20"/>
        </w:rPr>
        <w:t>37</w:t>
      </w:r>
    </w:p>
    <w:p w:rsidR="00000000" w:rsidRDefault="00DE7B41">
      <w:pPr>
        <w:pStyle w:val="a3"/>
        <w:spacing w:before="0" w:beforeAutospacing="0" w:after="600" w:afterAutospacing="0"/>
        <w:divId w:val="100940931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inability to enter into partnering arrangements relating to the development and commercialization of our programs and product candidates;</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delays in patient enrollment and variability in the number and types of patients available for clinical studies;</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need to sequence clinical studies as opposed to conducting them concomitantly in order to conserve resources;</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our inability or the inability of our collaborators or licensees to manufacture or obtain from third parties materials sufficient for use</w:t>
            </w:r>
            <w:r>
              <w:rPr>
                <w:sz w:val="20"/>
                <w:szCs w:val="20"/>
              </w:rPr>
              <w:t xml:space="preserve"> in non-clinical and clinical studies;</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governmental or regulatory delays or suspensions of the conduct of the clinical trials and changes in regulatory requirements, policy and guidelines, including as a result of any class-based risks that emerge as </w:t>
            </w:r>
            <w:r>
              <w:rPr>
                <w:sz w:val="20"/>
                <w:szCs w:val="20"/>
              </w:rPr>
              <w:t>an area of FDA or other regulatory agency focus;</w:t>
            </w:r>
          </w:p>
        </w:tc>
      </w:tr>
    </w:tbl>
    <w:p w:rsidR="00000000" w:rsidRDefault="00DE7B41">
      <w:pPr>
        <w:divId w:val="28550120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rPr>
                <w:rFonts w:eastAsia="Times New Roman"/>
                <w:sz w:val="12"/>
                <w:szCs w:val="12"/>
              </w:rPr>
            </w:pPr>
            <w:r>
              <w:rPr>
                <w:rFonts w:eastAsia="Times New Roman"/>
                <w:sz w:val="12"/>
                <w:szCs w:val="12"/>
              </w:rPr>
              <w:t>●</w:t>
            </w:r>
          </w:p>
        </w:tc>
        <w:tc>
          <w:tcPr>
            <w:tcW w:w="0" w:type="auto"/>
            <w:tcMar>
              <w:top w:w="0" w:type="dxa"/>
              <w:left w:w="0" w:type="dxa"/>
              <w:bottom w:w="0" w:type="dxa"/>
              <w:right w:w="0" w:type="dxa"/>
            </w:tcMar>
            <w:vAlign w:val="center"/>
            <w:hideMark/>
          </w:tcPr>
          <w:p w:rsidR="00000000" w:rsidRDefault="00DE7B41">
            <w:pPr>
              <w:rPr>
                <w:rFonts w:eastAsia="Times New Roman"/>
                <w:sz w:val="20"/>
                <w:szCs w:val="20"/>
              </w:rPr>
            </w:pPr>
            <w:r>
              <w:rPr>
                <w:rFonts w:eastAsia="Times New Roman"/>
                <w:color w:val="000000"/>
                <w:sz w:val="20"/>
                <w:szCs w:val="20"/>
              </w:rPr>
              <w:t xml:space="preserve">challenges with recruitment and/or progressing patients through the study due to the COVID-19 pandemic, as discussed further in the risk factor entitled </w:t>
            </w:r>
            <w:r>
              <w:rPr>
                <w:rFonts w:eastAsia="Times New Roman"/>
                <w:i/>
                <w:iCs/>
                <w:color w:val="000000"/>
                <w:sz w:val="20"/>
                <w:szCs w:val="20"/>
              </w:rPr>
              <w:t>“We face risks related to health epidemics, inclu</w:t>
            </w:r>
            <w:r>
              <w:rPr>
                <w:rFonts w:eastAsia="Times New Roman"/>
                <w:i/>
                <w:iCs/>
                <w:color w:val="000000"/>
                <w:sz w:val="20"/>
                <w:szCs w:val="20"/>
              </w:rPr>
              <w:t>ding the recent COVID-19 pandemic, which could have a material adverse effect on our business and results of operations”</w:t>
            </w:r>
            <w:r>
              <w:rPr>
                <w:rFonts w:eastAsia="Times New Roman"/>
                <w:color w:val="000000"/>
                <w:sz w:val="20"/>
                <w:szCs w:val="20"/>
              </w:rPr>
              <w:t>;</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failure of our partners to advance our product candidates through clinical development;</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difficulty in maintaining contact with patients after treatment, resulting in incomplete data;</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varying regulatory requirements or interpretations of data amon</w:t>
            </w:r>
            <w:r>
              <w:rPr>
                <w:sz w:val="20"/>
                <w:szCs w:val="20"/>
              </w:rPr>
              <w:t>g the FDA and foreign regulatory authorities; and</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 regional disturbance where we or our collaborative partners are enrolling patients in clinical trials, such as a pandemic, terrorist activities or war, political unrest or a natural disaster.</w:t>
            </w:r>
          </w:p>
        </w:tc>
      </w:tr>
    </w:tbl>
    <w:p w:rsidR="00000000" w:rsidRDefault="00DE7B41">
      <w:pPr>
        <w:pStyle w:val="a3"/>
        <w:spacing w:before="0" w:beforeAutospacing="0" w:after="240" w:afterAutospacing="0"/>
        <w:ind w:firstLine="720"/>
        <w:divId w:val="285501208"/>
        <w:rPr>
          <w:sz w:val="20"/>
          <w:szCs w:val="20"/>
        </w:rPr>
      </w:pPr>
      <w:r>
        <w:rPr>
          <w:sz w:val="20"/>
          <w:szCs w:val="20"/>
        </w:rPr>
        <w:t>Any ad</w:t>
      </w:r>
      <w:r>
        <w:rPr>
          <w:sz w:val="20"/>
          <w:szCs w:val="20"/>
        </w:rPr>
        <w:t>verse developments or results or perceived adverse developments or results with respect to our clinical programs including, without limitation, any delays in development in our programs as we are currently experiencing due to the COVID-19 pandemic, any hal</w:t>
      </w:r>
      <w:r>
        <w:rPr>
          <w:sz w:val="20"/>
          <w:szCs w:val="20"/>
        </w:rPr>
        <w:t>ting of development in our programs, any difficulties or delays encountered with regard to the FDA or other third country regulatory authorities with respect to our programs, or any indication from clinical or non-clinical studies that the compounds in our</w:t>
      </w:r>
      <w:r>
        <w:rPr>
          <w:sz w:val="20"/>
          <w:szCs w:val="20"/>
        </w:rPr>
        <w:t xml:space="preserve"> programs are not safe or efficacious, could have a material adverse effect on our business and cause the price of our securities to fall.</w:t>
      </w:r>
    </w:p>
    <w:p w:rsidR="00000000" w:rsidRDefault="00DE7B41">
      <w:pPr>
        <w:pStyle w:val="a3"/>
        <w:spacing w:before="0" w:beforeAutospacing="0" w:after="240" w:afterAutospacing="0"/>
        <w:ind w:firstLine="720"/>
        <w:divId w:val="285501208"/>
        <w:rPr>
          <w:sz w:val="20"/>
          <w:szCs w:val="20"/>
        </w:rPr>
      </w:pPr>
      <w:r>
        <w:rPr>
          <w:sz w:val="20"/>
          <w:szCs w:val="20"/>
        </w:rPr>
        <w:t>In July 2019, the FDA issued a Boxed Warning for a systemically active pan-JAK inhibitor, calling out an increased ri</w:t>
      </w:r>
      <w:r>
        <w:rPr>
          <w:sz w:val="20"/>
          <w:szCs w:val="20"/>
        </w:rPr>
        <w:t xml:space="preserve">sk of pulmonary embolism and death following the results of a safety study in patients with rheumatoid arthritis. We are focused on developing pan-JAK inhibitors that are designed to remain organ-selective so that they do not become systemically active in </w:t>
      </w:r>
      <w:r>
        <w:rPr>
          <w:sz w:val="20"/>
          <w:szCs w:val="20"/>
        </w:rPr>
        <w:t>order to minimize the risk of side effects. It is unknown at this time what, if any, additional requirements the FDA may put in place with respect to the development of JAK inhibitors generally or what other future FDA actions may have on the prospects for</w:t>
      </w:r>
      <w:r>
        <w:rPr>
          <w:sz w:val="20"/>
          <w:szCs w:val="20"/>
        </w:rPr>
        <w:t xml:space="preserve"> JAK inhibitors. Delays or adverse developments or results or perceived adverse developments or results relating to JAK inhibitors could harm our business and could cause the price of our securities to fall. Examples of such adverse developments include, b</w:t>
      </w:r>
      <w:r>
        <w:rPr>
          <w:sz w:val="20"/>
          <w:szCs w:val="20"/>
        </w:rPr>
        <w:t>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FDA and/or other regulatory authorities determining that additional non-clinical or clinical studies are required with respect to our JAK inhibitor programs;</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safety, efficacy or other concerns relating to our JAK inhibitor programs or JAK inhibitors under development or commercialized by other companies;</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FDA determining that class-based warnings are required for JAK inhibitors generally; or</w:t>
            </w:r>
          </w:p>
        </w:tc>
      </w:tr>
    </w:tbl>
    <w:p w:rsidR="00000000" w:rsidRDefault="00DE7B41">
      <w:pPr>
        <w:divId w:val="2855012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trPr>
          <w:divId w:val="285501208"/>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ch</w:t>
            </w:r>
            <w:r>
              <w:rPr>
                <w:sz w:val="20"/>
                <w:szCs w:val="20"/>
              </w:rPr>
              <w:t>ange in FDA policy or guidance regarding JAK inhibitors.</w:t>
            </w:r>
          </w:p>
        </w:tc>
      </w:tr>
    </w:tbl>
    <w:p w:rsidR="00000000" w:rsidRDefault="00DE7B41">
      <w:pPr>
        <w:pStyle w:val="a3"/>
        <w:spacing w:before="360" w:beforeAutospacing="0" w:after="0" w:afterAutospacing="0"/>
        <w:jc w:val="center"/>
        <w:divId w:val="1003435735"/>
        <w:rPr>
          <w:sz w:val="20"/>
          <w:szCs w:val="20"/>
        </w:rPr>
      </w:pPr>
      <w:r>
        <w:rPr>
          <w:sz w:val="20"/>
          <w:szCs w:val="20"/>
        </w:rPr>
        <w:t>38</w:t>
      </w:r>
    </w:p>
    <w:p w:rsidR="00000000" w:rsidRDefault="00DE7B41">
      <w:pPr>
        <w:pStyle w:val="a3"/>
        <w:spacing w:before="0" w:beforeAutospacing="0" w:after="600" w:afterAutospacing="0"/>
        <w:divId w:val="1267737474"/>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660040605"/>
        <w:rPr>
          <w:sz w:val="20"/>
          <w:szCs w:val="20"/>
        </w:rPr>
      </w:pPr>
      <w:r>
        <w:rPr>
          <w:b/>
          <w:bCs/>
          <w:i/>
          <w:iCs/>
          <w:sz w:val="20"/>
          <w:szCs w:val="20"/>
        </w:rPr>
        <w:t>If our product candidates are not approved by regulatory authorities, including the FDA, we will be unable to commercialize them.</w:t>
      </w:r>
    </w:p>
    <w:p w:rsidR="00000000" w:rsidRDefault="00DE7B41">
      <w:pPr>
        <w:pStyle w:val="a3"/>
        <w:spacing w:before="0" w:beforeAutospacing="0" w:after="240" w:afterAutospacing="0"/>
        <w:ind w:firstLine="720"/>
        <w:divId w:val="660040605"/>
        <w:rPr>
          <w:sz w:val="20"/>
          <w:szCs w:val="20"/>
        </w:rPr>
      </w:pPr>
      <w:r>
        <w:rPr>
          <w:sz w:val="20"/>
          <w:szCs w:val="20"/>
        </w:rPr>
        <w:t xml:space="preserve">The FDA must approve </w:t>
      </w:r>
      <w:r>
        <w:rPr>
          <w:sz w:val="20"/>
          <w:szCs w:val="20"/>
        </w:rPr>
        <w:t>any new medicine before it can be marketed and sold in the US. We will not obtain this approval for a product candidate unless and until the FDA approves an NDA. We, or our collaborative partners, must provide the FDA and similar foreign regulatory authori</w:t>
      </w:r>
      <w:r>
        <w:rPr>
          <w:sz w:val="20"/>
          <w:szCs w:val="20"/>
        </w:rPr>
        <w:t xml:space="preserve">ties with data from preclinical and clinical studies that demonstrate that our product candidates comply with the regulatory requirements for the quality of medicinal products and are safe and effective for a defined indication before they can be approved </w:t>
      </w:r>
      <w:r>
        <w:rPr>
          <w:sz w:val="20"/>
          <w:szCs w:val="20"/>
        </w:rPr>
        <w:t>for commercial distribution. FDA or foreign regulatory authorities may disagree with our trial design and our interpretation of data from preclinical studies and clinical trials. The processes by which regulatory approvals are obtained from the FDA and for</w:t>
      </w:r>
      <w:r>
        <w:rPr>
          <w:sz w:val="20"/>
          <w:szCs w:val="20"/>
        </w:rPr>
        <w:t>eign regulatory authorities to market and sell a new product are complex, require a number of years, depend upon the type, complexity and novelty of the product candidate and involve the expenditure of substantial resources for research, development and te</w:t>
      </w:r>
      <w:r>
        <w:rPr>
          <w:sz w:val="20"/>
          <w:szCs w:val="20"/>
        </w:rPr>
        <w:t>sting. The FDA has substantial discretion in the drug approval process and may require us to conduct additional nonclinical and clinical testing or to perform post-marketing studies. Further, the implementation of new laws and regulations, and revisions to</w:t>
      </w:r>
      <w:r>
        <w:rPr>
          <w:sz w:val="20"/>
          <w:szCs w:val="20"/>
        </w:rPr>
        <w:t xml:space="preserve"> FDA clinical trial design guidance may lead to increased uncertainty regarding the approvability of new drugs. See the risk factor entitled “</w:t>
      </w:r>
      <w:r>
        <w:rPr>
          <w:i/>
          <w:iCs/>
          <w:sz w:val="20"/>
          <w:szCs w:val="20"/>
        </w:rPr>
        <w:t>Any delay in commencing or completing clinical studies for product candidates and any adverse results from clinica</w:t>
      </w:r>
      <w:r>
        <w:rPr>
          <w:i/>
          <w:iCs/>
          <w:sz w:val="20"/>
          <w:szCs w:val="20"/>
        </w:rPr>
        <w:t>l or non-clinical studies or regulatory obstacles product candidates may face, would harm our business and the price of our securities could fall</w:t>
      </w:r>
      <w:r>
        <w:rPr>
          <w:sz w:val="20"/>
          <w:szCs w:val="20"/>
        </w:rPr>
        <w:t>” above for additional information. The rapidly shifting environment surrounding the collective response to the</w:t>
      </w:r>
      <w:r>
        <w:rPr>
          <w:sz w:val="20"/>
          <w:szCs w:val="20"/>
        </w:rPr>
        <w:t xml:space="preserve"> COVID-19 pandemic has led to additional guidance from US and foreign regulatory agencies with respect to numerous matters regarding the conduct of clinical trials in general and the development of COVID-19 related therapies, which is subject to the risk o</w:t>
      </w:r>
      <w:r>
        <w:rPr>
          <w:sz w:val="20"/>
          <w:szCs w:val="20"/>
        </w:rPr>
        <w:t>f further change, misinterpretation or non-compliance due to the rapidly changing regulatory landscape. In addition, the FDA has additional standards for approval of new drugs, including recommended advisory committee meetings for certain new molecular ent</w:t>
      </w:r>
      <w:r>
        <w:rPr>
          <w:sz w:val="20"/>
          <w:szCs w:val="20"/>
        </w:rPr>
        <w:t>ities, and formal risk evaluation and mitigation requirements at the FDA’s discretion. Even if we receive regulatory approval of a product, the approval may limit the indicated uses for which the drug may be marketed or impose significant restrictions or l</w:t>
      </w:r>
      <w:r>
        <w:rPr>
          <w:sz w:val="20"/>
          <w:szCs w:val="20"/>
        </w:rPr>
        <w:t>imitations on the use and/or distribution of such product.</w:t>
      </w:r>
    </w:p>
    <w:p w:rsidR="00000000" w:rsidRDefault="00DE7B41">
      <w:pPr>
        <w:pStyle w:val="a3"/>
        <w:spacing w:before="0" w:beforeAutospacing="0" w:after="240" w:afterAutospacing="0"/>
        <w:ind w:firstLine="720"/>
        <w:divId w:val="660040605"/>
        <w:rPr>
          <w:sz w:val="20"/>
          <w:szCs w:val="20"/>
        </w:rPr>
      </w:pPr>
      <w:r>
        <w:rPr>
          <w:sz w:val="20"/>
          <w:szCs w:val="20"/>
        </w:rPr>
        <w:t>In addition, in order to market our medicines in foreign jurisdictions, we or our collaborative partners must obtain separate regulatory approvals in each country. The approval procedure varies among countries and can involve additional testing, and the ti</w:t>
      </w:r>
      <w:r>
        <w:rPr>
          <w:sz w:val="20"/>
          <w:szCs w:val="20"/>
        </w:rPr>
        <w:t>me required to obtain approval may differ from that required to obtain FDA approval. Approval by the FDA does not ensure approval by regulatory authorities in other countries, and approval by one foreign regulatory authority does not ensure approval by reg</w:t>
      </w:r>
      <w:r>
        <w:rPr>
          <w:sz w:val="20"/>
          <w:szCs w:val="20"/>
        </w:rPr>
        <w:t>ulatory authorities in other foreign countries or by the FDA. Conversely, failure to obtain approval in one or more jurisdictions may make approval in other jurisdictions more difficult. These laws, regulations, additional requirements and changes in inter</w:t>
      </w:r>
      <w:r>
        <w:rPr>
          <w:sz w:val="20"/>
          <w:szCs w:val="20"/>
        </w:rPr>
        <w:t>pretation could cause non-approval or further delays in the FDA’s or other regulatory authorities’ review and approval of our and our collaborative partner’s product candidates, which would materially harm our business and financial condition and could cau</w:t>
      </w:r>
      <w:r>
        <w:rPr>
          <w:sz w:val="20"/>
          <w:szCs w:val="20"/>
        </w:rPr>
        <w:t>se the price of our securities to fall.</w:t>
      </w:r>
    </w:p>
    <w:p w:rsidR="00000000" w:rsidRDefault="00DE7B41">
      <w:pPr>
        <w:pStyle w:val="a3"/>
        <w:spacing w:before="0" w:beforeAutospacing="0" w:after="120" w:afterAutospacing="0"/>
        <w:divId w:val="660040605"/>
        <w:rPr>
          <w:sz w:val="20"/>
          <w:szCs w:val="20"/>
        </w:rPr>
      </w:pPr>
      <w:r>
        <w:rPr>
          <w:b/>
          <w:bCs/>
          <w:i/>
          <w:iCs/>
          <w:sz w:val="20"/>
          <w:szCs w:val="20"/>
        </w:rPr>
        <w:t>If additional capital is not available, we may have to curtail operations or we could be forced to share our rights to commercialize our product candidates with third parties on terms that may not be favorable to us.</w:t>
      </w:r>
    </w:p>
    <w:p w:rsidR="00000000" w:rsidRDefault="00DE7B41">
      <w:pPr>
        <w:pStyle w:val="a3"/>
        <w:spacing w:before="0" w:beforeAutospacing="0" w:after="240" w:afterAutospacing="0"/>
        <w:ind w:firstLine="720"/>
        <w:divId w:val="660040605"/>
        <w:rPr>
          <w:sz w:val="20"/>
          <w:szCs w:val="20"/>
        </w:rPr>
      </w:pPr>
      <w:r>
        <w:rPr>
          <w:sz w:val="20"/>
          <w:szCs w:val="20"/>
        </w:rPr>
        <w:t>Based on our current operating plans and financial forecasts, we believe that our existing cash, cash equivalents and marketable securities will be sufficient to meet our anticipated operating needs for at least the next twelve months. However, our curren</w:t>
      </w:r>
      <w:r>
        <w:rPr>
          <w:sz w:val="20"/>
          <w:szCs w:val="20"/>
        </w:rPr>
        <w:t>t operating plans or financial forecasts occasionally change. For example, in August 2017, we announced an increase in our anticipated operating loss for 2017, primarily driven by our decision to accelerate funding associated with the next phase of develop</w:t>
      </w:r>
      <w:r>
        <w:rPr>
          <w:sz w:val="20"/>
          <w:szCs w:val="20"/>
        </w:rPr>
        <w:t>ment of TD-1473 in our JAK inhibitor program. If our current operating plans or financial forecasts change, we may require or seek additional funding sooner in the form of public or private equity or equity-linked offerings, debt financings or additional c</w:t>
      </w:r>
      <w:r>
        <w:rPr>
          <w:sz w:val="20"/>
          <w:szCs w:val="20"/>
        </w:rPr>
        <w:t>ollaborations and licensing arrangements.</w:t>
      </w:r>
    </w:p>
    <w:p w:rsidR="00000000" w:rsidRDefault="00DE7B41">
      <w:pPr>
        <w:pStyle w:val="a3"/>
        <w:spacing w:before="0" w:beforeAutospacing="0" w:after="240" w:afterAutospacing="0"/>
        <w:ind w:firstLine="720"/>
        <w:divId w:val="660040605"/>
        <w:rPr>
          <w:sz w:val="20"/>
          <w:szCs w:val="20"/>
        </w:rPr>
      </w:pPr>
      <w:r>
        <w:rPr>
          <w:sz w:val="20"/>
          <w:szCs w:val="20"/>
        </w:rPr>
        <w:t>We may need to raise additional capital in the future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trPr>
          <w:divId w:val="660040605"/>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fund our discovery efforts and research and development programs;</w:t>
            </w:r>
          </w:p>
        </w:tc>
      </w:tr>
    </w:tbl>
    <w:p w:rsidR="00000000" w:rsidRDefault="00DE7B41">
      <w:pPr>
        <w:divId w:val="6600406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60040605"/>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fund our commercialization strategies for any approved products and to prepare for potential product approvals;</w:t>
            </w:r>
          </w:p>
        </w:tc>
      </w:tr>
    </w:tbl>
    <w:p w:rsidR="00000000" w:rsidRDefault="00DE7B41">
      <w:pPr>
        <w:divId w:val="6600406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trPr>
          <w:divId w:val="660040605"/>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support our independent sales and marketing organization and medical affairs team;</w:t>
            </w:r>
          </w:p>
        </w:tc>
      </w:tr>
    </w:tbl>
    <w:p w:rsidR="00000000" w:rsidRDefault="00DE7B41">
      <w:pPr>
        <w:pStyle w:val="a3"/>
        <w:spacing w:before="360" w:beforeAutospacing="0" w:after="0" w:afterAutospacing="0"/>
        <w:jc w:val="center"/>
        <w:divId w:val="329792435"/>
        <w:rPr>
          <w:sz w:val="20"/>
          <w:szCs w:val="20"/>
        </w:rPr>
      </w:pPr>
      <w:r>
        <w:rPr>
          <w:sz w:val="20"/>
          <w:szCs w:val="20"/>
        </w:rPr>
        <w:t>39</w:t>
      </w:r>
    </w:p>
    <w:p w:rsidR="00000000" w:rsidRDefault="00DE7B41">
      <w:pPr>
        <w:pStyle w:val="a3"/>
        <w:spacing w:before="0" w:beforeAutospacing="0" w:after="600" w:afterAutospacing="0"/>
        <w:divId w:val="97793460"/>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1469777"/>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support our additional investments in YUPELRI, including potential post-marketing clinical studies;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progress any additional product candidates into later-stage development without funding from a collaboration partner;</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progres</w:t>
            </w:r>
            <w:r>
              <w:rPr>
                <w:sz w:val="20"/>
                <w:szCs w:val="20"/>
              </w:rPr>
              <w:t>s mid-to-late stage product candidates into later-stage development, if warranted;</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respond to competitive pressures; and</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acquire complementary businesses or technologies.</w:t>
            </w:r>
          </w:p>
        </w:tc>
      </w:tr>
    </w:tbl>
    <w:p w:rsidR="00000000" w:rsidRDefault="00DE7B41">
      <w:pPr>
        <w:pStyle w:val="a3"/>
        <w:spacing w:before="0" w:beforeAutospacing="0" w:after="240" w:afterAutospacing="0"/>
        <w:ind w:firstLine="720"/>
        <w:divId w:val="51469777"/>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1469777"/>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scope, duration and expenditures associated with our discovery efforts and research and development programs;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continued scientific progress in these programs;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the extent to which </w:t>
            </w:r>
            <w:r>
              <w:rPr>
                <w:sz w:val="20"/>
                <w:szCs w:val="20"/>
              </w:rPr>
              <w:t>we encounter technical obstacles in our research and development programs;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outcome of potential licensing or partnering transactions, if any;</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competing technological developments;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extent of our proprietary patent position in any approved products and our product candidates;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our facilities expenses, which will vary depending on the time and terms of any facility lease or sublease we may enter into, and other operating expens</w:t>
            </w:r>
            <w:r>
              <w:rPr>
                <w:sz w:val="20"/>
                <w:szCs w:val="20"/>
              </w:rPr>
              <w:t>es;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scope and extent of the expansion of our sales and marketing efforts;</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potential litigation and other contingencies; and</w:t>
            </w:r>
          </w:p>
        </w:tc>
      </w:tr>
    </w:tbl>
    <w:p w:rsidR="00000000" w:rsidRDefault="00DE7B41">
      <w:pPr>
        <w:divId w:val="514697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trPr>
          <w:divId w:val="5146977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regulatory approval process for our product candidates.</w:t>
            </w:r>
          </w:p>
        </w:tc>
      </w:tr>
    </w:tbl>
    <w:p w:rsidR="00000000" w:rsidRDefault="00DE7B41">
      <w:pPr>
        <w:pStyle w:val="a3"/>
        <w:spacing w:before="0" w:beforeAutospacing="0" w:after="240" w:afterAutospacing="0"/>
        <w:ind w:firstLine="720"/>
        <w:divId w:val="51469777"/>
        <w:rPr>
          <w:sz w:val="20"/>
          <w:szCs w:val="20"/>
        </w:rPr>
      </w:pPr>
      <w:r>
        <w:rPr>
          <w:sz w:val="20"/>
          <w:szCs w:val="20"/>
        </w:rPr>
        <w:t xml:space="preserve">We intend to seek to raise additional capital or obtain future funding through public or private equity offerings, debt financings or additional collaborations and licensing arrangements to meet </w:t>
      </w:r>
      <w:r>
        <w:rPr>
          <w:sz w:val="20"/>
          <w:szCs w:val="20"/>
        </w:rPr>
        <w:t>our capital needs or to take advantage of opportunistic market conditions. We may not be able to obtain additional financing on terms favorable to us, if at all. General market conditions may make it difficult for us to seek financing from the capital mark</w:t>
      </w:r>
      <w:r>
        <w:rPr>
          <w:sz w:val="20"/>
          <w:szCs w:val="20"/>
        </w:rPr>
        <w:t>ets. We may be required to relinquish rights to our technologies, product candidates or territories, or grant licenses on terms that are not favorable to us, in order to raise additional funds through collaborations or licensing arrangements. We may sequen</w:t>
      </w:r>
      <w:r>
        <w:rPr>
          <w:sz w:val="20"/>
          <w:szCs w:val="20"/>
        </w:rPr>
        <w:t>ce preclinical and clinical studies as opposed to conducting them concomitantly in order to conserve resources, or delay, reduce or eliminate one or more of our research or development programs and reduce overall overhead expenses. If we are unable to rais</w:t>
      </w:r>
      <w:r>
        <w:rPr>
          <w:sz w:val="20"/>
          <w:szCs w:val="20"/>
        </w:rPr>
        <w:t>e additional capital or obtain future funding in sufficient amounts or on terms acceptable to us, we may have to make reductions in our workforce and may be prevented from continuing our discovery, development and commercialization efforts and exploiting o</w:t>
      </w:r>
      <w:r>
        <w:rPr>
          <w:sz w:val="20"/>
          <w:szCs w:val="20"/>
        </w:rPr>
        <w:t>ther corporate opportunities. This would likely harm our business, prospects and financial condition and cause the price of our securities to fall.</w:t>
      </w:r>
    </w:p>
    <w:p w:rsidR="00000000" w:rsidRDefault="00DE7B41">
      <w:pPr>
        <w:pStyle w:val="a3"/>
        <w:spacing w:before="0" w:beforeAutospacing="0" w:after="140" w:afterAutospacing="0"/>
        <w:divId w:val="51469777"/>
        <w:rPr>
          <w:sz w:val="20"/>
          <w:szCs w:val="20"/>
        </w:rPr>
      </w:pPr>
      <w:r>
        <w:rPr>
          <w:b/>
          <w:bCs/>
          <w:i/>
          <w:iCs/>
          <w:sz w:val="20"/>
          <w:szCs w:val="20"/>
        </w:rPr>
        <w:t>We may seek to obtain future financing through the issuance of debt or equity, which may have an adverse eff</w:t>
      </w:r>
      <w:r>
        <w:rPr>
          <w:b/>
          <w:bCs/>
          <w:i/>
          <w:iCs/>
          <w:sz w:val="20"/>
          <w:szCs w:val="20"/>
        </w:rPr>
        <w:t xml:space="preserve">ect on our shareholders or may otherwise adversely affect our business. </w:t>
      </w:r>
    </w:p>
    <w:p w:rsidR="00000000" w:rsidRDefault="00DE7B41">
      <w:pPr>
        <w:pStyle w:val="a3"/>
        <w:spacing w:before="0" w:beforeAutospacing="0" w:after="0" w:afterAutospacing="0"/>
        <w:ind w:firstLine="720"/>
        <w:divId w:val="51469777"/>
        <w:rPr>
          <w:sz w:val="20"/>
          <w:szCs w:val="20"/>
        </w:rPr>
      </w:pPr>
      <w:r>
        <w:rPr>
          <w:sz w:val="20"/>
          <w:szCs w:val="20"/>
        </w:rPr>
        <w:t xml:space="preserve">If we raise funds through the issuance of additional debt, including convertible debt or debt secured by some or all of our assets, or equity, any debt securities or preferred shares </w:t>
      </w:r>
      <w:r>
        <w:rPr>
          <w:sz w:val="20"/>
          <w:szCs w:val="20"/>
        </w:rPr>
        <w:t xml:space="preserve">issued will have rights, preferences and privileges senior to those of holders of our ordinary shares in the event of liquidation. Neither the terms of our $230.0 million of 3.25% </w:t>
      </w:r>
    </w:p>
    <w:p w:rsidR="00000000" w:rsidRDefault="00DE7B41">
      <w:pPr>
        <w:pStyle w:val="a3"/>
        <w:spacing w:before="360" w:beforeAutospacing="0" w:after="0" w:afterAutospacing="0"/>
        <w:jc w:val="center"/>
        <w:divId w:val="835223421"/>
        <w:rPr>
          <w:sz w:val="20"/>
          <w:szCs w:val="20"/>
        </w:rPr>
      </w:pPr>
      <w:r>
        <w:rPr>
          <w:sz w:val="20"/>
          <w:szCs w:val="20"/>
        </w:rPr>
        <w:t>40</w:t>
      </w:r>
    </w:p>
    <w:p w:rsidR="00000000" w:rsidRDefault="00DE7B41">
      <w:pPr>
        <w:pStyle w:val="a3"/>
        <w:spacing w:before="0" w:beforeAutospacing="0" w:after="600" w:afterAutospacing="0"/>
        <w:divId w:val="1032917650"/>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77096093"/>
        <w:rPr>
          <w:sz w:val="20"/>
          <w:szCs w:val="20"/>
        </w:rPr>
      </w:pPr>
      <w:r>
        <w:rPr>
          <w:sz w:val="20"/>
          <w:szCs w:val="20"/>
        </w:rPr>
        <w:t>convertible senior notes, du</w:t>
      </w:r>
      <w:r>
        <w:rPr>
          <w:sz w:val="20"/>
          <w:szCs w:val="20"/>
        </w:rPr>
        <w:t>e 2023 (the “Convertible Senior 2023 Notes”) nor the terms of the Issuer II’s 9.5% Fixed Rate Term Notes due on or before 2035 (the “Non-Recourse 2035 Notes”) restrict our ability to issue additional debt. If additional debt is issued or we otherwise borro</w:t>
      </w:r>
      <w:r>
        <w:rPr>
          <w:sz w:val="20"/>
          <w:szCs w:val="20"/>
        </w:rPr>
        <w:t>w additional funds, there is a possibility that once all senior claims are settled, there may be no assets remaining to pay out to the holders of ordinary shares. Moreover, 75% of the income from our investment in TRC, as evidenced by the Issuer II Class C</w:t>
      </w:r>
      <w:r>
        <w:rPr>
          <w:sz w:val="20"/>
          <w:szCs w:val="20"/>
        </w:rPr>
        <w:t xml:space="preserve"> Units, is currently available only for payment of the Non-Recourse 2035 Notes and is not available to pay our other obligations or the claims of our other creditors. In addition, if we raise funds through the issuance of additional equity, whether through</w:t>
      </w:r>
      <w:r>
        <w:rPr>
          <w:sz w:val="20"/>
          <w:szCs w:val="20"/>
        </w:rPr>
        <w:t xml:space="preserve"> private placements or public offerings, such an issuance would dilute ownership of our current shareholders that do not participate in the issuance. For example, in February 2020, we closed a public offering of 5,500,000 ordinary shares. Since our Spin-Of</w:t>
      </w:r>
      <w:r>
        <w:rPr>
          <w:sz w:val="20"/>
          <w:szCs w:val="20"/>
        </w:rPr>
        <w:t>f in June 2014, we have raised an aggregate of $1.1 billion in a combination of (i) the sale of approximately 23.0 million ordinary shares, and (ii) $630.0 million aggregate principal amount of notes. If we are unable to obtain any needed additional fundin</w:t>
      </w:r>
      <w:r>
        <w:rPr>
          <w:sz w:val="20"/>
          <w:szCs w:val="20"/>
        </w:rPr>
        <w:t xml:space="preserve">g, we may be required to reduce the scope of, delay, or eliminate some or all of, our planned research, development and commercialization activities or to license to third parties the rights to develop and/or commercialize products or technologies that we </w:t>
      </w:r>
      <w:r>
        <w:rPr>
          <w:sz w:val="20"/>
          <w:szCs w:val="20"/>
        </w:rPr>
        <w:t>would otherwise seek to develop and/or commercialize ourselves or on terms that are less attractive than they might otherwise be, any of which could materially harm our business.</w:t>
      </w:r>
    </w:p>
    <w:p w:rsidR="00000000" w:rsidRDefault="00DE7B41">
      <w:pPr>
        <w:pStyle w:val="a3"/>
        <w:spacing w:before="0" w:beforeAutospacing="0" w:after="0" w:afterAutospacing="0"/>
        <w:divId w:val="77096093"/>
        <w:rPr>
          <w:sz w:val="20"/>
          <w:szCs w:val="20"/>
        </w:rPr>
      </w:pPr>
      <w:r>
        <w:t>​</w:t>
      </w:r>
    </w:p>
    <w:p w:rsidR="00000000" w:rsidRDefault="00DE7B41">
      <w:pPr>
        <w:pStyle w:val="a3"/>
        <w:spacing w:before="0" w:beforeAutospacing="0" w:after="240" w:afterAutospacing="0"/>
        <w:ind w:firstLine="720"/>
        <w:divId w:val="77096093"/>
        <w:rPr>
          <w:sz w:val="20"/>
          <w:szCs w:val="20"/>
        </w:rPr>
      </w:pPr>
      <w:r>
        <w:rPr>
          <w:sz w:val="20"/>
          <w:szCs w:val="20"/>
        </w:rPr>
        <w:t>Furthermore, the terms of any additional debt securities we may issue in the future may impose restrictions on our operations, which may include limiting our ability to incur additional indebtedness, pay dividends on or repurchase our share capital, or mak</w:t>
      </w:r>
      <w:r>
        <w:rPr>
          <w:sz w:val="20"/>
          <w:szCs w:val="20"/>
        </w:rPr>
        <w:t>e certain acquisitions or investments. In addition, we may be subject to covenants requiring us to satisfy certain financial tests and ratios, and our ability to satisfy such covenants may be affected by events outside of our control.</w:t>
      </w:r>
    </w:p>
    <w:p w:rsidR="00000000" w:rsidRDefault="00DE7B41">
      <w:pPr>
        <w:pStyle w:val="a3"/>
        <w:spacing w:before="0" w:beforeAutospacing="0" w:after="140" w:afterAutospacing="0"/>
        <w:divId w:val="77096093"/>
        <w:rPr>
          <w:sz w:val="20"/>
          <w:szCs w:val="20"/>
        </w:rPr>
      </w:pPr>
      <w:r>
        <w:rPr>
          <w:b/>
          <w:bCs/>
          <w:i/>
          <w:iCs/>
          <w:sz w:val="20"/>
          <w:szCs w:val="20"/>
        </w:rPr>
        <w:t>If our partners do no</w:t>
      </w:r>
      <w:r>
        <w:rPr>
          <w:b/>
          <w:bCs/>
          <w:i/>
          <w:iCs/>
          <w:sz w:val="20"/>
          <w:szCs w:val="20"/>
        </w:rPr>
        <w:t>t satisfy their obligations under our agreements with them, or if they terminate our partnerships with them, we may not be able to develop or commercialize our partnered product candidates as planned.</w:t>
      </w:r>
    </w:p>
    <w:p w:rsidR="00000000" w:rsidRDefault="00DE7B41">
      <w:pPr>
        <w:pStyle w:val="a3"/>
        <w:spacing w:before="0" w:beforeAutospacing="0" w:after="140" w:afterAutospacing="0"/>
        <w:ind w:firstLine="720"/>
        <w:divId w:val="77096093"/>
        <w:rPr>
          <w:sz w:val="20"/>
          <w:szCs w:val="20"/>
        </w:rPr>
      </w:pPr>
      <w:r>
        <w:rPr>
          <w:sz w:val="20"/>
          <w:szCs w:val="20"/>
        </w:rPr>
        <w:t xml:space="preserve">We have an exclusive development and commercialization </w:t>
      </w:r>
      <w:r>
        <w:rPr>
          <w:sz w:val="20"/>
          <w:szCs w:val="20"/>
        </w:rPr>
        <w:t>agreement with Alfasigma for velusetrag, our internally discovered 5-HT4 agonist for the treatment of gastromotility disorders, under which we have transferred to Alfasigma global rights for velusetrag. In January 2015, we entered into a collaboration agre</w:t>
      </w:r>
      <w:r>
        <w:rPr>
          <w:sz w:val="20"/>
          <w:szCs w:val="20"/>
        </w:rPr>
        <w:t>ement with Mylan for the development and commercialization of a nebulized formulation of our LAMA revefenacin, including YUPELRI. Under the terms of the agreement, we and Mylan will co-develop nebulized revefenacin, including YUPELRI, for COPD and other re</w:t>
      </w:r>
      <w:r>
        <w:rPr>
          <w:sz w:val="20"/>
          <w:szCs w:val="20"/>
        </w:rPr>
        <w:t>spiratory diseases. In June 2016, we entered into a License and Collaboration Agreement with Millennium Pharmaceuticals, Inc., an indirect wholly-owned subsidiary of Takeda Pharmaceutical Company Limited (collectively with Millennium, “Takeda”) in order to</w:t>
      </w:r>
      <w:r>
        <w:rPr>
          <w:sz w:val="20"/>
          <w:szCs w:val="20"/>
        </w:rPr>
        <w:t xml:space="preserve"> establish a collaboration for the development and commercialization of TD-8954, a selective 5-HT4 receptor agonist in development for gastrointestinal motility disorders. Under the terms of the agreement, Takeda is responsible for worldwide development an</w:t>
      </w:r>
      <w:r>
        <w:rPr>
          <w:sz w:val="20"/>
          <w:szCs w:val="20"/>
        </w:rPr>
        <w:t>d commercialization of TD-8954. In February 2018, we announced a global co-development and commercialization agreement with Janssen for TD-1473 and related back-up compounds for inflammatory intestinal diseases, including ulcerative colitis and Crohn’s dis</w:t>
      </w:r>
      <w:r>
        <w:rPr>
          <w:sz w:val="20"/>
          <w:szCs w:val="20"/>
        </w:rPr>
        <w:t>ease. In December 2019, we entered into a License Agreement with Pfizer Inc. (“Pfizer”). Under the license agreement, we provide Pfizer with an exclusive global license to develop, manufacture and commercialize compounds from our preclinical program for sk</w:t>
      </w:r>
      <w:r>
        <w:rPr>
          <w:sz w:val="20"/>
          <w:szCs w:val="20"/>
        </w:rPr>
        <w:t>in-targeted, locally-acting pan-Janus kinase (JAK) inhibitors that can be rapidly metabolized. In connection with these agreements, these parties have certain rights regarding the use of patents and technology with respect to the compounds in our developme</w:t>
      </w:r>
      <w:r>
        <w:rPr>
          <w:sz w:val="20"/>
          <w:szCs w:val="20"/>
        </w:rPr>
        <w:t>nt programs, including development and marketing rights.</w:t>
      </w:r>
    </w:p>
    <w:p w:rsidR="00000000" w:rsidRDefault="00DE7B41">
      <w:pPr>
        <w:pStyle w:val="a3"/>
        <w:spacing w:before="0" w:beforeAutospacing="0" w:after="0" w:afterAutospacing="0"/>
        <w:ind w:firstLine="720"/>
        <w:divId w:val="77096093"/>
        <w:rPr>
          <w:sz w:val="20"/>
          <w:szCs w:val="20"/>
        </w:rPr>
      </w:pPr>
      <w:r>
        <w:rPr>
          <w:sz w:val="20"/>
          <w:szCs w:val="20"/>
        </w:rPr>
        <w:t xml:space="preserve">Our partners have in the past and may in the future not fulfill all of their obligations under these agreements, and, in certain circumstances, they or we may terminate our partnership with them. In </w:t>
      </w:r>
      <w:r>
        <w:rPr>
          <w:sz w:val="20"/>
          <w:szCs w:val="20"/>
        </w:rPr>
        <w:t>addition, our partners may also be facing significant business interruptions as a result of the COVID-19 pandemic. In either event, we may be unable to assume the development and commercialization responsibilities covered by the agreements or enter into al</w:t>
      </w:r>
      <w:r>
        <w:rPr>
          <w:sz w:val="20"/>
          <w:szCs w:val="20"/>
        </w:rPr>
        <w:t>ternative arrangements with a third-party to develop and commercialize such product candidates. If a partner elected to promote alternative products and product candidates such as its own products and product candidates in preference to those licensed from</w:t>
      </w:r>
      <w:r>
        <w:rPr>
          <w:sz w:val="20"/>
          <w:szCs w:val="20"/>
        </w:rPr>
        <w:t xml:space="preserve"> us, does not devote an adequate amount of time and resources to our product candidates or is otherwise unsuccessful in its efforts with respect to our products or product candidates, the development and commercialization of product candidates covered by t</w:t>
      </w:r>
      <w:r>
        <w:rPr>
          <w:sz w:val="20"/>
          <w:szCs w:val="20"/>
        </w:rPr>
        <w:t>he agreements could be delayed or terminated, and future payments to us could be delayed, reduced or eliminated and our business and financial condition could be materially and adversely affected. Accordingly, our ability to receive any revenue from the pr</w:t>
      </w:r>
      <w:r>
        <w:rPr>
          <w:sz w:val="20"/>
          <w:szCs w:val="20"/>
        </w:rPr>
        <w:t>oduct candidates covered by these agreements is dependent on the efforts of our partners. If a partner terminates or breaches its agreements with us, otherwise fails to complete its obligations in a timely manner or alleges that we have breached our contra</w:t>
      </w:r>
      <w:r>
        <w:rPr>
          <w:sz w:val="20"/>
          <w:szCs w:val="20"/>
        </w:rPr>
        <w:t xml:space="preserve">ctual obligations under these agreements, the chances of successfully developing or commercializing </w:t>
      </w:r>
    </w:p>
    <w:p w:rsidR="00000000" w:rsidRDefault="00DE7B41">
      <w:pPr>
        <w:pStyle w:val="a3"/>
        <w:spacing w:before="360" w:beforeAutospacing="0" w:after="0" w:afterAutospacing="0"/>
        <w:jc w:val="center"/>
        <w:divId w:val="90245928"/>
        <w:rPr>
          <w:sz w:val="20"/>
          <w:szCs w:val="20"/>
        </w:rPr>
      </w:pPr>
      <w:r>
        <w:rPr>
          <w:sz w:val="20"/>
          <w:szCs w:val="20"/>
        </w:rPr>
        <w:t>41</w:t>
      </w:r>
    </w:p>
    <w:p w:rsidR="00000000" w:rsidRDefault="00DE7B41">
      <w:pPr>
        <w:pStyle w:val="a3"/>
        <w:spacing w:before="0" w:beforeAutospacing="0" w:after="600" w:afterAutospacing="0"/>
        <w:divId w:val="1908416482"/>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891773412"/>
        <w:rPr>
          <w:sz w:val="20"/>
          <w:szCs w:val="20"/>
        </w:rPr>
      </w:pPr>
      <w:r>
        <w:rPr>
          <w:sz w:val="20"/>
          <w:szCs w:val="20"/>
        </w:rPr>
        <w:t>product candidates under the collaboration could be materially and adversely affected. In addition, effectiv</w:t>
      </w:r>
      <w:r>
        <w:rPr>
          <w:sz w:val="20"/>
          <w:szCs w:val="20"/>
        </w:rPr>
        <w:t>e collaboration with a partner requires coordination to achieve complex and detail-intensive goals between entities that potentially have different priorities, capabilities and processes and successful navigation of the challenges such coordination entails</w:t>
      </w:r>
      <w:r>
        <w:rPr>
          <w:sz w:val="20"/>
          <w:szCs w:val="20"/>
        </w:rPr>
        <w:t xml:space="preserve">. We could also become involved in disputes with a partner, which could lead to delays in or termination of our development and commercialization programs and time-consuming and expensive litigation or arbitration. Furthermore, termination of an agreement </w:t>
      </w:r>
      <w:r>
        <w:rPr>
          <w:sz w:val="20"/>
          <w:szCs w:val="20"/>
        </w:rPr>
        <w:t>by a partner could have an adverse effect on the price of our ordinary shares or other securities even if not material to our business.</w:t>
      </w:r>
    </w:p>
    <w:p w:rsidR="00000000" w:rsidRDefault="00DE7B41">
      <w:pPr>
        <w:pStyle w:val="a3"/>
        <w:spacing w:before="0" w:beforeAutospacing="0" w:after="120" w:afterAutospacing="0"/>
        <w:divId w:val="891773412"/>
        <w:rPr>
          <w:sz w:val="20"/>
          <w:szCs w:val="20"/>
        </w:rPr>
      </w:pPr>
      <w:r>
        <w:rPr>
          <w:b/>
          <w:bCs/>
          <w:i/>
          <w:iCs/>
          <w:sz w:val="20"/>
          <w:szCs w:val="20"/>
        </w:rPr>
        <w:t>We do not control TRC and, in particular, have no control over the GSK-Partnered Respiratory Programs or access to non-p</w:t>
      </w:r>
      <w:r>
        <w:rPr>
          <w:b/>
          <w:bCs/>
          <w:i/>
          <w:iCs/>
          <w:sz w:val="20"/>
          <w:szCs w:val="20"/>
        </w:rPr>
        <w:t>ublic information regarding the development of the GSK-Partnered Respiratory Programs.</w:t>
      </w:r>
    </w:p>
    <w:p w:rsidR="00000000" w:rsidRDefault="00DE7B41">
      <w:pPr>
        <w:pStyle w:val="a3"/>
        <w:spacing w:before="0" w:beforeAutospacing="0" w:after="240" w:afterAutospacing="0"/>
        <w:ind w:firstLine="720"/>
        <w:divId w:val="891773412"/>
        <w:rPr>
          <w:sz w:val="20"/>
          <w:szCs w:val="20"/>
        </w:rPr>
      </w:pPr>
      <w:r>
        <w:rPr>
          <w:sz w:val="20"/>
          <w:szCs w:val="20"/>
        </w:rPr>
        <w:t>Innoviva has assigned to TRC its strategic alliance agreement with GSK and all of its rights and obligations under its LABA collaboration agreement other than with respe</w:t>
      </w:r>
      <w:r>
        <w:rPr>
          <w:sz w:val="20"/>
          <w:szCs w:val="20"/>
        </w:rPr>
        <w:t>ct to RELVAR ELLIPTA/BREO ELLIPTA, ANORO ELLIPTA and vilanterol monotherapy. Our equity interest in TRC entitles us to an 85% economic interest in any future payments made by GSK under the strategic alliance agreement and under the portion of the collabora</w:t>
      </w:r>
      <w:r>
        <w:rPr>
          <w:sz w:val="20"/>
          <w:szCs w:val="20"/>
        </w:rPr>
        <w:t>tion agreement assigned to TRC (the “GSK Agreements”) (net of TRC expenses paid and the amount of cash, if any, expected to be used by TRC pursuant to the TRC LLC Agreement over the next four fiscal quarters), which agreements govern Innoviva’s and GSK’s r</w:t>
      </w:r>
      <w:r>
        <w:rPr>
          <w:sz w:val="20"/>
          <w:szCs w:val="20"/>
        </w:rPr>
        <w:t>espective interests in the GSK-Partnered Respiratory Programs. Our equity interest covers various drug programs including in particular all TRELEGY ELLIPTA (the combination of fluticasone furoate, umeclidinium, and vilanterol in a single ELLIPTA inhaler, p</w:t>
      </w:r>
      <w:r>
        <w:rPr>
          <w:sz w:val="20"/>
          <w:szCs w:val="20"/>
        </w:rPr>
        <w:t>reviously referred to as the Closed Triple) products. Our economic interest does not include any payments by GSK associated with RELVAR ELLIPTA/BREO ELLIPTA, ANORO ELLIPTA or vilanterol monotherapy. Innoviva controls TRC and, except for certain limited con</w:t>
      </w:r>
      <w:r>
        <w:rPr>
          <w:sz w:val="20"/>
          <w:szCs w:val="20"/>
        </w:rPr>
        <w:t>sent rights, we have no right to participate in the business and affairs of TRC. Innoviva has the exclusive right to appoint TRC’s manager who, among other things, is responsible for the day-to-day management of the GSK-Partnered Respiratory Programs and e</w:t>
      </w:r>
      <w:r>
        <w:rPr>
          <w:sz w:val="20"/>
          <w:szCs w:val="20"/>
        </w:rPr>
        <w:t>xercises the rights relating to the GSK-Partnered Respiratory Programs. As a result, we have no rights to participate in, or access to non-public information about, the development and commercialization work GSK and Innoviva are undertaking with respect to</w:t>
      </w:r>
      <w:r>
        <w:rPr>
          <w:sz w:val="20"/>
          <w:szCs w:val="20"/>
        </w:rPr>
        <w:t xml:space="preserve"> the GSK-Partnered Respiratory Programs and no right to enforce rights under the GSK Agreements assigned to TRC. Moreover, we have many of the same risks with respect to our and TRC’s dependence on GSK as we have with respect to our dependence on our own p</w:t>
      </w:r>
      <w:r>
        <w:rPr>
          <w:sz w:val="20"/>
          <w:szCs w:val="20"/>
        </w:rPr>
        <w:t>artners, including any adverse impacts on GSK’s operations as a result of the COVID-19 pandemic.</w:t>
      </w:r>
    </w:p>
    <w:p w:rsidR="00000000" w:rsidRDefault="00DE7B41">
      <w:pPr>
        <w:pStyle w:val="a3"/>
        <w:spacing w:before="0" w:beforeAutospacing="0" w:after="120" w:afterAutospacing="0"/>
        <w:divId w:val="891773412"/>
        <w:rPr>
          <w:sz w:val="20"/>
          <w:szCs w:val="20"/>
        </w:rPr>
      </w:pPr>
      <w:r>
        <w:rPr>
          <w:b/>
          <w:bCs/>
          <w:i/>
          <w:iCs/>
          <w:sz w:val="20"/>
          <w:szCs w:val="20"/>
        </w:rPr>
        <w:t>If there are any adverse developments or perceived adverse developments with respect to the GSK-Partnered Respiratory Programs in which we have a substantial e</w:t>
      </w:r>
      <w:r>
        <w:rPr>
          <w:b/>
          <w:bCs/>
          <w:i/>
          <w:iCs/>
          <w:sz w:val="20"/>
          <w:szCs w:val="20"/>
        </w:rPr>
        <w:t>conomic interest, including TRELEGY ELLIPTA, our business will be harmed, and the price of our securities could fall.</w:t>
      </w:r>
    </w:p>
    <w:p w:rsidR="00000000" w:rsidRDefault="00DE7B41">
      <w:pPr>
        <w:pStyle w:val="a3"/>
        <w:spacing w:before="0" w:beforeAutospacing="0" w:after="240" w:afterAutospacing="0"/>
        <w:ind w:firstLine="720"/>
        <w:divId w:val="891773412"/>
        <w:rPr>
          <w:sz w:val="20"/>
          <w:szCs w:val="20"/>
        </w:rPr>
      </w:pPr>
      <w:r>
        <w:rPr>
          <w:sz w:val="20"/>
          <w:szCs w:val="20"/>
        </w:rPr>
        <w:t>We have no access to non-public information regarding the development progress of, or plans for, the GSK-Partnered Respiratory Programs, i</w:t>
      </w:r>
      <w:r>
        <w:rPr>
          <w:sz w:val="20"/>
          <w:szCs w:val="20"/>
        </w:rPr>
        <w:t>ncluding TRELEGY ELLIPTA, and we have little, if any, ability to influence the progress of those programs because our interest in these programs is only through our ownership interest in TRC, which is controlled by Innoviva. However, if any of the GSK-Part</w:t>
      </w:r>
      <w:r>
        <w:rPr>
          <w:sz w:val="20"/>
          <w:szCs w:val="20"/>
        </w:rPr>
        <w:t xml:space="preserve">nered Respiratory Programs in which we have a substantial economic interest encounter delays, do not demonstrate required quality, safety and efficacy, are terminated, or if there are any adverse developments or perceived adverse developments with respect </w:t>
      </w:r>
      <w:r>
        <w:rPr>
          <w:sz w:val="20"/>
          <w:szCs w:val="20"/>
        </w:rPr>
        <w:t>to such programs, our business will be harmed, and the price of our securities could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99"/>
      </w:tblGrid>
      <w:tr w:rsidR="00000000">
        <w:trPr>
          <w:divId w:val="891773412"/>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disappointing or lower than expected sales of TRELEGY ELLIPTA;</w:t>
            </w:r>
          </w:p>
        </w:tc>
      </w:tr>
    </w:tbl>
    <w:p w:rsidR="00000000" w:rsidRDefault="00DE7B41">
      <w:pPr>
        <w:divId w:val="8917734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9177341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regulatory difficulty in seeking approval of an asthma indication for TRELEGY ELLIPTA, which GSK is undertaking following its successful Phase 3 clinical program in asthma patients;</w:t>
            </w:r>
          </w:p>
        </w:tc>
      </w:tr>
    </w:tbl>
    <w:p w:rsidR="00000000" w:rsidRDefault="00DE7B41">
      <w:pPr>
        <w:divId w:val="8917734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9177341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disputes between GSK and Innoviva or between us and Innoviva, suc</w:t>
            </w:r>
            <w:r>
              <w:rPr>
                <w:sz w:val="20"/>
                <w:szCs w:val="20"/>
              </w:rPr>
              <w:t>h as our recent dispute with Innoviva concerning the withholding of royalty payments due to us under the TRC LLC Agreement;</w:t>
            </w:r>
          </w:p>
        </w:tc>
      </w:tr>
    </w:tbl>
    <w:p w:rsidR="00000000" w:rsidRDefault="00DE7B41">
      <w:pPr>
        <w:divId w:val="8917734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9177341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emergence of new closed triple or other alternative therapies or any developments regarding competitive therapies, includin</w:t>
            </w:r>
            <w:r>
              <w:rPr>
                <w:sz w:val="20"/>
                <w:szCs w:val="20"/>
              </w:rPr>
              <w:t>g comparative price or efficacy of competitive therapies;</w:t>
            </w:r>
          </w:p>
        </w:tc>
      </w:tr>
    </w:tbl>
    <w:p w:rsidR="00000000" w:rsidRDefault="00DE7B41">
      <w:pPr>
        <w:divId w:val="8917734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9177341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GSK deciding to delay or halt any of the GSK-Partnered Respiratory Programs in which we have a substantial economic interest;</w:t>
            </w:r>
          </w:p>
        </w:tc>
      </w:tr>
    </w:tbl>
    <w:p w:rsidR="00000000" w:rsidRDefault="00DE7B41">
      <w:pPr>
        <w:pStyle w:val="a3"/>
        <w:spacing w:before="360" w:beforeAutospacing="0" w:after="0" w:afterAutospacing="0"/>
        <w:jc w:val="center"/>
        <w:divId w:val="390270502"/>
        <w:rPr>
          <w:sz w:val="20"/>
          <w:szCs w:val="20"/>
        </w:rPr>
      </w:pPr>
      <w:r>
        <w:rPr>
          <w:sz w:val="20"/>
          <w:szCs w:val="20"/>
        </w:rPr>
        <w:t>42</w:t>
      </w:r>
    </w:p>
    <w:p w:rsidR="00000000" w:rsidRDefault="00DE7B41">
      <w:pPr>
        <w:pStyle w:val="a3"/>
        <w:spacing w:before="0" w:beforeAutospacing="0" w:after="600" w:afterAutospacing="0"/>
        <w:divId w:val="4240904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06803752"/>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FDA and/or other national or foreign regulatory authorities determining that any of the studies under these programs do not demonstrate the required quality, safety or efficacy, or that additional non-clinical or clinical studies are required with resp</w:t>
            </w:r>
            <w:r>
              <w:rPr>
                <w:sz w:val="20"/>
                <w:szCs w:val="20"/>
              </w:rPr>
              <w:t>ect to such programs;</w:t>
            </w:r>
          </w:p>
        </w:tc>
      </w:tr>
    </w:tbl>
    <w:p w:rsidR="00000000" w:rsidRDefault="00DE7B41">
      <w:pPr>
        <w:divId w:val="110680375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06803752"/>
        </w:trPr>
        <w:tc>
          <w:tcPr>
            <w:tcW w:w="720" w:type="dxa"/>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rPr>
                <w:rFonts w:eastAsia="Times New Roman"/>
                <w:sz w:val="12"/>
                <w:szCs w:val="12"/>
              </w:rPr>
            </w:pPr>
            <w:r>
              <w:rPr>
                <w:rFonts w:eastAsia="Times New Roman"/>
                <w:sz w:val="12"/>
                <w:szCs w:val="12"/>
              </w:rPr>
              <w:t>●</w:t>
            </w:r>
          </w:p>
        </w:tc>
        <w:tc>
          <w:tcPr>
            <w:tcW w:w="0" w:type="auto"/>
            <w:tcMar>
              <w:top w:w="0" w:type="dxa"/>
              <w:left w:w="0" w:type="dxa"/>
              <w:bottom w:w="0" w:type="dxa"/>
              <w:right w:w="0" w:type="dxa"/>
            </w:tcMar>
            <w:vAlign w:val="center"/>
            <w:hideMark/>
          </w:tcPr>
          <w:p w:rsidR="00000000" w:rsidRDefault="00DE7B41">
            <w:pPr>
              <w:rPr>
                <w:rFonts w:eastAsia="Times New Roman"/>
                <w:sz w:val="20"/>
                <w:szCs w:val="20"/>
              </w:rPr>
            </w:pPr>
            <w:r>
              <w:rPr>
                <w:rFonts w:eastAsia="Times New Roman"/>
                <w:color w:val="000000"/>
                <w:sz w:val="20"/>
                <w:szCs w:val="20"/>
              </w:rPr>
              <w:t>any adverse effects resulting from the COVID-19 pandemic;</w:t>
            </w:r>
          </w:p>
        </w:tc>
      </w:tr>
    </w:tbl>
    <w:p w:rsidR="00000000" w:rsidRDefault="00DE7B41">
      <w:pPr>
        <w:divId w:val="110680375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0680375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safety, efficacy or other concerns regarding any of the GSK-Partnered Respiratory Programs in which we have a substantial economic interest; or</w:t>
            </w:r>
          </w:p>
        </w:tc>
      </w:tr>
    </w:tbl>
    <w:p w:rsidR="00000000" w:rsidRDefault="00DE7B41">
      <w:pPr>
        <w:divId w:val="110680375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0680375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particula</w:t>
            </w:r>
            <w:r>
              <w:rPr>
                <w:sz w:val="20"/>
                <w:szCs w:val="20"/>
              </w:rPr>
              <w:t>r FDA requirements or changes in FDA policy or guidance regarding these programs or any particular regulatory requirements in other jurisdictions or changes in the policies or guidance adopted by foreign regulatory authorities.</w:t>
            </w:r>
          </w:p>
        </w:tc>
      </w:tr>
    </w:tbl>
    <w:p w:rsidR="00000000" w:rsidRDefault="00DE7B41">
      <w:pPr>
        <w:pStyle w:val="a3"/>
        <w:spacing w:before="0" w:beforeAutospacing="0" w:after="120" w:afterAutospacing="0"/>
        <w:divId w:val="1106803752"/>
        <w:rPr>
          <w:sz w:val="20"/>
          <w:szCs w:val="20"/>
        </w:rPr>
      </w:pPr>
      <w:r>
        <w:rPr>
          <w:b/>
          <w:bCs/>
          <w:i/>
          <w:iCs/>
          <w:sz w:val="20"/>
          <w:szCs w:val="20"/>
        </w:rPr>
        <w:t xml:space="preserve">Because GSK is a strategic </w:t>
      </w:r>
      <w:r>
        <w:rPr>
          <w:b/>
          <w:bCs/>
          <w:i/>
          <w:iCs/>
          <w:sz w:val="20"/>
          <w:szCs w:val="20"/>
        </w:rPr>
        <w:t>partner of Innoviva, a strategic partner of TRC and a significant shareholder of us, it may take actions that in certain cases are materially harmful to our business and to our other shareholders.</w:t>
      </w:r>
    </w:p>
    <w:p w:rsidR="00000000" w:rsidRDefault="00DE7B41">
      <w:pPr>
        <w:pStyle w:val="a3"/>
        <w:spacing w:before="0" w:beforeAutospacing="0" w:after="240" w:afterAutospacing="0"/>
        <w:ind w:firstLine="720"/>
        <w:divId w:val="1106803752"/>
        <w:rPr>
          <w:sz w:val="20"/>
          <w:szCs w:val="20"/>
        </w:rPr>
      </w:pPr>
      <w:r>
        <w:rPr>
          <w:sz w:val="20"/>
          <w:szCs w:val="20"/>
        </w:rPr>
        <w:t>Based on our review of publicly available filings, as of Ma</w:t>
      </w:r>
      <w:r>
        <w:rPr>
          <w:sz w:val="20"/>
          <w:szCs w:val="20"/>
        </w:rPr>
        <w:t xml:space="preserve">rch 31, 2020, GSK beneficially owned 15.3% of our outstanding ordinary shares. GSK is also a strategic partner to Innoviva with rights and obligations under the GSK Agreements, which include the strategic alliance agreement and the collaboration agreement </w:t>
      </w:r>
      <w:r>
        <w:rPr>
          <w:sz w:val="20"/>
          <w:szCs w:val="20"/>
        </w:rPr>
        <w:t xml:space="preserve">assigned to TRC, that may cause GSK’s interests to differ from our interests and those of our other shareholders. For example, GSK’s commercialization efforts are guided by a portfolio approach across products in which we have an indirect interest through </w:t>
      </w:r>
      <w:r>
        <w:rPr>
          <w:sz w:val="20"/>
          <w:szCs w:val="20"/>
        </w:rPr>
        <w:t>TRC and products in which we have no interest. Accordingly, GSK’s commercialization efforts may have the effect of reducing the value of our interest in TRC. Furthermore, GSK has a substantial respiratory product portfolio in addition to the products cover</w:t>
      </w:r>
      <w:r>
        <w:rPr>
          <w:sz w:val="20"/>
          <w:szCs w:val="20"/>
        </w:rPr>
        <w:t>ed by the GSK Agreements. GSK may make respiratory product portfolio decisions or statements about its portfolio which may be, or may be perceived to be, harmful to the respiratory products partnered with Innoviva and TRC. For example, GSK could promote it</w:t>
      </w:r>
      <w:r>
        <w:rPr>
          <w:sz w:val="20"/>
          <w:szCs w:val="20"/>
        </w:rPr>
        <w:t>s own respiratory products and/or delay or terminate the development or commercialization of the respiratory programs covered by the GSK Agreements. Also, given the potential future royalty payments GSK may be obligated to pay under the GSK Agreements, GSK</w:t>
      </w:r>
      <w:r>
        <w:rPr>
          <w:sz w:val="20"/>
          <w:szCs w:val="20"/>
        </w:rPr>
        <w:t xml:space="preserve"> may seek to acquire us or acquire our interests in TRC in order to effectively reduce those payment obligations and the price at which GSK might seek to acquire us may not reflect our true value. As a result of these differing interests, GSK may take acti</w:t>
      </w:r>
      <w:r>
        <w:rPr>
          <w:sz w:val="20"/>
          <w:szCs w:val="20"/>
        </w:rPr>
        <w:t>ons that it believes are in its best interest but which might not be in the best interests of either us or our other shareholders. In addition, GSK could also seek to challenge our or Innoviva’s post-Spin-Off operations as violating or allowing it to termi</w:t>
      </w:r>
      <w:r>
        <w:rPr>
          <w:sz w:val="20"/>
          <w:szCs w:val="20"/>
        </w:rPr>
        <w:t xml:space="preserve">nate the GSK Agreements, including by violating the confidentiality provisions of those agreements or the master agreement between GSK, Innoviva and us entered into in connection with the Spin-Off (the “Master Agreement”), or otherwise violating its legal </w:t>
      </w:r>
      <w:r>
        <w:rPr>
          <w:sz w:val="20"/>
          <w:szCs w:val="20"/>
        </w:rPr>
        <w:t>rights. While we believe our operations fully comply with the GSK Agreements, the Master Agreement and applicable law, there can be no assurance that we or Innoviva will prevail against any such claims by GSK. Moreover, regardless of the merit of any claim</w:t>
      </w:r>
      <w:r>
        <w:rPr>
          <w:sz w:val="20"/>
          <w:szCs w:val="20"/>
        </w:rPr>
        <w:t>s by GSK, we may incur significant cost and diversion of resources in defending them. In addition, any other action or inaction by either GSK or Innoviva that results in a material dispute, allegation of breach, litigation, arbitration, or significant disa</w:t>
      </w:r>
      <w:r>
        <w:rPr>
          <w:sz w:val="20"/>
          <w:szCs w:val="20"/>
        </w:rPr>
        <w:t>greement between those parties or between us and either of those parties may be interpreted negatively by the market or by our investors, could harm our business and cause the price of our securities to fall. Other examples of these kinds of issues include</w:t>
      </w:r>
      <w:r>
        <w:rPr>
          <w:sz w:val="20"/>
          <w:szCs w:val="20"/>
        </w:rPr>
        <w:t xml:space="preserve"> but are not limited to non-performance of other contractual obligations and allegations of non-performance, disagreements over the relative marketing and sales efforts for Innoviva’s partnered products and other GSK respiratory products, disputes over pub</w:t>
      </w:r>
      <w:r>
        <w:rPr>
          <w:sz w:val="20"/>
          <w:szCs w:val="20"/>
        </w:rPr>
        <w:t>lic statements, and similar matters. In general, any uncertainty about the respiratory programs partnered with GSK, the enforceability of the GSK Agreements or the relationship/partnership between Innoviva and GSK or between us and Innoviva could result in</w:t>
      </w:r>
      <w:r>
        <w:rPr>
          <w:sz w:val="20"/>
          <w:szCs w:val="20"/>
        </w:rPr>
        <w:t xml:space="preserve"> significant reduction in the market price of our securities and other material harm to our business.</w:t>
      </w:r>
    </w:p>
    <w:p w:rsidR="00000000" w:rsidRDefault="00DE7B41">
      <w:pPr>
        <w:pStyle w:val="a3"/>
        <w:spacing w:before="0" w:beforeAutospacing="0" w:after="120" w:afterAutospacing="0"/>
        <w:divId w:val="1106803752"/>
        <w:rPr>
          <w:sz w:val="20"/>
          <w:szCs w:val="20"/>
        </w:rPr>
      </w:pPr>
      <w:r>
        <w:rPr>
          <w:b/>
          <w:bCs/>
          <w:i/>
          <w:iCs/>
          <w:sz w:val="20"/>
          <w:szCs w:val="20"/>
        </w:rPr>
        <w:t xml:space="preserve">We do not control the commercialization of TRELEGY ELLIPTA and we do not control TRC; accordingly the amount of royalties we receive will depend, among other factors, on GSK’s ability to further commercialize TRELEGY ELLIPTA and TRC’s decisions concerning </w:t>
      </w:r>
      <w:r>
        <w:rPr>
          <w:b/>
          <w:bCs/>
          <w:i/>
          <w:iCs/>
          <w:sz w:val="20"/>
          <w:szCs w:val="20"/>
        </w:rPr>
        <w:t>use of cash in accordance with the TRC LLC Agreement.</w:t>
      </w:r>
    </w:p>
    <w:p w:rsidR="00000000" w:rsidRDefault="00DE7B41">
      <w:pPr>
        <w:pStyle w:val="a3"/>
        <w:spacing w:before="0" w:beforeAutospacing="0" w:after="0" w:afterAutospacing="0"/>
        <w:ind w:firstLine="720"/>
        <w:divId w:val="1106803752"/>
        <w:rPr>
          <w:sz w:val="20"/>
          <w:szCs w:val="20"/>
        </w:rPr>
      </w:pPr>
      <w:r>
        <w:rPr>
          <w:sz w:val="20"/>
          <w:szCs w:val="20"/>
        </w:rPr>
        <w:t xml:space="preserve">We only receive revenues from TRELEGY ELLIPTA based on the amount of sales of this product by GSK in the form of our economic interest in the royalties paid by GSK to TRC, which is managed by Innoviva. </w:t>
      </w:r>
      <w:r>
        <w:rPr>
          <w:sz w:val="20"/>
          <w:szCs w:val="20"/>
        </w:rPr>
        <w:t xml:space="preserve">There are no required minimum future payments associated with the product and any royalties we receive will depend on GSK’s ability to commercialize the product, the future payments, if any, made by GSK under the strategic alliance agreement and under the </w:t>
      </w:r>
      <w:r>
        <w:rPr>
          <w:sz w:val="20"/>
          <w:szCs w:val="20"/>
        </w:rPr>
        <w:t xml:space="preserve">portion of the collaboration agreement assigned to TRC, TRC’s expenses, and the amount of cash, if any, expected to be used </w:t>
      </w:r>
    </w:p>
    <w:p w:rsidR="00000000" w:rsidRDefault="00DE7B41">
      <w:pPr>
        <w:pStyle w:val="a3"/>
        <w:spacing w:before="360" w:beforeAutospacing="0" w:after="0" w:afterAutospacing="0"/>
        <w:jc w:val="center"/>
        <w:divId w:val="934292356"/>
        <w:rPr>
          <w:sz w:val="20"/>
          <w:szCs w:val="20"/>
        </w:rPr>
      </w:pPr>
      <w:r>
        <w:rPr>
          <w:sz w:val="20"/>
          <w:szCs w:val="20"/>
        </w:rPr>
        <w:t>43</w:t>
      </w:r>
    </w:p>
    <w:p w:rsidR="00000000" w:rsidRDefault="00DE7B41">
      <w:pPr>
        <w:pStyle w:val="a3"/>
        <w:spacing w:before="0" w:beforeAutospacing="0" w:after="600" w:afterAutospacing="0"/>
        <w:divId w:val="1306355894"/>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932519247"/>
        <w:rPr>
          <w:sz w:val="20"/>
          <w:szCs w:val="20"/>
        </w:rPr>
      </w:pPr>
      <w:r>
        <w:rPr>
          <w:sz w:val="20"/>
          <w:szCs w:val="20"/>
        </w:rPr>
        <w:t>by TRC pursuant to the TRC LLC Agreement. Following our recent arbitration with Inno</w:t>
      </w:r>
      <w:r>
        <w:rPr>
          <w:sz w:val="20"/>
          <w:szCs w:val="20"/>
        </w:rPr>
        <w:t>viva concerning its withholding of certain royalty distributions to the TRC members, the arbitrator ruled that in the future if Innoviva desires to invest TRC funds in any initiatives that require the consent of GSK under the collaboration agreement, Innov</w:t>
      </w:r>
      <w:r>
        <w:rPr>
          <w:sz w:val="20"/>
          <w:szCs w:val="20"/>
        </w:rPr>
        <w:t>iva must first obtain the consent of GSK. The timeframe for seeking GSK’s consent for these initiatives and the associated dates by which GSK’s consent must be received means that royalty distributions could be delayed for several quarters (if GSK ultimate</w:t>
      </w:r>
      <w:r>
        <w:rPr>
          <w:sz w:val="20"/>
          <w:szCs w:val="20"/>
        </w:rPr>
        <w:t>ly does not consent) or perhaps not made at all until the completion of the initiatives (to the extent that GSK does consent and agrees with TRC that TRC funding will be used for such initiatives). This involves a number of risks and uncertainties, includi</w:t>
      </w:r>
      <w:r>
        <w:rPr>
          <w:sz w:val="20"/>
          <w:szCs w:val="20"/>
        </w:rPr>
        <w:t>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9"/>
      </w:tblGrid>
      <w:tr w:rsidR="00000000">
        <w:trPr>
          <w:divId w:val="932519247"/>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future withholding by Innoviva or TRC of royalty distributions;</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532"/>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GSK’s ability to have an adequate supply of their respective product;</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ongoing compliance by GSK or its suppliers with the FDA’s current Good Manufacturing Practice;</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compliance with other applicable FDA and other regulatory requirements in the US or other foreign jurisdictions, including those described elsewhere in this</w:t>
            </w:r>
            <w:r>
              <w:rPr>
                <w:sz w:val="20"/>
                <w:szCs w:val="20"/>
              </w:rPr>
              <w:t xml:space="preserve"> report;</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competition, whether from current competitors or new products developed by others in the future;</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claims relating to intellectual property;</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future disruptions in GSK’</w:t>
            </w:r>
            <w:r>
              <w:rPr>
                <w:sz w:val="20"/>
                <w:szCs w:val="20"/>
              </w:rPr>
              <w:t>s business which would affect its ability to commercialize the product, including, disruptions due to the COVID-19 pandemic;</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ability of TRELEGY ELLIPTA to achieve wider acceptance among physicians, patients, third-party payors, or the medical community in general;</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amount of cash associated with any additional future TRELEGY ELLIPTA commercialization initiatives that</w:t>
            </w:r>
            <w:r>
              <w:rPr>
                <w:sz w:val="20"/>
                <w:szCs w:val="20"/>
              </w:rPr>
              <w:t xml:space="preserve"> Innoviva proposes to GSK for TRC to pursue, the time it may take to present those initiatives to GSK for approval and the time it takes for GSK to consent or not consent;</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605"/>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global economic conditions; and</w:t>
            </w:r>
          </w:p>
        </w:tc>
      </w:tr>
    </w:tbl>
    <w:p w:rsidR="00000000" w:rsidRDefault="00DE7B41">
      <w:pPr>
        <w:divId w:val="93251924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519247"/>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of the other risks relating to commerc</w:t>
            </w:r>
            <w:r>
              <w:rPr>
                <w:sz w:val="20"/>
                <w:szCs w:val="20"/>
              </w:rPr>
              <w:t>ialization of products described elsewhere in this section.</w:t>
            </w:r>
          </w:p>
        </w:tc>
      </w:tr>
    </w:tbl>
    <w:p w:rsidR="00000000" w:rsidRDefault="00DE7B41">
      <w:pPr>
        <w:pStyle w:val="a3"/>
        <w:spacing w:before="0" w:beforeAutospacing="0" w:after="240" w:afterAutospacing="0"/>
        <w:ind w:firstLine="720"/>
        <w:divId w:val="932519247"/>
        <w:rPr>
          <w:sz w:val="20"/>
          <w:szCs w:val="20"/>
        </w:rPr>
      </w:pPr>
      <w:r>
        <w:rPr>
          <w:sz w:val="20"/>
          <w:szCs w:val="20"/>
        </w:rPr>
        <w:t>These risks and uncertainties could materially impact the amount and timing of future royalties or other revenues we may receive from sales of TRELEGY ELLIPTA, which could have a material adverse</w:t>
      </w:r>
      <w:r>
        <w:rPr>
          <w:sz w:val="20"/>
          <w:szCs w:val="20"/>
        </w:rPr>
        <w:t xml:space="preserve"> effect on our future revenues, other financial results and our financial position and cause the price of our securities to fall.</w:t>
      </w:r>
    </w:p>
    <w:p w:rsidR="00000000" w:rsidRDefault="00DE7B41">
      <w:pPr>
        <w:pStyle w:val="a3"/>
        <w:spacing w:before="0" w:beforeAutospacing="0" w:after="240" w:afterAutospacing="0"/>
        <w:ind w:firstLine="720"/>
        <w:divId w:val="932519247"/>
        <w:rPr>
          <w:sz w:val="20"/>
          <w:szCs w:val="20"/>
        </w:rPr>
      </w:pPr>
      <w:r>
        <w:rPr>
          <w:sz w:val="20"/>
          <w:szCs w:val="20"/>
        </w:rPr>
        <w:t>In the future, Innoviva may cause TRC to withhold funds from distribution to its members, including our affiliates, for additi</w:t>
      </w:r>
      <w:r>
        <w:rPr>
          <w:sz w:val="20"/>
          <w:szCs w:val="20"/>
        </w:rPr>
        <w:t>onal TRELEGY ELLIPTA development or commercialization initiatives that may be proposed, which would need to be approved by GSK in order to be implemented, or for other purposes. To the extent any TRELEGY ELLIPTA development or commercialization initiatives</w:t>
      </w:r>
      <w:r>
        <w:rPr>
          <w:sz w:val="20"/>
          <w:szCs w:val="20"/>
        </w:rPr>
        <w:t xml:space="preserve"> are timely approved by GSK and implemented, such initiatives may require funding beyond the amount withheld by TRC, and TRC may withhold additional amounts in subsequent quarters with respect to these initiatives. Accordingly, we cannot predict the amount</w:t>
      </w:r>
      <w:r>
        <w:rPr>
          <w:sz w:val="20"/>
          <w:szCs w:val="20"/>
        </w:rPr>
        <w:t xml:space="preserve"> of the funds that our affiliates would otherwise expect to receive from TRC that TRC may withhold in the future, or the timing of any such withholding.</w:t>
      </w:r>
    </w:p>
    <w:p w:rsidR="00000000" w:rsidRDefault="00DE7B41">
      <w:pPr>
        <w:pStyle w:val="a3"/>
        <w:spacing w:before="0" w:beforeAutospacing="0" w:after="240" w:afterAutospacing="0"/>
        <w:ind w:firstLine="720"/>
        <w:divId w:val="932519247"/>
        <w:rPr>
          <w:sz w:val="20"/>
          <w:szCs w:val="20"/>
        </w:rPr>
      </w:pPr>
      <w:r>
        <w:rPr>
          <w:sz w:val="20"/>
          <w:szCs w:val="20"/>
        </w:rPr>
        <w:t>We may object to the withholding of funds for additional proposed TRELEGY ELLIPTA initiatives or other purposes on the basis that such withholding is in violation of the terms of the TRC LLC Agreement or otherwise, and such objection could result in additi</w:t>
      </w:r>
      <w:r>
        <w:rPr>
          <w:sz w:val="20"/>
          <w:szCs w:val="20"/>
        </w:rPr>
        <w:t>onal legal proceedings between us, TRC and Innoviva. Any such legal proceedings could divert the attention of management and cause us to incur significant costs, regardless of the outcome, which we cannot predict. An adverse result could materially and adv</w:t>
      </w:r>
      <w:r>
        <w:rPr>
          <w:sz w:val="20"/>
          <w:szCs w:val="20"/>
        </w:rPr>
        <w:t>ersely affect the funds that our affiliates would otherwise expect to receive from TRC in the future and thus have a material adverse effect on our business, financial condition, and results of operations.</w:t>
      </w:r>
    </w:p>
    <w:p w:rsidR="00000000" w:rsidRDefault="00DE7B41">
      <w:pPr>
        <w:pStyle w:val="a3"/>
        <w:spacing w:before="360" w:beforeAutospacing="0" w:after="0" w:afterAutospacing="0"/>
        <w:jc w:val="center"/>
        <w:divId w:val="1620338348"/>
        <w:rPr>
          <w:sz w:val="20"/>
          <w:szCs w:val="20"/>
        </w:rPr>
      </w:pPr>
      <w:r>
        <w:rPr>
          <w:sz w:val="20"/>
          <w:szCs w:val="20"/>
        </w:rPr>
        <w:t>44</w:t>
      </w:r>
    </w:p>
    <w:p w:rsidR="00000000" w:rsidRDefault="00DE7B41">
      <w:pPr>
        <w:pStyle w:val="a3"/>
        <w:spacing w:before="0" w:beforeAutospacing="0" w:after="600" w:afterAutospacing="0"/>
        <w:divId w:val="42218713"/>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1923297693"/>
        <w:rPr>
          <w:sz w:val="20"/>
          <w:szCs w:val="20"/>
        </w:rPr>
      </w:pPr>
      <w:r>
        <w:rPr>
          <w:b/>
          <w:bCs/>
          <w:i/>
          <w:iCs/>
          <w:sz w:val="20"/>
          <w:szCs w:val="20"/>
        </w:rPr>
        <w:t>Our</w:t>
      </w:r>
      <w:r>
        <w:rPr>
          <w:b/>
          <w:bCs/>
          <w:i/>
          <w:iCs/>
          <w:sz w:val="20"/>
          <w:szCs w:val="20"/>
        </w:rPr>
        <w:t xml:space="preserve"> ongoing drug discovery and development efforts might not generate additional successful product candidates or approvable drugs.</w:t>
      </w:r>
    </w:p>
    <w:p w:rsidR="00000000" w:rsidRDefault="00DE7B41">
      <w:pPr>
        <w:pStyle w:val="a3"/>
        <w:spacing w:before="0" w:beforeAutospacing="0" w:after="240" w:afterAutospacing="0"/>
        <w:ind w:firstLine="720"/>
        <w:divId w:val="1923297693"/>
        <w:rPr>
          <w:sz w:val="20"/>
          <w:szCs w:val="20"/>
        </w:rPr>
      </w:pPr>
      <w:r>
        <w:rPr>
          <w:sz w:val="20"/>
          <w:szCs w:val="20"/>
        </w:rPr>
        <w:t>Our compounds in clinical trials and our future leads for potential drug compounds are subject to the risks and failures inhere</w:t>
      </w:r>
      <w:r>
        <w:rPr>
          <w:sz w:val="20"/>
          <w:szCs w:val="20"/>
        </w:rPr>
        <w:t>nt in the development of pharmaceutical products. These risks include, but are not limited to, the inherent difficulty in selecting the right drug and drug target and avoiding unwanted side effects, as well as unanticipated problems relating to product dev</w:t>
      </w:r>
      <w:r>
        <w:rPr>
          <w:sz w:val="20"/>
          <w:szCs w:val="20"/>
        </w:rPr>
        <w:t>elopment, testing, enrollment, obtaining regulatory approvals, maintaining regulatory compliance, manufacturing, competition and costs and expenses that may exceed current estimates.</w:t>
      </w:r>
    </w:p>
    <w:p w:rsidR="00000000" w:rsidRDefault="00DE7B41">
      <w:pPr>
        <w:pStyle w:val="a3"/>
        <w:spacing w:before="0" w:beforeAutospacing="0" w:after="240" w:afterAutospacing="0"/>
        <w:ind w:firstLine="720"/>
        <w:divId w:val="1923297693"/>
        <w:rPr>
          <w:sz w:val="20"/>
          <w:szCs w:val="20"/>
        </w:rPr>
      </w:pPr>
      <w:r>
        <w:rPr>
          <w:sz w:val="20"/>
          <w:szCs w:val="20"/>
        </w:rPr>
        <w:t>Clinical studies involving our product candidates may reveal that those c</w:t>
      </w:r>
      <w:r>
        <w:rPr>
          <w:sz w:val="20"/>
          <w:szCs w:val="20"/>
        </w:rPr>
        <w:t>andidates are ineffective, inferior to existing approved medicines, unacceptably toxic, or that they have other unacceptable side effects. In addition, the results of preclinical studies do not necessarily predict clinical success, and larger and later-sta</w:t>
      </w:r>
      <w:r>
        <w:rPr>
          <w:sz w:val="20"/>
          <w:szCs w:val="20"/>
        </w:rPr>
        <w:t>ge clinical studies may not produce the same results as earlier-stage clinical studies.</w:t>
      </w:r>
    </w:p>
    <w:p w:rsidR="00000000" w:rsidRDefault="00DE7B41">
      <w:pPr>
        <w:pStyle w:val="a3"/>
        <w:spacing w:before="0" w:beforeAutospacing="0" w:after="240" w:afterAutospacing="0"/>
        <w:ind w:firstLine="720"/>
        <w:divId w:val="1923297693"/>
        <w:rPr>
          <w:sz w:val="20"/>
          <w:szCs w:val="20"/>
        </w:rPr>
      </w:pPr>
      <w:r>
        <w:rPr>
          <w:sz w:val="20"/>
          <w:szCs w:val="20"/>
        </w:rPr>
        <w:t>Frequently, product candidates that have shown promising results in early preclinical or clinical studies have subsequently suffered significant setbacks or failed in l</w:t>
      </w:r>
      <w:r>
        <w:rPr>
          <w:sz w:val="20"/>
          <w:szCs w:val="20"/>
        </w:rPr>
        <w:t>ater non-clinical or clinical studies. In some instances, there can be significant variability in safety and/or efficacy results between different trials of the same product candidate due to numerous factors, including changes in trial protocols, differenc</w:t>
      </w:r>
      <w:r>
        <w:rPr>
          <w:sz w:val="20"/>
          <w:szCs w:val="20"/>
        </w:rPr>
        <w:t>es in size and type of the patient populations, varying levels of adherence to the dosing regimen and other trial protocols and the rate of dropout among clinical trial participants. Clinical and non-clinical studies of product candidates often reveal that</w:t>
      </w:r>
      <w:r>
        <w:rPr>
          <w:sz w:val="20"/>
          <w:szCs w:val="20"/>
        </w:rPr>
        <w:t xml:space="preserve"> it is not possible or practical to continue development efforts for these product candidates. In addition, the design of a clinical trial can determine whether its results will support regulatory approval and flaws in the design of a clinical trial may no</w:t>
      </w:r>
      <w:r>
        <w:rPr>
          <w:sz w:val="20"/>
          <w:szCs w:val="20"/>
        </w:rPr>
        <w:t>t become apparent until the clinical trial is well underway or completed. If our clinical studies for our current product candidates, such as the clinical studies for our JAK inhibitor programs or ampreloxetine in patients with nOH, are substantially delay</w:t>
      </w:r>
      <w:r>
        <w:rPr>
          <w:sz w:val="20"/>
          <w:szCs w:val="20"/>
        </w:rPr>
        <w:t>ed or suggest that any of our product candidates may not be efficacious or well tolerated, we could choose to cease development of these product candidates. In addition, our product candidates may have undesirable side effects or other unexpected character</w:t>
      </w:r>
      <w:r>
        <w:rPr>
          <w:sz w:val="20"/>
          <w:szCs w:val="20"/>
        </w:rPr>
        <w:t>istics that could cause us or regulatory authorities to interrupt, delay or halt clinical trials and could result in a more restricted label or the delay or denial of regulatory approval by regulatory authorities.</w:t>
      </w:r>
    </w:p>
    <w:p w:rsidR="00000000" w:rsidRDefault="00DE7B41">
      <w:pPr>
        <w:pStyle w:val="a3"/>
        <w:spacing w:before="0" w:beforeAutospacing="0" w:after="120" w:afterAutospacing="0"/>
        <w:divId w:val="1923297693"/>
        <w:rPr>
          <w:sz w:val="20"/>
          <w:szCs w:val="20"/>
        </w:rPr>
      </w:pPr>
      <w:r>
        <w:rPr>
          <w:b/>
          <w:bCs/>
          <w:i/>
          <w:iCs/>
          <w:sz w:val="20"/>
          <w:szCs w:val="20"/>
        </w:rPr>
        <w:t>We face substantial competition from compa</w:t>
      </w:r>
      <w:r>
        <w:rPr>
          <w:b/>
          <w:bCs/>
          <w:i/>
          <w:iCs/>
          <w:sz w:val="20"/>
          <w:szCs w:val="20"/>
        </w:rPr>
        <w:t>nies with more resources and experience than we have, which may result in others discovering, developing, receiving approval for or commercializing products before or more successfully than we do.</w:t>
      </w:r>
    </w:p>
    <w:p w:rsidR="00000000" w:rsidRDefault="00DE7B41">
      <w:pPr>
        <w:pStyle w:val="a3"/>
        <w:spacing w:before="0" w:beforeAutospacing="0" w:after="240" w:afterAutospacing="0"/>
        <w:ind w:firstLine="720"/>
        <w:divId w:val="1923297693"/>
        <w:rPr>
          <w:sz w:val="20"/>
          <w:szCs w:val="20"/>
        </w:rPr>
      </w:pPr>
      <w:r>
        <w:rPr>
          <w:sz w:val="20"/>
          <w:szCs w:val="20"/>
        </w:rPr>
        <w:t>Our ability to succeed in the future depends on our ability</w:t>
      </w:r>
      <w:r>
        <w:rPr>
          <w:sz w:val="20"/>
          <w:szCs w:val="20"/>
        </w:rPr>
        <w:t xml:space="preserve"> to demonstrate and maintain a competitive advantage with respect to our approach to the discovery, development and commercialization of medicines. Our objective is to discover, develop and commercialize new small molecule medicines with superior efficacy,</w:t>
      </w:r>
      <w:r>
        <w:rPr>
          <w:sz w:val="20"/>
          <w:szCs w:val="20"/>
        </w:rPr>
        <w:t xml:space="preserve"> convenience, tolerability and/or safety using our proprietary insight in chemistry, biology and multivalency, where applicable. We expect that any medicines that we commercialize with or without our collaborative partners will compete with existing or fut</w:t>
      </w:r>
      <w:r>
        <w:rPr>
          <w:sz w:val="20"/>
          <w:szCs w:val="20"/>
        </w:rPr>
        <w:t>ure market-leading medicines.</w:t>
      </w:r>
    </w:p>
    <w:p w:rsidR="00000000" w:rsidRDefault="00DE7B41">
      <w:pPr>
        <w:pStyle w:val="a3"/>
        <w:spacing w:before="0" w:beforeAutospacing="0" w:after="240" w:afterAutospacing="0"/>
        <w:ind w:firstLine="720"/>
        <w:divId w:val="1923297693"/>
        <w:rPr>
          <w:sz w:val="20"/>
          <w:szCs w:val="20"/>
        </w:rPr>
      </w:pPr>
      <w:r>
        <w:rPr>
          <w:sz w:val="20"/>
          <w:szCs w:val="20"/>
        </w:rPr>
        <w:t>Many of our current and potential competitors have substantially greater financial, technical and personnel resources than we have. In addition, many of these competitors have significantly greater commercial infrastructures t</w:t>
      </w:r>
      <w:r>
        <w:rPr>
          <w:sz w:val="20"/>
          <w:szCs w:val="20"/>
        </w:rPr>
        <w:t>han we have. Our ability to compete successfully will depend largely on our ability to leverage our experience in drug discovery and development,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1923297693"/>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discover and develop medicines that are superior to other produc</w:t>
            </w:r>
            <w:r>
              <w:rPr>
                <w:sz w:val="20"/>
                <w:szCs w:val="20"/>
              </w:rPr>
              <w:t>ts in the market;</w:t>
            </w:r>
          </w:p>
        </w:tc>
      </w:tr>
    </w:tbl>
    <w:p w:rsidR="00000000" w:rsidRDefault="00DE7B41">
      <w:pPr>
        <w:divId w:val="1923297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trPr>
          <w:divId w:val="1923297693"/>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attract and retain qualified personnel;</w:t>
            </w:r>
          </w:p>
        </w:tc>
      </w:tr>
    </w:tbl>
    <w:p w:rsidR="00000000" w:rsidRDefault="00DE7B41">
      <w:pPr>
        <w:divId w:val="1923297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3297693"/>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obtain and enforce patent and/or other proprietary protection for our medicines and technologies;</w:t>
            </w:r>
          </w:p>
        </w:tc>
      </w:tr>
    </w:tbl>
    <w:p w:rsidR="00000000" w:rsidRDefault="00DE7B41">
      <w:pPr>
        <w:divId w:val="1923297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trPr>
          <w:divId w:val="1923297693"/>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conduct effective clinical trials and obtain required regulatory approvals;</w:t>
            </w:r>
          </w:p>
        </w:tc>
      </w:tr>
    </w:tbl>
    <w:p w:rsidR="00000000" w:rsidRDefault="00DE7B41">
      <w:pPr>
        <w:divId w:val="192329769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3297693"/>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develop and effectively implement commercialization strategies, with or </w:t>
            </w:r>
            <w:r>
              <w:rPr>
                <w:sz w:val="20"/>
                <w:szCs w:val="20"/>
              </w:rPr>
              <w:t>without collaborative partners; and</w:t>
            </w:r>
          </w:p>
        </w:tc>
      </w:tr>
    </w:tbl>
    <w:p w:rsidR="00000000" w:rsidRDefault="00DE7B41">
      <w:pPr>
        <w:pStyle w:val="a3"/>
        <w:spacing w:before="360" w:beforeAutospacing="0" w:after="0" w:afterAutospacing="0"/>
        <w:jc w:val="center"/>
        <w:divId w:val="1682968049"/>
        <w:rPr>
          <w:sz w:val="20"/>
          <w:szCs w:val="20"/>
        </w:rPr>
      </w:pPr>
      <w:r>
        <w:rPr>
          <w:sz w:val="20"/>
          <w:szCs w:val="20"/>
        </w:rPr>
        <w:t>45</w:t>
      </w:r>
    </w:p>
    <w:p w:rsidR="00000000" w:rsidRDefault="00DE7B41">
      <w:pPr>
        <w:pStyle w:val="a3"/>
        <w:spacing w:before="0" w:beforeAutospacing="0" w:after="600" w:afterAutospacing="0"/>
        <w:divId w:val="529218655"/>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374190"/>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successfully collaborate with pharmaceutical companies in the discovery, development and commercialization of new medicines.</w:t>
            </w:r>
          </w:p>
        </w:tc>
      </w:tr>
    </w:tbl>
    <w:p w:rsidR="00000000" w:rsidRDefault="00DE7B41">
      <w:pPr>
        <w:pStyle w:val="a3"/>
        <w:spacing w:before="0" w:beforeAutospacing="0" w:after="240" w:afterAutospacing="0"/>
        <w:ind w:firstLine="720"/>
        <w:divId w:val="95374190"/>
        <w:rPr>
          <w:sz w:val="20"/>
          <w:szCs w:val="20"/>
        </w:rPr>
      </w:pPr>
      <w:r>
        <w:rPr>
          <w:sz w:val="20"/>
          <w:szCs w:val="20"/>
        </w:rPr>
        <w:t>Pharmaceutical companies, including companies with which we collaborate, may invest heavily to quickly discover and develop or in-license novel compounds that could make our product candidates obsolete. Accordingly, our competitors may succeed in obtaining</w:t>
      </w:r>
      <w:r>
        <w:rPr>
          <w:sz w:val="20"/>
          <w:szCs w:val="20"/>
        </w:rPr>
        <w:t xml:space="preserve"> patent protection, receiving FDA or equivalent regulatory approval outside the US or discovering, developing and commercializing medicines before we do. Other companies are engaged in the discovery of medicines that would compete with the product candidat</w:t>
      </w:r>
      <w:r>
        <w:rPr>
          <w:sz w:val="20"/>
          <w:szCs w:val="20"/>
        </w:rPr>
        <w:t>es that we are developing.</w:t>
      </w:r>
    </w:p>
    <w:p w:rsidR="00000000" w:rsidRDefault="00DE7B41">
      <w:pPr>
        <w:pStyle w:val="a3"/>
        <w:spacing w:before="0" w:beforeAutospacing="0" w:after="240" w:afterAutospacing="0"/>
        <w:ind w:firstLine="720"/>
        <w:divId w:val="95374190"/>
        <w:rPr>
          <w:sz w:val="20"/>
          <w:szCs w:val="20"/>
        </w:rPr>
      </w:pPr>
      <w:r>
        <w:rPr>
          <w:sz w:val="20"/>
          <w:szCs w:val="20"/>
        </w:rPr>
        <w:t>Any new medicine that competes with a generic or proprietary market leading medicine must demonstrate compelling advantages in efficacy, convenience, tolerability and/or safety in order to overcome severe price competition and be</w:t>
      </w:r>
      <w:r>
        <w:rPr>
          <w:sz w:val="20"/>
          <w:szCs w:val="20"/>
        </w:rPr>
        <w:t xml:space="preserve"> commercially successful. For example, YUPELRI competes predominantly with short-acting nebulized bronchodilators used three to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used twice per day. If we are not able to compete</w:t>
      </w:r>
      <w:r>
        <w:rPr>
          <w:sz w:val="20"/>
          <w:szCs w:val="20"/>
        </w:rPr>
        <w:t xml:space="preserve"> effectively against our current and future competitors, our business will not grow, our financial condition and operations will suffer and the price of our securities could fall.</w:t>
      </w:r>
    </w:p>
    <w:p w:rsidR="00000000" w:rsidRDefault="00DE7B41">
      <w:pPr>
        <w:pStyle w:val="a3"/>
        <w:spacing w:before="0" w:beforeAutospacing="0" w:after="120" w:afterAutospacing="0"/>
        <w:divId w:val="95374190"/>
        <w:rPr>
          <w:sz w:val="20"/>
          <w:szCs w:val="20"/>
        </w:rPr>
      </w:pPr>
      <w:r>
        <w:rPr>
          <w:b/>
          <w:bCs/>
          <w:i/>
          <w:iCs/>
          <w:sz w:val="20"/>
          <w:szCs w:val="20"/>
        </w:rPr>
        <w:t>If we are unable to enter into future collaboration arrangements or if any s</w:t>
      </w:r>
      <w:r>
        <w:rPr>
          <w:b/>
          <w:bCs/>
          <w:i/>
          <w:iCs/>
          <w:sz w:val="20"/>
          <w:szCs w:val="20"/>
        </w:rPr>
        <w:t>uch collaborations with third parties are unsuccessful, we will be unable to fully develop and commercialize all of our product candidates and our business will be adversely affected.</w:t>
      </w:r>
    </w:p>
    <w:p w:rsidR="00000000" w:rsidRDefault="00DE7B41">
      <w:pPr>
        <w:pStyle w:val="a3"/>
        <w:spacing w:before="0" w:beforeAutospacing="0" w:after="240" w:afterAutospacing="0"/>
        <w:ind w:firstLine="720"/>
        <w:divId w:val="95374190"/>
        <w:rPr>
          <w:sz w:val="20"/>
          <w:szCs w:val="20"/>
        </w:rPr>
      </w:pPr>
      <w:r>
        <w:rPr>
          <w:sz w:val="20"/>
          <w:szCs w:val="20"/>
        </w:rPr>
        <w:t xml:space="preserve">We have collaborations with a number of third parties including Janssen </w:t>
      </w:r>
      <w:r>
        <w:rPr>
          <w:sz w:val="20"/>
          <w:szCs w:val="20"/>
        </w:rPr>
        <w:t>for TD-1473 and related back-up compounds for inflammatory intestinal diseases, including ulcerative colitis and Crohn’s disease and Mylan for the development and commercialization of a nebulized formulation of revefenacin, our LAMA compound (including YUP</w:t>
      </w:r>
      <w:r>
        <w:rPr>
          <w:sz w:val="20"/>
          <w:szCs w:val="20"/>
        </w:rPr>
        <w:t>ELRI). Also, through our interest in TRC we may participate economically in Innoviva’s collaborations with GSK with respect to the GSK-Partnered Respiratory Programs. Additional collaborations will likely be needed to fund later-stage development of certai</w:t>
      </w:r>
      <w:r>
        <w:rPr>
          <w:sz w:val="20"/>
          <w:szCs w:val="20"/>
        </w:rPr>
        <w:t>n programs that have not been licensed to a collaborator, such as our NEP inhibitor program and to commercialize the product candidates in our programs if approved by the necessary regulatory authorities. We evaluate commercial strategy on a product by pro</w:t>
      </w:r>
      <w:r>
        <w:rPr>
          <w:sz w:val="20"/>
          <w:szCs w:val="20"/>
        </w:rPr>
        <w:t>duct basis either to engage pharmaceutical or other healthcare companies with an existing sales and marketing organization and distribution system to market, sell and distribute our products or to commercialize a product ourselves. However, we may not be a</w:t>
      </w:r>
      <w:r>
        <w:rPr>
          <w:sz w:val="20"/>
          <w:szCs w:val="20"/>
        </w:rPr>
        <w:t>ble to establish these sales and distribution relationships on acceptable terms, or at all, or may encounter difficulties in commercializing a product ourselves. For any of our product candidates that receive regulatory approval in the future and are not c</w:t>
      </w:r>
      <w:r>
        <w:rPr>
          <w:sz w:val="20"/>
          <w:szCs w:val="20"/>
        </w:rPr>
        <w:t>overed by our current collaboration agreements, we will need a partner in order to commercialize such products unless we establish independent sales, marketing and distribution capabilities with appropriate technical expertise and supporting infrastructure</w:t>
      </w:r>
      <w:r>
        <w:rPr>
          <w:sz w:val="20"/>
          <w:szCs w:val="20"/>
        </w:rPr>
        <w:t>.</w:t>
      </w:r>
    </w:p>
    <w:p w:rsidR="00000000" w:rsidRDefault="00DE7B41">
      <w:pPr>
        <w:pStyle w:val="a3"/>
        <w:spacing w:before="0" w:beforeAutospacing="0" w:after="240" w:afterAutospacing="0"/>
        <w:ind w:firstLine="720"/>
        <w:divId w:val="95374190"/>
        <w:rPr>
          <w:sz w:val="20"/>
          <w:szCs w:val="20"/>
        </w:rPr>
      </w:pPr>
      <w:r>
        <w:rPr>
          <w:sz w:val="20"/>
          <w:szCs w:val="20"/>
        </w:rPr>
        <w:t>Collaborations with third parties regarding our programs may require us to relinquish material rights, including revenue from commercialization of our medicines, or to assume material ongoing development obligations that we would have to fund. These coll</w:t>
      </w:r>
      <w:r>
        <w:rPr>
          <w:sz w:val="20"/>
          <w:szCs w:val="20"/>
        </w:rPr>
        <w:t>aboration arrangements are complex and time-consuming to negotiate, and if we are unable to reach agreements with third-party collaborators, we may fail to meet our business objectives and our financial condition may be adversely affected. We face signific</w:t>
      </w:r>
      <w:r>
        <w:rPr>
          <w:sz w:val="20"/>
          <w:szCs w:val="20"/>
        </w:rPr>
        <w:t>ant competition in seeking third-party collaborators. We may be unable to find third parties to pursue product collaborations on a timely basis or on acceptable terms. Furthermore, for any collaboration, we may not be able to control the amount of time and</w:t>
      </w:r>
      <w:r>
        <w:rPr>
          <w:sz w:val="20"/>
          <w:szCs w:val="20"/>
        </w:rPr>
        <w:t xml:space="preserve"> resources that our partners devote to our product candidates and our partners may choose to prioritize alternative programs or otherwise be unsuccessful in their efforts with respect to our products or product candidates. In addition, effective collaborat</w:t>
      </w:r>
      <w:r>
        <w:rPr>
          <w:sz w:val="20"/>
          <w:szCs w:val="20"/>
        </w:rPr>
        <w:t>ion with a partner requires coordination to achieve complex and detail-intensive goals between entities that potentially have different priorities, capabilities and processes and successful navigation of the challenges such coordination entails. For exampl</w:t>
      </w:r>
      <w:r>
        <w:rPr>
          <w:sz w:val="20"/>
          <w:szCs w:val="20"/>
        </w:rPr>
        <w:t>e, Mylan has a substantial existing product portfolio and other considerations that influence its resource allocation, and other priorities and internal organizational processes that differ from our own. As a result of these differing interests and process</w:t>
      </w:r>
      <w:r>
        <w:rPr>
          <w:sz w:val="20"/>
          <w:szCs w:val="20"/>
        </w:rPr>
        <w:t xml:space="preserve">es, Mylan may take actions that it believes are in its best interest but which might not be in the best interests of either us or our other shareholders. Our inability to successfully collaborate with third parties would increase our development costs and </w:t>
      </w:r>
      <w:r>
        <w:rPr>
          <w:sz w:val="20"/>
          <w:szCs w:val="20"/>
        </w:rPr>
        <w:t>may cause us to choose not to continue development of certain product candidates, would limit the likelihood of successful commercialization of some of our product candidates, may cause us not to continue commercialization of our authorized products and co</w:t>
      </w:r>
      <w:r>
        <w:rPr>
          <w:sz w:val="20"/>
          <w:szCs w:val="20"/>
        </w:rPr>
        <w:t>uld cause the price of our securities to fall.</w:t>
      </w:r>
    </w:p>
    <w:p w:rsidR="00000000" w:rsidRDefault="00DE7B41">
      <w:pPr>
        <w:pStyle w:val="a3"/>
        <w:spacing w:before="360" w:beforeAutospacing="0" w:after="0" w:afterAutospacing="0"/>
        <w:jc w:val="center"/>
        <w:divId w:val="1527864006"/>
        <w:rPr>
          <w:sz w:val="20"/>
          <w:szCs w:val="20"/>
        </w:rPr>
      </w:pPr>
      <w:r>
        <w:rPr>
          <w:sz w:val="20"/>
          <w:szCs w:val="20"/>
        </w:rPr>
        <w:t>46</w:t>
      </w:r>
    </w:p>
    <w:p w:rsidR="00000000" w:rsidRDefault="00DE7B41">
      <w:pPr>
        <w:pStyle w:val="a3"/>
        <w:spacing w:before="0" w:beforeAutospacing="0" w:after="600" w:afterAutospacing="0"/>
        <w:divId w:val="1074354860"/>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954748984"/>
        <w:rPr>
          <w:sz w:val="20"/>
          <w:szCs w:val="20"/>
        </w:rPr>
      </w:pPr>
      <w:r>
        <w:rPr>
          <w:b/>
          <w:bCs/>
          <w:i/>
          <w:iCs/>
          <w:sz w:val="20"/>
          <w:szCs w:val="20"/>
        </w:rPr>
        <w:t>We depend on third parties in the conduct of our non-clinical and clinical studies for our product candidates.</w:t>
      </w:r>
    </w:p>
    <w:p w:rsidR="00000000" w:rsidRDefault="00DE7B41">
      <w:pPr>
        <w:pStyle w:val="a3"/>
        <w:spacing w:before="0" w:beforeAutospacing="0" w:after="240" w:afterAutospacing="0"/>
        <w:ind w:firstLine="720"/>
        <w:divId w:val="954748984"/>
        <w:rPr>
          <w:sz w:val="20"/>
          <w:szCs w:val="20"/>
        </w:rPr>
      </w:pPr>
      <w:r>
        <w:rPr>
          <w:sz w:val="20"/>
          <w:szCs w:val="20"/>
        </w:rPr>
        <w:t>We depend on independent clinical investigators, co</w:t>
      </w:r>
      <w:r>
        <w:rPr>
          <w:sz w:val="20"/>
          <w:szCs w:val="20"/>
        </w:rPr>
        <w:t>ntract research and manufacturing organizations and other third-party service providers in the conduct of our non-clinical and clinical studies for our product candidates. We rely heavily on these parties for execution of our non-clinical and clinical stud</w:t>
      </w:r>
      <w:r>
        <w:rPr>
          <w:sz w:val="20"/>
          <w:szCs w:val="20"/>
        </w:rPr>
        <w:t>ies, and control only certain aspects of their activities. Nevertheless, we are responsible for ensuring that our clinical studies are conducted in accordance with good clinical, laboratory and manufacturing practices (“GXPs”) and other regulations as requ</w:t>
      </w:r>
      <w:r>
        <w:rPr>
          <w:sz w:val="20"/>
          <w:szCs w:val="20"/>
        </w:rPr>
        <w:t xml:space="preserve">ired by the FDA and foreign regulatory authorities, and the applicable protocol. Failure by these parties to comply with applicable regulations and practices in conducting studies of our product candidates can result in a delay in our development programs </w:t>
      </w:r>
      <w:r>
        <w:rPr>
          <w:sz w:val="20"/>
          <w:szCs w:val="20"/>
        </w:rPr>
        <w:t>or non-approval of our product candidates by regulatory authorities. Furthermore, to the extent the operations of these third parties are disrupted as result of the COVID-19 pandemic or otherwise, our development programs could be delayed.</w:t>
      </w:r>
    </w:p>
    <w:p w:rsidR="00000000" w:rsidRDefault="00DE7B41">
      <w:pPr>
        <w:pStyle w:val="a3"/>
        <w:spacing w:before="0" w:beforeAutospacing="0" w:after="240" w:afterAutospacing="0"/>
        <w:ind w:firstLine="720"/>
        <w:divId w:val="954748984"/>
        <w:rPr>
          <w:sz w:val="20"/>
          <w:szCs w:val="20"/>
        </w:rPr>
      </w:pPr>
      <w:r>
        <w:rPr>
          <w:sz w:val="20"/>
          <w:szCs w:val="20"/>
        </w:rPr>
        <w:t>The FDA, and equ</w:t>
      </w:r>
      <w:r>
        <w:rPr>
          <w:sz w:val="20"/>
          <w:szCs w:val="20"/>
        </w:rPr>
        <w:t>ivalent authorities in third countries, enforces GXPs and other regulations through periodic inspections of trial sponsors, clinical research organizations (“CROs”), principal investigators and trial sites. If we or any of the third parties on which we hav</w:t>
      </w:r>
      <w:r>
        <w:rPr>
          <w:sz w:val="20"/>
          <w:szCs w:val="20"/>
        </w:rPr>
        <w:t xml:space="preserve">e relied to conduct our clinical studies are determined to have failed to comply with GXPs (or other equivalent regulations outside the US), the study protocol or applicable regulations, the clinical data generated in our studies may be deemed unreliable. </w:t>
      </w:r>
      <w:r>
        <w:rPr>
          <w:sz w:val="20"/>
          <w:szCs w:val="20"/>
        </w:rPr>
        <w:t>This could result in non-approval of our product candidates by the FDA, or equivalent authorities in other countries, or we, the FDA, or equivalent authorities in other countries may decide to conduct additional audits or require additional clinical studie</w:t>
      </w:r>
      <w:r>
        <w:rPr>
          <w:sz w:val="20"/>
          <w:szCs w:val="20"/>
        </w:rPr>
        <w:t>s, which would delay our development programs, could result in significant additional costs and cause the price of our securities to fall.</w:t>
      </w:r>
    </w:p>
    <w:p w:rsidR="00000000" w:rsidRDefault="00DE7B41">
      <w:pPr>
        <w:pStyle w:val="a3"/>
        <w:spacing w:before="0" w:beforeAutospacing="0" w:after="120" w:afterAutospacing="0"/>
        <w:divId w:val="954748984"/>
        <w:rPr>
          <w:sz w:val="20"/>
          <w:szCs w:val="20"/>
        </w:rPr>
      </w:pPr>
      <w:r>
        <w:rPr>
          <w:b/>
          <w:bCs/>
          <w:i/>
          <w:iCs/>
          <w:sz w:val="20"/>
          <w:szCs w:val="20"/>
        </w:rPr>
        <w:t>We rely on a single source of supply for a number of our product candidates, and our business will be harmed if any of these single-source manufacturers are not able to satisfy demand and alternative sources are not available.</w:t>
      </w:r>
    </w:p>
    <w:p w:rsidR="00000000" w:rsidRDefault="00DE7B41">
      <w:pPr>
        <w:pStyle w:val="a3"/>
        <w:spacing w:before="0" w:beforeAutospacing="0" w:after="240" w:afterAutospacing="0"/>
        <w:ind w:firstLine="720"/>
        <w:divId w:val="954748984"/>
        <w:rPr>
          <w:sz w:val="20"/>
          <w:szCs w:val="20"/>
        </w:rPr>
      </w:pPr>
      <w:r>
        <w:rPr>
          <w:sz w:val="20"/>
          <w:szCs w:val="20"/>
        </w:rPr>
        <w:t>We have limited in-house prod</w:t>
      </w:r>
      <w:r>
        <w:rPr>
          <w:sz w:val="20"/>
          <w:szCs w:val="20"/>
        </w:rPr>
        <w:t>uction capabilities for preclinical and clinical study purposes and depend primarily on a number of third-party Active Pharmaceutical Ingredient (“API”) and drug product manufacturers. We may not have long-term agreements with these third parties and our a</w:t>
      </w:r>
      <w:r>
        <w:rPr>
          <w:sz w:val="20"/>
          <w:szCs w:val="20"/>
        </w:rPr>
        <w:t>greements with these parties may be terminable at will by either party at any time. If, for any reason, these third parties are unable or unwilling to perform, or if their performance does not meet regulatory requirements, we may not be able to locate alte</w:t>
      </w:r>
      <w:r>
        <w:rPr>
          <w:sz w:val="20"/>
          <w:szCs w:val="20"/>
        </w:rPr>
        <w:t>rnative manufacturers or enter into acceptable agreements with them. Any inability to acquire sufficient quantities of API and drug product in a timely manner from these third parties could delay preclinical and clinical studies and prevent us from develop</w:t>
      </w:r>
      <w:r>
        <w:rPr>
          <w:sz w:val="20"/>
          <w:szCs w:val="20"/>
        </w:rPr>
        <w:t>ing our product candidates in a cost-effective manner or on a timely basis. In addition, manufacturers of our API and drug product are subject to the FDA’s current Good Manufacturing Practice (“cGMP”) regulations and similar foreign standards and we do not</w:t>
      </w:r>
      <w:r>
        <w:rPr>
          <w:sz w:val="20"/>
          <w:szCs w:val="20"/>
        </w:rPr>
        <w:t xml:space="preserve"> have control over compliance with these regulations by our manufacturers.</w:t>
      </w:r>
    </w:p>
    <w:p w:rsidR="00000000" w:rsidRDefault="00DE7B41">
      <w:pPr>
        <w:pStyle w:val="a3"/>
        <w:spacing w:before="0" w:beforeAutospacing="0" w:after="240" w:afterAutospacing="0"/>
        <w:ind w:firstLine="720"/>
        <w:divId w:val="954748984"/>
        <w:rPr>
          <w:sz w:val="20"/>
          <w:szCs w:val="20"/>
        </w:rPr>
      </w:pPr>
      <w:r>
        <w:rPr>
          <w:sz w:val="20"/>
          <w:szCs w:val="20"/>
        </w:rPr>
        <w:t>Our manufacturing strategy presents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4748984"/>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because of the complex nature of many of our compounds, our manufacturers may not be able to successfully manu</w:t>
            </w:r>
            <w:r>
              <w:rPr>
                <w:sz w:val="20"/>
                <w:szCs w:val="20"/>
              </w:rPr>
              <w:t>facture our APIs and/or drug products in a cost-effective and/or timely manner and changing manufacturers for our APIs or drug products could involve lengthy technology transfer, validation and regulatory qualification activities for the new manufacturer;</w:t>
            </w:r>
          </w:p>
        </w:tc>
      </w:tr>
    </w:tbl>
    <w:p w:rsidR="00000000" w:rsidRDefault="00DE7B41">
      <w:pPr>
        <w:divId w:val="9547489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4748984"/>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processes required to manufacture certain of our APIs and drug products are specialized and available only from a limited number of third-party manufacturers;</w:t>
            </w:r>
          </w:p>
        </w:tc>
      </w:tr>
    </w:tbl>
    <w:p w:rsidR="00000000" w:rsidRDefault="00DE7B41">
      <w:pPr>
        <w:divId w:val="9547489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4748984"/>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some of the manufacturing processes for our APIs and drug products have not been scaled </w:t>
            </w:r>
            <w:r>
              <w:rPr>
                <w:sz w:val="20"/>
                <w:szCs w:val="20"/>
              </w:rPr>
              <w:t>to quantities needed for continued clinical studies or commercial sales, and delays in scale-up to higher quantities could delay clinical studies, regulatory submissions and commercialization of our product candidates; and</w:t>
            </w:r>
          </w:p>
        </w:tc>
      </w:tr>
    </w:tbl>
    <w:p w:rsidR="00000000" w:rsidRDefault="00DE7B41">
      <w:pPr>
        <w:divId w:val="9547489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4748984"/>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because some of the third-pa</w:t>
            </w:r>
            <w:r>
              <w:rPr>
                <w:sz w:val="20"/>
                <w:szCs w:val="20"/>
              </w:rPr>
              <w:t xml:space="preserve">rty manufacturers are located outside of the US, there may be difficulties in importing our APIs and drug products or their components into the US as a result of, among other things, FDA import inspections, incomplete or inaccurate import documentation or </w:t>
            </w:r>
            <w:r>
              <w:rPr>
                <w:sz w:val="20"/>
                <w:szCs w:val="20"/>
              </w:rPr>
              <w:t>defective packaging.</w:t>
            </w:r>
          </w:p>
        </w:tc>
      </w:tr>
    </w:tbl>
    <w:p w:rsidR="00000000" w:rsidRDefault="00DE7B41">
      <w:pPr>
        <w:pStyle w:val="a3"/>
        <w:spacing w:before="360" w:beforeAutospacing="0" w:after="0" w:afterAutospacing="0"/>
        <w:jc w:val="center"/>
        <w:divId w:val="393312913"/>
        <w:rPr>
          <w:sz w:val="20"/>
          <w:szCs w:val="20"/>
        </w:rPr>
      </w:pPr>
      <w:r>
        <w:rPr>
          <w:sz w:val="20"/>
          <w:szCs w:val="20"/>
        </w:rPr>
        <w:t>47</w:t>
      </w:r>
    </w:p>
    <w:p w:rsidR="00000000" w:rsidRDefault="00DE7B41">
      <w:pPr>
        <w:pStyle w:val="a3"/>
        <w:spacing w:before="0" w:beforeAutospacing="0" w:after="600" w:afterAutospacing="0"/>
        <w:divId w:val="1934632241"/>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1398355236"/>
        <w:rPr>
          <w:sz w:val="20"/>
          <w:szCs w:val="20"/>
        </w:rPr>
      </w:pPr>
      <w:r>
        <w:rPr>
          <w:b/>
          <w:bCs/>
          <w:i/>
          <w:iCs/>
          <w:sz w:val="20"/>
          <w:szCs w:val="20"/>
        </w:rPr>
        <w:t>We have a significant amount of debt, including our Non-Recourse 2035 Notes and Convertible Senior 2023 Notes, that are senior in capital structure and cash flow, respectively, to holders</w:t>
      </w:r>
      <w:r>
        <w:rPr>
          <w:b/>
          <w:bCs/>
          <w:i/>
          <w:iCs/>
          <w:sz w:val="20"/>
          <w:szCs w:val="20"/>
        </w:rPr>
        <w:t xml:space="preserve"> of our ordinary shares. Satisfying the obligations relating to our debt could adversely affect the amount or timing of distributions to our shareholders. </w:t>
      </w:r>
    </w:p>
    <w:p w:rsidR="00000000" w:rsidRDefault="00DE7B41">
      <w:pPr>
        <w:pStyle w:val="a3"/>
        <w:spacing w:before="0" w:beforeAutospacing="0" w:after="240" w:afterAutospacing="0"/>
        <w:ind w:firstLine="720"/>
        <w:divId w:val="1398355236"/>
        <w:rPr>
          <w:sz w:val="20"/>
          <w:szCs w:val="20"/>
        </w:rPr>
      </w:pPr>
      <w:r>
        <w:rPr>
          <w:sz w:val="20"/>
          <w:szCs w:val="20"/>
        </w:rPr>
        <w:t>As of March 31, 2020, we had $665.3 million in total long-term liabilities outstanding, comprised pr</w:t>
      </w:r>
      <w:r>
        <w:rPr>
          <w:sz w:val="20"/>
          <w:szCs w:val="20"/>
        </w:rPr>
        <w:t>imarily of $380.0 million in net principal that remains outstanding under the Issuer II’s Non-Recourse 2035 Notes and $230.0 million in principal that remains outstanding under our Convertible Senior 2023 Notes (together with the Non-Recourse 2035 Notes, t</w:t>
      </w:r>
      <w:r>
        <w:rPr>
          <w:sz w:val="20"/>
          <w:szCs w:val="20"/>
        </w:rPr>
        <w:t>he “Notes”).</w:t>
      </w:r>
    </w:p>
    <w:p w:rsidR="00000000" w:rsidRDefault="00DE7B41">
      <w:pPr>
        <w:pStyle w:val="a3"/>
        <w:spacing w:before="0" w:beforeAutospacing="0" w:after="200" w:afterAutospacing="0"/>
        <w:ind w:firstLine="720"/>
        <w:divId w:val="1398355236"/>
        <w:rPr>
          <w:sz w:val="20"/>
          <w:szCs w:val="20"/>
        </w:rPr>
      </w:pPr>
      <w:r>
        <w:rPr>
          <w:sz w:val="20"/>
          <w:szCs w:val="20"/>
        </w:rPr>
        <w:t>The Convertible Senior 2023 Notes are unsecured debt and are not redeemable by us prior to the maturity date except for certain changes in tax law. Holders of the Convertible Senior 2023 Notes may require us to purchase all or any portion of their notes at</w:t>
      </w:r>
      <w:r>
        <w:rPr>
          <w:sz w:val="20"/>
          <w:szCs w:val="20"/>
        </w:rPr>
        <w:t xml:space="preserve"> 100% of their principal amount, plus any unpaid interest, upon a fundamental change such as a change of control of us or the termination of trading of our ordinary shares in accordance with the indenture governing the Convertible Senior 2023 Notes.</w:t>
      </w:r>
    </w:p>
    <w:p w:rsidR="00000000" w:rsidRDefault="00DE7B41">
      <w:pPr>
        <w:pStyle w:val="a3"/>
        <w:spacing w:before="0" w:beforeAutospacing="0" w:after="200" w:afterAutospacing="0"/>
        <w:ind w:firstLine="720"/>
        <w:divId w:val="1398355236"/>
        <w:rPr>
          <w:sz w:val="20"/>
          <w:szCs w:val="20"/>
        </w:rPr>
      </w:pPr>
      <w:r>
        <w:rPr>
          <w:sz w:val="20"/>
          <w:szCs w:val="20"/>
        </w:rPr>
        <w:t xml:space="preserve">Until </w:t>
      </w:r>
      <w:r>
        <w:rPr>
          <w:sz w:val="20"/>
          <w:szCs w:val="20"/>
        </w:rPr>
        <w:t>the Non-Recourse 2035 Notes are paid in full, holders of the Non-Recourse 2035 Notes have a perfected security interest in the Issuer II Class C Units that represent a 63.75% economic interest in any future payments that may be made by GSK to TRC under the</w:t>
      </w:r>
      <w:r>
        <w:rPr>
          <w:sz w:val="20"/>
          <w:szCs w:val="20"/>
        </w:rPr>
        <w:t xml:space="preserve"> strategic alliance agreement and under the portion of the collaboration agreement assigned to TRC by Innoviva (net of TRC expenses paid and the amount of cash, if any, expected to be used by TRC pursuant to the TRC LLC Agreement over the next four fiscal </w:t>
      </w:r>
      <w:r>
        <w:rPr>
          <w:sz w:val="20"/>
          <w:szCs w:val="20"/>
        </w:rPr>
        <w:t>quarters) relating to the GSK-Partnered Respiratory Programs, including the TRELEGY ELLIPTA program.</w:t>
      </w:r>
    </w:p>
    <w:p w:rsidR="00000000" w:rsidRDefault="00DE7B41">
      <w:pPr>
        <w:pStyle w:val="a3"/>
        <w:spacing w:before="0" w:beforeAutospacing="0" w:after="200" w:afterAutospacing="0"/>
        <w:ind w:firstLine="720"/>
        <w:divId w:val="1398355236"/>
        <w:rPr>
          <w:sz w:val="20"/>
          <w:szCs w:val="20"/>
        </w:rPr>
      </w:pPr>
      <w:r>
        <w:rPr>
          <w:sz w:val="20"/>
          <w:szCs w:val="20"/>
        </w:rPr>
        <w:t xml:space="preserve">Prior to and including the December 5, 2024 payment date, </w:t>
      </w:r>
      <w:r>
        <w:rPr>
          <w:sz w:val="20"/>
          <w:szCs w:val="20"/>
        </w:rPr>
        <w:t>t</w:t>
      </w:r>
      <w:r>
        <w:rPr>
          <w:sz w:val="20"/>
          <w:szCs w:val="20"/>
        </w:rPr>
        <w:t>he terms of the Non-Recourse 2035 Notes provide that in the event that the distributions receive</w:t>
      </w:r>
      <w:r>
        <w:rPr>
          <w:sz w:val="20"/>
          <w:szCs w:val="20"/>
        </w:rPr>
        <w:t xml:space="preserve">d by the Issuer II from TRC in a quarter is less than the interest accrued for that quarter, the principal amount of the Non-Recourse 2035 Notes will increase by the interest shortfall amount for that quarter. The terms of the Non-Recourse 2035 Notes also </w:t>
      </w:r>
      <w:r>
        <w:rPr>
          <w:sz w:val="20"/>
          <w:szCs w:val="20"/>
        </w:rPr>
        <w:t>provide that Theravance Biopharma, at its option, may satisfy the quarterly interest payment obligations by making a capital contribution to the Issuer II.</w:t>
      </w:r>
    </w:p>
    <w:p w:rsidR="00000000" w:rsidRDefault="00DE7B41">
      <w:pPr>
        <w:pStyle w:val="a3"/>
        <w:spacing w:before="0" w:beforeAutospacing="0" w:after="200" w:afterAutospacing="0"/>
        <w:ind w:firstLine="720"/>
        <w:divId w:val="1398355236"/>
        <w:rPr>
          <w:sz w:val="20"/>
          <w:szCs w:val="20"/>
        </w:rPr>
      </w:pPr>
      <w:r>
        <w:rPr>
          <w:sz w:val="20"/>
          <w:szCs w:val="20"/>
        </w:rPr>
        <w:t>Satisfying the obligations of these Notes could adversely affect the amount or timing of any distrib</w:t>
      </w:r>
      <w:r>
        <w:rPr>
          <w:sz w:val="20"/>
          <w:szCs w:val="20"/>
        </w:rPr>
        <w:t>utions to our shareholders. In addition, the Non-Recourse 2035 Notes may be redeemed by Issuer II on and after February 28, 2022, in whole or in part, at specified redemption premiums. We may further choose to satisfy, repurchase, or refinance any Non-Reco</w:t>
      </w:r>
      <w:r>
        <w:rPr>
          <w:sz w:val="20"/>
          <w:szCs w:val="20"/>
        </w:rPr>
        <w:t xml:space="preserve">urse 2035 Notes, to the extent allowable, through public or private equity or debt financings if we deem such financings are available on favorable terms. If any or all of the Convertible Senior 2023 Notes are not converted into our ordinary shares before </w:t>
      </w:r>
      <w:r>
        <w:rPr>
          <w:sz w:val="20"/>
          <w:szCs w:val="20"/>
        </w:rPr>
        <w:t>the maturity date, we will have to pay the holders the full aggregate principal amount of the Convertible Senior 2023 Notes then outstanding. If the Non-Recourse 2035 Notes are not refinanced or paid in full the holders of the Non</w:t>
      </w:r>
      <w:r>
        <w:rPr>
          <w:sz w:val="20"/>
          <w:szCs w:val="20"/>
        </w:rPr>
        <w:t>-</w:t>
      </w:r>
      <w:r>
        <w:rPr>
          <w:sz w:val="20"/>
          <w:szCs w:val="20"/>
        </w:rPr>
        <w:t xml:space="preserve">Recourse 2035 Notes will </w:t>
      </w:r>
      <w:r>
        <w:rPr>
          <w:sz w:val="20"/>
          <w:szCs w:val="20"/>
        </w:rPr>
        <w:t>have the right to foreclose on the Issuer II Class C Units that represent a 63.75% economic interest in future royalties due on net sales of TRELEGY ELLIPTA and related assets. If the Issuer II Class C Units are foreclosed upon, we will lose any right to r</w:t>
      </w:r>
      <w:r>
        <w:rPr>
          <w:sz w:val="20"/>
          <w:szCs w:val="20"/>
        </w:rPr>
        <w:t xml:space="preserve">eceive 75% of the future royalty payments made by GSK in connection with the net sales of TRELEGY ELLIPTA and related assets. Any of the above payments could have a material adverse effect on our cash position. Our failure to satisfy these obligations may </w:t>
      </w:r>
      <w:r>
        <w:rPr>
          <w:sz w:val="20"/>
          <w:szCs w:val="20"/>
        </w:rPr>
        <w:t>result in a default under the applicable indenture governing these Notes, which could result in a default under certain of our other debt instruments, if any. Any such default would harm our business and the price of our securities could fall</w:t>
      </w:r>
      <w:r>
        <w:rPr>
          <w:sz w:val="20"/>
          <w:szCs w:val="20"/>
        </w:rPr>
        <w:t>.</w:t>
      </w:r>
    </w:p>
    <w:p w:rsidR="00000000" w:rsidRDefault="00DE7B41">
      <w:pPr>
        <w:pStyle w:val="a3"/>
        <w:spacing w:before="0" w:beforeAutospacing="0" w:after="120" w:afterAutospacing="0"/>
        <w:divId w:val="1398355236"/>
        <w:rPr>
          <w:sz w:val="20"/>
          <w:szCs w:val="20"/>
        </w:rPr>
      </w:pPr>
      <w:r>
        <w:rPr>
          <w:b/>
          <w:bCs/>
          <w:i/>
          <w:iCs/>
          <w:sz w:val="20"/>
          <w:szCs w:val="20"/>
        </w:rPr>
        <w:t>Servicing ou</w:t>
      </w:r>
      <w:r>
        <w:rPr>
          <w:b/>
          <w:bCs/>
          <w:i/>
          <w:iCs/>
          <w:sz w:val="20"/>
          <w:szCs w:val="20"/>
        </w:rPr>
        <w:t>r Convertible Senior 2023 Notes requires a significant amount of cash, and we may not have sufficient cash flow from our business to pay our debt. Additionally, holders may require us to repurchase our Convertible Senior 2023 Notes under certain circumstan</w:t>
      </w:r>
      <w:r>
        <w:rPr>
          <w:b/>
          <w:bCs/>
          <w:i/>
          <w:iCs/>
          <w:sz w:val="20"/>
          <w:szCs w:val="20"/>
        </w:rPr>
        <w:t>ces, and we may not have sufficient cash to do so.</w:t>
      </w:r>
      <w:r>
        <w:rPr>
          <w:b/>
          <w:bCs/>
          <w:i/>
          <w:iCs/>
          <w:color w:val="FF0000"/>
          <w:sz w:val="20"/>
          <w:szCs w:val="20"/>
        </w:rPr>
        <w:t xml:space="preserve"> </w:t>
      </w:r>
    </w:p>
    <w:p w:rsidR="00000000" w:rsidRDefault="00DE7B41">
      <w:pPr>
        <w:pStyle w:val="a3"/>
        <w:spacing w:before="0" w:beforeAutospacing="0" w:after="0" w:afterAutospacing="0"/>
        <w:ind w:firstLine="720"/>
        <w:divId w:val="1398355236"/>
        <w:rPr>
          <w:sz w:val="20"/>
          <w:szCs w:val="20"/>
        </w:rPr>
      </w:pPr>
      <w:r>
        <w:rPr>
          <w:sz w:val="20"/>
          <w:szCs w:val="20"/>
        </w:rPr>
        <w:t>Our ability to make interest or principal payments when due or to refinance the Convertible Senior 2023 Notes depends on our future performance, which is subject to economic, financial, competitive and ot</w:t>
      </w:r>
      <w:r>
        <w:rPr>
          <w:sz w:val="20"/>
          <w:szCs w:val="20"/>
        </w:rPr>
        <w:t>her factors beyond our control. Our business may not generate cash flow from operations sufficient to satisfy our obligations under the Convertible Senior 2023 Notes and any future indebtedness we may incur and to make necessary capital expenditures. In ad</w:t>
      </w:r>
      <w:r>
        <w:rPr>
          <w:sz w:val="20"/>
          <w:szCs w:val="20"/>
        </w:rPr>
        <w:t>dition, the issuance of the Non-Recourse 2035 Notes reduced the cash available for us to make interest or principal payments on, or to refinance, the Convertible Senior 2023 Notes. We may be required to adopt one or more alternatives, such as reducing or d</w:t>
      </w:r>
      <w:r>
        <w:rPr>
          <w:sz w:val="20"/>
          <w:szCs w:val="20"/>
        </w:rPr>
        <w:t>elaying investments or capital expenditures, selling assets, refinancing or obtaining additional equity capital on terms that may be onerous or highly dilutive. Our ability to refinance the Convertible Senior 2023 Notes or future indebtedness will depend o</w:t>
      </w:r>
      <w:r>
        <w:rPr>
          <w:sz w:val="20"/>
          <w:szCs w:val="20"/>
        </w:rPr>
        <w:t xml:space="preserve">n the capital markets and our financial condition at such time. We may not be able to engage in any of these </w:t>
      </w:r>
    </w:p>
    <w:p w:rsidR="00000000" w:rsidRDefault="00DE7B41">
      <w:pPr>
        <w:pStyle w:val="a3"/>
        <w:spacing w:before="360" w:beforeAutospacing="0" w:after="0" w:afterAutospacing="0"/>
        <w:jc w:val="center"/>
        <w:divId w:val="1027829839"/>
        <w:rPr>
          <w:sz w:val="20"/>
          <w:szCs w:val="20"/>
        </w:rPr>
      </w:pPr>
      <w:r>
        <w:rPr>
          <w:sz w:val="20"/>
          <w:szCs w:val="20"/>
        </w:rPr>
        <w:t>48</w:t>
      </w:r>
    </w:p>
    <w:p w:rsidR="00000000" w:rsidRDefault="00DE7B41">
      <w:pPr>
        <w:pStyle w:val="a3"/>
        <w:spacing w:before="0" w:beforeAutospacing="0" w:after="600" w:afterAutospacing="0"/>
        <w:divId w:val="456145544"/>
        <w:rPr>
          <w:sz w:val="20"/>
          <w:szCs w:val="20"/>
        </w:rPr>
      </w:pPr>
      <w:hyperlink w:anchor="TOC" w:history="1">
        <w:r>
          <w:rPr>
            <w:rStyle w:val="a4"/>
            <w:sz w:val="20"/>
            <w:szCs w:val="20"/>
          </w:rPr>
          <w:t>Table of Contents</w:t>
        </w:r>
      </w:hyperlink>
    </w:p>
    <w:p w:rsidR="00000000" w:rsidRDefault="00DE7B41">
      <w:pPr>
        <w:pStyle w:val="a3"/>
        <w:spacing w:before="0" w:beforeAutospacing="0" w:after="200" w:afterAutospacing="0"/>
        <w:divId w:val="420297667"/>
        <w:rPr>
          <w:sz w:val="20"/>
          <w:szCs w:val="20"/>
        </w:rPr>
      </w:pPr>
      <w:r>
        <w:rPr>
          <w:sz w:val="20"/>
          <w:szCs w:val="20"/>
        </w:rPr>
        <w:t xml:space="preserve">activities on desirable terms or at all, which could result in a default on the Convertible Senior </w:t>
      </w:r>
      <w:r>
        <w:rPr>
          <w:sz w:val="20"/>
          <w:szCs w:val="20"/>
        </w:rPr>
        <w:t>2023 Notes or future indebtedness.</w:t>
      </w:r>
    </w:p>
    <w:p w:rsidR="00000000" w:rsidRDefault="00DE7B41">
      <w:pPr>
        <w:pStyle w:val="a3"/>
        <w:spacing w:before="0" w:beforeAutospacing="0" w:after="240" w:afterAutospacing="0"/>
        <w:ind w:firstLine="720"/>
        <w:divId w:val="420297667"/>
        <w:rPr>
          <w:sz w:val="20"/>
          <w:szCs w:val="20"/>
        </w:rPr>
      </w:pPr>
      <w:r>
        <w:rPr>
          <w:sz w:val="20"/>
          <w:szCs w:val="20"/>
        </w:rPr>
        <w:t>The holders of the Convertible Senior 2023 Notes may have the right to require us to repurchase the Convertible Senior 2023 Notes upon the occurrence of a “fundamental change” such as a change of control of our Company or</w:t>
      </w:r>
      <w:r>
        <w:rPr>
          <w:sz w:val="20"/>
          <w:szCs w:val="20"/>
        </w:rPr>
        <w:t xml:space="preserve"> the termination of trading of our ordinary shares, as defined in the indenture governing the Convertible Senior 2023 Notes. We may not have sufficient funds to repurchase the Convertible Senior 2023 Notes in cash or have the ability to arrange necessary f</w:t>
      </w:r>
      <w:r>
        <w:rPr>
          <w:sz w:val="20"/>
          <w:szCs w:val="20"/>
        </w:rPr>
        <w:t>inancing on acceptable terms. Our failure to repurchase the Convertible Senior 2023 Notes when required would result in an event of default with respect to the Convertible Senior 2023 Notes. In addition, any acceleration of the repayment of the Convertible</w:t>
      </w:r>
      <w:r>
        <w:rPr>
          <w:sz w:val="20"/>
          <w:szCs w:val="20"/>
        </w:rPr>
        <w:t xml:space="preserve"> Senior 2023 Notes or future indebtedness after any applicable notice or grace periods could have a material adverse effect on our business, results of operations and financial condition.</w:t>
      </w:r>
    </w:p>
    <w:p w:rsidR="00000000" w:rsidRDefault="00DE7B41">
      <w:pPr>
        <w:pStyle w:val="a3"/>
        <w:spacing w:before="0" w:beforeAutospacing="0" w:after="120" w:afterAutospacing="0"/>
        <w:divId w:val="420297667"/>
        <w:rPr>
          <w:sz w:val="20"/>
          <w:szCs w:val="20"/>
        </w:rPr>
      </w:pPr>
      <w:r>
        <w:rPr>
          <w:b/>
          <w:bCs/>
          <w:i/>
          <w:iCs/>
          <w:sz w:val="20"/>
          <w:szCs w:val="20"/>
        </w:rPr>
        <w:t>Our business and operations would suffer in the event of significant</w:t>
      </w:r>
      <w:r>
        <w:rPr>
          <w:b/>
          <w:bCs/>
          <w:i/>
          <w:iCs/>
          <w:sz w:val="20"/>
          <w:szCs w:val="20"/>
        </w:rPr>
        <w:t xml:space="preserve"> disruptions of information technology systems or security breaches.</w:t>
      </w:r>
    </w:p>
    <w:p w:rsidR="00000000" w:rsidRDefault="00DE7B41">
      <w:pPr>
        <w:pStyle w:val="a3"/>
        <w:spacing w:before="0" w:beforeAutospacing="0" w:after="240" w:afterAutospacing="0"/>
        <w:ind w:firstLine="720"/>
        <w:divId w:val="420297667"/>
        <w:rPr>
          <w:sz w:val="20"/>
          <w:szCs w:val="20"/>
        </w:rPr>
      </w:pPr>
      <w:r>
        <w:rPr>
          <w:sz w:val="20"/>
          <w:szCs w:val="20"/>
        </w:rPr>
        <w:t>We rely extensively on computer systems to maintain information and manage our finances and business. In the ordinary course of business, we collect, store and transmit large amounts of c</w:t>
      </w:r>
      <w:r>
        <w:rPr>
          <w:sz w:val="20"/>
          <w:szCs w:val="20"/>
        </w:rPr>
        <w:t>onfidential information (including but not limited to trade secrets or other intellectual property, proprietary business information and personal information) and it is critical that we maintain the confidentiality and integrity of such confidential inform</w:t>
      </w:r>
      <w:r>
        <w:rPr>
          <w:sz w:val="20"/>
          <w:szCs w:val="20"/>
        </w:rPr>
        <w:t>ation. Although we have security measures in place, our internal information technology systems and those of our CROs and other service providers, including cloud-based and hosted applications, data and services, are vulnerable to service interruptions and</w:t>
      </w:r>
      <w:r>
        <w:rPr>
          <w:sz w:val="20"/>
          <w:szCs w:val="20"/>
        </w:rPr>
        <w:t xml:space="preserve"> security breaches from inadvertent or intentional actions by our employees, service providers and/or business partners, from cyber-attacks by malicious third parties, and/or from, natural disasters, terrorism, war and telecommunication and electrical fail</w:t>
      </w:r>
      <w:r>
        <w:rPr>
          <w:sz w:val="20"/>
          <w:szCs w:val="20"/>
        </w:rPr>
        <w:t>ures. Cyber-attacks are increasing in their frequency, sophistication, and intensity, and have become increasingly difficult to detect. Significant disruptions of information technology systems or security breaches could adversely affect our business opera</w:t>
      </w:r>
      <w:r>
        <w:rPr>
          <w:sz w:val="20"/>
          <w:szCs w:val="20"/>
        </w:rPr>
        <w:t>tions and result in financial, legal, business and reputational harm to us, including significant liability and/or significant disruption to our business. If a disruption of information technology systems or security breach results in a loss of or damage t</w:t>
      </w:r>
      <w:r>
        <w:rPr>
          <w:sz w:val="20"/>
          <w:szCs w:val="20"/>
        </w:rPr>
        <w:t xml:space="preserve">o our data or regulatory applications, unauthorized access, use, or disclosure of, or the prevention of access to, confidential information, or other harm to our business, we could incur liability and reputational harm, we could be required to comply with </w:t>
      </w:r>
      <w:r>
        <w:rPr>
          <w:sz w:val="20"/>
          <w:szCs w:val="20"/>
        </w:rPr>
        <w:t>federal and/or state breach notification laws and foreign law equivalents, we may incur legal expenses to protect our confidential information, the further development of our product candidates could be delayed and the price of our securities could fall. F</w:t>
      </w:r>
      <w:r>
        <w:rPr>
          <w:sz w:val="20"/>
          <w:szCs w:val="20"/>
        </w:rPr>
        <w:t>or example, the loss of clinical trial data from completed or ongoing clinical trials of our product candidates could result in delays in our regulatory approval efforts and significantly increase our costs to recover or reproduce the data. As another exam</w:t>
      </w:r>
      <w:r>
        <w:rPr>
          <w:sz w:val="20"/>
          <w:szCs w:val="20"/>
        </w:rPr>
        <w:t>ple, we may incur penalties imposed by the competent authorities in the EU Member States in case of breach of the EU rules governing the collection and processing of personal data, including unauthorized access to or disclosure of personal data. Although w</w:t>
      </w:r>
      <w:r>
        <w:rPr>
          <w:sz w:val="20"/>
          <w:szCs w:val="20"/>
        </w:rPr>
        <w:t>e have security and fraud prevention measures in place, we have been subject to immaterial payment fraud activity. In 2017, we filed a lawsuit (which has since been resolved) against a former employee for misappropriation of our confidential, proprietary a</w:t>
      </w:r>
      <w:r>
        <w:rPr>
          <w:sz w:val="20"/>
          <w:szCs w:val="20"/>
        </w:rPr>
        <w:t>nd trade secret information. Moreover, there can be no assurance that such security measures will prevent service interruptions or security breaches that could adversely affect our business.</w:t>
      </w:r>
    </w:p>
    <w:p w:rsidR="00000000" w:rsidRDefault="00DE7B41">
      <w:pPr>
        <w:pStyle w:val="a3"/>
        <w:spacing w:before="0" w:beforeAutospacing="0" w:after="120" w:afterAutospacing="0"/>
        <w:divId w:val="420297667"/>
        <w:rPr>
          <w:sz w:val="20"/>
          <w:szCs w:val="20"/>
        </w:rPr>
      </w:pPr>
      <w:r>
        <w:rPr>
          <w:b/>
          <w:bCs/>
          <w:i/>
          <w:iCs/>
          <w:sz w:val="20"/>
          <w:szCs w:val="20"/>
        </w:rPr>
        <w:t xml:space="preserve">If we lose key management or scientific personnel, or if we fail </w:t>
      </w:r>
      <w:r>
        <w:rPr>
          <w:b/>
          <w:bCs/>
          <w:i/>
          <w:iCs/>
          <w:sz w:val="20"/>
          <w:szCs w:val="20"/>
        </w:rPr>
        <w:t>to attract and retain key employees, our ability to discover and develop our product candidates and commercialize our products, if any, will be impaired.</w:t>
      </w:r>
    </w:p>
    <w:p w:rsidR="00000000" w:rsidRDefault="00DE7B41">
      <w:pPr>
        <w:pStyle w:val="a3"/>
        <w:spacing w:before="0" w:beforeAutospacing="0" w:after="240" w:afterAutospacing="0"/>
        <w:ind w:firstLine="720"/>
        <w:divId w:val="420297667"/>
        <w:rPr>
          <w:sz w:val="20"/>
          <w:szCs w:val="20"/>
        </w:rPr>
      </w:pPr>
      <w:r>
        <w:rPr>
          <w:sz w:val="20"/>
          <w:szCs w:val="20"/>
        </w:rPr>
        <w:t>We are highly dependent on principal members of our management team and scientific staff, and in parti</w:t>
      </w:r>
      <w:r>
        <w:rPr>
          <w:sz w:val="20"/>
          <w:szCs w:val="20"/>
        </w:rPr>
        <w:t>cular, our Chief Executive Officer, Rick E Winningham, to operate our business. Mr. Winningham has significant pharmaceutical industry experience. The loss of Mr. Winningham’s services could impair our ability to discover, develop and commercialize new med</w:t>
      </w:r>
      <w:r>
        <w:rPr>
          <w:sz w:val="20"/>
          <w:szCs w:val="20"/>
        </w:rPr>
        <w:t>icines.</w:t>
      </w:r>
    </w:p>
    <w:p w:rsidR="00000000" w:rsidRDefault="00DE7B41">
      <w:pPr>
        <w:pStyle w:val="a3"/>
        <w:spacing w:before="0" w:beforeAutospacing="0" w:after="240" w:afterAutospacing="0"/>
        <w:ind w:firstLine="720"/>
        <w:divId w:val="420297667"/>
        <w:rPr>
          <w:sz w:val="20"/>
          <w:szCs w:val="20"/>
        </w:rPr>
      </w:pPr>
      <w:r>
        <w:rPr>
          <w:sz w:val="20"/>
          <w:szCs w:val="20"/>
        </w:rPr>
        <w:t>If we fail to retain our qualified personnel or replace them when they leave, we may be unable to continue our discovery, development and commercialization activities, which may cause the price of our securities to fall.</w:t>
      </w:r>
    </w:p>
    <w:p w:rsidR="00000000" w:rsidRDefault="00DE7B41">
      <w:pPr>
        <w:pStyle w:val="a3"/>
        <w:spacing w:before="0" w:beforeAutospacing="0" w:after="0" w:afterAutospacing="0"/>
        <w:ind w:firstLine="720"/>
        <w:divId w:val="420297667"/>
        <w:rPr>
          <w:sz w:val="20"/>
          <w:szCs w:val="20"/>
        </w:rPr>
      </w:pPr>
      <w:r>
        <w:rPr>
          <w:sz w:val="20"/>
          <w:szCs w:val="20"/>
        </w:rPr>
        <w:t>In addition, our US operati</w:t>
      </w:r>
      <w:r>
        <w:rPr>
          <w:sz w:val="20"/>
          <w:szCs w:val="20"/>
        </w:rPr>
        <w:t>ng subsidiary’s facility and most of its employees are located in northern California, headquarters to many other biotechnology and biopharmaceutical companies and many academic and research institutions. As a result, competition for certain skilled person</w:t>
      </w:r>
      <w:r>
        <w:rPr>
          <w:sz w:val="20"/>
          <w:szCs w:val="20"/>
        </w:rPr>
        <w:t xml:space="preserve">nel in our market is intense. None of our employees have employment commitments for any fixed period of time and they all may leave our employment at will. If we fail to retain our qualified </w:t>
      </w:r>
    </w:p>
    <w:p w:rsidR="00000000" w:rsidRDefault="00DE7B41">
      <w:pPr>
        <w:pStyle w:val="a3"/>
        <w:spacing w:before="360" w:beforeAutospacing="0" w:after="0" w:afterAutospacing="0"/>
        <w:jc w:val="center"/>
        <w:divId w:val="1260137203"/>
        <w:rPr>
          <w:sz w:val="20"/>
          <w:szCs w:val="20"/>
        </w:rPr>
      </w:pPr>
      <w:r>
        <w:rPr>
          <w:sz w:val="20"/>
          <w:szCs w:val="20"/>
        </w:rPr>
        <w:t>49</w:t>
      </w:r>
    </w:p>
    <w:p w:rsidR="00000000" w:rsidRDefault="00DE7B41">
      <w:pPr>
        <w:pStyle w:val="a3"/>
        <w:spacing w:before="0" w:beforeAutospacing="0" w:after="600" w:afterAutospacing="0"/>
        <w:divId w:val="1100569504"/>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614560126"/>
        <w:rPr>
          <w:sz w:val="20"/>
          <w:szCs w:val="20"/>
        </w:rPr>
      </w:pPr>
      <w:r>
        <w:rPr>
          <w:sz w:val="20"/>
          <w:szCs w:val="20"/>
        </w:rPr>
        <w:t>personnel or repl</w:t>
      </w:r>
      <w:r>
        <w:rPr>
          <w:sz w:val="20"/>
          <w:szCs w:val="20"/>
        </w:rPr>
        <w:t>ace them when they leave, we may be unable to continue our development and commercialization activities and the price of our securities could fall.</w:t>
      </w:r>
    </w:p>
    <w:p w:rsidR="00000000" w:rsidRDefault="00DE7B41">
      <w:pPr>
        <w:pStyle w:val="a3"/>
        <w:spacing w:before="0" w:beforeAutospacing="0" w:after="120" w:afterAutospacing="0"/>
        <w:divId w:val="614560126"/>
        <w:rPr>
          <w:sz w:val="20"/>
          <w:szCs w:val="20"/>
        </w:rPr>
      </w:pPr>
      <w:r>
        <w:rPr>
          <w:b/>
          <w:bCs/>
          <w:i/>
          <w:iCs/>
          <w:sz w:val="20"/>
          <w:szCs w:val="20"/>
        </w:rPr>
        <w:t>Global economic, political and social conditions may harm our ability to do business, increase our costs and negatively affect our stock price.</w:t>
      </w:r>
    </w:p>
    <w:p w:rsidR="00000000" w:rsidRDefault="00DE7B41">
      <w:pPr>
        <w:pStyle w:val="a3"/>
        <w:spacing w:before="0" w:beforeAutospacing="0" w:after="240" w:afterAutospacing="0"/>
        <w:ind w:firstLine="720"/>
        <w:divId w:val="614560126"/>
        <w:rPr>
          <w:sz w:val="20"/>
          <w:szCs w:val="20"/>
        </w:rPr>
      </w:pPr>
      <w:r>
        <w:rPr>
          <w:sz w:val="20"/>
          <w:szCs w:val="20"/>
        </w:rPr>
        <w:t xml:space="preserve">Worldwide economic conditions remain uncertain due to the decision by the United Kingdom (“UK”) to initiate the </w:t>
      </w:r>
      <w:r>
        <w:rPr>
          <w:sz w:val="20"/>
          <w:szCs w:val="20"/>
        </w:rPr>
        <w:t>formal procedure of withdrawal from the EU (often referred to as “Brexit”), current global economic challenges, the COVID-19 pandemic, and other disruptions to global and regional economies and markets.</w:t>
      </w:r>
    </w:p>
    <w:p w:rsidR="00000000" w:rsidRDefault="00DE7B41">
      <w:pPr>
        <w:pStyle w:val="a3"/>
        <w:spacing w:before="0" w:beforeAutospacing="0" w:after="240" w:afterAutospacing="0"/>
        <w:ind w:firstLine="720"/>
        <w:divId w:val="614560126"/>
        <w:rPr>
          <w:sz w:val="20"/>
          <w:szCs w:val="20"/>
        </w:rPr>
      </w:pPr>
      <w:r>
        <w:rPr>
          <w:sz w:val="20"/>
          <w:szCs w:val="20"/>
        </w:rPr>
        <w:t xml:space="preserve">Brexit has created significant uncertainty about the </w:t>
      </w:r>
      <w:r>
        <w:rPr>
          <w:sz w:val="20"/>
          <w:szCs w:val="20"/>
        </w:rPr>
        <w:t>future relationship between the UK and the EU, including with respect to the laws and regulations that will apply as the UK determines which EU laws to replace or replicate in the event of a withdrawal. From a regulatory perspective, the UK’s withdrawal co</w:t>
      </w:r>
      <w:r>
        <w:rPr>
          <w:sz w:val="20"/>
          <w:szCs w:val="20"/>
        </w:rPr>
        <w:t>uld bear significant complexity and risks. In addition, the exact terms of the UK’s withdrawal and the laws and regulations that will apply after the UK withdraws from the EU would affect manufacturing sites that hold an EU manufacturing authorization issu</w:t>
      </w:r>
      <w:r>
        <w:rPr>
          <w:sz w:val="20"/>
          <w:szCs w:val="20"/>
        </w:rPr>
        <w:t>ed by the UK competent authorities.</w:t>
      </w:r>
    </w:p>
    <w:p w:rsidR="00000000" w:rsidRDefault="00DE7B41">
      <w:pPr>
        <w:pStyle w:val="a3"/>
        <w:spacing w:before="0" w:beforeAutospacing="0" w:after="240" w:afterAutospacing="0"/>
        <w:ind w:firstLine="720"/>
        <w:divId w:val="614560126"/>
        <w:rPr>
          <w:sz w:val="20"/>
          <w:szCs w:val="20"/>
        </w:rPr>
      </w:pPr>
      <w:r>
        <w:rPr>
          <w:sz w:val="20"/>
          <w:szCs w:val="20"/>
        </w:rPr>
        <w:t>In light of the fact that a significant portion of the regulatory framework in the UK is derived from EU laws, Brexit could materially impact the EU regulatory regime governing development, manufacture, importation, appr</w:t>
      </w:r>
      <w:r>
        <w:rPr>
          <w:sz w:val="20"/>
          <w:szCs w:val="20"/>
        </w:rPr>
        <w:t>oval and commercialization of our product candidates in the UK or the EU. For example, there is a risk that the scope of a marketing authorization for a medicinal product granted by the European Commission or by the competent authorities of EU member state</w:t>
      </w:r>
      <w:r>
        <w:rPr>
          <w:sz w:val="20"/>
          <w:szCs w:val="20"/>
        </w:rPr>
        <w:t>s will not encompass the UK. In these circumstances, a separate authorization granted by the UK competent authorities will be required to place medicinal products on the UK market. In addition, our ability to rely on UK manufacturing sites to supply medici</w:t>
      </w:r>
      <w:r>
        <w:rPr>
          <w:sz w:val="20"/>
          <w:szCs w:val="20"/>
        </w:rPr>
        <w:t>nal products intended for the EU market will depend on the terms of the UK’s withdrawal from the EU and, potentially, on the ability to obtain relevant exemptions under EU law to supply the EU market with medicinal products manufactured at UK-certified sit</w:t>
      </w:r>
      <w:r>
        <w:rPr>
          <w:sz w:val="20"/>
          <w:szCs w:val="20"/>
        </w:rPr>
        <w:t xml:space="preserve">es. There is also a risk that if batch release and quality control testing sites for our products are located only in the UK, manufacturers will be required to use sites in other EU member states to manufacture products for supply to the EU market. All of </w:t>
      </w:r>
      <w:r>
        <w:rPr>
          <w:sz w:val="20"/>
          <w:szCs w:val="20"/>
        </w:rPr>
        <w:t>these changes, if they occur, could increase our costs and otherwise adversely affect our business. In addition, currency exchange rates for the British Pound and the Euro with respect to each other and to the US dollar have already been, and may be contin</w:t>
      </w:r>
      <w:r>
        <w:rPr>
          <w:sz w:val="20"/>
          <w:szCs w:val="20"/>
        </w:rPr>
        <w:t>ue to be, negatively affected by Brexit, which could cause volatility in our quarterly financial results.</w:t>
      </w:r>
    </w:p>
    <w:p w:rsidR="00000000" w:rsidRDefault="00DE7B41">
      <w:pPr>
        <w:pStyle w:val="a3"/>
        <w:spacing w:before="0" w:beforeAutospacing="0" w:after="240" w:afterAutospacing="0"/>
        <w:ind w:firstLine="720"/>
        <w:divId w:val="614560126"/>
        <w:rPr>
          <w:sz w:val="20"/>
          <w:szCs w:val="20"/>
        </w:rPr>
      </w:pPr>
      <w:r>
        <w:rPr>
          <w:sz w:val="20"/>
          <w:szCs w:val="20"/>
        </w:rPr>
        <w:t>Further, development of our product candidates and/or regulatory approval may be delayed for other political events beyond our control. For example, a</w:t>
      </w:r>
      <w:r>
        <w:rPr>
          <w:sz w:val="20"/>
          <w:szCs w:val="20"/>
        </w:rPr>
        <w:t xml:space="preserve"> US federal government shutdown or budget sequestration, such as ones that occurred during 2013, 2018, and 2019, may result in significant reductions to the FDA’s budget, employees and operations, which may lead to slower response times and longer review p</w:t>
      </w:r>
      <w:r>
        <w:rPr>
          <w:sz w:val="20"/>
          <w:szCs w:val="20"/>
        </w:rPr>
        <w:t>eriods, potentially affecting our ability to progress development of our product candidates or obtain regulatory approval for our product candidates. Further, future government shutdowns could impact our ability to access the public markets and obtain nece</w:t>
      </w:r>
      <w:r>
        <w:rPr>
          <w:sz w:val="20"/>
          <w:szCs w:val="20"/>
        </w:rPr>
        <w:t>ssary capital in order to properly capitalize and continue our operations.</w:t>
      </w:r>
    </w:p>
    <w:p w:rsidR="00000000" w:rsidRDefault="00DE7B41">
      <w:pPr>
        <w:pStyle w:val="a3"/>
        <w:spacing w:before="0" w:beforeAutospacing="0" w:after="240" w:afterAutospacing="0"/>
        <w:ind w:firstLine="720"/>
        <w:divId w:val="614560126"/>
        <w:rPr>
          <w:sz w:val="20"/>
          <w:szCs w:val="20"/>
        </w:rPr>
      </w:pPr>
      <w:r>
        <w:rPr>
          <w:sz w:val="20"/>
          <w:szCs w:val="20"/>
        </w:rPr>
        <w:t>Our operations also depend upon favorable trade relations between the US and those foreign countries in which our materials suppliers have operations. A protectionist trade environm</w:t>
      </w:r>
      <w:r>
        <w:rPr>
          <w:sz w:val="20"/>
          <w:szCs w:val="20"/>
        </w:rPr>
        <w:t>ent in either the US or those foreign countries in which we do business, such as a change in the current tariff structures, export compliance or other trade policies, may materially and adversely affect our operations.</w:t>
      </w:r>
    </w:p>
    <w:p w:rsidR="00000000" w:rsidRDefault="00DE7B41">
      <w:pPr>
        <w:pStyle w:val="a3"/>
        <w:spacing w:before="0" w:beforeAutospacing="0" w:after="240" w:afterAutospacing="0"/>
        <w:ind w:firstLine="720"/>
        <w:divId w:val="614560126"/>
        <w:rPr>
          <w:sz w:val="20"/>
          <w:szCs w:val="20"/>
        </w:rPr>
      </w:pPr>
      <w:r>
        <w:rPr>
          <w:sz w:val="20"/>
          <w:szCs w:val="20"/>
        </w:rPr>
        <w:t>External factors, such as potential t</w:t>
      </w:r>
      <w:r>
        <w:rPr>
          <w:sz w:val="20"/>
          <w:szCs w:val="20"/>
        </w:rPr>
        <w:t>errorist attacks, acts of war, geopolitical and social turmoil or similar events in many parts of the world, could also prevent or hinder our ability to do business, increase our costs and negatively affect our stock price. These geopolitical, social and e</w:t>
      </w:r>
      <w:r>
        <w:rPr>
          <w:sz w:val="20"/>
          <w:szCs w:val="20"/>
        </w:rPr>
        <w:t>conomic conditions could harm our business.</w:t>
      </w:r>
    </w:p>
    <w:p w:rsidR="00000000" w:rsidRDefault="00DE7B41">
      <w:pPr>
        <w:pStyle w:val="a3"/>
        <w:spacing w:before="0" w:beforeAutospacing="0" w:after="120" w:afterAutospacing="0"/>
        <w:divId w:val="614560126"/>
        <w:rPr>
          <w:sz w:val="20"/>
          <w:szCs w:val="20"/>
        </w:rPr>
      </w:pPr>
      <w:r>
        <w:rPr>
          <w:b/>
          <w:bCs/>
          <w:i/>
          <w:iCs/>
          <w:sz w:val="20"/>
          <w:szCs w:val="20"/>
        </w:rPr>
        <w:t>Our US operating subsidiary’s facility is located near known earthquake fault zones, and the occurrence of an earthquake, extremist attack or other catastrophic disaster could cause damage to our facilities and e</w:t>
      </w:r>
      <w:r>
        <w:rPr>
          <w:b/>
          <w:bCs/>
          <w:i/>
          <w:iCs/>
          <w:sz w:val="20"/>
          <w:szCs w:val="20"/>
        </w:rPr>
        <w:t>quipment, which could require us to cease or curtail operations.</w:t>
      </w:r>
    </w:p>
    <w:p w:rsidR="00000000" w:rsidRDefault="00DE7B41">
      <w:pPr>
        <w:pStyle w:val="a3"/>
        <w:spacing w:before="0" w:beforeAutospacing="0" w:after="0" w:afterAutospacing="0"/>
        <w:ind w:firstLine="720"/>
        <w:divId w:val="614560126"/>
        <w:rPr>
          <w:sz w:val="20"/>
          <w:szCs w:val="20"/>
        </w:rPr>
      </w:pPr>
      <w:r>
        <w:rPr>
          <w:sz w:val="20"/>
          <w:szCs w:val="20"/>
        </w:rPr>
        <w:t>Our US operating subsidiary’s facility is located in the San Francisco Bay Area near known earthquake fault zones and therefore will be vulnerable to damage from earthquakes. In October 1989,</w:t>
      </w:r>
      <w:r>
        <w:rPr>
          <w:sz w:val="20"/>
          <w:szCs w:val="20"/>
        </w:rPr>
        <w:t xml:space="preserve"> a major earthquake struck this area and caused significant property damage and a number of fatalities. We are also vulnerable to damage from other types of </w:t>
      </w:r>
    </w:p>
    <w:p w:rsidR="00000000" w:rsidRDefault="00DE7B41">
      <w:pPr>
        <w:pStyle w:val="a3"/>
        <w:spacing w:before="360" w:beforeAutospacing="0" w:after="0" w:afterAutospacing="0"/>
        <w:jc w:val="center"/>
        <w:divId w:val="483208175"/>
        <w:rPr>
          <w:sz w:val="20"/>
          <w:szCs w:val="20"/>
        </w:rPr>
      </w:pPr>
      <w:r>
        <w:rPr>
          <w:sz w:val="20"/>
          <w:szCs w:val="20"/>
        </w:rPr>
        <w:t>50</w:t>
      </w:r>
    </w:p>
    <w:p w:rsidR="00000000" w:rsidRDefault="00DE7B41">
      <w:pPr>
        <w:pStyle w:val="a3"/>
        <w:spacing w:before="0" w:beforeAutospacing="0" w:after="600" w:afterAutospacing="0"/>
        <w:divId w:val="38361253"/>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5717846"/>
        <w:rPr>
          <w:sz w:val="20"/>
          <w:szCs w:val="20"/>
        </w:rPr>
      </w:pPr>
      <w:r>
        <w:rPr>
          <w:sz w:val="20"/>
          <w:szCs w:val="20"/>
        </w:rPr>
        <w:t>disasters, including power loss, attacks from extre</w:t>
      </w:r>
      <w:r>
        <w:rPr>
          <w:sz w:val="20"/>
          <w:szCs w:val="20"/>
        </w:rPr>
        <w:t>mist organizations, fire, floods, communications failures and similar events. If any disaster were to occur, our ability to operate our business could be seriously impaired. In addition, the unique nature of our research activities and of much of our equip</w:t>
      </w:r>
      <w:r>
        <w:rPr>
          <w:sz w:val="20"/>
          <w:szCs w:val="20"/>
        </w:rPr>
        <w:t>ment could make it difficult and costly for us to recover from this type of disaster. We may not have adequate insurance to cover our losses resulting from disasters or other similar significant business interruptions and we do not plan to purchase additio</w:t>
      </w:r>
      <w:r>
        <w:rPr>
          <w:sz w:val="20"/>
          <w:szCs w:val="20"/>
        </w:rPr>
        <w:t>nal insurance to cover such losses due to the cost of obtaining such coverage. Any significant losses that are not recoverable under our insurance policies could seriously impair our business and financial condition, which could cause the price of our secu</w:t>
      </w:r>
      <w:r>
        <w:rPr>
          <w:sz w:val="20"/>
          <w:szCs w:val="20"/>
        </w:rPr>
        <w:t>rities to fall.</w:t>
      </w:r>
    </w:p>
    <w:p w:rsidR="00000000" w:rsidRDefault="00DE7B41">
      <w:pPr>
        <w:pStyle w:val="a3"/>
        <w:spacing w:before="0" w:beforeAutospacing="0" w:after="120" w:afterAutospacing="0"/>
        <w:divId w:val="5717846"/>
        <w:rPr>
          <w:sz w:val="20"/>
          <w:szCs w:val="20"/>
        </w:rPr>
      </w:pPr>
      <w:r>
        <w:rPr>
          <w:b/>
          <w:bCs/>
          <w:i/>
          <w:iCs/>
          <w:sz w:val="20"/>
          <w:szCs w:val="20"/>
        </w:rPr>
        <w:t>If YUPELRI does not continue to be accepted by physicians, patients, third-party payors, or the medical community in general, we may not receive significant additional revenues from sales of this product.</w:t>
      </w:r>
    </w:p>
    <w:p w:rsidR="00000000" w:rsidRDefault="00DE7B41">
      <w:pPr>
        <w:pStyle w:val="a3"/>
        <w:spacing w:before="0" w:beforeAutospacing="0" w:after="240" w:afterAutospacing="0"/>
        <w:ind w:firstLine="720"/>
        <w:divId w:val="5717846"/>
        <w:rPr>
          <w:sz w:val="20"/>
          <w:szCs w:val="20"/>
        </w:rPr>
      </w:pPr>
      <w:r>
        <w:rPr>
          <w:sz w:val="20"/>
          <w:szCs w:val="20"/>
        </w:rPr>
        <w:t>The commercial success of YUPELRI d</w:t>
      </w:r>
      <w:r>
        <w:rPr>
          <w:sz w:val="20"/>
          <w:szCs w:val="20"/>
        </w:rPr>
        <w:t>epends upon its acceptance by physicians, patients, third-party payors and the medical community in general. YUPELRI may not be sufficiently accepted by these parties. YUPELRI competes predominantly with short-acting nebulized bronchodilators used three to</w:t>
      </w:r>
      <w:r>
        <w:rPr>
          <w:sz w:val="20"/>
          <w:szCs w:val="20"/>
        </w:rPr>
        <w:t xml:space="preserve">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used twice per day. We have seen increased volatility in sales of YUPELRI coinciding with the suspension of in person sales calls, having less access to physicians and other he</w:t>
      </w:r>
      <w:r>
        <w:rPr>
          <w:sz w:val="20"/>
          <w:szCs w:val="20"/>
        </w:rPr>
        <w:t>althcare providers and the progression of the COVID-19 pandemic and, if physicians, patients, third party payors, or the medical community in general believe that nebulized therapy presents a risk of further spreading the SARS-COV-2 virus or that YUPELRI i</w:t>
      </w:r>
      <w:r>
        <w:rPr>
          <w:sz w:val="20"/>
          <w:szCs w:val="20"/>
        </w:rPr>
        <w:t>s otherwise not a preferred treatment option for those with COPD, we may see declines. Shifts to novel marketing tactics are being deployed in an effort to keep awareness levels and business generation positive, but these untested and unvalidated tactics m</w:t>
      </w:r>
      <w:r>
        <w:rPr>
          <w:sz w:val="20"/>
          <w:szCs w:val="20"/>
        </w:rPr>
        <w:t>ay not be effective at maintaining YUPELRI brand growth. If YUPELRI’s acceptance does not continue to grow, or declines from previous levels, our business and financial results could be materially harmed.</w:t>
      </w:r>
    </w:p>
    <w:p w:rsidR="00000000" w:rsidRDefault="00DE7B41">
      <w:pPr>
        <w:pStyle w:val="a3"/>
        <w:spacing w:before="0" w:beforeAutospacing="0" w:after="120" w:afterAutospacing="0"/>
        <w:divId w:val="5717846"/>
        <w:rPr>
          <w:sz w:val="20"/>
          <w:szCs w:val="20"/>
        </w:rPr>
      </w:pPr>
      <w:r>
        <w:rPr>
          <w:b/>
          <w:bCs/>
          <w:i/>
          <w:iCs/>
          <w:sz w:val="20"/>
          <w:szCs w:val="20"/>
        </w:rPr>
        <w:t>In collaboration with Mylan, we are responsible for</w:t>
      </w:r>
      <w:r>
        <w:rPr>
          <w:b/>
          <w:bCs/>
          <w:i/>
          <w:iCs/>
          <w:sz w:val="20"/>
          <w:szCs w:val="20"/>
        </w:rPr>
        <w:t xml:space="preserve"> marketing and sales of YUPELRI in the US, which subjects us to certain risks.</w:t>
      </w:r>
    </w:p>
    <w:p w:rsidR="00000000" w:rsidRDefault="00DE7B41">
      <w:pPr>
        <w:pStyle w:val="a3"/>
        <w:spacing w:before="0" w:beforeAutospacing="0" w:after="240" w:afterAutospacing="0"/>
        <w:ind w:firstLine="720"/>
        <w:divId w:val="5717846"/>
        <w:rPr>
          <w:sz w:val="20"/>
          <w:szCs w:val="20"/>
        </w:rPr>
      </w:pPr>
      <w:r>
        <w:rPr>
          <w:sz w:val="20"/>
          <w:szCs w:val="20"/>
        </w:rPr>
        <w:t>We currently maintain a sales force in the US and plan to continue to augment our sales and marketing personnel to support our co-promotion obligations for YUPELRI under our agr</w:t>
      </w:r>
      <w:r>
        <w:rPr>
          <w:sz w:val="20"/>
          <w:szCs w:val="20"/>
        </w:rPr>
        <w:t>eement with Mylan. The risks of fulfilling our US co-promotion obligations to Mylan include: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17846"/>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costs and expenses associated with maintaining an independent sales and marketing organization with appropriate technical expertise and supporting infrastructur</w:t>
            </w:r>
            <w:r>
              <w:rPr>
                <w:sz w:val="20"/>
                <w:szCs w:val="20"/>
              </w:rPr>
              <w:t>e, including third-party vendor logistics and consultant support, which costs and expenses could, depending on the scope and method of the marketing effort, exceed any product revenue for several years;</w:t>
            </w:r>
          </w:p>
        </w:tc>
      </w:tr>
    </w:tbl>
    <w:p w:rsidR="00000000" w:rsidRDefault="00DE7B41">
      <w:pPr>
        <w:divId w:val="57178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178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our ability to retain effective sales and marketing personnel and medical science liaisons in the US;</w:t>
            </w:r>
          </w:p>
        </w:tc>
      </w:tr>
    </w:tbl>
    <w:p w:rsidR="00000000" w:rsidRDefault="00DE7B41">
      <w:pPr>
        <w:divId w:val="57178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178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ability of our sales and marketing personnel to obtain access to and educate adequate numbers of physicians about prescribing YUPELRI, in appropr</w:t>
            </w:r>
            <w:r>
              <w:rPr>
                <w:sz w:val="20"/>
                <w:szCs w:val="20"/>
              </w:rPr>
              <w:t>iate clinical situations; and</w:t>
            </w:r>
          </w:p>
        </w:tc>
      </w:tr>
    </w:tbl>
    <w:p w:rsidR="00000000" w:rsidRDefault="00DE7B41">
      <w:pPr>
        <w:divId w:val="57178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178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lack of complementary products to be offered by sales personnel, which may put us at a competitive disadvantage relative to companies with more extensive product lines.</w:t>
            </w:r>
          </w:p>
        </w:tc>
      </w:tr>
    </w:tbl>
    <w:p w:rsidR="00000000" w:rsidRDefault="00DE7B41">
      <w:pPr>
        <w:pStyle w:val="a3"/>
        <w:spacing w:before="0" w:beforeAutospacing="0" w:after="240" w:afterAutospacing="0"/>
        <w:ind w:firstLine="720"/>
        <w:divId w:val="5717846"/>
        <w:rPr>
          <w:sz w:val="20"/>
          <w:szCs w:val="20"/>
        </w:rPr>
      </w:pPr>
      <w:r>
        <w:rPr>
          <w:sz w:val="20"/>
          <w:szCs w:val="20"/>
        </w:rPr>
        <w:t xml:space="preserve">If we are not successful in maintaining a sales and marketing organization with appropriate experience, technical expertise, supporting infrastructure and the ability to obtain access to and educate adequate numbers of physicians about prescribing YUPELRI </w:t>
      </w:r>
      <w:r>
        <w:rPr>
          <w:sz w:val="20"/>
          <w:szCs w:val="20"/>
        </w:rPr>
        <w:t>in appropriate clinical situations, we will have difficulty maintaining effective commercialization of YUPELRI, which would adversely affect our business and financial results and the condition and the price of our securities could fall.</w:t>
      </w:r>
    </w:p>
    <w:p w:rsidR="00000000" w:rsidRDefault="00DE7B41">
      <w:pPr>
        <w:pStyle w:val="a3"/>
        <w:spacing w:before="0" w:beforeAutospacing="0" w:after="120" w:afterAutospacing="0"/>
        <w:divId w:val="5717846"/>
        <w:rPr>
          <w:sz w:val="20"/>
          <w:szCs w:val="20"/>
        </w:rPr>
      </w:pPr>
      <w:r>
        <w:rPr>
          <w:b/>
          <w:bCs/>
          <w:i/>
          <w:iCs/>
          <w:sz w:val="20"/>
          <w:szCs w:val="20"/>
        </w:rPr>
        <w:t xml:space="preserve">We are subject to </w:t>
      </w:r>
      <w:r>
        <w:rPr>
          <w:b/>
          <w:bCs/>
          <w:i/>
          <w:iCs/>
          <w:sz w:val="20"/>
          <w:szCs w:val="20"/>
        </w:rPr>
        <w:t>extensive and ongoing regulation, oversight and other requirements by the FDA and failure to comply with these regulations and requirements may subject us to penalties that may adversely affect our financial condition or our ability to commercialize any ap</w:t>
      </w:r>
      <w:r>
        <w:rPr>
          <w:b/>
          <w:bCs/>
          <w:i/>
          <w:iCs/>
          <w:sz w:val="20"/>
          <w:szCs w:val="20"/>
        </w:rPr>
        <w:t>proved products.</w:t>
      </w:r>
    </w:p>
    <w:p w:rsidR="00000000" w:rsidRDefault="00DE7B41">
      <w:pPr>
        <w:pStyle w:val="a3"/>
        <w:spacing w:before="0" w:beforeAutospacing="0" w:after="0" w:afterAutospacing="0"/>
        <w:ind w:firstLine="720"/>
        <w:divId w:val="5717846"/>
        <w:rPr>
          <w:sz w:val="20"/>
          <w:szCs w:val="20"/>
        </w:rPr>
      </w:pPr>
      <w:r>
        <w:rPr>
          <w:sz w:val="20"/>
          <w:szCs w:val="20"/>
        </w:rPr>
        <w:t xml:space="preserve">Prescription drug advertising and promotion are closely scrutinized by the FDA, including substantiation of promotional claims, disclosure of risks and safety information, and the use of themes and imagery in advertising and </w:t>
      </w:r>
    </w:p>
    <w:p w:rsidR="00000000" w:rsidRDefault="00DE7B41">
      <w:pPr>
        <w:pStyle w:val="a3"/>
        <w:spacing w:before="360" w:beforeAutospacing="0" w:after="0" w:afterAutospacing="0"/>
        <w:jc w:val="center"/>
        <w:divId w:val="1901862952"/>
        <w:rPr>
          <w:sz w:val="20"/>
          <w:szCs w:val="20"/>
        </w:rPr>
      </w:pPr>
      <w:r>
        <w:rPr>
          <w:sz w:val="20"/>
          <w:szCs w:val="20"/>
        </w:rPr>
        <w:t>51</w:t>
      </w:r>
    </w:p>
    <w:p w:rsidR="00000000" w:rsidRDefault="00DE7B41">
      <w:pPr>
        <w:pStyle w:val="a3"/>
        <w:spacing w:before="0" w:beforeAutospacing="0" w:after="600" w:afterAutospacing="0"/>
        <w:divId w:val="1188059750"/>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642933014"/>
        <w:rPr>
          <w:sz w:val="20"/>
          <w:szCs w:val="20"/>
        </w:rPr>
      </w:pPr>
      <w:r>
        <w:rPr>
          <w:sz w:val="20"/>
          <w:szCs w:val="20"/>
        </w:rPr>
        <w:t xml:space="preserve">promotional materials. As with all companies selling and marketing products regulated by the FDA in the US, we are prohibited from promoting any uses of an approved product, such as YUPELRI, that are outside the </w:t>
      </w:r>
      <w:r>
        <w:rPr>
          <w:sz w:val="20"/>
          <w:szCs w:val="20"/>
        </w:rPr>
        <w:t>scope of those uses that have been expressly approved by the FDA as safe and effective on the product’s label.</w:t>
      </w:r>
    </w:p>
    <w:p w:rsidR="00000000" w:rsidRDefault="00DE7B41">
      <w:pPr>
        <w:pStyle w:val="a3"/>
        <w:spacing w:before="0" w:beforeAutospacing="0" w:after="240" w:afterAutospacing="0"/>
        <w:ind w:firstLine="720"/>
        <w:divId w:val="642933014"/>
        <w:rPr>
          <w:sz w:val="20"/>
          <w:szCs w:val="20"/>
        </w:rPr>
      </w:pPr>
      <w:r>
        <w:rPr>
          <w:sz w:val="20"/>
          <w:szCs w:val="20"/>
        </w:rPr>
        <w:t xml:space="preserve">The manufacturing, labeling, packaging, adverse event reporting, advertising, promotion and recordkeeping for an approved product remain subject </w:t>
      </w:r>
      <w:r>
        <w:rPr>
          <w:sz w:val="20"/>
          <w:szCs w:val="20"/>
        </w:rPr>
        <w:t>to extensive and ongoing regulatory requirements. If we become aware of previously unknown problems with an approved product in the US or overseas or at a contract manufacturer’s facilities, a regulatory authority may impose restrictions on the product, th</w:t>
      </w:r>
      <w:r>
        <w:rPr>
          <w:sz w:val="20"/>
          <w:szCs w:val="20"/>
        </w:rPr>
        <w:t>e contract manufacturers or on us, including requiring us to reformulate the product, conduct additional clinical studies, change the labeling of the product, withdraw the product from the market or require the contract manufacturer to implement changes to</w:t>
      </w:r>
      <w:r>
        <w:rPr>
          <w:sz w:val="20"/>
          <w:szCs w:val="20"/>
        </w:rPr>
        <w:t xml:space="preserve"> its facilities.</w:t>
      </w:r>
    </w:p>
    <w:p w:rsidR="00000000" w:rsidRDefault="00DE7B41">
      <w:pPr>
        <w:pStyle w:val="a3"/>
        <w:spacing w:before="0" w:beforeAutospacing="0" w:after="240" w:afterAutospacing="0"/>
        <w:ind w:firstLine="720"/>
        <w:divId w:val="642933014"/>
        <w:rPr>
          <w:sz w:val="20"/>
          <w:szCs w:val="20"/>
        </w:rPr>
      </w:pPr>
      <w:r>
        <w:rPr>
          <w:sz w:val="20"/>
          <w:szCs w:val="20"/>
        </w:rPr>
        <w:t>We are also subject to regulation by regional, national, state and local agencies, including the Department of Justice, the Federal Trade Commission, the Office of Inspector General of the US Department of Health and Human Services (“OIG”)</w:t>
      </w:r>
      <w:r>
        <w:rPr>
          <w:sz w:val="20"/>
          <w:szCs w:val="20"/>
        </w:rPr>
        <w:t xml:space="preserve"> and other regulatory bodies with respect to any approved product, such as YUPELRI, as well as governmental authorities in those foreign countries in which any product is approved for commercialization. The Federal Food, Drug, and Cosmetic Act, the Public </w:t>
      </w:r>
      <w:r>
        <w:rPr>
          <w:sz w:val="20"/>
          <w:szCs w:val="20"/>
        </w:rPr>
        <w:t>Health Service Act and other federal and state statutes and regulations govern to varying degrees the research, development, manufacturing and commercial activities relating to prescription pharmaceutical products, including non-clinical and clinical testi</w:t>
      </w:r>
      <w:r>
        <w:rPr>
          <w:sz w:val="20"/>
          <w:szCs w:val="20"/>
        </w:rPr>
        <w:t>ng, approval, production, labeling, sale, distribution, import, export, post-market surveillance, advertising, dissemination of information and promotion. If we or any third parties that provide these services for us are unable to comply, we may be subject</w:t>
      </w:r>
      <w:r>
        <w:rPr>
          <w:sz w:val="20"/>
          <w:szCs w:val="20"/>
        </w:rPr>
        <w:t xml:space="preserve"> to regulatory or civil actions or penalties that could significantly and adversely affect our business.</w:t>
      </w:r>
    </w:p>
    <w:p w:rsidR="00000000" w:rsidRDefault="00DE7B41">
      <w:pPr>
        <w:pStyle w:val="a3"/>
        <w:spacing w:before="0" w:beforeAutospacing="0" w:after="240" w:afterAutospacing="0"/>
        <w:ind w:firstLine="720"/>
        <w:divId w:val="642933014"/>
        <w:rPr>
          <w:sz w:val="20"/>
          <w:szCs w:val="20"/>
        </w:rPr>
      </w:pPr>
      <w:r>
        <w:rPr>
          <w:sz w:val="20"/>
          <w:szCs w:val="20"/>
        </w:rPr>
        <w:t>Regulatory approval for our product candidates, if any, may include similar or other limitations on the indicated uses for which we can market our medi</w:t>
      </w:r>
      <w:r>
        <w:rPr>
          <w:sz w:val="20"/>
          <w:szCs w:val="20"/>
        </w:rPr>
        <w:t>cines or the patient population that may utilize our medicines, which may limit the market for our medicines or put us at a competitive disadvantage relative to alternative therapies.</w:t>
      </w:r>
    </w:p>
    <w:p w:rsidR="00000000" w:rsidRDefault="00DE7B41">
      <w:pPr>
        <w:pStyle w:val="a3"/>
        <w:spacing w:before="0" w:beforeAutospacing="0" w:after="240" w:afterAutospacing="0"/>
        <w:ind w:firstLine="720"/>
        <w:divId w:val="642933014"/>
        <w:rPr>
          <w:sz w:val="20"/>
          <w:szCs w:val="20"/>
        </w:rPr>
      </w:pPr>
      <w:r>
        <w:rPr>
          <w:sz w:val="20"/>
          <w:szCs w:val="20"/>
        </w:rPr>
        <w:t>Failure to satisfy required post-approval requirements and/or commitment</w:t>
      </w:r>
      <w:r>
        <w:rPr>
          <w:sz w:val="20"/>
          <w:szCs w:val="20"/>
        </w:rPr>
        <w:t>s may have implications for a product’s approval and may carry civil monetary penalties. Any failure to maintain regulatory approval will materially limit the ability to commercialize a product or any future product candidates and if we fail to comply with</w:t>
      </w:r>
      <w:r>
        <w:rPr>
          <w:sz w:val="20"/>
          <w:szCs w:val="20"/>
        </w:rPr>
        <w:t xml:space="preserve"> FDA regulations and requirements, the FDA could potentially take a number of enforcement actions against us, including the issuance of untitled letters, warning letters, preventing the introduction or delivery of the product into interstate commerce in th</w:t>
      </w:r>
      <w:r>
        <w:rPr>
          <w:sz w:val="20"/>
          <w:szCs w:val="20"/>
        </w:rPr>
        <w:t>e US, misbranding charges, product seizures, injunctions, and civil monetary penalties, which would materially and adversely affect our business and financial condition and may cause the price of our securities to fall.</w:t>
      </w:r>
    </w:p>
    <w:p w:rsidR="00000000" w:rsidRDefault="00DE7B41">
      <w:pPr>
        <w:pStyle w:val="a3"/>
        <w:spacing w:before="0" w:beforeAutospacing="0" w:after="240" w:afterAutospacing="0"/>
        <w:ind w:firstLine="720"/>
        <w:divId w:val="642933014"/>
        <w:rPr>
          <w:sz w:val="20"/>
          <w:szCs w:val="20"/>
        </w:rPr>
      </w:pPr>
      <w:r>
        <w:rPr>
          <w:sz w:val="20"/>
          <w:szCs w:val="20"/>
        </w:rPr>
        <w:t>The risks identified in this risk fa</w:t>
      </w:r>
      <w:r>
        <w:rPr>
          <w:sz w:val="20"/>
          <w:szCs w:val="20"/>
        </w:rPr>
        <w:t>ctor relating to regulatory actions and oversight by agencies in the US and throughout the world also apply to the commercialization of any partnered products by our collaboration partners and those commercializing products with respect to which we have an</w:t>
      </w:r>
      <w:r>
        <w:rPr>
          <w:sz w:val="20"/>
          <w:szCs w:val="20"/>
        </w:rPr>
        <w:t xml:space="preserve"> economic interest or right to receive royalties, including GSK and Cumberland, and such regulatory actions and oversight may limit those parties’ ability to commercialize such products, which could materially and adversely affect our business and financia</w:t>
      </w:r>
      <w:r>
        <w:rPr>
          <w:sz w:val="20"/>
          <w:szCs w:val="20"/>
        </w:rPr>
        <w:t>l condition, and which may cause the price of our securities to fall.</w:t>
      </w:r>
    </w:p>
    <w:p w:rsidR="00000000" w:rsidRDefault="00DE7B41">
      <w:pPr>
        <w:pStyle w:val="a3"/>
        <w:spacing w:before="0" w:beforeAutospacing="0" w:after="120" w:afterAutospacing="0"/>
        <w:divId w:val="642933014"/>
        <w:rPr>
          <w:sz w:val="20"/>
          <w:szCs w:val="20"/>
        </w:rPr>
      </w:pPr>
      <w:r>
        <w:rPr>
          <w:b/>
          <w:bCs/>
          <w:i/>
          <w:iCs/>
          <w:sz w:val="20"/>
          <w:szCs w:val="20"/>
        </w:rPr>
        <w:t>We and/or our collaboration partners and those commercializing products with respect to which we have an economic interest or right to receive royalties may face competition from compani</w:t>
      </w:r>
      <w:r>
        <w:rPr>
          <w:b/>
          <w:bCs/>
          <w:i/>
          <w:iCs/>
          <w:sz w:val="20"/>
          <w:szCs w:val="20"/>
        </w:rPr>
        <w:t>es seeking to market generic versions of any approved products in which we have an interest, such as TRELEGY ELLIPTA or YUPELRI.</w:t>
      </w:r>
    </w:p>
    <w:p w:rsidR="00000000" w:rsidRDefault="00DE7B41">
      <w:pPr>
        <w:pStyle w:val="a3"/>
        <w:spacing w:before="0" w:beforeAutospacing="0" w:after="0" w:afterAutospacing="0"/>
        <w:ind w:firstLine="720"/>
        <w:divId w:val="642933014"/>
        <w:rPr>
          <w:sz w:val="20"/>
          <w:szCs w:val="20"/>
        </w:rPr>
      </w:pPr>
      <w:r>
        <w:rPr>
          <w:sz w:val="20"/>
          <w:szCs w:val="20"/>
        </w:rPr>
        <w:t>Under the Drug Price Competition and Patent Term Restoration Act of 1984, a company may submit an abbreviated new drug applicat</w:t>
      </w:r>
      <w:r>
        <w:rPr>
          <w:sz w:val="20"/>
          <w:szCs w:val="20"/>
        </w:rPr>
        <w:t>ion (“ANDA”) under section 505(j) of the Federal Food, Drug, and Cosmetic Act to market a generic version of an approved drug. Because a generic applicant does not conduct its own clinical studies, but instead relies on the FDA’s finding of safety and effe</w:t>
      </w:r>
      <w:r>
        <w:rPr>
          <w:sz w:val="20"/>
          <w:szCs w:val="20"/>
        </w:rPr>
        <w:t>ctiveness for the approved drug, it is able to introduce a competing product into the market at a cost significantly below that of the original drug. Although we have multiple patents protecting YUPELRI until at least 2025 that are listed in the FDA’s Appr</w:t>
      </w:r>
      <w:r>
        <w:rPr>
          <w:sz w:val="20"/>
          <w:szCs w:val="20"/>
        </w:rPr>
        <w:t>oved Drug Products with Therapeutic Equivalence Evaluations, commonly known as the Orange Book, and those commercializing products with respect to which we have an economic interest or right to receive royalties similarly have patents protecting their prod</w:t>
      </w:r>
      <w:r>
        <w:rPr>
          <w:sz w:val="20"/>
          <w:szCs w:val="20"/>
        </w:rPr>
        <w:t>ucts, such as TRELEGY ELLIPTA and VIBATIV, generic applicants could potentially submit “paragraph IV certifications” to FDA stating that such patents are invalid or will not be infringed by the applicant’s product. We have not received any such paragraph I</w:t>
      </w:r>
      <w:r>
        <w:rPr>
          <w:sz w:val="20"/>
          <w:szCs w:val="20"/>
        </w:rPr>
        <w:t xml:space="preserve">V notifications nor are we aware of any with respect to </w:t>
      </w:r>
    </w:p>
    <w:p w:rsidR="00000000" w:rsidRDefault="00DE7B41">
      <w:pPr>
        <w:pStyle w:val="a3"/>
        <w:spacing w:before="360" w:beforeAutospacing="0" w:after="0" w:afterAutospacing="0"/>
        <w:jc w:val="center"/>
        <w:divId w:val="556891046"/>
        <w:rPr>
          <w:sz w:val="20"/>
          <w:szCs w:val="20"/>
        </w:rPr>
      </w:pPr>
      <w:r>
        <w:rPr>
          <w:sz w:val="20"/>
          <w:szCs w:val="20"/>
        </w:rPr>
        <w:t>52</w:t>
      </w:r>
    </w:p>
    <w:p w:rsidR="00000000" w:rsidRDefault="00DE7B41">
      <w:pPr>
        <w:pStyle w:val="a3"/>
        <w:spacing w:before="0" w:beforeAutospacing="0" w:after="600" w:afterAutospacing="0"/>
        <w:divId w:val="222330759"/>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343752193"/>
        <w:rPr>
          <w:sz w:val="20"/>
          <w:szCs w:val="20"/>
        </w:rPr>
      </w:pPr>
      <w:r>
        <w:rPr>
          <w:sz w:val="20"/>
          <w:szCs w:val="20"/>
        </w:rPr>
        <w:t>products in which we have an economic interest or right to receive royalties, but if any competitors successfully challenge the patents related to these</w:t>
      </w:r>
      <w:r>
        <w:rPr>
          <w:sz w:val="20"/>
          <w:szCs w:val="20"/>
        </w:rPr>
        <w:t xml:space="preserve"> products, we and/or our collaboration partners and those commercializing products with respect to which we have an economic interest or right to receive royalties would face substantial competition. If we are not able to compete effectively against such f</w:t>
      </w:r>
      <w:r>
        <w:rPr>
          <w:sz w:val="20"/>
          <w:szCs w:val="20"/>
        </w:rPr>
        <w:t>uture competition, our business will not grow, our financial condition and operations will suffer and the price of our securities could fall.</w:t>
      </w:r>
    </w:p>
    <w:p w:rsidR="00000000" w:rsidRDefault="00DE7B41">
      <w:pPr>
        <w:pStyle w:val="a3"/>
        <w:spacing w:before="0" w:beforeAutospacing="0" w:after="240" w:afterAutospacing="0"/>
        <w:ind w:firstLine="720"/>
        <w:divId w:val="343752193"/>
        <w:rPr>
          <w:sz w:val="20"/>
          <w:szCs w:val="20"/>
        </w:rPr>
      </w:pPr>
      <w:r>
        <w:rPr>
          <w:sz w:val="20"/>
          <w:szCs w:val="20"/>
        </w:rPr>
        <w:t>For additional discussion of the risk of generic competition to YUPELRI, please see the following risk factor belo</w:t>
      </w:r>
      <w:r>
        <w:rPr>
          <w:sz w:val="20"/>
          <w:szCs w:val="20"/>
        </w:rPr>
        <w:t>w “</w:t>
      </w:r>
      <w:r>
        <w:rPr>
          <w:i/>
          <w:iCs/>
          <w:sz w:val="20"/>
          <w:szCs w:val="20"/>
        </w:rPr>
        <w:t>If our efforts to protect the proprietary nature of the intellectual property related to our technologies are not adequate, we may not be able to compete effectively in our current or future markets</w:t>
      </w:r>
      <w:r>
        <w:rPr>
          <w:sz w:val="20"/>
          <w:szCs w:val="20"/>
        </w:rPr>
        <w:t>.”</w:t>
      </w:r>
    </w:p>
    <w:p w:rsidR="00000000" w:rsidRDefault="00DE7B41">
      <w:pPr>
        <w:pStyle w:val="a3"/>
        <w:spacing w:before="0" w:beforeAutospacing="0" w:after="120" w:afterAutospacing="0"/>
        <w:divId w:val="343752193"/>
        <w:rPr>
          <w:sz w:val="20"/>
          <w:szCs w:val="20"/>
        </w:rPr>
      </w:pPr>
      <w:r>
        <w:rPr>
          <w:b/>
          <w:bCs/>
          <w:i/>
          <w:iCs/>
          <w:sz w:val="20"/>
          <w:szCs w:val="20"/>
        </w:rPr>
        <w:t>We may be treated as a US corporation for US federal</w:t>
      </w:r>
      <w:r>
        <w:rPr>
          <w:b/>
          <w:bCs/>
          <w:i/>
          <w:iCs/>
          <w:sz w:val="20"/>
          <w:szCs w:val="20"/>
        </w:rPr>
        <w:t xml:space="preserve"> income tax purposes.</w:t>
      </w:r>
    </w:p>
    <w:p w:rsidR="00000000" w:rsidRDefault="00DE7B41">
      <w:pPr>
        <w:pStyle w:val="a3"/>
        <w:spacing w:before="0" w:beforeAutospacing="0" w:after="240" w:afterAutospacing="0"/>
        <w:ind w:firstLine="720"/>
        <w:divId w:val="343752193"/>
        <w:rPr>
          <w:sz w:val="20"/>
          <w:szCs w:val="20"/>
        </w:rPr>
      </w:pPr>
      <w:r>
        <w:rPr>
          <w:sz w:val="20"/>
          <w:szCs w:val="20"/>
        </w:rPr>
        <w:t>For US federal income tax purposes, a corporation generally is considered tax resident in the place of its incorporation. Theravance Biopharma is incorporated under Cayman Islands law and established tax residency in Ireland effective</w:t>
      </w:r>
      <w:r>
        <w:rPr>
          <w:sz w:val="20"/>
          <w:szCs w:val="20"/>
        </w:rPr>
        <w:t xml:space="preserve"> July 1, 2015. Therefore, it should be a non-US corporation under this general rule. However, Section 7874 of the Internal Revenue Code of 1986, as amended (the “Code”), contains rules that may result in a foreign corporation being treated as a US corporat</w:t>
      </w:r>
      <w:r>
        <w:rPr>
          <w:sz w:val="20"/>
          <w:szCs w:val="20"/>
        </w:rPr>
        <w:t>ion for US federal income tax purposes. The application of these rules is complex and there is little guidance regarding certain aspects of their application.</w:t>
      </w:r>
    </w:p>
    <w:p w:rsidR="00000000" w:rsidRDefault="00DE7B41">
      <w:pPr>
        <w:pStyle w:val="a3"/>
        <w:spacing w:before="0" w:beforeAutospacing="0" w:after="240" w:afterAutospacing="0"/>
        <w:ind w:firstLine="720"/>
        <w:divId w:val="343752193"/>
        <w:rPr>
          <w:sz w:val="20"/>
          <w:szCs w:val="20"/>
        </w:rPr>
      </w:pPr>
      <w:r>
        <w:rPr>
          <w:sz w:val="20"/>
          <w:szCs w:val="20"/>
        </w:rPr>
        <w:t>Under Section 7874 of the Code, a corporation created or organized outside the US will be treated</w:t>
      </w:r>
      <w:r>
        <w:rPr>
          <w:sz w:val="20"/>
          <w:szCs w:val="20"/>
        </w:rPr>
        <w:t xml:space="preserve"> as a US corporation for US federal tax purposes if (i) the foreign corporation directly or indirectly acquires substantially all of the properties held directly or indirectly by a US corporation, (ii) the former shareholders of the acquired US corporation</w:t>
      </w:r>
      <w:r>
        <w:rPr>
          <w:sz w:val="20"/>
          <w:szCs w:val="20"/>
        </w:rPr>
        <w:t xml:space="preserve"> hold at least 80% of the vote or value of the shares of the foreign acquiring corporation by reason of holding stock in the US acquired corporation, and (iii) the foreign corporation’s “expanded affiliated group” does not have “substantial business activi</w:t>
      </w:r>
      <w:r>
        <w:rPr>
          <w:sz w:val="20"/>
          <w:szCs w:val="20"/>
        </w:rPr>
        <w:t>ties” in the foreign corporation’s country of incorporation relative to its expanded affiliated group’s worldwide activities. For this purpose, “expanded affiliated group” generally means the foreign corporation and all subsidiaries in which the foreign co</w:t>
      </w:r>
      <w:r>
        <w:rPr>
          <w:sz w:val="20"/>
          <w:szCs w:val="20"/>
        </w:rPr>
        <w:t>rporation, directly or indirectly, owns more than 50% of the stock by vote and value, and “substantial business activities” generally means at least 25% of employees (by number and compensation), assets and gross income of our expanded affiliated group are</w:t>
      </w:r>
      <w:r>
        <w:rPr>
          <w:sz w:val="20"/>
          <w:szCs w:val="20"/>
        </w:rPr>
        <w:t xml:space="preserve"> based, located and derived, respectively, in the country of incorporation.</w:t>
      </w:r>
    </w:p>
    <w:p w:rsidR="00000000" w:rsidRDefault="00DE7B41">
      <w:pPr>
        <w:pStyle w:val="a3"/>
        <w:spacing w:before="0" w:beforeAutospacing="0" w:after="240" w:afterAutospacing="0"/>
        <w:ind w:firstLine="720"/>
        <w:divId w:val="343752193"/>
        <w:rPr>
          <w:sz w:val="20"/>
          <w:szCs w:val="20"/>
        </w:rPr>
      </w:pPr>
      <w:r>
        <w:rPr>
          <w:sz w:val="20"/>
          <w:szCs w:val="20"/>
        </w:rPr>
        <w:t>We do not expect to be treated as a US corporation under Section 7874 of the Code, because we do not believe that the assets contributed to us by Innoviva constituted “substantiall</w:t>
      </w:r>
      <w:r>
        <w:rPr>
          <w:sz w:val="20"/>
          <w:szCs w:val="20"/>
        </w:rPr>
        <w:t>y all” of the properties of Innoviva (as determined on both a gross and net fair market value basis). However, the Internal Revenue Service may disagree with our conclusion on this point and assert that, in its view, the assets contributed to us by Innoviv</w:t>
      </w:r>
      <w:r>
        <w:rPr>
          <w:sz w:val="20"/>
          <w:szCs w:val="20"/>
        </w:rPr>
        <w:t>a did constitute “substantially all” of the properties of Innoviva. In addition, there could be legislative proposals to expand the scope of US corporate tax residence and there could be changes to Section 7874 of the Code or the Treasury Regulations promu</w:t>
      </w:r>
      <w:r>
        <w:rPr>
          <w:sz w:val="20"/>
          <w:szCs w:val="20"/>
        </w:rPr>
        <w:t>lgated thereunder that could apply retroactively and could result in Theravance Biopharma being treated as a US corporation.</w:t>
      </w:r>
    </w:p>
    <w:p w:rsidR="00000000" w:rsidRDefault="00DE7B41">
      <w:pPr>
        <w:pStyle w:val="a3"/>
        <w:spacing w:before="0" w:beforeAutospacing="0" w:after="240" w:afterAutospacing="0"/>
        <w:ind w:firstLine="720"/>
        <w:divId w:val="343752193"/>
        <w:rPr>
          <w:sz w:val="20"/>
          <w:szCs w:val="20"/>
        </w:rPr>
      </w:pPr>
      <w:r>
        <w:rPr>
          <w:sz w:val="20"/>
          <w:szCs w:val="20"/>
        </w:rPr>
        <w:t>If it were determined that we should be treated as a US corporation for US federal income tax purposes, we could be liable for subs</w:t>
      </w:r>
      <w:r>
        <w:rPr>
          <w:sz w:val="20"/>
          <w:szCs w:val="20"/>
        </w:rPr>
        <w:t>tantial additional US federal income tax on our post-Spin-Off taxable income. In addition, though we have no current plans to pay any dividends, payments of any dividends to non-US holders may be subject to US withholding tax.</w:t>
      </w:r>
    </w:p>
    <w:p w:rsidR="00000000" w:rsidRDefault="00DE7B41">
      <w:pPr>
        <w:pStyle w:val="a3"/>
        <w:spacing w:before="0" w:beforeAutospacing="0" w:after="120" w:afterAutospacing="0"/>
        <w:divId w:val="343752193"/>
        <w:rPr>
          <w:sz w:val="20"/>
          <w:szCs w:val="20"/>
        </w:rPr>
      </w:pPr>
      <w:r>
        <w:rPr>
          <w:b/>
          <w:bCs/>
          <w:i/>
          <w:iCs/>
          <w:sz w:val="20"/>
          <w:szCs w:val="20"/>
        </w:rPr>
        <w:t>Taxing authorities may challe</w:t>
      </w:r>
      <w:r>
        <w:rPr>
          <w:b/>
          <w:bCs/>
          <w:i/>
          <w:iCs/>
          <w:sz w:val="20"/>
          <w:szCs w:val="20"/>
        </w:rPr>
        <w:t>nge our structure and transfer pricing arrangements.</w:t>
      </w:r>
    </w:p>
    <w:p w:rsidR="00000000" w:rsidRDefault="00DE7B41">
      <w:pPr>
        <w:pStyle w:val="a3"/>
        <w:spacing w:before="0" w:beforeAutospacing="0" w:after="0" w:afterAutospacing="0"/>
        <w:ind w:firstLine="720"/>
        <w:divId w:val="343752193"/>
        <w:rPr>
          <w:sz w:val="20"/>
          <w:szCs w:val="20"/>
        </w:rPr>
      </w:pPr>
      <w:r>
        <w:rPr>
          <w:sz w:val="20"/>
          <w:szCs w:val="20"/>
        </w:rPr>
        <w:t>We are incorporated in the Cayman Islands, maintain subsidiaries in the Cayman Islands, the US, the UK and Ireland, and effective July 1, 2015, we migrated our tax residency from the Cayman Islands to Ir</w:t>
      </w:r>
      <w:r>
        <w:rPr>
          <w:sz w:val="20"/>
          <w:szCs w:val="20"/>
        </w:rPr>
        <w:t>eland. Due to economic and political conditions, various countries are actively considering changes to existing tax laws. We cannot predict the form or timing of potential legislative changes that could have a material adverse impact on our results of oper</w:t>
      </w:r>
      <w:r>
        <w:rPr>
          <w:sz w:val="20"/>
          <w:szCs w:val="20"/>
        </w:rPr>
        <w:t>ations. We are aware that Ireland has implemented certain tax law changes and is expected to implement additional tax law changes to comply with the European Union Anti-Tax Avoidance Directives. These changes include the first ever Irish controlled foreign</w:t>
      </w:r>
      <w:r>
        <w:rPr>
          <w:sz w:val="20"/>
          <w:szCs w:val="20"/>
        </w:rPr>
        <w:t xml:space="preserve"> company (“CFC”) rules which came into effect on January 1, 2019. Due to provisions in </w:t>
      </w:r>
      <w:r>
        <w:rPr>
          <w:i/>
          <w:iCs/>
          <w:sz w:val="20"/>
          <w:szCs w:val="20"/>
        </w:rPr>
        <w:t>Finance Bill 2019</w:t>
      </w:r>
      <w:r>
        <w:rPr>
          <w:sz w:val="20"/>
          <w:szCs w:val="20"/>
        </w:rPr>
        <w:t xml:space="preserve">, Ireland will also implement certain transfer pricing rule changes, with effect from 2020. We are continuing to evaluate and monitor the applicability </w:t>
      </w:r>
      <w:r>
        <w:rPr>
          <w:sz w:val="20"/>
          <w:szCs w:val="20"/>
        </w:rPr>
        <w:t xml:space="preserve">of the CFC rules published in </w:t>
      </w:r>
      <w:r>
        <w:rPr>
          <w:i/>
          <w:iCs/>
          <w:sz w:val="20"/>
          <w:szCs w:val="20"/>
        </w:rPr>
        <w:t>Finance Act 2018</w:t>
      </w:r>
      <w:r>
        <w:rPr>
          <w:sz w:val="20"/>
          <w:szCs w:val="20"/>
        </w:rPr>
        <w:t>, but our current assessment, based on the rules and guidance published to date, is that the rules are unlikely to have a material impact on our operations. Statutory language has been provided for the transfer</w:t>
      </w:r>
      <w:r>
        <w:rPr>
          <w:sz w:val="20"/>
          <w:szCs w:val="20"/>
        </w:rPr>
        <w:t xml:space="preserve"> pricing rule changes, and we believe that the transfer pricing rules are unlikely to have a material </w:t>
      </w:r>
    </w:p>
    <w:p w:rsidR="00000000" w:rsidRDefault="00DE7B41">
      <w:pPr>
        <w:pStyle w:val="a3"/>
        <w:spacing w:before="360" w:beforeAutospacing="0" w:after="0" w:afterAutospacing="0"/>
        <w:jc w:val="center"/>
        <w:divId w:val="1187525620"/>
        <w:rPr>
          <w:sz w:val="20"/>
          <w:szCs w:val="20"/>
        </w:rPr>
      </w:pPr>
      <w:r>
        <w:rPr>
          <w:sz w:val="20"/>
          <w:szCs w:val="20"/>
        </w:rPr>
        <w:t>53</w:t>
      </w:r>
    </w:p>
    <w:p w:rsidR="00000000" w:rsidRDefault="00DE7B41">
      <w:pPr>
        <w:pStyle w:val="a3"/>
        <w:spacing w:before="0" w:beforeAutospacing="0" w:after="600" w:afterAutospacing="0"/>
        <w:divId w:val="312177799"/>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2007512345"/>
        <w:rPr>
          <w:sz w:val="20"/>
          <w:szCs w:val="20"/>
        </w:rPr>
      </w:pPr>
      <w:r>
        <w:rPr>
          <w:sz w:val="20"/>
          <w:szCs w:val="20"/>
        </w:rPr>
        <w:t xml:space="preserve">impact on our operations. New UK tax legislation was introduced by the </w:t>
      </w:r>
      <w:r>
        <w:rPr>
          <w:i/>
          <w:iCs/>
          <w:sz w:val="20"/>
          <w:szCs w:val="20"/>
        </w:rPr>
        <w:t>Finance Act 2019</w:t>
      </w:r>
      <w:r>
        <w:rPr>
          <w:sz w:val="20"/>
          <w:szCs w:val="20"/>
        </w:rPr>
        <w:t xml:space="preserve"> (“FA 2019”) that imposes a tax related to offshore receipts in respect of intangible property held in low tax jurisdictions (“ORIP”) and became effective in April 2019.</w:t>
      </w:r>
      <w:r>
        <w:rPr>
          <w:sz w:val="20"/>
          <w:szCs w:val="20"/>
        </w:rPr>
        <w:t xml:space="preserve"> FA 2019 also included a power for amendments to the ORIP legislation to be made by regulation by December 31, 2019. On October 15, 2019, the UK published further guidance intended to facilitate the administration of the ORIP regime. However, a number of i</w:t>
      </w:r>
      <w:r>
        <w:rPr>
          <w:sz w:val="20"/>
          <w:szCs w:val="20"/>
        </w:rPr>
        <w:t>ssues and areas of uncertainty remain. We have reviewed the original legislation in conjunction with the guidance and believe that the ORIP regime may apply to certain cash receipts. Based on this analysis, we believe that the ORIP charge on UK-derived cas</w:t>
      </w:r>
      <w:r>
        <w:rPr>
          <w:sz w:val="20"/>
          <w:szCs w:val="20"/>
        </w:rPr>
        <w:t xml:space="preserve">h receipts through 2020 is not material. In April 2020, we became aware of a withholding tax regulation that could be interpreted to apply to certain of our previous intra-group transactions. We are evaluating whether the interpretation of this regulation </w:t>
      </w:r>
      <w:r>
        <w:rPr>
          <w:sz w:val="20"/>
          <w:szCs w:val="20"/>
        </w:rPr>
        <w:t xml:space="preserve">could apply to our facts and circumstances, and we may establish a reserve related to this matter upon conclusion of our analysis during the second quarter of 2020. </w:t>
      </w:r>
    </w:p>
    <w:p w:rsidR="00000000" w:rsidRDefault="00DE7B41">
      <w:pPr>
        <w:pStyle w:val="a3"/>
        <w:spacing w:before="0" w:beforeAutospacing="0" w:after="0" w:afterAutospacing="0"/>
        <w:ind w:firstLine="720"/>
        <w:divId w:val="2007512345"/>
        <w:rPr>
          <w:sz w:val="20"/>
          <w:szCs w:val="20"/>
        </w:rPr>
      </w:pPr>
      <w:r>
        <w:rPr>
          <w:sz w:val="20"/>
          <w:szCs w:val="20"/>
        </w:rPr>
        <w:t>​</w:t>
      </w:r>
    </w:p>
    <w:p w:rsidR="00000000" w:rsidRDefault="00DE7B41">
      <w:pPr>
        <w:pStyle w:val="a3"/>
        <w:spacing w:before="0" w:beforeAutospacing="0" w:after="0" w:afterAutospacing="0"/>
        <w:ind w:firstLine="720"/>
        <w:divId w:val="2007512345"/>
        <w:rPr>
          <w:rFonts w:ascii="Calibri" w:hAnsi="Calibri" w:cs="Calibri"/>
          <w:sz w:val="20"/>
          <w:szCs w:val="20"/>
        </w:rPr>
      </w:pPr>
      <w:r>
        <w:rPr>
          <w:sz w:val="20"/>
          <w:szCs w:val="20"/>
        </w:rPr>
        <w:t>In April 2020, we became aware of a withholding tax regulation that could be interpreted</w:t>
      </w:r>
      <w:r>
        <w:rPr>
          <w:sz w:val="20"/>
          <w:szCs w:val="20"/>
        </w:rPr>
        <w:t xml:space="preserve"> to apply to certain of our previous intra-group transactions. We are evaluating whether the current interpretation of this regulation could apply to our facts and circumstances, and we may establish a reserve related to this matter upon conclusion of our </w:t>
      </w:r>
      <w:r>
        <w:rPr>
          <w:sz w:val="20"/>
          <w:szCs w:val="20"/>
        </w:rPr>
        <w:t>analysis during the second quarter of 2020. Based on our initial analysis, we do not believe that a reserve would be material. However, additional guidance on this regulation could change this analysis and consequently impact our condensed consolidated fin</w:t>
      </w:r>
      <w:r>
        <w:rPr>
          <w:sz w:val="20"/>
          <w:szCs w:val="20"/>
        </w:rPr>
        <w:t>ancial statements.</w:t>
      </w:r>
    </w:p>
    <w:p w:rsidR="00000000" w:rsidRDefault="00DE7B41">
      <w:pPr>
        <w:pStyle w:val="a3"/>
        <w:spacing w:before="0" w:beforeAutospacing="0" w:after="0" w:afterAutospacing="0"/>
        <w:ind w:firstLine="720"/>
        <w:divId w:val="2007512345"/>
        <w:rPr>
          <w:sz w:val="20"/>
          <w:szCs w:val="20"/>
        </w:rPr>
      </w:pPr>
      <w:r>
        <w:rPr>
          <w:sz w:val="20"/>
          <w:szCs w:val="20"/>
        </w:rPr>
        <w:t>​</w:t>
      </w:r>
    </w:p>
    <w:p w:rsidR="00000000" w:rsidRDefault="00DE7B41">
      <w:pPr>
        <w:pStyle w:val="a3"/>
        <w:spacing w:before="0" w:beforeAutospacing="0" w:after="240" w:afterAutospacing="0"/>
        <w:ind w:firstLine="720"/>
        <w:divId w:val="2007512345"/>
        <w:rPr>
          <w:sz w:val="20"/>
          <w:szCs w:val="20"/>
        </w:rPr>
      </w:pPr>
      <w:r>
        <w:rPr>
          <w:sz w:val="20"/>
          <w:szCs w:val="20"/>
        </w:rPr>
        <w:t>In addition, significant judgment is required in determining our worldwide provision for income taxes. Various factors may have favorable or unfavorable effects on our income tax rate including, but not limited to the performance of ce</w:t>
      </w:r>
      <w:r>
        <w:rPr>
          <w:sz w:val="20"/>
          <w:szCs w:val="20"/>
        </w:rPr>
        <w:t>rtain functions and ownership of certain assets in tax-efficient jurisdictions such as the Cayman Islands and Ireland, together with intra-group transfer pricing agreements. Taxing authorities may challenge our structure and transfer pricing arrangements t</w:t>
      </w:r>
      <w:r>
        <w:rPr>
          <w:sz w:val="20"/>
          <w:szCs w:val="20"/>
        </w:rPr>
        <w:t>hrough an audit or lawsuit. Responding to or defending such a challenge could be expensive and consume time and other resources, and divert management’s time and focus from operating our business. We cannot predict whether taxing authorities will conduct a</w:t>
      </w:r>
      <w:r>
        <w:rPr>
          <w:sz w:val="20"/>
          <w:szCs w:val="20"/>
        </w:rPr>
        <w:t>n audit or file a lawsuit challenging this structure, the cost involved in responding to any such audit or lawsuit, or the outcome. We may be required to pay taxes for prior periods, interest, fines or penalties, and may be obligated to pay increased taxes</w:t>
      </w:r>
      <w:r>
        <w:rPr>
          <w:sz w:val="20"/>
          <w:szCs w:val="20"/>
        </w:rPr>
        <w:t xml:space="preserve"> in the future which could result in reduced cash flows and have a material adverse effect on our business, financial condition and growth prospects.</w:t>
      </w:r>
    </w:p>
    <w:p w:rsidR="00000000" w:rsidRDefault="00DE7B41">
      <w:pPr>
        <w:pStyle w:val="a3"/>
        <w:spacing w:before="0" w:beforeAutospacing="0" w:after="120" w:afterAutospacing="0"/>
        <w:divId w:val="2007512345"/>
        <w:rPr>
          <w:sz w:val="20"/>
          <w:szCs w:val="20"/>
        </w:rPr>
      </w:pPr>
      <w:r>
        <w:rPr>
          <w:b/>
          <w:bCs/>
          <w:i/>
          <w:iCs/>
          <w:sz w:val="20"/>
          <w:szCs w:val="20"/>
        </w:rPr>
        <w:t>We were a passive foreign investment company, or “PFIC,” for 2014, but we were not a PFIC from 2015 throug</w:t>
      </w:r>
      <w:r>
        <w:rPr>
          <w:b/>
          <w:bCs/>
          <w:i/>
          <w:iCs/>
          <w:sz w:val="20"/>
          <w:szCs w:val="20"/>
        </w:rPr>
        <w:t>h 2019, and we do not expect to be a PFIC for the foreseeable future.</w:t>
      </w:r>
    </w:p>
    <w:p w:rsidR="00000000" w:rsidRDefault="00DE7B41">
      <w:pPr>
        <w:pStyle w:val="a3"/>
        <w:spacing w:before="0" w:beforeAutospacing="0" w:after="240" w:afterAutospacing="0"/>
        <w:ind w:firstLine="720"/>
        <w:divId w:val="2007512345"/>
        <w:rPr>
          <w:sz w:val="20"/>
          <w:szCs w:val="20"/>
        </w:rPr>
      </w:pPr>
      <w:r>
        <w:rPr>
          <w:sz w:val="20"/>
          <w:szCs w:val="20"/>
        </w:rPr>
        <w:t>For US federal income tax purposes, we generally would be classified as a PFIC for any taxable year if either (i) 75% or more of our gross income (including gross income of certain 25% o</w:t>
      </w:r>
      <w:r>
        <w:rPr>
          <w:sz w:val="20"/>
          <w:szCs w:val="20"/>
        </w:rPr>
        <w:t>r more owned corporate subsidiaries) is “passive income” (as defined for such purposes) or (ii) the average percentage of our assets (including the assets of certain 25% or more owned corporate subsidiaries) that produce passive income or that are held for</w:t>
      </w:r>
      <w:r>
        <w:rPr>
          <w:sz w:val="20"/>
          <w:szCs w:val="20"/>
        </w:rPr>
        <w:t xml:space="preserve"> the production of passive income is at least 50%. In addition, whether our Company will be a PFIC for any taxable year depends on our assets and income over the course of each such taxable year and, as a result, cannot be predicted with certainty until af</w:t>
      </w:r>
      <w:r>
        <w:rPr>
          <w:sz w:val="20"/>
          <w:szCs w:val="20"/>
        </w:rPr>
        <w:t>ter the end of the year.</w:t>
      </w:r>
    </w:p>
    <w:p w:rsidR="00000000" w:rsidRDefault="00DE7B41">
      <w:pPr>
        <w:pStyle w:val="a3"/>
        <w:spacing w:before="0" w:beforeAutospacing="0" w:after="240" w:afterAutospacing="0"/>
        <w:ind w:firstLine="720"/>
        <w:divId w:val="2007512345"/>
        <w:rPr>
          <w:sz w:val="20"/>
          <w:szCs w:val="20"/>
        </w:rPr>
      </w:pPr>
      <w:r>
        <w:rPr>
          <w:sz w:val="20"/>
          <w:szCs w:val="20"/>
        </w:rPr>
        <w:t>Based upon our assets and income during the course of 2014, we believe that our Company and one of our Company’s wholly-owned subsidiaries, Theravance Biopharma R&amp;D, Inc. was a PFIC for 2014. Based upon our assets and income from 2</w:t>
      </w:r>
      <w:r>
        <w:rPr>
          <w:sz w:val="20"/>
          <w:szCs w:val="20"/>
        </w:rPr>
        <w:t>015 through 2019, we do not believe that our Company is a PFIC since 2015. We do not expect to be a PFIC for the foreseeable future based on our current business plans and current business model. For any taxable year (or portion thereof) in which our Compa</w:t>
      </w:r>
      <w:r>
        <w:rPr>
          <w:sz w:val="20"/>
          <w:szCs w:val="20"/>
        </w:rPr>
        <w:t>ny is a PFIC that is included in the holding period of a US holder, the US holder is generally subject to additional US federal income taxes plus an interest charge with respect to certain distributions from Theravance Biopharma or gain recognized on a sal</w:t>
      </w:r>
      <w:r>
        <w:rPr>
          <w:sz w:val="20"/>
          <w:szCs w:val="20"/>
        </w:rPr>
        <w:t>e of Theravance Biopharma shares. Similar rules would apply with respect to distributions from or gain recognized on an indirect sale of Theravance Biopharma Ireland Limited. US holders of our ordinary shares may have filed an election with respect to Comp</w:t>
      </w:r>
      <w:r>
        <w:rPr>
          <w:sz w:val="20"/>
          <w:szCs w:val="20"/>
        </w:rPr>
        <w:t>any shares held at any time during 2014 to be treated as owning an interest in a “qualified electing fund” (“QEF”) or to “mark to market” their ordinary shares to avoid the otherwise applicable interest charge consequences of PFIC treatment with respect to</w:t>
      </w:r>
      <w:r>
        <w:rPr>
          <w:sz w:val="20"/>
          <w:szCs w:val="20"/>
        </w:rPr>
        <w:t xml:space="preserve"> our ordinary shares. A foreign corporation will not be treated as a QEF for any taxable year in which such foreign corporation is not treated as a PFIC. QEF and mark to market elections generally apply to the taxable year for which the election is made an</w:t>
      </w:r>
      <w:r>
        <w:rPr>
          <w:sz w:val="20"/>
          <w:szCs w:val="20"/>
        </w:rPr>
        <w:t>d all subsequent taxable years unless the election is revoked with consent of the Secretary of Treasury. US holders of our ordinary shares should consult their tax advisers regarding the tax reporting implications with respect to any QEF and mark to market</w:t>
      </w:r>
      <w:r>
        <w:rPr>
          <w:sz w:val="20"/>
          <w:szCs w:val="20"/>
        </w:rPr>
        <w:t xml:space="preserve"> elections made with respect to our Company and with respect to their indirect interests in Theravance Biopharma R&amp;D, Inc.</w:t>
      </w:r>
    </w:p>
    <w:p w:rsidR="00000000" w:rsidRDefault="00DE7B41">
      <w:pPr>
        <w:pStyle w:val="a3"/>
        <w:spacing w:before="360" w:beforeAutospacing="0" w:after="0" w:afterAutospacing="0"/>
        <w:jc w:val="center"/>
        <w:divId w:val="299924325"/>
        <w:rPr>
          <w:sz w:val="20"/>
          <w:szCs w:val="20"/>
        </w:rPr>
      </w:pPr>
      <w:r>
        <w:rPr>
          <w:sz w:val="20"/>
          <w:szCs w:val="20"/>
        </w:rPr>
        <w:t>54</w:t>
      </w:r>
    </w:p>
    <w:p w:rsidR="00000000" w:rsidRDefault="00DE7B41">
      <w:pPr>
        <w:pStyle w:val="a3"/>
        <w:spacing w:before="0" w:beforeAutospacing="0" w:after="600" w:afterAutospacing="0"/>
        <w:divId w:val="1737390437"/>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1257710645"/>
        <w:rPr>
          <w:sz w:val="20"/>
          <w:szCs w:val="20"/>
        </w:rPr>
      </w:pPr>
      <w:r>
        <w:rPr>
          <w:b/>
          <w:bCs/>
          <w:i/>
          <w:iCs/>
          <w:sz w:val="20"/>
          <w:szCs w:val="20"/>
        </w:rPr>
        <w:t>If we are unable to maintain effective internal controls, our business, financial posi</w:t>
      </w:r>
      <w:r>
        <w:rPr>
          <w:b/>
          <w:bCs/>
          <w:i/>
          <w:iCs/>
          <w:sz w:val="20"/>
          <w:szCs w:val="20"/>
        </w:rPr>
        <w:t>tion and results of operations could be adversely affected.</w:t>
      </w:r>
    </w:p>
    <w:p w:rsidR="00000000" w:rsidRDefault="00DE7B41">
      <w:pPr>
        <w:pStyle w:val="a3"/>
        <w:spacing w:before="0" w:beforeAutospacing="0" w:after="240" w:afterAutospacing="0"/>
        <w:ind w:firstLine="720"/>
        <w:divId w:val="1257710645"/>
        <w:rPr>
          <w:sz w:val="20"/>
          <w:szCs w:val="20"/>
        </w:rPr>
      </w:pPr>
      <w:r>
        <w:rPr>
          <w:sz w:val="20"/>
          <w:szCs w:val="20"/>
        </w:rPr>
        <w:t>If we are unable to maintain effective internal controls, our business, financial position and results of operations could be adversely affected. We are subject to the reporting and other obligati</w:t>
      </w:r>
      <w:r>
        <w:rPr>
          <w:sz w:val="20"/>
          <w:szCs w:val="20"/>
        </w:rPr>
        <w:t>ons under the Exchange Act, including the requirements of Section 404 of the Sarbanes-Oxley Act of 2002, which require annual management assessments of the effectiveness of our internal control over financial reporting. Our management is responsible for es</w:t>
      </w:r>
      <w:r>
        <w:rPr>
          <w:sz w:val="20"/>
          <w:szCs w:val="20"/>
        </w:rPr>
        <w:t>tablishing and maintaining adequate internal control over financial reporting as defined in Rules 13a-15(f) under the Exchange Act. Our internal control over financial reporting is a process designed to provide reasonable assurance regarding the reliabilit</w:t>
      </w:r>
      <w:r>
        <w:rPr>
          <w:sz w:val="20"/>
          <w:szCs w:val="20"/>
        </w:rPr>
        <w:t>y of financial reporting and the preparation of financial statements for external purposes in accordance with accounting principles generally accepted in the US. Any failure to achieve and maintain effective internal controls could have an adverse effect o</w:t>
      </w:r>
      <w:r>
        <w:rPr>
          <w:sz w:val="20"/>
          <w:szCs w:val="20"/>
        </w:rPr>
        <w:t>n our business, financial position and results of operations. In addition, our independent registered public accounting firm is required to attest to the effectiveness of our internal control over financial reporting annually. If our independent registered</w:t>
      </w:r>
      <w:r>
        <w:rPr>
          <w:sz w:val="20"/>
          <w:szCs w:val="20"/>
        </w:rPr>
        <w:t xml:space="preserve"> public accounting firm is unable to attest to the effectiveness of our internal control over financial reporting, investor confidence in our reported results will be harmed and the price of our securities may fall. These reporting and other obligations pl</w:t>
      </w:r>
      <w:r>
        <w:rPr>
          <w:sz w:val="20"/>
          <w:szCs w:val="20"/>
        </w:rPr>
        <w:t>ace significant demands on our management and administrative and operational resources, including accounting resources.</w:t>
      </w:r>
    </w:p>
    <w:p w:rsidR="00000000" w:rsidRDefault="00DE7B41">
      <w:pPr>
        <w:pStyle w:val="a3"/>
        <w:spacing w:before="0" w:beforeAutospacing="0" w:after="120" w:afterAutospacing="0"/>
        <w:divId w:val="1257710645"/>
        <w:rPr>
          <w:sz w:val="20"/>
          <w:szCs w:val="20"/>
        </w:rPr>
      </w:pPr>
      <w:r>
        <w:rPr>
          <w:b/>
          <w:bCs/>
          <w:i/>
          <w:iCs/>
          <w:sz w:val="20"/>
          <w:szCs w:val="20"/>
        </w:rPr>
        <w:t>Agreements entered into with or for the benefit of GSK in connection with the Spin-Off may significantly restrict our business and affai</w:t>
      </w:r>
      <w:r>
        <w:rPr>
          <w:b/>
          <w:bCs/>
          <w:i/>
          <w:iCs/>
          <w:sz w:val="20"/>
          <w:szCs w:val="20"/>
        </w:rPr>
        <w:t>rs.</w:t>
      </w:r>
    </w:p>
    <w:p w:rsidR="00000000" w:rsidRDefault="00DE7B41">
      <w:pPr>
        <w:pStyle w:val="a3"/>
        <w:spacing w:before="0" w:beforeAutospacing="0" w:after="240" w:afterAutospacing="0"/>
        <w:ind w:firstLine="720"/>
        <w:divId w:val="1257710645"/>
        <w:rPr>
          <w:sz w:val="20"/>
          <w:szCs w:val="20"/>
        </w:rPr>
      </w:pPr>
      <w:r>
        <w:rPr>
          <w:sz w:val="20"/>
          <w:szCs w:val="20"/>
        </w:rPr>
        <w:t>On March 3, 2014, in connection with the Spin-Off, we, Innoviva and GSK entered into a number of agreements that may significantly restrict our business and affairs. In particular, we, Innoviva and GSK entered into the Master Agreement which, among oth</w:t>
      </w:r>
      <w:r>
        <w:rPr>
          <w:sz w:val="20"/>
          <w:szCs w:val="20"/>
        </w:rPr>
        <w:t>er things, requires GSK’s consent to make any changes to (i) a Separation and Distribution Agreement and ancillary agreements that would, individually or in the aggregate, reasonably be expected to adversely affect GSK in any material respect or (ii) the T</w:t>
      </w:r>
      <w:r>
        <w:rPr>
          <w:sz w:val="20"/>
          <w:szCs w:val="20"/>
        </w:rPr>
        <w:t xml:space="preserve">RC LLC Agreement, which consent is not to be unreasonably withheld, conditioned or delayed, provided that GSK may withhold, condition or delay such consent in its sole discretion with respect to certain sections of the TRC LLC Agreement and any changes to </w:t>
      </w:r>
      <w:r>
        <w:rPr>
          <w:sz w:val="20"/>
          <w:szCs w:val="20"/>
        </w:rPr>
        <w:t xml:space="preserve">the governance structure of TRC, the confidentiality restrictions, the consent rights, and the transfer restrictions in the TRC LLC Agreement. We and GSK also entered into (i) the Governance Agreement that expired on December 31, 2017, (ii) a registration </w:t>
      </w:r>
      <w:r>
        <w:rPr>
          <w:sz w:val="20"/>
          <w:szCs w:val="20"/>
        </w:rPr>
        <w:t xml:space="preserve">rights agreement that gives GSK certain registration rights with respect to our ordinary shares held by GSK and (iii) an extension agreement that extends to us certain restrictive covenants similar to those applicable to Innoviva under the GSK Agreements. </w:t>
      </w:r>
      <w:r>
        <w:rPr>
          <w:sz w:val="20"/>
          <w:szCs w:val="20"/>
        </w:rPr>
        <w:t>There can be no assurance that these restrictions will not materially harm our business, particularly given that GSK’s interests may not be aligned with the interests of our business or our other shareholders.</w:t>
      </w:r>
    </w:p>
    <w:p w:rsidR="00000000" w:rsidRDefault="00DE7B41">
      <w:pPr>
        <w:pStyle w:val="a3"/>
        <w:spacing w:before="0" w:beforeAutospacing="0" w:after="120" w:afterAutospacing="0"/>
        <w:divId w:val="1257710645"/>
        <w:rPr>
          <w:sz w:val="20"/>
          <w:szCs w:val="20"/>
        </w:rPr>
      </w:pPr>
      <w:r>
        <w:rPr>
          <w:b/>
          <w:bCs/>
          <w:i/>
          <w:iCs/>
          <w:sz w:val="20"/>
          <w:szCs w:val="20"/>
        </w:rPr>
        <w:t>Certain of our directors and officers may have</w:t>
      </w:r>
      <w:r>
        <w:rPr>
          <w:b/>
          <w:bCs/>
          <w:i/>
          <w:iCs/>
          <w:sz w:val="20"/>
          <w:szCs w:val="20"/>
        </w:rPr>
        <w:t xml:space="preserve"> actual or potential conflicts of interest because of their equity ownership in Innoviva, which actual or potential conflicts may harm our business, prospects and financial condition and result in the diversion of corporate opportunities to Innoviva.</w:t>
      </w:r>
    </w:p>
    <w:p w:rsidR="00000000" w:rsidRDefault="00DE7B41">
      <w:pPr>
        <w:pStyle w:val="a3"/>
        <w:spacing w:before="0" w:beforeAutospacing="0" w:after="240" w:afterAutospacing="0"/>
        <w:ind w:firstLine="720"/>
        <w:divId w:val="1257710645"/>
        <w:rPr>
          <w:sz w:val="20"/>
          <w:szCs w:val="20"/>
        </w:rPr>
      </w:pPr>
      <w:r>
        <w:rPr>
          <w:sz w:val="20"/>
          <w:szCs w:val="20"/>
        </w:rPr>
        <w:t>Certa</w:t>
      </w:r>
      <w:r>
        <w:rPr>
          <w:sz w:val="20"/>
          <w:szCs w:val="20"/>
        </w:rPr>
        <w:t>in of our directors and officers hold shares of Innoviva’s common stock or rights to acquire such shares, and these holdings may be significant for some of these individuals compared to their total assets. This ownership of Innoviva common stock by certain</w:t>
      </w:r>
      <w:r>
        <w:rPr>
          <w:sz w:val="20"/>
          <w:szCs w:val="20"/>
        </w:rPr>
        <w:t xml:space="preserve"> of our directors and officers may create, or may create the appearance of, conflicts of interest when these directors and officers are faced with decisions that could have different implications for Innoviva and for us. For example, potential or actual co</w:t>
      </w:r>
      <w:r>
        <w:rPr>
          <w:sz w:val="20"/>
          <w:szCs w:val="20"/>
        </w:rPr>
        <w:t>nflicts could arise relating to: our relationship with Innoviva, including Innoviva’s and our respective rights and obligations under agreements entered into in connection with the Spin-Off; Innoviva’s management of TRC, particularly given that we and Inno</w:t>
      </w:r>
      <w:r>
        <w:rPr>
          <w:sz w:val="20"/>
          <w:szCs w:val="20"/>
        </w:rPr>
        <w:t>viva have different economic interests in TRC; and corporate opportunities that may be available to both companies in the future. Although we and Innoviva have implemented policies and procedures to identify and properly address such potential and actual c</w:t>
      </w:r>
      <w:r>
        <w:rPr>
          <w:sz w:val="20"/>
          <w:szCs w:val="20"/>
        </w:rPr>
        <w:t>onflicts of interest, there can be no assurance that, when such conflicts are resolved in accordance with applicable laws, such conflicts of interest will not harm our business, prospects and financial condition and result in the diversion of corporate opp</w:t>
      </w:r>
      <w:r>
        <w:rPr>
          <w:sz w:val="20"/>
          <w:szCs w:val="20"/>
        </w:rPr>
        <w:t>ortunities to Innoviva.</w:t>
      </w:r>
    </w:p>
    <w:p w:rsidR="00000000" w:rsidRDefault="00DE7B41">
      <w:pPr>
        <w:pStyle w:val="a3"/>
        <w:spacing w:before="0" w:beforeAutospacing="0" w:after="120" w:afterAutospacing="0"/>
        <w:divId w:val="1257710645"/>
        <w:rPr>
          <w:sz w:val="20"/>
          <w:szCs w:val="20"/>
        </w:rPr>
      </w:pPr>
      <w:r>
        <w:rPr>
          <w:b/>
          <w:bCs/>
          <w:i/>
          <w:iCs/>
          <w:sz w:val="20"/>
          <w:szCs w:val="20"/>
        </w:rPr>
        <w:t>If we are required to indemnify Innoviva or Cumberland, or if we are not able to enforce our indemnification rights against Innoviva or Cumberland, our business prospects and financial condition may be harmed.</w:t>
      </w:r>
    </w:p>
    <w:p w:rsidR="00000000" w:rsidRDefault="00DE7B41">
      <w:pPr>
        <w:pStyle w:val="a3"/>
        <w:spacing w:before="0" w:beforeAutospacing="0" w:after="0" w:afterAutospacing="0"/>
        <w:ind w:firstLine="720"/>
        <w:divId w:val="1257710645"/>
        <w:rPr>
          <w:sz w:val="20"/>
          <w:szCs w:val="20"/>
        </w:rPr>
      </w:pPr>
      <w:r>
        <w:rPr>
          <w:sz w:val="20"/>
          <w:szCs w:val="20"/>
        </w:rPr>
        <w:t>We agreed to indemnify</w:t>
      </w:r>
      <w:r>
        <w:rPr>
          <w:sz w:val="20"/>
          <w:szCs w:val="20"/>
        </w:rPr>
        <w:t xml:space="preserve"> Innoviva from and after the Spin-Off with respect to (i) all debts, liabilities and obligations transferred to us in connection with the Spin-Off (including our failure to pay, perform or otherwise promptly discharge any such debts, liabilities or obligat</w:t>
      </w:r>
      <w:r>
        <w:rPr>
          <w:sz w:val="20"/>
          <w:szCs w:val="20"/>
        </w:rPr>
        <w:t xml:space="preserve">ions after the Spin-Off), (ii) any misstatement or omission of a material fact resulting in a </w:t>
      </w:r>
    </w:p>
    <w:p w:rsidR="00000000" w:rsidRDefault="00DE7B41">
      <w:pPr>
        <w:pStyle w:val="a3"/>
        <w:spacing w:before="360" w:beforeAutospacing="0" w:after="0" w:afterAutospacing="0"/>
        <w:jc w:val="center"/>
        <w:divId w:val="379594300"/>
        <w:rPr>
          <w:sz w:val="20"/>
          <w:szCs w:val="20"/>
        </w:rPr>
      </w:pPr>
      <w:r>
        <w:rPr>
          <w:sz w:val="20"/>
          <w:szCs w:val="20"/>
        </w:rPr>
        <w:t>55</w:t>
      </w:r>
    </w:p>
    <w:p w:rsidR="00000000" w:rsidRDefault="00DE7B41">
      <w:pPr>
        <w:pStyle w:val="a3"/>
        <w:spacing w:before="0" w:beforeAutospacing="0" w:after="600" w:afterAutospacing="0"/>
        <w:divId w:val="316540165"/>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483856273"/>
        <w:rPr>
          <w:sz w:val="20"/>
          <w:szCs w:val="20"/>
        </w:rPr>
      </w:pPr>
      <w:r>
        <w:rPr>
          <w:sz w:val="20"/>
          <w:szCs w:val="20"/>
        </w:rPr>
        <w:t>misleading statement in our Information Statement distributed to Innoviva stockholders in connection with the Spin</w:t>
      </w:r>
      <w:r>
        <w:rPr>
          <w:sz w:val="20"/>
          <w:szCs w:val="20"/>
        </w:rPr>
        <w:t>-Off and (iii) any breach by us of certain agreements entered into with Innoviva in connection with the Spin-Off (namely, the Separation and Distribution Agreement, a Transition Services Agreement, an Employee Matters Agreement, a Tax Matters Agreement, an</w:t>
      </w:r>
      <w:r>
        <w:rPr>
          <w:sz w:val="20"/>
          <w:szCs w:val="20"/>
        </w:rPr>
        <w:t>d a Facility Sublease Agreement). We are not aware of any existing indemnification obligations at this time, but any such indemnification obligations that may arise could be significant. Under the terms of the Separation and Distribution Agreement, Innoviv</w:t>
      </w:r>
      <w:r>
        <w:rPr>
          <w:sz w:val="20"/>
          <w:szCs w:val="20"/>
        </w:rPr>
        <w:t>a agreed to indemnify us from and after the Spin-Off with respect to (i) all debts, liabilities and obligations retained by Innoviva after the Spin-Off (including its failure to pay, perform or otherwise promptly discharge any such debts, liabilities or ob</w:t>
      </w:r>
      <w:r>
        <w:rPr>
          <w:sz w:val="20"/>
          <w:szCs w:val="20"/>
        </w:rPr>
        <w:t>ligations after the Spin-Off) and (ii) any breach by Innoviva of the Separation and Distribution Agreement, the Transition Services Agreement, the Employee Matters Agreement, the Tax Matters Agreement, and the Facility Sublease Agreement. Our and Innoviva’</w:t>
      </w:r>
      <w:r>
        <w:rPr>
          <w:sz w:val="20"/>
          <w:szCs w:val="20"/>
        </w:rPr>
        <w:t>s ability to satisfy these indemnities, if called upon to do so, will depend upon our and Innoviva’s future financial strength. If we are required to indemnify Innoviva, or if we are not able to enforce our indemnification rights against Innoviva, our busi</w:t>
      </w:r>
      <w:r>
        <w:rPr>
          <w:sz w:val="20"/>
          <w:szCs w:val="20"/>
        </w:rPr>
        <w:t>ness prospects and financial condition may be harmed.</w:t>
      </w:r>
    </w:p>
    <w:p w:rsidR="00000000" w:rsidRDefault="00DE7B41">
      <w:pPr>
        <w:pStyle w:val="a3"/>
        <w:spacing w:before="0" w:beforeAutospacing="0" w:after="240" w:afterAutospacing="0"/>
        <w:ind w:firstLine="720"/>
        <w:divId w:val="483856273"/>
        <w:rPr>
          <w:sz w:val="20"/>
          <w:szCs w:val="20"/>
        </w:rPr>
      </w:pPr>
      <w:r>
        <w:rPr>
          <w:sz w:val="20"/>
          <w:szCs w:val="20"/>
        </w:rPr>
        <w:t>In addition, the agreement relating to the sale of VIBATIV to Cumberland contains indemnification obligations of both us and Cumberland. If we are required to indemnify Cumberland or if we are unable to enforce our indemnification rights against Cumberland</w:t>
      </w:r>
      <w:r>
        <w:rPr>
          <w:sz w:val="20"/>
          <w:szCs w:val="20"/>
        </w:rPr>
        <w:t xml:space="preserve"> for any reason, our business and financial condition may be harmed.</w:t>
      </w:r>
    </w:p>
    <w:p w:rsidR="00000000" w:rsidRDefault="00DE7B41">
      <w:pPr>
        <w:pStyle w:val="a3"/>
        <w:spacing w:before="0" w:beforeAutospacing="0" w:after="120" w:afterAutospacing="0"/>
        <w:ind w:hanging="202"/>
        <w:divId w:val="483856273"/>
        <w:rPr>
          <w:sz w:val="20"/>
          <w:szCs w:val="20"/>
        </w:rPr>
      </w:pPr>
      <w:r>
        <w:rPr>
          <w:b/>
          <w:bCs/>
          <w:sz w:val="20"/>
          <w:szCs w:val="20"/>
        </w:rPr>
        <w:t xml:space="preserve">RISKS RELATED TO LEGAL AND REGULATORY UNCERTAINTY </w:t>
      </w:r>
    </w:p>
    <w:p w:rsidR="00000000" w:rsidRDefault="00DE7B41">
      <w:pPr>
        <w:pStyle w:val="a3"/>
        <w:spacing w:before="0" w:beforeAutospacing="0" w:after="120" w:afterAutospacing="0"/>
        <w:divId w:val="483856273"/>
        <w:rPr>
          <w:sz w:val="20"/>
          <w:szCs w:val="20"/>
        </w:rPr>
      </w:pPr>
      <w:r>
        <w:rPr>
          <w:b/>
          <w:bCs/>
          <w:i/>
          <w:iCs/>
          <w:sz w:val="20"/>
          <w:szCs w:val="20"/>
        </w:rPr>
        <w:t>If our efforts to protect the proprietary nature of the intellectual property related to our technologies are not adequate, we may not b</w:t>
      </w:r>
      <w:r>
        <w:rPr>
          <w:b/>
          <w:bCs/>
          <w:i/>
          <w:iCs/>
          <w:sz w:val="20"/>
          <w:szCs w:val="20"/>
        </w:rPr>
        <w:t>e able to compete effectively in our current or future markets.</w:t>
      </w:r>
    </w:p>
    <w:p w:rsidR="00000000" w:rsidRDefault="00DE7B41">
      <w:pPr>
        <w:pStyle w:val="a3"/>
        <w:spacing w:before="0" w:beforeAutospacing="0" w:after="160" w:afterAutospacing="0"/>
        <w:ind w:firstLine="720"/>
        <w:divId w:val="483856273"/>
        <w:rPr>
          <w:sz w:val="20"/>
          <w:szCs w:val="20"/>
        </w:rPr>
      </w:pPr>
      <w:r>
        <w:rPr>
          <w:sz w:val="20"/>
          <w:szCs w:val="20"/>
        </w:rPr>
        <w:t>We rely upon a combination of patents, patent applications, trade secret protection and confidentiality agreements to protect the intellectual property related to our technologies. Any involun</w:t>
      </w:r>
      <w:r>
        <w:rPr>
          <w:sz w:val="20"/>
          <w:szCs w:val="20"/>
        </w:rPr>
        <w:t>tary disclosure to or misappropriation by third parties of this proprietary information could enable competitors to quickly duplicate or surpass our technological achievements, thus eroding our competitive position in our market. The status of patents in t</w:t>
      </w:r>
      <w:r>
        <w:rPr>
          <w:sz w:val="20"/>
          <w:szCs w:val="20"/>
        </w:rPr>
        <w:t>he biotechnology and pharmaceutical field involves complex legal and scientific questions and is very uncertain. As of March 31, 2020, we owned 456 issued US patents and 1,720 granted foreign patents, as well as additional pending US and foreign patent app</w:t>
      </w:r>
      <w:r>
        <w:rPr>
          <w:sz w:val="20"/>
          <w:szCs w:val="20"/>
        </w:rPr>
        <w:t>lications. Our patent applications may be challenged or fail to result in issued patents and our existing or future patents may be invalidated or be too narrow to prevent third parties from developing or designing around these patents. If the sufficiency o</w:t>
      </w:r>
      <w:r>
        <w:rPr>
          <w:sz w:val="20"/>
          <w:szCs w:val="20"/>
        </w:rPr>
        <w:t>f the breadth or strength of protection provided by our patents with respect to a product candidate is threatened, it could dissuade companies from collaborating with us to develop product candidates and threaten our ability to commercialize products. Furt</w:t>
      </w:r>
      <w:r>
        <w:rPr>
          <w:sz w:val="20"/>
          <w:szCs w:val="20"/>
        </w:rPr>
        <w:t>her, if we encounter delays in our clinical trials or in obtaining regulatory approval of our product candidates, the patent lives of the related product candidates would be reduced.</w:t>
      </w:r>
    </w:p>
    <w:p w:rsidR="00000000" w:rsidRDefault="00DE7B41">
      <w:pPr>
        <w:pStyle w:val="a3"/>
        <w:spacing w:before="0" w:beforeAutospacing="0" w:after="240" w:afterAutospacing="0"/>
        <w:ind w:firstLine="720"/>
        <w:divId w:val="483856273"/>
        <w:rPr>
          <w:sz w:val="20"/>
          <w:szCs w:val="20"/>
        </w:rPr>
      </w:pPr>
      <w:r>
        <w:rPr>
          <w:sz w:val="20"/>
          <w:szCs w:val="20"/>
        </w:rPr>
        <w:t>In addition, we rely on trade secret protection and confidentiality agree</w:t>
      </w:r>
      <w:r>
        <w:rPr>
          <w:sz w:val="20"/>
          <w:szCs w:val="20"/>
        </w:rPr>
        <w:t xml:space="preserve">ments to protect proprietary know-how that is not patentable, for processes for which patents are difficult to enforce and for any other elements of our drug discovery and development processes that involve proprietary know-how, information and technology </w:t>
      </w:r>
      <w:r>
        <w:rPr>
          <w:sz w:val="20"/>
          <w:szCs w:val="20"/>
        </w:rPr>
        <w:t>that is not covered by patent applications. Although we require our employees, consultants, advisors and any third parties who have access to our proprietary know-how, information and technology to enter into confidentiality agreements, we cannot be certai</w:t>
      </w:r>
      <w:r>
        <w:rPr>
          <w:sz w:val="20"/>
          <w:szCs w:val="20"/>
        </w:rPr>
        <w:t xml:space="preserve">n that this know-how, information and technology will not be misappropriated, disclosed or used for unauthorized purposes or that competitors will not otherwise gain access to our trade secrets or independently develop substantially equivalent information </w:t>
      </w:r>
      <w:r>
        <w:rPr>
          <w:sz w:val="20"/>
          <w:szCs w:val="20"/>
        </w:rPr>
        <w:t xml:space="preserve">and techniques. Further, the laws of some foreign countries do not protect proprietary rights to the same extent as the laws of the US. As a result, we may encounter significant problems in protecting and defending our intellectual property both in the US </w:t>
      </w:r>
      <w:r>
        <w:rPr>
          <w:sz w:val="20"/>
          <w:szCs w:val="20"/>
        </w:rPr>
        <w:t>and abroad. If we are unable to prevent material disclosure of the intellectual property related to our technologies to third parties, we will not be able to establish or, if established, maintain a competitive advantage in our market, which could material</w:t>
      </w:r>
      <w:r>
        <w:rPr>
          <w:sz w:val="20"/>
          <w:szCs w:val="20"/>
        </w:rPr>
        <w:t>ly adversely affect our business, financial condition and results of operations, which could cause the price of our securities to fall.</w:t>
      </w:r>
    </w:p>
    <w:p w:rsidR="00000000" w:rsidRDefault="00DE7B41">
      <w:pPr>
        <w:pStyle w:val="a3"/>
        <w:spacing w:before="0" w:beforeAutospacing="0" w:after="120" w:afterAutospacing="0"/>
        <w:divId w:val="483856273"/>
        <w:rPr>
          <w:sz w:val="20"/>
          <w:szCs w:val="20"/>
        </w:rPr>
      </w:pPr>
      <w:r>
        <w:rPr>
          <w:b/>
          <w:bCs/>
          <w:i/>
          <w:iCs/>
          <w:sz w:val="20"/>
          <w:szCs w:val="20"/>
        </w:rPr>
        <w:t>Litigation to protect or defend our intellectual property or third-party claims of intellectual property infringement wo</w:t>
      </w:r>
      <w:r>
        <w:rPr>
          <w:b/>
          <w:bCs/>
          <w:i/>
          <w:iCs/>
          <w:sz w:val="20"/>
          <w:szCs w:val="20"/>
        </w:rPr>
        <w:t>uld require us to divert resources and may prevent or delay our drug discovery and development efforts.</w:t>
      </w:r>
    </w:p>
    <w:p w:rsidR="00000000" w:rsidRDefault="00DE7B41">
      <w:pPr>
        <w:pStyle w:val="a3"/>
        <w:spacing w:before="0" w:beforeAutospacing="0" w:after="0" w:afterAutospacing="0"/>
        <w:ind w:firstLine="720"/>
        <w:divId w:val="483856273"/>
        <w:rPr>
          <w:sz w:val="20"/>
          <w:szCs w:val="20"/>
        </w:rPr>
      </w:pPr>
      <w:r>
        <w:rPr>
          <w:sz w:val="20"/>
          <w:szCs w:val="20"/>
        </w:rPr>
        <w:t>Our commercial success depends in part on us and our partners not infringing the patents and proprietary rights of third parties. Third parties may asse</w:t>
      </w:r>
      <w:r>
        <w:rPr>
          <w:sz w:val="20"/>
          <w:szCs w:val="20"/>
        </w:rPr>
        <w:t xml:space="preserve">rt that we or our partners are using their proprietary rights without authorization. There are third-party patents that may cover materials or methods for treatment related to our product candidates. At present, we are not aware of any patent infringement </w:t>
      </w:r>
      <w:r>
        <w:rPr>
          <w:sz w:val="20"/>
          <w:szCs w:val="20"/>
        </w:rPr>
        <w:t xml:space="preserve">claims with merit that would adversely and materially affect our ability to develop our </w:t>
      </w:r>
    </w:p>
    <w:p w:rsidR="00000000" w:rsidRDefault="00DE7B41">
      <w:pPr>
        <w:pStyle w:val="a3"/>
        <w:spacing w:before="360" w:beforeAutospacing="0" w:after="0" w:afterAutospacing="0"/>
        <w:jc w:val="center"/>
        <w:divId w:val="675422368"/>
        <w:rPr>
          <w:sz w:val="20"/>
          <w:szCs w:val="20"/>
        </w:rPr>
      </w:pPr>
      <w:r>
        <w:rPr>
          <w:sz w:val="20"/>
          <w:szCs w:val="20"/>
        </w:rPr>
        <w:t>56</w:t>
      </w:r>
    </w:p>
    <w:p w:rsidR="00000000" w:rsidRDefault="00DE7B41">
      <w:pPr>
        <w:pStyle w:val="a3"/>
        <w:spacing w:before="0" w:beforeAutospacing="0" w:after="600" w:afterAutospacing="0"/>
        <w:divId w:val="1384981063"/>
        <w:rPr>
          <w:sz w:val="20"/>
          <w:szCs w:val="20"/>
        </w:rPr>
      </w:pPr>
      <w:hyperlink w:anchor="TOC" w:history="1">
        <w:r>
          <w:rPr>
            <w:rStyle w:val="a4"/>
            <w:sz w:val="20"/>
            <w:szCs w:val="20"/>
          </w:rPr>
          <w:t>Table of Contents</w:t>
        </w:r>
      </w:hyperlink>
    </w:p>
    <w:p w:rsidR="00000000" w:rsidRDefault="00DE7B41">
      <w:pPr>
        <w:pStyle w:val="a3"/>
        <w:spacing w:before="0" w:beforeAutospacing="0" w:after="160" w:afterAutospacing="0"/>
        <w:divId w:val="90665371"/>
        <w:rPr>
          <w:sz w:val="20"/>
          <w:szCs w:val="20"/>
        </w:rPr>
      </w:pPr>
      <w:r>
        <w:rPr>
          <w:sz w:val="20"/>
          <w:szCs w:val="20"/>
        </w:rPr>
        <w:t xml:space="preserve">product candidates, but nevertheless the possibility of third-party allegations cannot be ruled out. In addition, third </w:t>
      </w:r>
      <w:r>
        <w:rPr>
          <w:sz w:val="20"/>
          <w:szCs w:val="20"/>
        </w:rPr>
        <w:t>parties may obtain patents in the future and claim that use of our technologies infringes upon these patents. Furthermore, parties making claims against us or our partners may obtain injunctive or other equitable relief, which could effectively block our a</w:t>
      </w:r>
      <w:r>
        <w:rPr>
          <w:sz w:val="20"/>
          <w:szCs w:val="20"/>
        </w:rPr>
        <w:t>bility to further develop and commercialize one or more of our product candidates. Defense against these claims, regardless of their merit, would involve substantial litigation expense and would be a substantial diversion of employee resources from our bus</w:t>
      </w:r>
      <w:r>
        <w:rPr>
          <w:sz w:val="20"/>
          <w:szCs w:val="20"/>
        </w:rPr>
        <w:t>iness.</w:t>
      </w:r>
    </w:p>
    <w:p w:rsidR="00000000" w:rsidRDefault="00DE7B41">
      <w:pPr>
        <w:pStyle w:val="a3"/>
        <w:spacing w:before="0" w:beforeAutospacing="0" w:after="160" w:afterAutospacing="0"/>
        <w:ind w:firstLine="720"/>
        <w:divId w:val="90665371"/>
        <w:rPr>
          <w:sz w:val="20"/>
          <w:szCs w:val="20"/>
        </w:rPr>
      </w:pPr>
      <w:r>
        <w:rPr>
          <w:sz w:val="20"/>
          <w:szCs w:val="20"/>
        </w:rPr>
        <w:t>In the event of a successful claim of infringement against us, we may have to pay substantial damages, obtain one or more licenses from third parties or pay royalties. In addition, even in the absence of litigation, we may need to obtain licenses fr</w:t>
      </w:r>
      <w:r>
        <w:rPr>
          <w:sz w:val="20"/>
          <w:szCs w:val="20"/>
        </w:rPr>
        <w:t>om third parties to advance our research or allow commercialization of our product candidates, and we have done so from time to time. We may fail to obtain any of these licenses at a reasonable cost or on reasonable terms, if at all. In that event, we woul</w:t>
      </w:r>
      <w:r>
        <w:rPr>
          <w:sz w:val="20"/>
          <w:szCs w:val="20"/>
        </w:rPr>
        <w:t>d be unable to further develop and commercialize one or more of our product candidates, which could harm our business significantly.</w:t>
      </w:r>
    </w:p>
    <w:p w:rsidR="00000000" w:rsidRDefault="00DE7B41">
      <w:pPr>
        <w:pStyle w:val="a3"/>
        <w:spacing w:before="0" w:beforeAutospacing="0" w:after="240" w:afterAutospacing="0"/>
        <w:ind w:firstLine="720"/>
        <w:divId w:val="90665371"/>
        <w:rPr>
          <w:sz w:val="20"/>
          <w:szCs w:val="20"/>
        </w:rPr>
      </w:pPr>
      <w:r>
        <w:rPr>
          <w:sz w:val="20"/>
          <w:szCs w:val="20"/>
        </w:rPr>
        <w:t>In addition, in the future we could be required to initiate litigation to enforce our proprietary rights against infringeme</w:t>
      </w:r>
      <w:r>
        <w:rPr>
          <w:sz w:val="20"/>
          <w:szCs w:val="20"/>
        </w:rPr>
        <w:t xml:space="preserve">nt by third parties, prevent the unauthorized use or disclosure of our trade secrets and confidential information, or defend the validity of our patents. For example, in 2017, we filed a lawsuit against a former employee for misappropriation of certain of </w:t>
      </w:r>
      <w:r>
        <w:rPr>
          <w:sz w:val="20"/>
          <w:szCs w:val="20"/>
        </w:rPr>
        <w:t>our confidential, proprietary and trade secret information. While this litigation has since been resolved, prosecution of claims to enforce or defend our rights against others involve substantial litigation expenses and divert substantial employee resource</w:t>
      </w:r>
      <w:r>
        <w:rPr>
          <w:sz w:val="20"/>
          <w:szCs w:val="20"/>
        </w:rPr>
        <w:t>s from our business but may not result in adequate remedy to us or sufficiently mitigate the harm to our business caused by any intellectual property infringement, unauthorized access, use or disclosure of trade secrets. If we fail to effectively enforce o</w:t>
      </w:r>
      <w:r>
        <w:rPr>
          <w:sz w:val="20"/>
          <w:szCs w:val="20"/>
        </w:rPr>
        <w:t>ur proprietary rights against others, our business will be harmed and the price of our securities could fall.</w:t>
      </w:r>
    </w:p>
    <w:p w:rsidR="00000000" w:rsidRDefault="00DE7B41">
      <w:pPr>
        <w:pStyle w:val="a3"/>
        <w:spacing w:before="0" w:beforeAutospacing="0" w:after="120" w:afterAutospacing="0"/>
        <w:divId w:val="90665371"/>
        <w:rPr>
          <w:sz w:val="20"/>
          <w:szCs w:val="20"/>
        </w:rPr>
      </w:pPr>
      <w:r>
        <w:rPr>
          <w:b/>
          <w:bCs/>
          <w:i/>
          <w:iCs/>
          <w:sz w:val="20"/>
          <w:szCs w:val="20"/>
        </w:rPr>
        <w:t>If the efforts of our partners or future partners to protect the proprietary nature of the intellectual property related to collaboration assets a</w:t>
      </w:r>
      <w:r>
        <w:rPr>
          <w:b/>
          <w:bCs/>
          <w:i/>
          <w:iCs/>
          <w:sz w:val="20"/>
          <w:szCs w:val="20"/>
        </w:rPr>
        <w:t>re not adequate, the future commercialization of any medicines resulting from collaborations could be delayed or prevented, which would materially harm our business and could cause the price of our securities to fall.</w:t>
      </w:r>
    </w:p>
    <w:p w:rsidR="00000000" w:rsidRDefault="00DE7B41">
      <w:pPr>
        <w:pStyle w:val="a3"/>
        <w:spacing w:before="0" w:beforeAutospacing="0" w:after="240" w:afterAutospacing="0"/>
        <w:ind w:firstLine="720"/>
        <w:divId w:val="90665371"/>
        <w:rPr>
          <w:sz w:val="20"/>
          <w:szCs w:val="20"/>
        </w:rPr>
      </w:pPr>
      <w:r>
        <w:rPr>
          <w:sz w:val="20"/>
          <w:szCs w:val="20"/>
        </w:rPr>
        <w:t>The risks identified in the two preced</w:t>
      </w:r>
      <w:r>
        <w:rPr>
          <w:sz w:val="20"/>
          <w:szCs w:val="20"/>
        </w:rPr>
        <w:t>ing risk factors may also apply to the intellectual property protection efforts of our partners or future partners and to GSK with respect to the GSK-Partnered Respiratory Programs in which we hold an economic interest. To the extent the intellectual prope</w:t>
      </w:r>
      <w:r>
        <w:rPr>
          <w:sz w:val="20"/>
          <w:szCs w:val="20"/>
        </w:rPr>
        <w:t>rty protection of any partnered assets are successfully challenged or encounter problems with the US Patent and Trademark Office or other comparable agencies throughout the world, the future commercialization of these potential medicines could be delayed o</w:t>
      </w:r>
      <w:r>
        <w:rPr>
          <w:sz w:val="20"/>
          <w:szCs w:val="20"/>
        </w:rPr>
        <w:t>r prevented. Any challenge to the intellectual property protection of a late-stage development asset, particularly those of the GSK-Partnered Respiratory Programs in which we hold an economic interest, could harm our business and cause the price of our sec</w:t>
      </w:r>
      <w:r>
        <w:rPr>
          <w:sz w:val="20"/>
          <w:szCs w:val="20"/>
        </w:rPr>
        <w:t>urities to fall.</w:t>
      </w:r>
    </w:p>
    <w:p w:rsidR="00000000" w:rsidRDefault="00DE7B41">
      <w:pPr>
        <w:pStyle w:val="a3"/>
        <w:spacing w:before="0" w:beforeAutospacing="0" w:after="120" w:afterAutospacing="0"/>
        <w:divId w:val="90665371"/>
        <w:rPr>
          <w:sz w:val="20"/>
          <w:szCs w:val="20"/>
        </w:rPr>
      </w:pPr>
      <w:r>
        <w:rPr>
          <w:b/>
          <w:bCs/>
          <w:i/>
          <w:iCs/>
          <w:sz w:val="20"/>
          <w:szCs w:val="20"/>
        </w:rPr>
        <w:t>Product liability and other lawsuits could divert our resources, result in substantial liabilities and reduce the commercial potential of our medicines.</w:t>
      </w:r>
    </w:p>
    <w:p w:rsidR="00000000" w:rsidRDefault="00DE7B41">
      <w:pPr>
        <w:pStyle w:val="a3"/>
        <w:spacing w:before="0" w:beforeAutospacing="0" w:after="240" w:afterAutospacing="0"/>
        <w:ind w:firstLine="720"/>
        <w:divId w:val="90665371"/>
        <w:rPr>
          <w:sz w:val="20"/>
          <w:szCs w:val="20"/>
        </w:rPr>
      </w:pPr>
      <w:r>
        <w:rPr>
          <w:sz w:val="20"/>
          <w:szCs w:val="20"/>
        </w:rPr>
        <w:t>The risk that we may be sued on product liability claims is inherent in the developmen</w:t>
      </w:r>
      <w:r>
        <w:rPr>
          <w:sz w:val="20"/>
          <w:szCs w:val="20"/>
        </w:rPr>
        <w:t xml:space="preserve">t and commercialization of pharmaceutical products. Side effects of, or manufacturing defects in, products that we or our partners develop or commercialize could result in the deterioration of a patient’s condition, injury or even death. Once a product is </w:t>
      </w:r>
      <w:r>
        <w:rPr>
          <w:sz w:val="20"/>
          <w:szCs w:val="20"/>
        </w:rPr>
        <w:t>approved for sale and commercialized, the likelihood of product liability lawsuits tends to increase. Claims may be brought by individuals seeking relief for themselves or by individuals or groups seeking to represent a class, asserting injuries based both</w:t>
      </w:r>
      <w:r>
        <w:rPr>
          <w:sz w:val="20"/>
          <w:szCs w:val="20"/>
        </w:rPr>
        <w:t xml:space="preserve"> on potential adverse effects described in the label as well as adverse events not yet observed. We also face an inherent risk of product liability exposure related to the testing of our product candidates in human clinical trials. In addition, changes in </w:t>
      </w:r>
      <w:r>
        <w:rPr>
          <w:sz w:val="20"/>
          <w:szCs w:val="20"/>
        </w:rPr>
        <w:t>laws outside the US are expanding our potential liability for injuries that occur during clinical trials. Product liability claims could harm our reputation, regardless of the merit or ultimate success of the claim, which may adversely affect our and our p</w:t>
      </w:r>
      <w:r>
        <w:rPr>
          <w:sz w:val="20"/>
          <w:szCs w:val="20"/>
        </w:rPr>
        <w:t>artners’ ability to commercialize our products and cause the price of our securities to fall. These lawsuits may divert our management from pursuing our business strategy and may be costly to defend. In addition, if we are held liable in any of these lawsu</w:t>
      </w:r>
      <w:r>
        <w:rPr>
          <w:sz w:val="20"/>
          <w:szCs w:val="20"/>
        </w:rPr>
        <w:t>its, we may incur substantial liabilities and may be forced to limit or forgo further commercialization of the applicable products.</w:t>
      </w:r>
    </w:p>
    <w:p w:rsidR="00000000" w:rsidRDefault="00DE7B41">
      <w:pPr>
        <w:pStyle w:val="a3"/>
        <w:spacing w:before="0" w:beforeAutospacing="0" w:after="0" w:afterAutospacing="0"/>
        <w:ind w:firstLine="720"/>
        <w:divId w:val="90665371"/>
        <w:rPr>
          <w:sz w:val="20"/>
          <w:szCs w:val="20"/>
        </w:rPr>
      </w:pPr>
      <w:r>
        <w:rPr>
          <w:sz w:val="20"/>
          <w:szCs w:val="20"/>
        </w:rPr>
        <w:t>Although we maintain general liability and product liability insurance, this insurance may not fully cover potential liabili</w:t>
      </w:r>
      <w:r>
        <w:rPr>
          <w:sz w:val="20"/>
          <w:szCs w:val="20"/>
        </w:rPr>
        <w:t xml:space="preserve">ties and we cannot be sure that our insurer will not disclaim coverage as to a future claim. In addition, inability to obtain or maintain sufficient insurance coverage at an acceptable cost or to otherwise protect against potential product </w:t>
      </w:r>
    </w:p>
    <w:p w:rsidR="00000000" w:rsidRDefault="00DE7B41">
      <w:pPr>
        <w:pStyle w:val="a3"/>
        <w:spacing w:before="360" w:beforeAutospacing="0" w:after="0" w:afterAutospacing="0"/>
        <w:jc w:val="center"/>
        <w:divId w:val="1824275001"/>
        <w:rPr>
          <w:sz w:val="20"/>
          <w:szCs w:val="20"/>
        </w:rPr>
      </w:pPr>
      <w:r>
        <w:rPr>
          <w:sz w:val="20"/>
          <w:szCs w:val="20"/>
        </w:rPr>
        <w:t>57</w:t>
      </w:r>
    </w:p>
    <w:p w:rsidR="00000000" w:rsidRDefault="00DE7B41">
      <w:pPr>
        <w:pStyle w:val="a3"/>
        <w:spacing w:before="0" w:beforeAutospacing="0" w:after="600" w:afterAutospacing="0"/>
        <w:divId w:val="1066102090"/>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1773747924"/>
        <w:rPr>
          <w:sz w:val="20"/>
          <w:szCs w:val="20"/>
        </w:rPr>
      </w:pPr>
      <w:r>
        <w:rPr>
          <w:sz w:val="20"/>
          <w:szCs w:val="20"/>
        </w:rPr>
        <w:t>liability claims could prevent or inhibit the commercial production and sale of our products, which could adversely affect our business.</w:t>
      </w:r>
    </w:p>
    <w:p w:rsidR="00000000" w:rsidRDefault="00DE7B41">
      <w:pPr>
        <w:pStyle w:val="a3"/>
        <w:spacing w:before="0" w:beforeAutospacing="0" w:after="240" w:afterAutospacing="0"/>
        <w:ind w:firstLine="720"/>
        <w:divId w:val="1773747924"/>
        <w:rPr>
          <w:sz w:val="20"/>
          <w:szCs w:val="20"/>
        </w:rPr>
      </w:pPr>
      <w:r>
        <w:rPr>
          <w:sz w:val="20"/>
          <w:szCs w:val="20"/>
        </w:rPr>
        <w:t>We may also be required to prosecute or defend general commercial, intellec</w:t>
      </w:r>
      <w:r>
        <w:rPr>
          <w:sz w:val="20"/>
          <w:szCs w:val="20"/>
        </w:rPr>
        <w:t>tual property, securities and other lawsuits. Litigation typically involves substantial expenses and diverts substantial employee resources from our business. The cost of defending any product liability litigation or engaging in any other legal proceeding,</w:t>
      </w:r>
      <w:r>
        <w:rPr>
          <w:sz w:val="20"/>
          <w:szCs w:val="20"/>
        </w:rPr>
        <w:t xml:space="preserve"> even if resolved in our favor, could be substantial and uncertainties resulting from the initiation and continuation of the litigation or other proceedings could have a material adverse effect on our ability to compete in the marketplace and achieve our b</w:t>
      </w:r>
      <w:r>
        <w:rPr>
          <w:sz w:val="20"/>
          <w:szCs w:val="20"/>
        </w:rPr>
        <w:t>usiness goals.</w:t>
      </w:r>
    </w:p>
    <w:p w:rsidR="00000000" w:rsidRDefault="00DE7B41">
      <w:pPr>
        <w:pStyle w:val="a3"/>
        <w:spacing w:before="0" w:beforeAutospacing="0" w:after="120" w:afterAutospacing="0"/>
        <w:divId w:val="1773747924"/>
        <w:rPr>
          <w:sz w:val="20"/>
          <w:szCs w:val="20"/>
        </w:rPr>
      </w:pPr>
      <w:r>
        <w:rPr>
          <w:b/>
          <w:bCs/>
          <w:i/>
          <w:iCs/>
          <w:sz w:val="20"/>
          <w:szCs w:val="20"/>
        </w:rPr>
        <w:t>If we fail to comply with data protection laws and regulations, we could be subject to government enforcement actions (which could include civil or criminal penalties), private litigation and/or adverse publicity, which could negatively affe</w:t>
      </w:r>
      <w:r>
        <w:rPr>
          <w:b/>
          <w:bCs/>
          <w:i/>
          <w:iCs/>
          <w:sz w:val="20"/>
          <w:szCs w:val="20"/>
        </w:rPr>
        <w:t>ct our operating results and business.</w:t>
      </w:r>
    </w:p>
    <w:p w:rsidR="00000000" w:rsidRDefault="00DE7B41">
      <w:pPr>
        <w:pStyle w:val="a3"/>
        <w:spacing w:before="0" w:beforeAutospacing="0" w:after="180" w:afterAutospacing="0"/>
        <w:ind w:firstLine="720"/>
        <w:divId w:val="1773747924"/>
        <w:rPr>
          <w:sz w:val="20"/>
          <w:szCs w:val="20"/>
        </w:rPr>
      </w:pPr>
      <w:r>
        <w:rPr>
          <w:sz w:val="20"/>
          <w:szCs w:val="20"/>
        </w:rPr>
        <w:t>We are subject to data protection laws and regulations (i.e., </w:t>
      </w:r>
      <w:r>
        <w:rPr>
          <w:sz w:val="20"/>
          <w:szCs w:val="20"/>
        </w:rPr>
        <w:t>laws and regulations that address privacy and data security). In the US, numerous federal and state laws and regulations, including state data breach notification laws, state health information privacy laws, and federal and state consumer protection laws (</w:t>
      </w:r>
      <w:r>
        <w:rPr>
          <w:sz w:val="20"/>
          <w:szCs w:val="20"/>
        </w:rPr>
        <w:t>e.g., Section 5 of the FTC Act), govern the collection, use, disclosure, and protection of health-related and other personal information. In California, the California Consumer Privacy Act (“CCPA”) took effect on January 1, 2020. The CCPA establishes certa</w:t>
      </w:r>
      <w:r>
        <w:rPr>
          <w:sz w:val="20"/>
          <w:szCs w:val="20"/>
        </w:rPr>
        <w:t>in requirements for data use and sharing transparency and creates new data privacy rights for consumers. These laws and regulations are evolving and subject to interpretation and may impose limitations on our activities or otherwise adversely affect our bu</w:t>
      </w:r>
      <w:r>
        <w:rPr>
          <w:sz w:val="20"/>
          <w:szCs w:val="20"/>
        </w:rPr>
        <w:t>siness. Failure to comply with data protection laws and regulations could result in government enforcement actions and create liability for us (which could include civil and/or criminal penalties), private litigation and/or adverse publicity that could neg</w:t>
      </w:r>
      <w:r>
        <w:rPr>
          <w:sz w:val="20"/>
          <w:szCs w:val="20"/>
        </w:rPr>
        <w:t>atively affect our operating results and business. In addition, we may obtain health information from third parties (e.g., healthcare providers who prescribe our products) that are subject to privacy and security requirements under the Health Insurance Por</w:t>
      </w:r>
      <w:r>
        <w:rPr>
          <w:sz w:val="20"/>
          <w:szCs w:val="20"/>
        </w:rPr>
        <w:t>tability and Accountability Act of 1996, as amended by the Health Information Technology for Economic and Clinical Health Act (“HIPAA”). Although we are not directly subject to HIPAA—other than with respect to providing certain employee benefits—we could b</w:t>
      </w:r>
      <w:r>
        <w:rPr>
          <w:sz w:val="20"/>
          <w:szCs w:val="20"/>
        </w:rPr>
        <w:t>e subject to criminal penalties if we knowingly obtain or disclose individually identifiable health information maintained by a HIPAA-covered entity in a manner that is not authorized or permitted by HIPAA. HIPAA generally requires that healthcare provider</w:t>
      </w:r>
      <w:r>
        <w:rPr>
          <w:sz w:val="20"/>
          <w:szCs w:val="20"/>
        </w:rPr>
        <w:t>s and other covered entities obtain written authorizations from patients prior to disclosing protected health information of the patient (unless an exception to the authorization requirement applies). If authorization is required and the patient fails to e</w:t>
      </w:r>
      <w:r>
        <w:rPr>
          <w:sz w:val="20"/>
          <w:szCs w:val="20"/>
        </w:rPr>
        <w:t>xecute an authorization or the authorization fails to contain all required provisions, then we may not be allowed access to and use of the patient’s information and our research efforts could be impaired or delayed. Furthermore, use of protected health inf</w:t>
      </w:r>
      <w:r>
        <w:rPr>
          <w:sz w:val="20"/>
          <w:szCs w:val="20"/>
        </w:rPr>
        <w:t>ormation that is provided to us pursuant to a valid patient authorization is subject to the limits set forth in the authorization (e.g., for use in research and in submissions to regulatory authorities for product approvals). In addition, HIPAA does not re</w:t>
      </w:r>
      <w:r>
        <w:rPr>
          <w:sz w:val="20"/>
          <w:szCs w:val="20"/>
        </w:rPr>
        <w:t>place federal, state, international or other laws that may grant individuals even greater privacy protections.</w:t>
      </w:r>
    </w:p>
    <w:p w:rsidR="00000000" w:rsidRDefault="00DE7B41">
      <w:pPr>
        <w:pStyle w:val="a3"/>
        <w:spacing w:before="0" w:beforeAutospacing="0" w:after="180" w:afterAutospacing="0"/>
        <w:ind w:firstLine="720"/>
        <w:divId w:val="1773747924"/>
        <w:rPr>
          <w:sz w:val="20"/>
          <w:szCs w:val="20"/>
        </w:rPr>
      </w:pPr>
      <w:r>
        <w:rPr>
          <w:sz w:val="20"/>
          <w:szCs w:val="20"/>
        </w:rPr>
        <w:t xml:space="preserve">EU Member States and other jurisdictions where we operate have adopted data protection laws and regulations, which impose significant compliance </w:t>
      </w:r>
      <w:r>
        <w:rPr>
          <w:sz w:val="20"/>
          <w:szCs w:val="20"/>
        </w:rPr>
        <w:t>obligations. For example, the General Data Protection Regulation (“GDPR”) which became applicable on May 25, 2018, replacing the EU Data Protection Directive, imposes strict obligations and restrictions on the ability to collect, analyze and transfer perso</w:t>
      </w:r>
      <w:r>
        <w:rPr>
          <w:sz w:val="20"/>
          <w:szCs w:val="20"/>
        </w:rPr>
        <w:t>nal data, including health data from clinical trials and adverse event reporting.</w:t>
      </w:r>
    </w:p>
    <w:p w:rsidR="00000000" w:rsidRDefault="00DE7B41">
      <w:pPr>
        <w:pStyle w:val="a3"/>
        <w:spacing w:before="0" w:beforeAutospacing="0" w:after="180" w:afterAutospacing="0"/>
        <w:ind w:firstLine="720"/>
        <w:divId w:val="1773747924"/>
        <w:rPr>
          <w:sz w:val="20"/>
          <w:szCs w:val="20"/>
        </w:rPr>
      </w:pPr>
      <w:r>
        <w:rPr>
          <w:sz w:val="20"/>
          <w:szCs w:val="20"/>
        </w:rPr>
        <w:t>Switzerland has adopted laws that impose restrictions and obligations similar to the GDPR. These obligations and restrictions concern, in particular, the consent of the indiv</w:t>
      </w:r>
      <w:r>
        <w:rPr>
          <w:sz w:val="20"/>
          <w:szCs w:val="20"/>
        </w:rPr>
        <w:t xml:space="preserve">iduals to whom the personal data relate, the information provided to the individuals, the transfer of personal data out of the European Economic Area (“EEA”) or Switzerland, security breach notifications, security and confidentiality of the personal data, </w:t>
      </w:r>
      <w:r>
        <w:rPr>
          <w:sz w:val="20"/>
          <w:szCs w:val="20"/>
        </w:rPr>
        <w:t>as well as substantial potential fines for breaches of the data protection obligations. Data protection authorities from the different EU Member States may interpret the GDPR and applicable related national laws differently and impose requirements addition</w:t>
      </w:r>
      <w:r>
        <w:rPr>
          <w:sz w:val="20"/>
          <w:szCs w:val="20"/>
        </w:rPr>
        <w:t>al to those provided in the GDPR. In addition, guidance on implementation and compliance practices may be updated or otherwise revised, which adds to the complexity of processing personal data in the EU. When processing personal data of subjects in the EU,</w:t>
      </w:r>
      <w:r>
        <w:rPr>
          <w:sz w:val="20"/>
          <w:szCs w:val="20"/>
        </w:rPr>
        <w:t xml:space="preserve"> we have to comply with the applicable data protection laws. In particular, as we rely on services providers processing personal data of subjects in the EU, we have to enter into suitable contract terms with such providers and receive sufficient guarantees</w:t>
      </w:r>
      <w:r>
        <w:rPr>
          <w:sz w:val="20"/>
          <w:szCs w:val="20"/>
        </w:rPr>
        <w:t xml:space="preserve"> that such providers meet the requirements of the applicable data protection laws, particularly the GDPR which imposes specific and relevant obligations.</w:t>
      </w:r>
    </w:p>
    <w:p w:rsidR="00000000" w:rsidRDefault="00DE7B41">
      <w:pPr>
        <w:pStyle w:val="a3"/>
        <w:spacing w:before="360" w:beforeAutospacing="0" w:after="0" w:afterAutospacing="0"/>
        <w:jc w:val="center"/>
        <w:divId w:val="1431001976"/>
        <w:rPr>
          <w:sz w:val="20"/>
          <w:szCs w:val="20"/>
        </w:rPr>
      </w:pPr>
      <w:r>
        <w:rPr>
          <w:sz w:val="20"/>
          <w:szCs w:val="20"/>
        </w:rPr>
        <w:t>58</w:t>
      </w:r>
    </w:p>
    <w:p w:rsidR="00000000" w:rsidRDefault="00DE7B41">
      <w:pPr>
        <w:pStyle w:val="a3"/>
        <w:spacing w:before="0" w:beforeAutospacing="0" w:after="600" w:afterAutospacing="0"/>
        <w:divId w:val="1387097633"/>
        <w:rPr>
          <w:sz w:val="20"/>
          <w:szCs w:val="20"/>
        </w:rPr>
      </w:pPr>
      <w:hyperlink w:anchor="TOC" w:history="1">
        <w:r>
          <w:rPr>
            <w:rStyle w:val="a4"/>
            <w:sz w:val="20"/>
            <w:szCs w:val="20"/>
          </w:rPr>
          <w:t>Table of Contents</w:t>
        </w:r>
      </w:hyperlink>
    </w:p>
    <w:p w:rsidR="00000000" w:rsidRDefault="00DE7B41">
      <w:pPr>
        <w:pStyle w:val="a3"/>
        <w:spacing w:before="0" w:beforeAutospacing="0" w:after="180" w:afterAutospacing="0"/>
        <w:ind w:firstLine="720"/>
        <w:divId w:val="1838962540"/>
        <w:rPr>
          <w:sz w:val="20"/>
          <w:szCs w:val="20"/>
        </w:rPr>
      </w:pPr>
      <w:r>
        <w:rPr>
          <w:sz w:val="20"/>
          <w:szCs w:val="20"/>
        </w:rPr>
        <w:t xml:space="preserve">Legal mechanisms to allow for the transfer of personal </w:t>
      </w:r>
      <w:r>
        <w:rPr>
          <w:sz w:val="20"/>
          <w:szCs w:val="20"/>
        </w:rPr>
        <w:t>data from the EEA to the US have been challenged in the European Court of Justice, which generally increases uncertainty around compliance with EU privacy law requirements as these relate to transfer of data from the EU to the US. In 2016, the European Com</w:t>
      </w:r>
      <w:r>
        <w:rPr>
          <w:sz w:val="20"/>
          <w:szCs w:val="20"/>
        </w:rPr>
        <w:t xml:space="preserve">mission and the US Department of Commerce (“DOC”) put in place the EU-US “Privacy Shield,” which has been relied on by some US companies since that time to transfer data to the US, and, in its third annual review of the Privacy Shield in October 2019, the </w:t>
      </w:r>
      <w:r>
        <w:rPr>
          <w:sz w:val="20"/>
          <w:szCs w:val="20"/>
        </w:rPr>
        <w:t>European Commission concluded that the U.S. continues to ensure an adequate level of protection for personal data transferred under the Privacy Shield. In addition, the DOC increased its monitoring and surveillance activities and introduced new oversight p</w:t>
      </w:r>
      <w:r>
        <w:rPr>
          <w:sz w:val="20"/>
          <w:szCs w:val="20"/>
        </w:rPr>
        <w:t>rocedures and will increase pressure on companies to comply with Privacy Shield. However, in October 2016, an action for annulment was brought by three French digital rights advocacy groups, which is still pending before the General Court of the European C</w:t>
      </w:r>
      <w:r>
        <w:rPr>
          <w:sz w:val="20"/>
          <w:szCs w:val="20"/>
        </w:rPr>
        <w:t>ourt of Justice. The US was admitted as an intervener in the action in 2018. If the European Court of Justice invalidates the Privacy Shield, it will no longer be possible to rely on the Privacy Shield certification to support transfer of personal data fro</w:t>
      </w:r>
      <w:r>
        <w:rPr>
          <w:sz w:val="20"/>
          <w:szCs w:val="20"/>
        </w:rPr>
        <w:t>m the EU to entities in the US. Adherence to the Privacy Shield is not, however, mandatory. US-based companies are permitted to rely either on their adherence to the Privacy Shield or on the other authorized means and procedures to transfer personal data p</w:t>
      </w:r>
      <w:r>
        <w:rPr>
          <w:sz w:val="20"/>
          <w:szCs w:val="20"/>
        </w:rPr>
        <w:t>rovided by the GDPR.</w:t>
      </w:r>
    </w:p>
    <w:p w:rsidR="00000000" w:rsidRDefault="00DE7B41">
      <w:pPr>
        <w:pStyle w:val="a3"/>
        <w:spacing w:before="0" w:beforeAutospacing="0" w:after="180" w:afterAutospacing="0"/>
        <w:ind w:firstLine="720"/>
        <w:divId w:val="1838962540"/>
        <w:rPr>
          <w:sz w:val="20"/>
          <w:szCs w:val="20"/>
        </w:rPr>
      </w:pPr>
      <w:r>
        <w:rPr>
          <w:sz w:val="20"/>
          <w:szCs w:val="20"/>
        </w:rPr>
        <w:t>In addition, the privacy and data security landscape in the EU continues to remain in flux. The agreement that will hopefully be concluded between the EU and the UK following the UK’s withdrawal from the EU on January 31, 2020 may requ</w:t>
      </w:r>
      <w:r>
        <w:rPr>
          <w:sz w:val="20"/>
          <w:szCs w:val="20"/>
        </w:rPr>
        <w:t>ire organizations to revisit the way they transfer personal data from and to the UK. The GDPR has introduced additional data protection obligations that can have specific impact on the conduct of clinical trials in the EEA. This includes obligations concer</w:t>
      </w:r>
      <w:r>
        <w:rPr>
          <w:sz w:val="20"/>
          <w:szCs w:val="20"/>
        </w:rPr>
        <w:t>ning the rights of patients in relation to their personal data collected during the clinical trials and the need to conclude arrangements with clinical trials sites concerning data processing activities. Any perceived failure to ensure protection of patien</w:t>
      </w:r>
      <w:r>
        <w:rPr>
          <w:sz w:val="20"/>
          <w:szCs w:val="20"/>
        </w:rPr>
        <w:t>ts’ rights during clinical trials or to ensure that sites fulfil obligations imposed by GDPR concerning their related processing activities could undermine the validity of the results of these clinical trials.</w:t>
      </w:r>
    </w:p>
    <w:p w:rsidR="00000000" w:rsidRDefault="00DE7B41">
      <w:pPr>
        <w:pStyle w:val="a3"/>
        <w:spacing w:before="0" w:beforeAutospacing="0" w:after="180" w:afterAutospacing="0"/>
        <w:ind w:firstLine="720"/>
        <w:divId w:val="1838962540"/>
        <w:rPr>
          <w:sz w:val="20"/>
          <w:szCs w:val="20"/>
        </w:rPr>
      </w:pPr>
      <w:r>
        <w:rPr>
          <w:sz w:val="20"/>
          <w:szCs w:val="20"/>
        </w:rPr>
        <w:t>If we or our vendors fail to comply with appli</w:t>
      </w:r>
      <w:r>
        <w:rPr>
          <w:sz w:val="20"/>
          <w:szCs w:val="20"/>
        </w:rPr>
        <w:t>cable data privacy laws, or if the legal mechanisms we or our vendors rely upon to allow for the transfer of personal data from the EEA or Switzerland to the US (or other countries not considered by the European Commission to provide an adequate level of d</w:t>
      </w:r>
      <w:r>
        <w:rPr>
          <w:sz w:val="20"/>
          <w:szCs w:val="20"/>
        </w:rPr>
        <w:t>ata protection) are not considered adequate, we could be subject to government enforcement actions and significant penalties against us. Moreover, our business could be adversely impacted if our ability to transfer personal data outside of the EEA or Switz</w:t>
      </w:r>
      <w:r>
        <w:rPr>
          <w:sz w:val="20"/>
          <w:szCs w:val="20"/>
        </w:rPr>
        <w:t>erland to the US is restricted, which could adversely impact our operating results.</w:t>
      </w:r>
    </w:p>
    <w:p w:rsidR="00000000" w:rsidRDefault="00DE7B41">
      <w:pPr>
        <w:pStyle w:val="a3"/>
        <w:spacing w:before="0" w:beforeAutospacing="0" w:after="120" w:afterAutospacing="0"/>
        <w:divId w:val="1838962540"/>
        <w:rPr>
          <w:sz w:val="20"/>
          <w:szCs w:val="20"/>
        </w:rPr>
      </w:pPr>
      <w:r>
        <w:rPr>
          <w:b/>
          <w:bCs/>
          <w:i/>
          <w:iCs/>
          <w:sz w:val="20"/>
          <w:szCs w:val="20"/>
        </w:rPr>
        <w:t>Changes in healthcare law and implementing regulations, including government restrictions on pricing and reimbursement, as well as healthcare policy and other healthcare pa</w:t>
      </w:r>
      <w:r>
        <w:rPr>
          <w:b/>
          <w:bCs/>
          <w:i/>
          <w:iCs/>
          <w:sz w:val="20"/>
          <w:szCs w:val="20"/>
        </w:rPr>
        <w:t>yor cost-containment initiatives, may negatively impact us, our collaboration partners, or those commercializing products with respect to which we have an economic interest or right to receive royalties.</w:t>
      </w:r>
    </w:p>
    <w:p w:rsidR="00000000" w:rsidRDefault="00DE7B41">
      <w:pPr>
        <w:pStyle w:val="a3"/>
        <w:spacing w:before="0" w:beforeAutospacing="0" w:after="240" w:afterAutospacing="0"/>
        <w:ind w:firstLine="720"/>
        <w:divId w:val="1838962540"/>
        <w:rPr>
          <w:sz w:val="20"/>
          <w:szCs w:val="20"/>
        </w:rPr>
      </w:pPr>
      <w:r>
        <w:rPr>
          <w:sz w:val="20"/>
          <w:szCs w:val="20"/>
        </w:rPr>
        <w:t xml:space="preserve">The continuing efforts of the government, insurance </w:t>
      </w:r>
      <w:r>
        <w:rPr>
          <w:sz w:val="20"/>
          <w:szCs w:val="20"/>
        </w:rPr>
        <w:t xml:space="preserve">companies, managed care organizations and other payors of health care costs to contain or reduce costs of health care may adversely affect us, our collaboration partners, or those commercializing products with respect to which we have an economic interest </w:t>
      </w:r>
      <w:r>
        <w:rPr>
          <w:sz w:val="20"/>
          <w:szCs w:val="20"/>
        </w:rPr>
        <w:t>or right to receive royalties in regard to one or more of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trPr>
          <w:divId w:val="1838962540"/>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ability to set and collect a price believed to be reasonable for products;</w:t>
            </w:r>
          </w:p>
        </w:tc>
      </w:tr>
    </w:tbl>
    <w:p w:rsidR="00000000" w:rsidRDefault="00DE7B41">
      <w:pPr>
        <w:divId w:val="1838962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trPr>
          <w:divId w:val="1838962540"/>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ability to generate revenues and achieve profitability; and</w:t>
            </w:r>
          </w:p>
        </w:tc>
      </w:tr>
    </w:tbl>
    <w:p w:rsidR="00000000" w:rsidRDefault="00DE7B41">
      <w:pPr>
        <w:divId w:val="1838962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trPr>
          <w:divId w:val="1838962540"/>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availability of capital.</w:t>
            </w:r>
          </w:p>
        </w:tc>
      </w:tr>
    </w:tbl>
    <w:p w:rsidR="00000000" w:rsidRDefault="00DE7B41">
      <w:pPr>
        <w:pStyle w:val="a3"/>
        <w:spacing w:before="0" w:beforeAutospacing="0" w:after="0" w:afterAutospacing="0"/>
        <w:ind w:firstLine="720"/>
        <w:divId w:val="1838962540"/>
        <w:rPr>
          <w:sz w:val="20"/>
          <w:szCs w:val="20"/>
        </w:rPr>
      </w:pPr>
      <w:r>
        <w:rPr>
          <w:sz w:val="20"/>
          <w:szCs w:val="20"/>
        </w:rPr>
        <w:t>The pricing and reimbursement environment for products may change in the future and become more challenging due to, among other reasons, policies advanced by</w:t>
      </w:r>
      <w:r>
        <w:rPr>
          <w:sz w:val="20"/>
          <w:szCs w:val="20"/>
        </w:rPr>
        <w:t xml:space="preserve"> the current or new presidential administrations, federal agencies, new healthcare legislation passed by Congress or fiscal challenges faced by all levels of government health administration authorities. Among policy makers and payors in the US and elsewhe</w:t>
      </w:r>
      <w:r>
        <w:rPr>
          <w:sz w:val="20"/>
          <w:szCs w:val="20"/>
        </w:rPr>
        <w:t>re, there is significant interest in promoting changes in healthcare systems with the stated goals of containing healthcare costs, improving quality and expanding access to healthcare. In the US, the pharmaceutical industry has been a particular focus of t</w:t>
      </w:r>
      <w:r>
        <w:rPr>
          <w:sz w:val="20"/>
          <w:szCs w:val="20"/>
        </w:rPr>
        <w:t xml:space="preserve">hese efforts and has been and may in the future be significantly affected by major legislative initiatives. For instance, in the fourth quarter of 2018, the Centers for Medicare &amp; Medicaid Services (“CMS”), the federal agency that administers the Medicare </w:t>
      </w:r>
      <w:r>
        <w:rPr>
          <w:sz w:val="20"/>
          <w:szCs w:val="20"/>
        </w:rPr>
        <w:t xml:space="preserve">and Medicaid programs, released an advance </w:t>
      </w:r>
    </w:p>
    <w:p w:rsidR="00000000" w:rsidRDefault="00DE7B41">
      <w:pPr>
        <w:pStyle w:val="a3"/>
        <w:spacing w:before="360" w:beforeAutospacing="0" w:after="0" w:afterAutospacing="0"/>
        <w:jc w:val="center"/>
        <w:divId w:val="1775858047"/>
        <w:rPr>
          <w:sz w:val="20"/>
          <w:szCs w:val="20"/>
        </w:rPr>
      </w:pPr>
      <w:r>
        <w:rPr>
          <w:sz w:val="20"/>
          <w:szCs w:val="20"/>
        </w:rPr>
        <w:t>59</w:t>
      </w:r>
    </w:p>
    <w:p w:rsidR="00000000" w:rsidRDefault="00DE7B41">
      <w:pPr>
        <w:pStyle w:val="a3"/>
        <w:spacing w:before="0" w:beforeAutospacing="0" w:after="600" w:afterAutospacing="0"/>
        <w:divId w:val="1337462861"/>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2041010407"/>
        <w:rPr>
          <w:sz w:val="20"/>
          <w:szCs w:val="20"/>
        </w:rPr>
      </w:pPr>
      <w:r>
        <w:rPr>
          <w:sz w:val="20"/>
          <w:szCs w:val="20"/>
        </w:rPr>
        <w:t>notice of proposed rule-making to solicit feedback on a potential change in the way Medicare Part B pays for certain physician-administered drugs. Under Part B’s cur</w:t>
      </w:r>
      <w:r>
        <w:rPr>
          <w:sz w:val="20"/>
          <w:szCs w:val="20"/>
        </w:rPr>
        <w:t>rent reimbursement policy, for most drugs, Medicare pays providers the average sales price of the drug plus 6% (reduced to 4.3% as a result of sequestration). CMS is considering a methodology that would more closely align payment for these drugs with price</w:t>
      </w:r>
      <w:r>
        <w:rPr>
          <w:sz w:val="20"/>
          <w:szCs w:val="20"/>
        </w:rPr>
        <w:t>s in certain countries (such as Canada, the UK, Japan, and Germany), allow private-sector vendors to negotiate prices, and pay providers a flat add-on payment not tied to the price of the drug. We expect we, our collaboration partners or those commercializ</w:t>
      </w:r>
      <w:r>
        <w:rPr>
          <w:sz w:val="20"/>
          <w:szCs w:val="20"/>
        </w:rPr>
        <w:t>ing products with respect to which we have an economic interest or right to receive royalties may experience pricing pressures in connection with the sale of drug products, due to the trend toward managed healthcare, the increasing influence of health main</w:t>
      </w:r>
      <w:r>
        <w:rPr>
          <w:sz w:val="20"/>
          <w:szCs w:val="20"/>
        </w:rPr>
        <w:t>tenance organizations and additional legislative enactments.</w:t>
      </w:r>
    </w:p>
    <w:p w:rsidR="00000000" w:rsidRDefault="00DE7B41">
      <w:pPr>
        <w:pStyle w:val="a3"/>
        <w:spacing w:before="0" w:beforeAutospacing="0" w:after="240" w:afterAutospacing="0"/>
        <w:ind w:firstLine="720"/>
        <w:divId w:val="2041010407"/>
        <w:rPr>
          <w:sz w:val="20"/>
          <w:szCs w:val="20"/>
        </w:rPr>
      </w:pPr>
      <w:r>
        <w:rPr>
          <w:sz w:val="20"/>
          <w:szCs w:val="20"/>
        </w:rPr>
        <w:t>The Patient Protection and Affordable Care Act, as amended by the Health Care and Education Reconciliation Act of 2010 (together the “Healthcare Reform Act”), is a sweeping measure intended to ex</w:t>
      </w:r>
      <w:r>
        <w:rPr>
          <w:sz w:val="20"/>
          <w:szCs w:val="20"/>
        </w:rPr>
        <w:t>pand healthcare coverage within the US, primarily through the imposition of health insurance mandates on employers and individuals, the provision of subsidies to eligible individuals enrolled in plans offered on the health insurance exchanges, and expansio</w:t>
      </w:r>
      <w:r>
        <w:rPr>
          <w:sz w:val="20"/>
          <w:szCs w:val="20"/>
        </w:rPr>
        <w:t>n of the Medicaid program. This law has substantially changed the way healthcare is financed by both governmental and private insurers and has significantly impacted the pharmaceutical industry. The Healthcare Reform Act contains a number of provisions tha</w:t>
      </w:r>
      <w:r>
        <w:rPr>
          <w:sz w:val="20"/>
          <w:szCs w:val="20"/>
        </w:rPr>
        <w:t>t impact our business and operations, including those governing enrollment in federal healthcare programs, reimbursement changes, benefits for patients within a coverage gap in the Medicare Part D prescription drug program (commonly known as the “donut hol</w:t>
      </w:r>
      <w:r>
        <w:rPr>
          <w:sz w:val="20"/>
          <w:szCs w:val="20"/>
        </w:rPr>
        <w:t>e”), rules regarding prescription drug benefits under the health insurance exchanges, changes to the Medicare Drug Rebate program, expansion of the Public Health Service Act’s 340B drug pricing program, fraud and abuse and enforcement. These changes have i</w:t>
      </w:r>
      <w:r>
        <w:rPr>
          <w:sz w:val="20"/>
          <w:szCs w:val="20"/>
        </w:rPr>
        <w:t>mpacted previously existing government healthcare programs and have resulted in the development of new programs, including Medicare payment for performance initiatives and improvements to the physician quality reporting system and feedback program.</w:t>
      </w:r>
    </w:p>
    <w:p w:rsidR="00000000" w:rsidRDefault="00DE7B41">
      <w:pPr>
        <w:pStyle w:val="a3"/>
        <w:spacing w:before="0" w:beforeAutospacing="0" w:after="240" w:afterAutospacing="0"/>
        <w:ind w:firstLine="720"/>
        <w:divId w:val="2041010407"/>
        <w:rPr>
          <w:sz w:val="20"/>
          <w:szCs w:val="20"/>
        </w:rPr>
      </w:pPr>
      <w:r>
        <w:rPr>
          <w:sz w:val="20"/>
          <w:szCs w:val="20"/>
        </w:rPr>
        <w:t>In part</w:t>
      </w:r>
      <w:r>
        <w:rPr>
          <w:sz w:val="20"/>
          <w:szCs w:val="20"/>
        </w:rPr>
        <w:t>icular, CMS issued final regulations to implement the changes to the Medicaid Drug Rebate program under the Healthcare Reform Act. These regulations became effective on April 1, 2016. Congress could enact additional legislation that further increases Medic</w:t>
      </w:r>
      <w:r>
        <w:rPr>
          <w:sz w:val="20"/>
          <w:szCs w:val="20"/>
        </w:rPr>
        <w:t>aid drug rebates or other costs and charges associated with participating in the Medicaid Drug Rebate program. The issuance of regulations and coverage expansion by various governmental agencies relating to the Medicaid Drug Rebate program has increased an</w:t>
      </w:r>
      <w:r>
        <w:rPr>
          <w:sz w:val="20"/>
          <w:szCs w:val="20"/>
        </w:rPr>
        <w:t>d will continue to increase the costs and the complexity of compliance, has been and will be time-consuming to implement, and could have a material adverse effect on results of operations for us, our collaboration partners, or those commercializing product</w:t>
      </w:r>
      <w:r>
        <w:rPr>
          <w:sz w:val="20"/>
          <w:szCs w:val="20"/>
        </w:rPr>
        <w:t>s with respect to which we have an economic interest or right to receive royalties, particularly if CMS challenges the approach we take in our implementation of the final regulation.</w:t>
      </w:r>
    </w:p>
    <w:p w:rsidR="00000000" w:rsidRDefault="00DE7B41">
      <w:pPr>
        <w:pStyle w:val="a3"/>
        <w:spacing w:before="0" w:beforeAutospacing="0" w:after="240" w:afterAutospacing="0"/>
        <w:ind w:firstLine="720"/>
        <w:divId w:val="2041010407"/>
        <w:rPr>
          <w:sz w:val="20"/>
          <w:szCs w:val="20"/>
        </w:rPr>
      </w:pPr>
      <w:r>
        <w:rPr>
          <w:sz w:val="20"/>
          <w:szCs w:val="20"/>
        </w:rPr>
        <w:t>Some states have elected not to expand their Medicaid programs by raising</w:t>
      </w:r>
      <w:r>
        <w:rPr>
          <w:sz w:val="20"/>
          <w:szCs w:val="20"/>
        </w:rPr>
        <w:t xml:space="preserve"> the income limit to 133% of the federal poverty level, as is permitted under the Healthcare Reform Act. For each state that does not choose to expand its Medicaid program, there may be fewer insured patients overall, which could impact the sales, business</w:t>
      </w:r>
      <w:r>
        <w:rPr>
          <w:sz w:val="20"/>
          <w:szCs w:val="20"/>
        </w:rPr>
        <w:t xml:space="preserve"> and financial condition of us, our collaboration partners, or those commercializing products with respect to which we have an economic interest or right to receive royalties. Where Medicaid patients receive insurance coverage under any of the new options </w:t>
      </w:r>
      <w:r>
        <w:rPr>
          <w:sz w:val="20"/>
          <w:szCs w:val="20"/>
        </w:rPr>
        <w:t>made available through the Healthcare Reform Act, manufacturers may be required to pay Medicaid rebates on drugs used under these circumstances, which could impact manufacturer revenues.</w:t>
      </w:r>
    </w:p>
    <w:p w:rsidR="00000000" w:rsidRDefault="00DE7B41">
      <w:pPr>
        <w:pStyle w:val="a3"/>
        <w:spacing w:before="0" w:beforeAutospacing="0" w:after="0" w:afterAutospacing="0"/>
        <w:ind w:firstLine="720"/>
        <w:divId w:val="2041010407"/>
        <w:rPr>
          <w:sz w:val="20"/>
          <w:szCs w:val="20"/>
        </w:rPr>
      </w:pPr>
      <w:r>
        <w:rPr>
          <w:sz w:val="20"/>
          <w:szCs w:val="20"/>
        </w:rPr>
        <w:t xml:space="preserve">Certain provisions of the Healthcare Reform Act have been subject to </w:t>
      </w:r>
      <w:r>
        <w:rPr>
          <w:sz w:val="20"/>
          <w:szCs w:val="20"/>
        </w:rPr>
        <w:t>judicial challenges as well as efforts to repeal or replace them or to alter their interpretation or implementation. For example, the Tax Cuts and Jobs Act enacted on December 22, 2017 (the “Tax Act”), eliminated the shared responsibility payment for indiv</w:t>
      </w:r>
      <w:r>
        <w:rPr>
          <w:sz w:val="20"/>
          <w:szCs w:val="20"/>
        </w:rPr>
        <w:t>iduals who fail to maintain minimum essential coverage under section 5000A of the Internal Revenue Code of 1986, commonly referred to as the individual mandate, effective January 1, 2019. In December 2018, a United States District Court Judge for the North</w:t>
      </w:r>
      <w:r>
        <w:rPr>
          <w:sz w:val="20"/>
          <w:szCs w:val="20"/>
        </w:rPr>
        <w:t>ern District of Texas ruled (i) that the “individual mandate” was unconstitutional as a result of the associated tax penalty being repealed by Congress as part of the Tax Act; and (ii) the individual mandate is not severable from the rest of the ACA, and a</w:t>
      </w:r>
      <w:r>
        <w:rPr>
          <w:sz w:val="20"/>
          <w:szCs w:val="20"/>
        </w:rPr>
        <w:t xml:space="preserve">s a result the entire Healthcare Reform Act is invalid. On December 18, 2019, the US Court of Appeals for the Fifth Circuit affirmed the district court’s decision that the individual mandate is unconstitutional, but remanded the case to the district court </w:t>
      </w:r>
      <w:r>
        <w:rPr>
          <w:sz w:val="20"/>
          <w:szCs w:val="20"/>
        </w:rPr>
        <w:t>to reconsider the severability question. It is unclear how the ultimate decision in this case, or other efforts to repeal, replace, or invalidate the Healthcare Reform Act or its implementing regulations, or portions thereof, will affect the Healthcare Ref</w:t>
      </w:r>
      <w:r>
        <w:rPr>
          <w:sz w:val="20"/>
          <w:szCs w:val="20"/>
        </w:rPr>
        <w:t xml:space="preserve">orm Act or our business. Additional legislative changes to and regulatory changes under the Healthcare Reform Act remain possible, but the nature and extent of such potential additional changes are uncertain at this time. We </w:t>
      </w:r>
    </w:p>
    <w:p w:rsidR="00000000" w:rsidRDefault="00DE7B41">
      <w:pPr>
        <w:pStyle w:val="a3"/>
        <w:spacing w:before="360" w:beforeAutospacing="0" w:after="0" w:afterAutospacing="0"/>
        <w:jc w:val="center"/>
        <w:divId w:val="793061293"/>
        <w:rPr>
          <w:sz w:val="20"/>
          <w:szCs w:val="20"/>
        </w:rPr>
      </w:pPr>
      <w:r>
        <w:rPr>
          <w:sz w:val="20"/>
          <w:szCs w:val="20"/>
        </w:rPr>
        <w:t>60</w:t>
      </w:r>
    </w:p>
    <w:p w:rsidR="00000000" w:rsidRDefault="00DE7B41">
      <w:pPr>
        <w:pStyle w:val="a3"/>
        <w:spacing w:before="0" w:beforeAutospacing="0" w:after="600" w:afterAutospacing="0"/>
        <w:divId w:val="656151374"/>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365761564"/>
        <w:rPr>
          <w:sz w:val="20"/>
          <w:szCs w:val="20"/>
        </w:rPr>
      </w:pPr>
      <w:r>
        <w:rPr>
          <w:sz w:val="20"/>
          <w:szCs w:val="20"/>
        </w:rPr>
        <w:t>expect that the Healthcare Reform Act, its implementation, efforts to repeal or replace, or invalidate the Healthcare Reform Act, or portions thereof, and other healthcare reform measures that may be adopted in t</w:t>
      </w:r>
      <w:r>
        <w:rPr>
          <w:sz w:val="20"/>
          <w:szCs w:val="20"/>
        </w:rPr>
        <w:t>he future, could have a material adverse effect on our industry generally and on the ability of us, our collaboration partners, or those commercializing products with respect to which we have an economic interest or right to receive royalties to maintain o</w:t>
      </w:r>
      <w:r>
        <w:rPr>
          <w:sz w:val="20"/>
          <w:szCs w:val="20"/>
        </w:rPr>
        <w:t>r increase sales of existing products or to successfully commercialize product candidates, if approved.</w:t>
      </w:r>
    </w:p>
    <w:p w:rsidR="00000000" w:rsidRDefault="00DE7B41">
      <w:pPr>
        <w:pStyle w:val="a3"/>
        <w:spacing w:before="0" w:beforeAutospacing="0" w:after="240" w:afterAutospacing="0"/>
        <w:ind w:firstLine="720"/>
        <w:divId w:val="365761564"/>
        <w:rPr>
          <w:sz w:val="20"/>
          <w:szCs w:val="20"/>
        </w:rPr>
      </w:pPr>
      <w:r>
        <w:rPr>
          <w:sz w:val="20"/>
          <w:szCs w:val="20"/>
        </w:rPr>
        <w:t>In addition, there have been proposals to modify the Medicare Part D benefit, including by imposing federally-mandated rebates on all drugs dispensed to</w:t>
      </w:r>
      <w:r>
        <w:rPr>
          <w:sz w:val="20"/>
          <w:szCs w:val="20"/>
        </w:rPr>
        <w:t xml:space="preserve"> Medicare Part D enrollees or on only those drugs dispensed to certain groups of lower income beneficiaries. If any of these proposals are adopted including any that result in additional rebates, this could have a negative impact on revenues for our collab</w:t>
      </w:r>
      <w:r>
        <w:rPr>
          <w:sz w:val="20"/>
          <w:szCs w:val="20"/>
        </w:rPr>
        <w:t>oration partners, or those commercializing products with respect to which we have an economic interest or right to receive royalties, which could impact our revenues.</w:t>
      </w:r>
    </w:p>
    <w:p w:rsidR="00000000" w:rsidRDefault="00DE7B41">
      <w:pPr>
        <w:pStyle w:val="a3"/>
        <w:spacing w:before="0" w:beforeAutospacing="0" w:after="240" w:afterAutospacing="0"/>
        <w:ind w:firstLine="720"/>
        <w:divId w:val="365761564"/>
        <w:rPr>
          <w:sz w:val="20"/>
          <w:szCs w:val="20"/>
        </w:rPr>
      </w:pPr>
      <w:r>
        <w:rPr>
          <w:sz w:val="20"/>
          <w:szCs w:val="20"/>
        </w:rPr>
        <w:t xml:space="preserve">On August 2, 2011, the Budget Control Act of 2011, among other things, created the Joint </w:t>
      </w:r>
      <w:r>
        <w:rPr>
          <w:sz w:val="20"/>
          <w:szCs w:val="20"/>
        </w:rPr>
        <w:t>Select Committee on Deficit Reduction to recommend to Congress proposals for spending reductions. The Joint Select Committee did not achieve a targeted deficit reduction, which triggered the legislation’s automatic reductions. In concert with subsequent le</w:t>
      </w:r>
      <w:r>
        <w:rPr>
          <w:sz w:val="20"/>
          <w:szCs w:val="20"/>
        </w:rPr>
        <w:t xml:space="preserve">gislation, this has resulted in aggregate reductions to Medicare payments to providers of, on average, 2% per fiscal year through 2027 unless Congress takes additional action. As long as these cuts remain in effect, they could adversely impact payment for </w:t>
      </w:r>
      <w:r>
        <w:rPr>
          <w:sz w:val="20"/>
          <w:szCs w:val="20"/>
        </w:rPr>
        <w:t xml:space="preserve">any products that are reimbursed under Medicare. We expect that additional state and federal healthcare reform measures will be adopted in the future, any of which could limit the amounts that federal and state governments will pay for healthcare products </w:t>
      </w:r>
      <w:r>
        <w:rPr>
          <w:sz w:val="20"/>
          <w:szCs w:val="20"/>
        </w:rPr>
        <w:t>and services, which could result in reduced demand for product or additional pricing pressures for our collaboration partners, or those commercializing products with respect to which we have an economic interest or right to receive royalties, which could i</w:t>
      </w:r>
      <w:r>
        <w:rPr>
          <w:sz w:val="20"/>
          <w:szCs w:val="20"/>
        </w:rPr>
        <w:t>mpact our revenues.</w:t>
      </w:r>
    </w:p>
    <w:p w:rsidR="00000000" w:rsidRDefault="00DE7B41">
      <w:pPr>
        <w:pStyle w:val="a3"/>
        <w:spacing w:before="0" w:beforeAutospacing="0" w:after="120" w:afterAutospacing="0"/>
        <w:divId w:val="365761564"/>
        <w:rPr>
          <w:sz w:val="20"/>
          <w:szCs w:val="20"/>
        </w:rPr>
      </w:pPr>
      <w:r>
        <w:rPr>
          <w:b/>
          <w:bCs/>
          <w:i/>
          <w:iCs/>
          <w:sz w:val="20"/>
          <w:szCs w:val="20"/>
        </w:rPr>
        <w:t>If we failed to comply with our reporting and payment obligations under the Medicaid Drug Rebate program or other governmental pricing programs, we could be subject to additional reimbursement requirements, penalties, sanctions and fine</w:t>
      </w:r>
      <w:r>
        <w:rPr>
          <w:b/>
          <w:bCs/>
          <w:i/>
          <w:iCs/>
          <w:sz w:val="20"/>
          <w:szCs w:val="20"/>
        </w:rPr>
        <w:t>s, which could have a material adverse effect on our business, financial condition, results of operations and growth prospects.</w:t>
      </w:r>
    </w:p>
    <w:p w:rsidR="00000000" w:rsidRDefault="00DE7B41">
      <w:pPr>
        <w:pStyle w:val="a3"/>
        <w:spacing w:before="0" w:beforeAutospacing="0" w:after="240" w:afterAutospacing="0"/>
        <w:ind w:firstLine="720"/>
        <w:divId w:val="365761564"/>
        <w:rPr>
          <w:sz w:val="20"/>
          <w:szCs w:val="20"/>
        </w:rPr>
      </w:pPr>
      <w:r>
        <w:rPr>
          <w:sz w:val="20"/>
          <w:szCs w:val="20"/>
        </w:rPr>
        <w:t>Prior to the sale of VIBATIV to Cumberland, we had certain price reporting obligations to the Medicaid Drug Rebate program and o</w:t>
      </w:r>
      <w:r>
        <w:rPr>
          <w:sz w:val="20"/>
          <w:szCs w:val="20"/>
        </w:rPr>
        <w:t>ther governmental pricing programs, and we had obligations to report average sales price under the Medicare program. Following the consummation of the transaction with Cumberland, our price reporting obligations related to VIBATIV have been transitioned to</w:t>
      </w:r>
      <w:r>
        <w:rPr>
          <w:sz w:val="20"/>
          <w:szCs w:val="20"/>
        </w:rPr>
        <w:t xml:space="preserve"> Cumberland, and price reporting obligations for YUPELRI reside with Mylan. However, we retain liability related to price reporting for VIBATIV for historic periods.</w:t>
      </w:r>
    </w:p>
    <w:p w:rsidR="00000000" w:rsidRDefault="00DE7B41">
      <w:pPr>
        <w:pStyle w:val="a3"/>
        <w:spacing w:before="0" w:beforeAutospacing="0" w:after="240" w:afterAutospacing="0"/>
        <w:ind w:firstLine="720"/>
        <w:divId w:val="365761564"/>
        <w:rPr>
          <w:sz w:val="20"/>
          <w:szCs w:val="20"/>
        </w:rPr>
      </w:pPr>
      <w:r>
        <w:rPr>
          <w:sz w:val="20"/>
          <w:szCs w:val="20"/>
        </w:rPr>
        <w:t>Under the Medicaid Drug Rebate program, a manufacturer is required to pay a rebate to each</w:t>
      </w:r>
      <w:r>
        <w:rPr>
          <w:sz w:val="20"/>
          <w:szCs w:val="20"/>
        </w:rPr>
        <w:t xml:space="preserve"> state Medicaid program for its covered outpatient drugs that are dispensed to Medicaid beneficiaries and paid for by a state Medicaid program as a condition of having federal funds being made available to the states for our drugs under Medicaid and Medica</w:t>
      </w:r>
      <w:r>
        <w:rPr>
          <w:sz w:val="20"/>
          <w:szCs w:val="20"/>
        </w:rPr>
        <w:t>re Part B. Those rebates are based on pricing data reported by the manufacturer on a monthly and quarterly basis to CMS, the federal agency that administers the Medicaid Drug Rebate program. These data include the average manufacturer price and, in the cas</w:t>
      </w:r>
      <w:r>
        <w:rPr>
          <w:sz w:val="20"/>
          <w:szCs w:val="20"/>
        </w:rPr>
        <w:t>e of innovator products, the best price for each drug which, in general, represents the lowest price available from the manufacturer to any entity in the US in any pricing structure, calculated to include all sales and associated rebates, discounts and oth</w:t>
      </w:r>
      <w:r>
        <w:rPr>
          <w:sz w:val="20"/>
          <w:szCs w:val="20"/>
        </w:rPr>
        <w:t>er price concessions.</w:t>
      </w:r>
    </w:p>
    <w:p w:rsidR="00000000" w:rsidRDefault="00DE7B41">
      <w:pPr>
        <w:pStyle w:val="a3"/>
        <w:spacing w:before="0" w:beforeAutospacing="0" w:after="240" w:afterAutospacing="0"/>
        <w:ind w:firstLine="720"/>
        <w:divId w:val="365761564"/>
        <w:rPr>
          <w:sz w:val="20"/>
          <w:szCs w:val="20"/>
        </w:rPr>
      </w:pPr>
      <w:r>
        <w:rPr>
          <w:sz w:val="20"/>
          <w:szCs w:val="20"/>
        </w:rPr>
        <w:t>Federal law requires that any company that participates in the Medicaid Drug Rebate program also participate in the Public Health Service’s 340B drug pricing program in order for federal funds to be available for the manufacturer’s dr</w:t>
      </w:r>
      <w:r>
        <w:rPr>
          <w:sz w:val="20"/>
          <w:szCs w:val="20"/>
        </w:rPr>
        <w:t>ugs under Medicaid and Medicare Part B. The 340B program requires participating manufacturers to agree to charge no more than the 340B “ceiling price” for the manufacturer’s covered outpatient drugs to a variety of community health clinics and other entiti</w:t>
      </w:r>
      <w:r>
        <w:rPr>
          <w:sz w:val="20"/>
          <w:szCs w:val="20"/>
        </w:rPr>
        <w:t>es that receive health services grants from the Public Health Service, as well as hospitals that serve a disproportionate share of low-income patients. Manufacturers also are required to report their 340B ceiling prices to HRSA on a quarterly basis. A fina</w:t>
      </w:r>
      <w:r>
        <w:rPr>
          <w:sz w:val="20"/>
          <w:szCs w:val="20"/>
        </w:rPr>
        <w:t>l regulation regarding the calculation of the 340B ceiling price and the imposition of civil monetary penalties on manufacturers that knowingly and intentionally overcharge covered entities became effective on January 1, 2019.</w:t>
      </w:r>
    </w:p>
    <w:p w:rsidR="00000000" w:rsidRDefault="00DE7B41">
      <w:pPr>
        <w:pStyle w:val="a3"/>
        <w:spacing w:before="0" w:beforeAutospacing="0" w:after="0" w:afterAutospacing="0"/>
        <w:ind w:firstLine="720"/>
        <w:divId w:val="365761564"/>
        <w:rPr>
          <w:sz w:val="20"/>
          <w:szCs w:val="20"/>
        </w:rPr>
      </w:pPr>
      <w:r>
        <w:rPr>
          <w:sz w:val="20"/>
          <w:szCs w:val="20"/>
        </w:rPr>
        <w:t>Federal law also requires tha</w:t>
      </w:r>
      <w:r>
        <w:rPr>
          <w:sz w:val="20"/>
          <w:szCs w:val="20"/>
        </w:rPr>
        <w:t xml:space="preserve">t a company that participates in the Medicaid Drug Rebate program report average sales price information each quarter to CMS for certain categories of drugs that are paid under the Medicare Part B program. </w:t>
      </w:r>
    </w:p>
    <w:p w:rsidR="00000000" w:rsidRDefault="00DE7B41">
      <w:pPr>
        <w:pStyle w:val="a3"/>
        <w:spacing w:before="360" w:beforeAutospacing="0" w:after="0" w:afterAutospacing="0"/>
        <w:jc w:val="center"/>
        <w:divId w:val="224950439"/>
        <w:rPr>
          <w:sz w:val="20"/>
          <w:szCs w:val="20"/>
        </w:rPr>
      </w:pPr>
      <w:r>
        <w:rPr>
          <w:sz w:val="20"/>
          <w:szCs w:val="20"/>
        </w:rPr>
        <w:t>61</w:t>
      </w:r>
    </w:p>
    <w:p w:rsidR="00000000" w:rsidRDefault="00DE7B41">
      <w:pPr>
        <w:pStyle w:val="a3"/>
        <w:spacing w:before="0" w:beforeAutospacing="0" w:after="600" w:afterAutospacing="0"/>
        <w:divId w:val="503664983"/>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662203441"/>
        <w:rPr>
          <w:sz w:val="20"/>
          <w:szCs w:val="20"/>
        </w:rPr>
      </w:pPr>
      <w:r>
        <w:rPr>
          <w:sz w:val="20"/>
          <w:szCs w:val="20"/>
        </w:rPr>
        <w:t>Ma</w:t>
      </w:r>
      <w:r>
        <w:rPr>
          <w:sz w:val="20"/>
          <w:szCs w:val="20"/>
        </w:rPr>
        <w:t>nufacturers calculate the average sales price based on a statutorily defined formula as well as regulations and interpretations of the statute by CMS. CMS uses these submissions to determine payment rates for drugs under Medicare Part B.</w:t>
      </w:r>
    </w:p>
    <w:p w:rsidR="00000000" w:rsidRDefault="00DE7B41">
      <w:pPr>
        <w:pStyle w:val="a3"/>
        <w:spacing w:before="0" w:beforeAutospacing="0" w:after="240" w:afterAutospacing="0"/>
        <w:ind w:firstLine="720"/>
        <w:divId w:val="662203441"/>
        <w:rPr>
          <w:sz w:val="20"/>
          <w:szCs w:val="20"/>
        </w:rPr>
      </w:pPr>
      <w:r>
        <w:rPr>
          <w:sz w:val="20"/>
          <w:szCs w:val="20"/>
        </w:rPr>
        <w:t>Pricing and rebate</w:t>
      </w:r>
      <w:r>
        <w:rPr>
          <w:sz w:val="20"/>
          <w:szCs w:val="20"/>
        </w:rPr>
        <w:t xml:space="preserve"> calculations vary across products and programs, are complex, and are often subject to interpretation by the manufacturer, governmental or regulatory agencies and the courts. A manufacturer that becomes aware that its Medicaid reporting for a prior quarter</w:t>
      </w:r>
      <w:r>
        <w:rPr>
          <w:sz w:val="20"/>
          <w:szCs w:val="20"/>
        </w:rPr>
        <w:t xml:space="preserve"> was incorrect, or has changed as a result of recalculation of the pricing data, is are obligated to resubmit the corrected data for up to three years after those data originally were due. Such restatements and recalculations increase the costs for complyi</w:t>
      </w:r>
      <w:r>
        <w:rPr>
          <w:sz w:val="20"/>
          <w:szCs w:val="20"/>
        </w:rPr>
        <w:t>ng with the laws and regulations governing the Medicaid Drug Rebate program and could result in an overage or underage in our rebate liability for past quarters. Price recalculations also may affect the 340B ceiling price.</w:t>
      </w:r>
    </w:p>
    <w:p w:rsidR="00000000" w:rsidRDefault="00DE7B41">
      <w:pPr>
        <w:pStyle w:val="a3"/>
        <w:spacing w:before="0" w:beforeAutospacing="0" w:after="240" w:afterAutospacing="0"/>
        <w:ind w:firstLine="720"/>
        <w:divId w:val="662203441"/>
        <w:rPr>
          <w:sz w:val="20"/>
          <w:szCs w:val="20"/>
        </w:rPr>
      </w:pPr>
      <w:r>
        <w:rPr>
          <w:sz w:val="20"/>
          <w:szCs w:val="20"/>
        </w:rPr>
        <w:t>We are liable for errors associat</w:t>
      </w:r>
      <w:r>
        <w:rPr>
          <w:sz w:val="20"/>
          <w:szCs w:val="20"/>
        </w:rPr>
        <w:t>ed with our submission of pricing data. In addition to retroactive rebates and the potential for 340B program refunds, if we are found to have knowingly submitted any false price information to the government, we may be liable for significant civil monetar</w:t>
      </w:r>
      <w:r>
        <w:rPr>
          <w:sz w:val="20"/>
          <w:szCs w:val="20"/>
        </w:rPr>
        <w:t>y penalties per item of false information. If we are found to have made a misrepresentation in the reporting of our average sales price, the Medicare statute provides for significant civil monetary penalties for each misrepresentation for each day in which</w:t>
      </w:r>
      <w:r>
        <w:rPr>
          <w:sz w:val="20"/>
          <w:szCs w:val="20"/>
        </w:rPr>
        <w:t xml:space="preserve"> the misrepresentation was applied. If we are found to have charged 340B covered entities more than the statutorily mandated ceiling price, we could be subject to significant civil monetary penalties. Our failure to submit the required price data on a time</w:t>
      </w:r>
      <w:r>
        <w:rPr>
          <w:sz w:val="20"/>
          <w:szCs w:val="20"/>
        </w:rPr>
        <w:t xml:space="preserve">ly basis could result in a significant civil monetary penalty per day for each day the information is late beyond the due date. Such failure also could be grounds for CMS to terminate our Medicaid drug rebate agreement, pursuant to which we participate in </w:t>
      </w:r>
      <w:r>
        <w:rPr>
          <w:sz w:val="20"/>
          <w:szCs w:val="20"/>
        </w:rPr>
        <w:t>the Medicaid program. In the event that CMS terminates our rebate agreement, federal payments may not be available under Medicaid or Medicare Part B for our covered outpatient drugs.</w:t>
      </w:r>
    </w:p>
    <w:p w:rsidR="00000000" w:rsidRDefault="00DE7B41">
      <w:pPr>
        <w:pStyle w:val="a3"/>
        <w:spacing w:before="0" w:beforeAutospacing="0" w:after="240" w:afterAutospacing="0"/>
        <w:ind w:firstLine="720"/>
        <w:divId w:val="662203441"/>
        <w:rPr>
          <w:sz w:val="20"/>
          <w:szCs w:val="20"/>
        </w:rPr>
      </w:pPr>
      <w:r>
        <w:rPr>
          <w:sz w:val="20"/>
          <w:szCs w:val="20"/>
        </w:rPr>
        <w:t xml:space="preserve">In order to be eligible to have its products paid for with federal funds </w:t>
      </w:r>
      <w:r>
        <w:rPr>
          <w:sz w:val="20"/>
          <w:szCs w:val="20"/>
        </w:rPr>
        <w:t>under the Medicaid and Medicare Part B programs and purchased by the Department of Veterans Affairs (“VA”), Department of Defense (“DoD”), Public Health Service, and Coast Guard (the “Big Four agencies”) and certain federal grantees, a manufacturer is requ</w:t>
      </w:r>
      <w:r>
        <w:rPr>
          <w:sz w:val="20"/>
          <w:szCs w:val="20"/>
        </w:rPr>
        <w:t>ired to participate in the VA Federal Supply Schedule (“FSS”) pricing program, established under Section 603 of the Veterans Health Care Act of 1992. Under this program, the manufacturer is obligated to make its covered drugs available for procurement on a</w:t>
      </w:r>
      <w:r>
        <w:rPr>
          <w:sz w:val="20"/>
          <w:szCs w:val="20"/>
        </w:rPr>
        <w:t>n FSS contract and charge a price to the Big Four agencies that is no higher than the Federal Ceiling Price (“FCP”), which is a price calculated pursuant to a statutory formula. The FCP is derived from a calculated price point called the “non-federal avera</w:t>
      </w:r>
      <w:r>
        <w:rPr>
          <w:sz w:val="20"/>
          <w:szCs w:val="20"/>
        </w:rPr>
        <w:t>ge manufacturer price” (“Non-FAMP”), which the manufacturer calculates and reports to the VA on a quarterly and annual basis. Pursuant to applicable law, knowing provision of false information in connection with a Non-FAMP filing can subject a manufacturer</w:t>
      </w:r>
      <w:r>
        <w:rPr>
          <w:sz w:val="20"/>
          <w:szCs w:val="20"/>
        </w:rPr>
        <w:t xml:space="preserve"> to significant penalties for each item of false information. The FSS contract also contains extensive disclosure and certification requirements.</w:t>
      </w:r>
    </w:p>
    <w:p w:rsidR="00000000" w:rsidRDefault="00DE7B41">
      <w:pPr>
        <w:pStyle w:val="a3"/>
        <w:spacing w:before="0" w:beforeAutospacing="0" w:after="240" w:afterAutospacing="0"/>
        <w:ind w:firstLine="720"/>
        <w:divId w:val="662203441"/>
        <w:rPr>
          <w:sz w:val="20"/>
          <w:szCs w:val="20"/>
        </w:rPr>
      </w:pPr>
      <w:r>
        <w:rPr>
          <w:sz w:val="20"/>
          <w:szCs w:val="20"/>
        </w:rPr>
        <w:t>Under Section 703 of the National Defense Authorization Act for FY 2008, the manufacturer is required to pay q</w:t>
      </w:r>
      <w:r>
        <w:rPr>
          <w:sz w:val="20"/>
          <w:szCs w:val="20"/>
        </w:rPr>
        <w:t>uarterly rebates to DoD on utilization of its innovator products that are dispensed through DoD’s Tricare network pharmacies to Tricare beneficiaries. The rebates are calculated as the difference between the annual Non-FAMP and FCP for the calendar year th</w:t>
      </w:r>
      <w:r>
        <w:rPr>
          <w:sz w:val="20"/>
          <w:szCs w:val="20"/>
        </w:rPr>
        <w:t>at the product was dispensed. A manufacturer that overcharges the government in connection with the FSS contract or Tricare Retail Pharmacy Rebate Program, whether due to a misstated FCP or otherwise, is required to refund the difference to the government.</w:t>
      </w:r>
      <w:r>
        <w:rPr>
          <w:sz w:val="20"/>
          <w:szCs w:val="20"/>
        </w:rPr>
        <w:t xml:space="preserve"> Failure to make necessary disclosures and/or to identify contract overcharges can result in allegations against us under the False Claims Act and other laws and regulations.</w:t>
      </w:r>
    </w:p>
    <w:p w:rsidR="00000000" w:rsidRDefault="00DE7B41">
      <w:pPr>
        <w:pStyle w:val="a3"/>
        <w:spacing w:before="0" w:beforeAutospacing="0" w:after="120" w:afterAutospacing="0"/>
        <w:divId w:val="662203441"/>
        <w:rPr>
          <w:sz w:val="20"/>
          <w:szCs w:val="20"/>
        </w:rPr>
      </w:pPr>
      <w:r>
        <w:rPr>
          <w:b/>
          <w:bCs/>
          <w:i/>
          <w:iCs/>
          <w:sz w:val="20"/>
          <w:szCs w:val="20"/>
        </w:rPr>
        <w:t>Our relationships with customers and third-party payors are subject to applicable</w:t>
      </w:r>
      <w:r>
        <w:rPr>
          <w:b/>
          <w:bCs/>
          <w:i/>
          <w:iCs/>
          <w:sz w:val="20"/>
          <w:szCs w:val="20"/>
        </w:rPr>
        <w:t xml:space="preserve"> anti-kickback, fraud and abuse, transparency and other healthcare laws and regulations, which could expose us to criminal sanctions, civil penalties, exclusion, contractual damages, reputational harm and diminished profits and future earnings.</w:t>
      </w:r>
    </w:p>
    <w:p w:rsidR="00000000" w:rsidRDefault="00DE7B41">
      <w:pPr>
        <w:pStyle w:val="a3"/>
        <w:spacing w:before="0" w:beforeAutospacing="0" w:after="240" w:afterAutospacing="0"/>
        <w:ind w:firstLine="720"/>
        <w:divId w:val="662203441"/>
        <w:rPr>
          <w:sz w:val="20"/>
          <w:szCs w:val="20"/>
        </w:rPr>
      </w:pPr>
      <w:r>
        <w:rPr>
          <w:sz w:val="20"/>
          <w:szCs w:val="20"/>
        </w:rPr>
        <w:t xml:space="preserve">Healthcare </w:t>
      </w:r>
      <w:r>
        <w:rPr>
          <w:sz w:val="20"/>
          <w:szCs w:val="20"/>
        </w:rPr>
        <w:t>providers, physicians, distributors and third-party payors play a primary role in the distribution, recommendation and prescription of any pharmaceutical product for which we obtain marketing approval. Our arrangements with third-party payors and customers</w:t>
      </w:r>
      <w:r>
        <w:rPr>
          <w:sz w:val="20"/>
          <w:szCs w:val="20"/>
        </w:rPr>
        <w:t xml:space="preserve"> expose us to broadly applicable fraud and abuse and other healthcare laws and regulations that may constrain the business or financial arrangements through which we market, sell and distribute any products for which we have obtained or may obtain marketin</w:t>
      </w:r>
      <w:r>
        <w:rPr>
          <w:sz w:val="20"/>
          <w:szCs w:val="20"/>
        </w:rPr>
        <w:t>g approval. Restrictions under applicable federal and state healthcare laws and regulations include the following:</w:t>
      </w:r>
    </w:p>
    <w:p w:rsidR="00000000" w:rsidRDefault="00DE7B41">
      <w:pPr>
        <w:pStyle w:val="a3"/>
        <w:spacing w:before="360" w:beforeAutospacing="0" w:after="0" w:afterAutospacing="0"/>
        <w:jc w:val="center"/>
        <w:divId w:val="1021398135"/>
        <w:rPr>
          <w:sz w:val="20"/>
          <w:szCs w:val="20"/>
        </w:rPr>
      </w:pPr>
      <w:r>
        <w:rPr>
          <w:sz w:val="20"/>
          <w:szCs w:val="20"/>
        </w:rPr>
        <w:t>62</w:t>
      </w:r>
    </w:p>
    <w:p w:rsidR="00000000" w:rsidRDefault="00DE7B41">
      <w:pPr>
        <w:pStyle w:val="a3"/>
        <w:spacing w:before="0" w:beforeAutospacing="0" w:after="600" w:afterAutospacing="0"/>
        <w:divId w:val="1923566723"/>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3058225"/>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US federal healthcare Anti-Kickback Statute prohibits any person from, among other things, knowingly and willfully offering, paying, soliciting, or receiving remuneration, directly or indirectly, in cash or in kind, to induce or reward either the refer</w:t>
            </w:r>
            <w:r>
              <w:rPr>
                <w:sz w:val="20"/>
                <w:szCs w:val="20"/>
              </w:rPr>
              <w:t>ral of an individual for, or the purchasing, leasing, ordering or arranging for or recommending of any good or service for which payment may be made, in whole or in part, under federal and state healthcare programs such as Medicare and Medicaid. The term “</w:t>
            </w:r>
            <w:r>
              <w:rPr>
                <w:sz w:val="20"/>
                <w:szCs w:val="20"/>
              </w:rPr>
              <w:t>remuneration” has been broadly interpreted to include anything of value. The Anti-Kickback Statute is subject to evolving interpretation and has been applied by government enforcement officials to a number of common business arrangements in the pharmaceuti</w:t>
            </w:r>
            <w:r>
              <w:rPr>
                <w:sz w:val="20"/>
                <w:szCs w:val="20"/>
              </w:rPr>
              <w:t>cal industry. The government can establish a violation of the Anti-Kickback Statute without proving that a person or entity had actual knowledge of the statute or specific intent to violate it. There are a number of statutory exemptions and regulatory safe</w:t>
            </w:r>
            <w:r>
              <w:rPr>
                <w:sz w:val="20"/>
                <w:szCs w:val="20"/>
              </w:rPr>
              <w:t xml:space="preserve"> harbors protecting some common activities from prosecution; however, those exceptions and safe harbors are drawn narrowly. Failure to meet all of the requirements of a particular statutory exception or regulatory safe harbor does not make the conduct per </w:t>
            </w:r>
            <w:r>
              <w:rPr>
                <w:sz w:val="20"/>
                <w:szCs w:val="20"/>
              </w:rPr>
              <w:t>se illegal under the Anti-Kickback Statute, but the legality of the arrangement will be evaluated on a case-by-case basis based on the totality of the facts and circumstances. We seek to comply with the available statutory exemptions and safe harbors whene</w:t>
            </w:r>
            <w:r>
              <w:rPr>
                <w:sz w:val="20"/>
                <w:szCs w:val="20"/>
              </w:rPr>
              <w:t>ver possible, but our practices may not in all cases meet all of the criteria for safe harbor protection from anti-kickback liability. Moreover, there are no safe harbors for many common practices, such as educational and research grants or patient or prod</w:t>
            </w:r>
            <w:r>
              <w:rPr>
                <w:sz w:val="20"/>
                <w:szCs w:val="20"/>
              </w:rPr>
              <w:t>uct assistance programs. In October 2019, the federal government published a proposed regulation that would create new safe harbors for (among other things) certain value-based arrangements and patient engagement tools and modify and clarify the scope of e</w:t>
            </w:r>
            <w:r>
              <w:rPr>
                <w:sz w:val="20"/>
                <w:szCs w:val="20"/>
              </w:rPr>
              <w:t>xisting safe harbors for warranties and personal service agreements; even if it is finalized, the impact of the proposed regulation on our operations is not yet clear.</w:t>
            </w:r>
          </w:p>
        </w:tc>
      </w:tr>
    </w:tbl>
    <w:p w:rsidR="00000000" w:rsidRDefault="00DE7B41">
      <w:pPr>
        <w:divId w:val="8830582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3058225"/>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federal civil False Claims Act prohibits, among other things, knowingly present</w:t>
            </w:r>
            <w:r>
              <w:rPr>
                <w:sz w:val="20"/>
                <w:szCs w:val="20"/>
              </w:rPr>
              <w:t>ing, or causing to be presented, claims for payment of government funds that are false or fraudulent, or knowingly making, or using or causing to be made or used, a false record or statement material to a false or fraudulent claim to avoid, decrease, or co</w:t>
            </w:r>
            <w:r>
              <w:rPr>
                <w:sz w:val="20"/>
                <w:szCs w:val="20"/>
              </w:rPr>
              <w:t xml:space="preserve">nceal an obligation to pay money to the federal government. Private individuals, commonly known as “whistleblowers,” can bring civil False Claims Act </w:t>
            </w:r>
            <w:r>
              <w:rPr>
                <w:i/>
                <w:iCs/>
                <w:sz w:val="20"/>
                <w:szCs w:val="20"/>
              </w:rPr>
              <w:t>qui tam</w:t>
            </w:r>
            <w:r>
              <w:rPr>
                <w:sz w:val="20"/>
                <w:szCs w:val="20"/>
              </w:rPr>
              <w:t xml:space="preserve"> actions, on behalf of the government and such individuals and may share in amounts paid by the ent</w:t>
            </w:r>
            <w:r>
              <w:rPr>
                <w:sz w:val="20"/>
                <w:szCs w:val="20"/>
              </w:rPr>
              <w:t>ity to the government in recovery or settlement. In recent years, several pharmaceutical and other healthcare companies have faced enforcement actions under the federal False Claims Act for, among other things, allegedly submitting false or misleading pric</w:t>
            </w:r>
            <w:r>
              <w:rPr>
                <w:sz w:val="20"/>
                <w:szCs w:val="20"/>
              </w:rPr>
              <w:t>ing information to government health care programs and providing free product to customers with the expectation that the customers would bill federal programs for the product. Federal enforcement agencies also have showed increased interest in pharmaceutic</w:t>
            </w:r>
            <w:r>
              <w:rPr>
                <w:sz w:val="20"/>
                <w:szCs w:val="20"/>
              </w:rPr>
              <w:t>al companies’ product and patient assistance programs, including reimbursement and co-pay support services, and a number of investigations into these programs have resulted in significant civil and criminal settlements. Other companies have faced enforceme</w:t>
            </w:r>
            <w:r>
              <w:rPr>
                <w:sz w:val="20"/>
                <w:szCs w:val="20"/>
              </w:rPr>
              <w:t>nt actions for causing false claims to be submitted because of the company’s marketing the product for unapproved, and thus non-reimbursable, uses. In addition, a claim including items or services resulting from a violation of the federal Anti-Kickback Sta</w:t>
            </w:r>
            <w:r>
              <w:rPr>
                <w:sz w:val="20"/>
                <w:szCs w:val="20"/>
              </w:rPr>
              <w:t>tute constitutes a false or fraudulent claim for purposes of the federal civil False Claims Act. False Claims Act liability is potentially significant in the healthcare industry because the statute provides for treble damages and significant mandatory pena</w:t>
            </w:r>
            <w:r>
              <w:rPr>
                <w:sz w:val="20"/>
                <w:szCs w:val="20"/>
              </w:rPr>
              <w:t>lties per false claim or statement for violations. Because of the potential for large monetary exposure, healthcare and pharmaceutical companies often resolve allegations without admissions of liability for significant and material amounts to avoid the unc</w:t>
            </w:r>
            <w:r>
              <w:rPr>
                <w:sz w:val="20"/>
                <w:szCs w:val="20"/>
              </w:rPr>
              <w:t>ertainty of treble damages and per claim penalties that may be awarded in litigation proceedings. Companies may be required, however, to enter into corporate integrity agreements with the government, which may impose substantial costs on companies to ensur</w:t>
            </w:r>
            <w:r>
              <w:rPr>
                <w:sz w:val="20"/>
                <w:szCs w:val="20"/>
              </w:rPr>
              <w:t>e compliance. Criminal penalties, including imprisonment and criminal fines, are also possible for making or presenting a false, fictitious or fraudulent claim to the federal government.</w:t>
            </w:r>
          </w:p>
        </w:tc>
      </w:tr>
    </w:tbl>
    <w:p w:rsidR="00000000" w:rsidRDefault="00DE7B41">
      <w:pPr>
        <w:divId w:val="8830582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3058225"/>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0" w:afterAutospacing="0"/>
              <w:rPr>
                <w:sz w:val="20"/>
                <w:szCs w:val="20"/>
              </w:rPr>
            </w:pPr>
            <w:r>
              <w:rPr>
                <w:sz w:val="20"/>
                <w:szCs w:val="20"/>
              </w:rPr>
              <w:t xml:space="preserve">HIPAA, among other things, imposes criminal and civil liability </w:t>
            </w:r>
            <w:r>
              <w:rPr>
                <w:sz w:val="20"/>
                <w:szCs w:val="20"/>
              </w:rPr>
              <w:t>for knowingly and willfully executing a scheme to defraud any healthcare benefit program, including private third-party payors, and also imposes obligations, including mandatory contractual terms, with respect to safeguarding the privacy, security and tran</w:t>
            </w:r>
            <w:r>
              <w:rPr>
                <w:sz w:val="20"/>
                <w:szCs w:val="20"/>
              </w:rPr>
              <w:t xml:space="preserve">smission of individually identifiable health information. HIPAA also prohibits knowingly and willfully falsifying, concealing or covering up a material fact or making any materially false, fictitious or fraudulent statement or representation, or making or </w:t>
            </w:r>
            <w:r>
              <w:rPr>
                <w:sz w:val="20"/>
                <w:szCs w:val="20"/>
              </w:rPr>
              <w:t xml:space="preserve">using any false writing or document knowing the same to contain any materially false fictitious or fraudulent statement or entry in connection with the delivery of or payment for </w:t>
            </w:r>
          </w:p>
        </w:tc>
      </w:tr>
    </w:tbl>
    <w:p w:rsidR="00000000" w:rsidRDefault="00DE7B41">
      <w:pPr>
        <w:pStyle w:val="a3"/>
        <w:spacing w:before="360" w:beforeAutospacing="0" w:after="0" w:afterAutospacing="0"/>
        <w:jc w:val="center"/>
        <w:divId w:val="36004972"/>
        <w:rPr>
          <w:sz w:val="20"/>
          <w:szCs w:val="20"/>
        </w:rPr>
      </w:pPr>
      <w:r>
        <w:rPr>
          <w:sz w:val="20"/>
          <w:szCs w:val="20"/>
        </w:rPr>
        <w:t>63</w:t>
      </w:r>
    </w:p>
    <w:p w:rsidR="00000000" w:rsidRDefault="00DE7B41">
      <w:pPr>
        <w:pStyle w:val="a3"/>
        <w:spacing w:before="0" w:beforeAutospacing="0" w:after="600" w:afterAutospacing="0"/>
        <w:divId w:val="1613123903"/>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ind w:left="1080"/>
        <w:divId w:val="1703238702"/>
        <w:rPr>
          <w:sz w:val="20"/>
          <w:szCs w:val="20"/>
        </w:rPr>
      </w:pPr>
      <w:r>
        <w:rPr>
          <w:sz w:val="20"/>
          <w:szCs w:val="20"/>
        </w:rPr>
        <w:t>healthcare benefits, items o</w:t>
      </w:r>
      <w:r>
        <w:rPr>
          <w:sz w:val="20"/>
          <w:szCs w:val="20"/>
        </w:rPr>
        <w:t>r services. Similar to the federal healthcare Anti-Kickback Statute, a person or entity does not need to have actual knowledge of the statute or specific intent to violate it to have committed a violation.</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03238702"/>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federal Physician Payment Sunshine Act, being implemented as the Open Payments Program, requires certain manufacturers of drugs, devices, biologics, and medical supplies for which payment is available under Medicare, Medicaid or the Children’s Health I</w:t>
            </w:r>
            <w:r>
              <w:rPr>
                <w:sz w:val="20"/>
                <w:szCs w:val="20"/>
              </w:rPr>
              <w:t>nsurance Program (with certain exceptions) to report annually to the US Department of Health and Human Services, Centers for Medicare and Medicaid Services, information related to payments and other transfers of value, directly or indirectly, to physicians</w:t>
            </w:r>
            <w:r>
              <w:rPr>
                <w:sz w:val="20"/>
                <w:szCs w:val="20"/>
              </w:rPr>
              <w:t xml:space="preserve"> (defined to include doctors, dentists, optometrists, podiatrists, and chiropractors) and teaching hospitals, as well as ownership and investment interests held by physicians and their immediate family members. Beginning in 2022, applicable manufacturers a</w:t>
            </w:r>
            <w:r>
              <w:rPr>
                <w:sz w:val="20"/>
                <w:szCs w:val="20"/>
              </w:rPr>
              <w:t xml:space="preserve">lso will be required to report information regarding payments and transfers of value provided to physician assistants, nurse practitioners, clinical nurse specialists, certified nurse anesthetists, and certified nurse-midwives. A manufacturer’s failure to </w:t>
            </w:r>
            <w:r>
              <w:rPr>
                <w:sz w:val="20"/>
                <w:szCs w:val="20"/>
              </w:rPr>
              <w:t>submit timely, accurately and completely the required information for all payments, transfers of value or ownership or investment interests may result in civil monetary penalties of up to an aggregate of $150,000 per year, and up to an aggregate of $1 mill</w:t>
            </w:r>
            <w:r>
              <w:rPr>
                <w:sz w:val="20"/>
                <w:szCs w:val="20"/>
              </w:rPr>
              <w:t>ion per year for “knowing failures.” Manufacturers must submit reports by the 90th day of each calendar year.</w:t>
            </w:r>
          </w:p>
        </w:tc>
      </w:tr>
    </w:tbl>
    <w:p w:rsidR="00000000" w:rsidRDefault="00DE7B41">
      <w:pPr>
        <w:divId w:val="17032387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0323870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Analogous state laws and regulations, such as state anti-kickback and false claims laws, may apply to sales or marketing arrangements and cla</w:t>
            </w:r>
            <w:r>
              <w:rPr>
                <w:sz w:val="20"/>
                <w:szCs w:val="20"/>
              </w:rPr>
              <w:t>ims involving healthcare items or services reimbursed by any third-party payors, including private insurers or patients. Several states also require pharmaceutical companies to report expenses relating to the marketing and promotion of pharmaceutical produ</w:t>
            </w:r>
            <w:r>
              <w:rPr>
                <w:sz w:val="20"/>
                <w:szCs w:val="20"/>
              </w:rPr>
              <w:t>cts in those states and to report gifts and payments to individual health care providers in those states. Some of these states also prohibit certain marketing-related activities, including the provision of gifts, meals, or other items to certain health car</w:t>
            </w:r>
            <w:r>
              <w:rPr>
                <w:sz w:val="20"/>
                <w:szCs w:val="20"/>
              </w:rPr>
              <w:t>e providers, and restrict the ability of manufacturers to offer co-pay support to patients for certain prescription drugs. Some states require the posting of information relating to clinical studies and their outcomes. Some states and cities require identi</w:t>
            </w:r>
            <w:r>
              <w:rPr>
                <w:sz w:val="20"/>
                <w:szCs w:val="20"/>
              </w:rPr>
              <w:t>fication or licensing of sales representatives. In addition, several states require pharmaceutical companies to implement compliance programs or marketing codes.</w:t>
            </w:r>
          </w:p>
        </w:tc>
      </w:tr>
    </w:tbl>
    <w:p w:rsidR="00000000" w:rsidRDefault="00DE7B41">
      <w:pPr>
        <w:divId w:val="17032387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0323870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Similar restrictions are imposed on the promotion and marketing of medicinal products in </w:t>
            </w:r>
            <w:r>
              <w:rPr>
                <w:sz w:val="20"/>
                <w:szCs w:val="20"/>
              </w:rPr>
              <w:t xml:space="preserve">the EU Member States and other countries, including restrictions prohibiting the promotion of a compound prior to its approval. Laws (including those governing promotion, marketing and anti-kickback provisions), industry regulations and professional codes </w:t>
            </w:r>
            <w:r>
              <w:rPr>
                <w:sz w:val="20"/>
                <w:szCs w:val="20"/>
              </w:rPr>
              <w:t>of conduct often are strictly enforced. Even in those countries where we may decide not to directly promote or market our products, inappropriate activity by our international distribution partners could have implications for us.</w:t>
            </w:r>
          </w:p>
        </w:tc>
      </w:tr>
    </w:tbl>
    <w:p w:rsidR="00000000" w:rsidRDefault="00DE7B41">
      <w:pPr>
        <w:pStyle w:val="a3"/>
        <w:spacing w:before="0" w:beforeAutospacing="0" w:after="240" w:afterAutospacing="0"/>
        <w:ind w:firstLine="720"/>
        <w:divId w:val="1703238702"/>
        <w:rPr>
          <w:sz w:val="20"/>
          <w:szCs w:val="20"/>
        </w:rPr>
      </w:pPr>
      <w:r>
        <w:rPr>
          <w:sz w:val="20"/>
          <w:szCs w:val="20"/>
        </w:rPr>
        <w:t>The shifting commercial c</w:t>
      </w:r>
      <w:r>
        <w:rPr>
          <w:sz w:val="20"/>
          <w:szCs w:val="20"/>
        </w:rPr>
        <w:t>ompliance environment and the need to build and maintain robust and expandable systems to comply with different compliance or reporting requirements in multiple jurisdictions increase the possibility that we or our partners may fail to comply fully with on</w:t>
      </w:r>
      <w:r>
        <w:rPr>
          <w:sz w:val="20"/>
          <w:szCs w:val="20"/>
        </w:rPr>
        <w:t xml:space="preserve">e or more of these requirements. Efforts to ensure that our business arrangements with third parties will comply with applicable healthcare laws and regulations may involve substantial costs. It is possible that governmental authorities will conclude that </w:t>
      </w:r>
      <w:r>
        <w:rPr>
          <w:sz w:val="20"/>
          <w:szCs w:val="20"/>
        </w:rPr>
        <w:t>our business practices may not comply with applicable fraud and abuse or other healthcare laws and regulations or guidance. If our operations are found to be in violation of any of these laws or any other governmental regulations that may apply to us, we m</w:t>
      </w:r>
      <w:r>
        <w:rPr>
          <w:sz w:val="20"/>
          <w:szCs w:val="20"/>
        </w:rPr>
        <w:t>ay be subject to significant civil, criminal and administrative penalties, damages, fines, disgorgement, exclusion from government funded healthcare programs, such as Medicare and Medicaid in the US and similar programs outside the US, contractual damages,</w:t>
      </w:r>
      <w:r>
        <w:rPr>
          <w:sz w:val="20"/>
          <w:szCs w:val="20"/>
        </w:rPr>
        <w:t xml:space="preserve"> diminished profits and future earnings, and the curtailment or restructuring of our operations, any of which could adversely affect our ability to operate our business and our financial results. If any of the physicians or other providers or entities with</w:t>
      </w:r>
      <w:r>
        <w:rPr>
          <w:sz w:val="20"/>
          <w:szCs w:val="20"/>
        </w:rPr>
        <w:t xml:space="preserve"> whom we do or expect to do business are found to not be in compliance with applicable laws, they may be subject to criminal, civil or administrative sanctions, including exclusions from government funded healthcare programs. Even if we are not determined </w:t>
      </w:r>
      <w:r>
        <w:rPr>
          <w:sz w:val="20"/>
          <w:szCs w:val="20"/>
        </w:rPr>
        <w:t>to have violated these laws, government investigations into these issues typically require the expenditure of significant resources and generate negative publicity, which could harm our financial condition and divert resources and the attention of our mana</w:t>
      </w:r>
      <w:r>
        <w:rPr>
          <w:sz w:val="20"/>
          <w:szCs w:val="20"/>
        </w:rPr>
        <w:t>gement from operating our business.</w:t>
      </w:r>
    </w:p>
    <w:p w:rsidR="00000000" w:rsidRDefault="00DE7B41">
      <w:pPr>
        <w:pStyle w:val="a3"/>
        <w:spacing w:before="360" w:beforeAutospacing="0" w:after="0" w:afterAutospacing="0"/>
        <w:jc w:val="center"/>
        <w:divId w:val="1815826457"/>
        <w:rPr>
          <w:sz w:val="20"/>
          <w:szCs w:val="20"/>
        </w:rPr>
      </w:pPr>
      <w:r>
        <w:rPr>
          <w:sz w:val="20"/>
          <w:szCs w:val="20"/>
        </w:rPr>
        <w:t>64</w:t>
      </w:r>
    </w:p>
    <w:p w:rsidR="00000000" w:rsidRDefault="00DE7B41">
      <w:pPr>
        <w:pStyle w:val="a3"/>
        <w:spacing w:before="0" w:beforeAutospacing="0" w:after="600" w:afterAutospacing="0"/>
        <w:divId w:val="1475219766"/>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1056196682"/>
        <w:rPr>
          <w:sz w:val="20"/>
          <w:szCs w:val="20"/>
        </w:rPr>
      </w:pPr>
      <w:r>
        <w:rPr>
          <w:b/>
          <w:bCs/>
          <w:i/>
          <w:iCs/>
          <w:sz w:val="20"/>
          <w:szCs w:val="20"/>
        </w:rPr>
        <w:t>Our business and operations, including the use of hazardous and biological materials may result in liabilities with respect to environmental, health and safety matters.</w:t>
      </w:r>
    </w:p>
    <w:p w:rsidR="00000000" w:rsidRDefault="00DE7B41">
      <w:pPr>
        <w:pStyle w:val="a3"/>
        <w:spacing w:before="0" w:beforeAutospacing="0" w:after="240" w:afterAutospacing="0"/>
        <w:ind w:firstLine="720"/>
        <w:divId w:val="1056196682"/>
        <w:rPr>
          <w:sz w:val="20"/>
          <w:szCs w:val="20"/>
        </w:rPr>
      </w:pPr>
      <w:r>
        <w:rPr>
          <w:sz w:val="20"/>
          <w:szCs w:val="20"/>
        </w:rPr>
        <w:t>Our research and development activities involve the controlled use of potentially hazardous substances, including chemical, biological and radioactive materials. In addition, our operations produce hazardous waste products, including hazardous waste. Feder</w:t>
      </w:r>
      <w:r>
        <w:rPr>
          <w:sz w:val="20"/>
          <w:szCs w:val="20"/>
        </w:rPr>
        <w:t>al, state and local laws and regulations govern the use, manufacture, management, storage, handling and disposal of hazardous materials and wastes. We may incur significant additional costs or liabilities to comply with, or for violations of, these and oth</w:t>
      </w:r>
      <w:r>
        <w:rPr>
          <w:sz w:val="20"/>
          <w:szCs w:val="20"/>
        </w:rPr>
        <w:t>er applicable laws in the future. Also, even if we are in compliance with applicable laws, we cannot completely eliminate the risk of contamination or injury resulting from hazardous materials and we may incur liability as a result of any such contaminatio</w:t>
      </w:r>
      <w:r>
        <w:rPr>
          <w:sz w:val="20"/>
          <w:szCs w:val="20"/>
        </w:rPr>
        <w:t>n or injury. Further, in the event of a release of or exposure to hazardous materials, including at the sites we currently or formerly operate or at sites such as landfills where we send wastes for disposal, we could be held liable for cleanup costs or dam</w:t>
      </w:r>
      <w:r>
        <w:rPr>
          <w:sz w:val="20"/>
          <w:szCs w:val="20"/>
        </w:rPr>
        <w:t>ages or subject to other costs or penalties and such liability could exceed our resources. We do not have any insurance for liabilities arising from hazardous materials or under environmental laws. Compliance with or liability under applicable environmenta</w:t>
      </w:r>
      <w:r>
        <w:rPr>
          <w:sz w:val="20"/>
          <w:szCs w:val="20"/>
        </w:rPr>
        <w:t>l laws and regulations or with respect to hazardous materials may be expensive, and current or future environmental regulations may impair our research, development and production efforts, which could harm our business, which could cause the price of our s</w:t>
      </w:r>
      <w:r>
        <w:rPr>
          <w:sz w:val="20"/>
          <w:szCs w:val="20"/>
        </w:rPr>
        <w:t>ecurities to fall.</w:t>
      </w:r>
    </w:p>
    <w:p w:rsidR="00000000" w:rsidRDefault="00DE7B41">
      <w:pPr>
        <w:pStyle w:val="a3"/>
        <w:spacing w:before="0" w:beforeAutospacing="0" w:after="120" w:afterAutospacing="0"/>
        <w:divId w:val="1056196682"/>
        <w:rPr>
          <w:rFonts w:ascii="Times" w:hAnsi="Times"/>
          <w:b/>
          <w:bCs/>
          <w:sz w:val="20"/>
          <w:szCs w:val="20"/>
        </w:rPr>
      </w:pPr>
      <w:r>
        <w:rPr>
          <w:rFonts w:ascii="Times" w:hAnsi="Times"/>
          <w:b/>
          <w:bCs/>
          <w:sz w:val="20"/>
          <w:szCs w:val="20"/>
        </w:rPr>
        <w:t>RISKS RELATING TO OUR ORDINARY SHARES</w:t>
      </w:r>
      <w:r>
        <w:rPr>
          <w:rFonts w:ascii="Times" w:hAnsi="Times"/>
          <w:b/>
          <w:bCs/>
          <w:sz w:val="20"/>
          <w:szCs w:val="20"/>
        </w:rPr>
        <w:t xml:space="preserve"> </w:t>
      </w:r>
    </w:p>
    <w:p w:rsidR="00000000" w:rsidRDefault="00DE7B41">
      <w:pPr>
        <w:pStyle w:val="a3"/>
        <w:spacing w:before="0" w:beforeAutospacing="0" w:after="120" w:afterAutospacing="0"/>
        <w:divId w:val="1056196682"/>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DE7B41">
      <w:pPr>
        <w:pStyle w:val="a3"/>
        <w:spacing w:before="0" w:beforeAutospacing="0" w:after="240" w:afterAutospacing="0"/>
        <w:ind w:firstLine="720"/>
        <w:divId w:val="1056196682"/>
        <w:rPr>
          <w:sz w:val="20"/>
          <w:szCs w:val="20"/>
        </w:rPr>
      </w:pPr>
      <w:r>
        <w:rPr>
          <w:sz w:val="20"/>
          <w:szCs w:val="20"/>
        </w:rPr>
        <w:t>The market price for our shares has and may continue to fluctuate widely and may result in substantial loss</w:t>
      </w:r>
      <w:r>
        <w:rPr>
          <w:sz w:val="20"/>
          <w:szCs w:val="20"/>
        </w:rPr>
        <w:t>es for purchasers of our ordinary shares. To the extent that low trading volumes for our ordinary shares continues, our stock price may fluctuate significantly more than the stock market as a whole or the stock prices of similar companies. Without a larger</w:t>
      </w:r>
      <w:r>
        <w:rPr>
          <w:sz w:val="20"/>
          <w:szCs w:val="20"/>
        </w:rPr>
        <w:t xml:space="preserve"> public float of actively traded shares, our ordinary shares are likely to be more sensitive to changes in sales volumes, market fluctuations and events or perceived events with respect to our business, than the shares of common stock of companies with bro</w:t>
      </w:r>
      <w:r>
        <w:rPr>
          <w:sz w:val="20"/>
          <w:szCs w:val="20"/>
        </w:rPr>
        <w:t>ader public ownership, and as a result, the trading prices for our ordinary shares may be more volatile. Among other things, trading of a relatively small volume of ordinary shares may have a greater effect on the trading price than would be the case if ou</w:t>
      </w:r>
      <w:r>
        <w:rPr>
          <w:sz w:val="20"/>
          <w:szCs w:val="20"/>
        </w:rPr>
        <w:t>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w:t>
      </w:r>
      <w:r>
        <w:rPr>
          <w:sz w:val="20"/>
          <w:szCs w:val="20"/>
        </w:rPr>
        <w:t>tions of our shares which, if sold within a relatively short timeframe, could cause the price of our shares to drop significantly.</w:t>
      </w:r>
    </w:p>
    <w:p w:rsidR="00000000" w:rsidRDefault="00DE7B41">
      <w:pPr>
        <w:pStyle w:val="a3"/>
        <w:spacing w:before="0" w:beforeAutospacing="0" w:after="240" w:afterAutospacing="0"/>
        <w:ind w:firstLine="720"/>
        <w:divId w:val="1056196682"/>
        <w:rPr>
          <w:sz w:val="20"/>
          <w:szCs w:val="20"/>
        </w:rPr>
      </w:pPr>
      <w:r>
        <w:rPr>
          <w:sz w:val="20"/>
          <w:szCs w:val="20"/>
        </w:rPr>
        <w:t>Market prices for securities of biotechnology and biopharmaceutical companies have been highly volatile, and we expect such v</w:t>
      </w:r>
      <w:r>
        <w:rPr>
          <w:sz w:val="20"/>
          <w:szCs w:val="20"/>
        </w:rPr>
        <w:t>olatility to continue for the foreseeable future, so that investment in our ordinary shares involves substantial risk. Additionally, the stock market from time to time has experienced significant price and volume fluctuations unrelated to the operating per</w:t>
      </w:r>
      <w:r>
        <w:rPr>
          <w:sz w:val="20"/>
          <w:szCs w:val="20"/>
        </w:rPr>
        <w:t>formance of particular companies.</w:t>
      </w:r>
    </w:p>
    <w:p w:rsidR="00000000" w:rsidRDefault="00DE7B41">
      <w:pPr>
        <w:pStyle w:val="a3"/>
        <w:spacing w:before="0" w:beforeAutospacing="0" w:after="240" w:afterAutospacing="0"/>
        <w:ind w:firstLine="720"/>
        <w:divId w:val="1056196682"/>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216"/>
      </w:tblGrid>
      <w:tr w:rsidR="00000000">
        <w:trPr>
          <w:divId w:val="1056196682"/>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lower than expected sales of YUPELRI;</w:t>
            </w:r>
          </w:p>
        </w:tc>
      </w:tr>
    </w:tbl>
    <w:p w:rsidR="00000000" w:rsidRDefault="00DE7B41">
      <w:pPr>
        <w:divId w:val="105619668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5619668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adverse developments or results or perceived adverse de</w:t>
            </w:r>
            <w:r>
              <w:rPr>
                <w:sz w:val="20"/>
                <w:szCs w:val="20"/>
              </w:rPr>
              <w:t>velopments or results with respect to the GSK Partnered Respiratory Programs including, without limitation, lower than expected sales of TRELEGY ELLIPTA, difficulties or delays encountered with regard to the FDA or other regulatory authorities in these pro</w:t>
            </w:r>
            <w:r>
              <w:rPr>
                <w:sz w:val="20"/>
                <w:szCs w:val="20"/>
              </w:rPr>
              <w:t>grams or any indication from clinical or non-clinical studies that the compounds in such programs are not safe or efficacious;</w:t>
            </w:r>
          </w:p>
        </w:tc>
      </w:tr>
    </w:tbl>
    <w:p w:rsidR="00000000" w:rsidRDefault="00DE7B41">
      <w:pPr>
        <w:divId w:val="105619668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56196682"/>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adverse developments or results or perceived adverse developments or results with respect to our key clinical developmen</w:t>
            </w:r>
            <w:r>
              <w:rPr>
                <w:sz w:val="20"/>
                <w:szCs w:val="20"/>
              </w:rPr>
              <w:t>t programs, for example our JAK inhibitor program or ampreloxetine, including, without limitation, any delays in development in these programs, any halting of development in these programs, any difficulties or delays encountered with regard to the FDA or o</w:t>
            </w:r>
            <w:r>
              <w:rPr>
                <w:sz w:val="20"/>
                <w:szCs w:val="20"/>
              </w:rPr>
              <w:t>ther regulatory authorities in these programs (including any class-based risks that emerge as a FDA or other regulatory agency focus), or any indication from clinical or non-clinical studies that the compounds in such programs are not safe or efficacious;</w:t>
            </w:r>
          </w:p>
        </w:tc>
      </w:tr>
    </w:tbl>
    <w:p w:rsidR="00000000" w:rsidRDefault="00DE7B41">
      <w:pPr>
        <w:pStyle w:val="a3"/>
        <w:spacing w:before="360" w:beforeAutospacing="0" w:after="0" w:afterAutospacing="0"/>
        <w:jc w:val="center"/>
        <w:divId w:val="1459179369"/>
        <w:rPr>
          <w:sz w:val="20"/>
          <w:szCs w:val="20"/>
        </w:rPr>
      </w:pPr>
      <w:r>
        <w:rPr>
          <w:sz w:val="20"/>
          <w:szCs w:val="20"/>
        </w:rPr>
        <w:t>65</w:t>
      </w:r>
    </w:p>
    <w:p w:rsidR="00000000" w:rsidRDefault="00DE7B41">
      <w:pPr>
        <w:pStyle w:val="a3"/>
        <w:spacing w:before="0" w:beforeAutospacing="0" w:after="600" w:afterAutospacing="0"/>
        <w:divId w:val="203710434"/>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announcements of developments with, or comments by, the FDA or other regulatory authorities with respect to products we or our partners have under development, are manufacturing or have commercialized;</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any adverse developments or disagreements or </w:t>
            </w:r>
            <w:r>
              <w:rPr>
                <w:sz w:val="20"/>
                <w:szCs w:val="20"/>
              </w:rPr>
              <w:t>perceived adverse developments or disagreements with respect to our relationship with Innoviva, such as our recently completed arbitration proceeding, or the relationship of Innoviva or TRC on the one hand and GSK on the other hand, including any such deve</w:t>
            </w:r>
            <w:r>
              <w:rPr>
                <w:sz w:val="20"/>
                <w:szCs w:val="20"/>
              </w:rPr>
              <w:t>lopments or disagreements resulting from or relating to the TRC LLC Agreement or to the Spin-Off;</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adverse developments or perceived adverse developments with respect to our relationship with any of our research, development or commercialization pa</w:t>
            </w:r>
            <w:r>
              <w:rPr>
                <w:sz w:val="20"/>
                <w:szCs w:val="20"/>
              </w:rPr>
              <w:t>rtners, including, without limitation, disagreements that may arise between us and any of those partners;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any adverse developments or perceived adverse developments in our programs with respect to partnering efforts or otherwise;</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announcements of patent issuances or denials, technological innovations or new commercial products by us or our competitors;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publicity regarding actual or potential study results or the outcome of regulatory review relating to products under developme</w:t>
            </w:r>
            <w:r>
              <w:rPr>
                <w:sz w:val="20"/>
                <w:szCs w:val="20"/>
              </w:rPr>
              <w:t>nt by us, our partners or our competitors;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regulatory developments in the US and foreign countries;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announcements with respect to governmental or private insurer reimbursement policies;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announcements of equity or debt financings;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possible impairment charges on non-marketable equity securities;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economic and other external factors beyond our control, such as the COVID-19 pandemic and fluctuations in interest rates;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loss of key personnel;</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likelihood of our ordinary shar</w:t>
            </w:r>
            <w:r>
              <w:rPr>
                <w:sz w:val="20"/>
                <w:szCs w:val="20"/>
              </w:rPr>
              <w:t>es to be more sensitive to changes in sales volume, market fluctuations and events or perceived events with respect to our business due to our small public float;</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low public market trading volumes for our ordinary shares related in part to the concentration of ownership of our shares;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sale of large concentrations of our shares, which may be more likely to occur due to the concentration of ownership of our s</w:t>
            </w:r>
            <w:r>
              <w:rPr>
                <w:sz w:val="20"/>
                <w:szCs w:val="20"/>
              </w:rPr>
              <w:t>hares, such as what we experienced when our largest shareholder, Woodford Investment Management Limited, divested its holdings in 2019;</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developments or disputes as to patent or other proprietary rights;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approval or introduction of competing produ</w:t>
            </w:r>
            <w:r>
              <w:rPr>
                <w:sz w:val="20"/>
                <w:szCs w:val="20"/>
              </w:rPr>
              <w:t>cts and technologies;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results of clinical trials;</w:t>
            </w:r>
          </w:p>
        </w:tc>
      </w:tr>
    </w:tbl>
    <w:p w:rsidR="00000000" w:rsidRDefault="00DE7B41">
      <w:pPr>
        <w:divId w:val="21277719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777194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failures or unexpected delays in timelines for our potential products in development, including the obtaining of regulatory approvals;</w:t>
            </w:r>
          </w:p>
        </w:tc>
      </w:tr>
    </w:tbl>
    <w:p w:rsidR="00000000" w:rsidRDefault="00DE7B41">
      <w:pPr>
        <w:pStyle w:val="a3"/>
        <w:spacing w:before="360" w:beforeAutospacing="0" w:after="0" w:afterAutospacing="0"/>
        <w:jc w:val="center"/>
        <w:divId w:val="284194777"/>
        <w:rPr>
          <w:sz w:val="20"/>
          <w:szCs w:val="20"/>
        </w:rPr>
      </w:pPr>
      <w:r>
        <w:rPr>
          <w:sz w:val="20"/>
          <w:szCs w:val="20"/>
        </w:rPr>
        <w:t>66</w:t>
      </w:r>
    </w:p>
    <w:p w:rsidR="00000000" w:rsidRDefault="00DE7B41">
      <w:pPr>
        <w:pStyle w:val="a3"/>
        <w:spacing w:before="0" w:beforeAutospacing="0" w:after="600" w:afterAutospacing="0"/>
        <w:divId w:val="23042923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433740476"/>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delays in manufacturing adversely affecting clinical or commercial ope</w:t>
            </w:r>
            <w:r>
              <w:rPr>
                <w:sz w:val="20"/>
                <w:szCs w:val="20"/>
              </w:rPr>
              <w:t>rations;</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fluctuations in our operating results;</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market reaction to announcements by other biotechnology or pharmaceutical companies;</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initiation, termination or modification of agreements with our collaborators or disputes or disagreements with collaborators;</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litigation or the threat of litigation;</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 xml:space="preserve">public concern as to the safety of product candidates or medicines developed by </w:t>
            </w:r>
            <w:r>
              <w:rPr>
                <w:sz w:val="20"/>
                <w:szCs w:val="20"/>
              </w:rPr>
              <w:t>us; and</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comments and expectations of results made by securities analysts or investors.</w:t>
            </w:r>
          </w:p>
        </w:tc>
      </w:tr>
    </w:tbl>
    <w:p w:rsidR="00000000" w:rsidRDefault="00DE7B41">
      <w:pPr>
        <w:pStyle w:val="a3"/>
        <w:spacing w:before="0" w:beforeAutospacing="0" w:after="240" w:afterAutospacing="0"/>
        <w:ind w:firstLine="720"/>
        <w:divId w:val="1433740476"/>
        <w:rPr>
          <w:sz w:val="20"/>
          <w:szCs w:val="20"/>
        </w:rPr>
      </w:pPr>
      <w:r>
        <w:rPr>
          <w:sz w:val="20"/>
          <w:szCs w:val="20"/>
        </w:rPr>
        <w:t>If any of these factors causes us to fail to meet the expectations of securities analysts or investors, or if adverse conditions prevail or are perceived to prevai</w:t>
      </w:r>
      <w:r>
        <w:rPr>
          <w:sz w:val="20"/>
          <w:szCs w:val="20"/>
        </w:rPr>
        <w:t>l with respect to our business, the price of the ordinary shares would likely drop significantly. A significant drop in the price of a company’s securities often leads to the filing of securities class action litigation against the company. This type of li</w:t>
      </w:r>
      <w:r>
        <w:rPr>
          <w:sz w:val="20"/>
          <w:szCs w:val="20"/>
        </w:rPr>
        <w:t>tigation against us could result in substantial costs and a diversion of management’s attention and resources.</w:t>
      </w:r>
    </w:p>
    <w:p w:rsidR="00000000" w:rsidRDefault="00DE7B41">
      <w:pPr>
        <w:pStyle w:val="a3"/>
        <w:spacing w:before="0" w:beforeAutospacing="0" w:after="120" w:afterAutospacing="0"/>
        <w:divId w:val="1433740476"/>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rsidR="00000000" w:rsidRDefault="00DE7B41">
      <w:pPr>
        <w:pStyle w:val="a3"/>
        <w:spacing w:before="0" w:beforeAutospacing="0" w:after="240" w:afterAutospacing="0"/>
        <w:ind w:firstLine="720"/>
        <w:divId w:val="1433740476"/>
        <w:rPr>
          <w:sz w:val="20"/>
          <w:szCs w:val="20"/>
        </w:rPr>
      </w:pPr>
      <w:r>
        <w:rPr>
          <w:sz w:val="20"/>
          <w:szCs w:val="20"/>
        </w:rPr>
        <w:t>Based on our review of publicly available filings, as of March 31, 2020, our three largest shareholders collectively owned 43.9% of our outstanding ordinary shares. These shareholders could control the outcome of actions taken by us that require shareholde</w:t>
      </w:r>
      <w:r>
        <w:rPr>
          <w:sz w:val="20"/>
          <w:szCs w:val="20"/>
        </w:rPr>
        <w:t>r approval, including a transaction in which shareholders might receive a premium over the prevailing market price for their shares.</w:t>
      </w:r>
    </w:p>
    <w:p w:rsidR="00000000" w:rsidRDefault="00DE7B41">
      <w:pPr>
        <w:pStyle w:val="a3"/>
        <w:spacing w:before="0" w:beforeAutospacing="0" w:after="120" w:afterAutospacing="0"/>
        <w:divId w:val="1433740476"/>
        <w:rPr>
          <w:sz w:val="20"/>
          <w:szCs w:val="20"/>
        </w:rPr>
      </w:pPr>
      <w:r>
        <w:rPr>
          <w:b/>
          <w:bCs/>
          <w:i/>
          <w:iCs/>
          <w:sz w:val="20"/>
          <w:szCs w:val="20"/>
        </w:rPr>
        <w:t>Certain provisions in our constitutional and other documents may discourage our acquisition by a third-party, which could l</w:t>
      </w:r>
      <w:r>
        <w:rPr>
          <w:b/>
          <w:bCs/>
          <w:i/>
          <w:iCs/>
          <w:sz w:val="20"/>
          <w:szCs w:val="20"/>
        </w:rPr>
        <w:t>imit your opportunity to sell shares at a premium.</w:t>
      </w:r>
    </w:p>
    <w:p w:rsidR="00000000" w:rsidRDefault="00DE7B41">
      <w:pPr>
        <w:pStyle w:val="a3"/>
        <w:spacing w:before="0" w:beforeAutospacing="0" w:after="240" w:afterAutospacing="0"/>
        <w:ind w:firstLine="720"/>
        <w:divId w:val="1433740476"/>
        <w:rPr>
          <w:sz w:val="20"/>
          <w:szCs w:val="20"/>
        </w:rPr>
      </w:pPr>
      <w:r>
        <w:rPr>
          <w:sz w:val="20"/>
          <w:szCs w:val="20"/>
        </w:rPr>
        <w:t>Our constitutional documents include provisions that could limit the ability of others to acquire control of us, modify our structure or cause us to engage in change-of-control transactions, including, amo</w:t>
      </w:r>
      <w:r>
        <w:rPr>
          <w:sz w:val="20"/>
          <w:szCs w:val="20"/>
        </w:rPr>
        <w:t>ng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3740476"/>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require supermajority shareholder voting to effect certain amendments to our amended and restated memorandum and articles of association;</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establish a classified board of directors;</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restrict our shareholders fr</w:t>
            </w:r>
            <w:r>
              <w:rPr>
                <w:sz w:val="20"/>
                <w:szCs w:val="20"/>
              </w:rPr>
              <w:t>om calling meetings or acting by written consent in lieu of a meeting;</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limit the ability of our shareholders to propose actions at duly convened meetings; and</w:t>
            </w:r>
          </w:p>
        </w:tc>
      </w:tr>
    </w:tbl>
    <w:p w:rsidR="00000000" w:rsidRDefault="00DE7B41">
      <w:pPr>
        <w:divId w:val="14337404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3740476"/>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authorize our board of directors, without action by our shareholders, to issue preferred shares and additional ordinary shares.</w:t>
            </w:r>
          </w:p>
        </w:tc>
      </w:tr>
    </w:tbl>
    <w:p w:rsidR="00000000" w:rsidRDefault="00DE7B41">
      <w:pPr>
        <w:pStyle w:val="a3"/>
        <w:spacing w:before="0" w:beforeAutospacing="0" w:after="240" w:afterAutospacing="0"/>
        <w:ind w:firstLine="720"/>
        <w:divId w:val="1433740476"/>
        <w:rPr>
          <w:sz w:val="20"/>
          <w:szCs w:val="20"/>
        </w:rPr>
      </w:pPr>
      <w:r>
        <w:rPr>
          <w:sz w:val="20"/>
          <w:szCs w:val="20"/>
        </w:rPr>
        <w:t xml:space="preserve">In addition, in May 2018, our shareholders approved a resolution authorizing our board of directors to adopt a shareholder rights plan in the future intended to deter any person from acquiring more than 19.9% of our outstanding ordinary shares without the </w:t>
      </w:r>
      <w:r>
        <w:rPr>
          <w:sz w:val="20"/>
          <w:szCs w:val="20"/>
        </w:rPr>
        <w:t>approval of our board of directors.</w:t>
      </w:r>
    </w:p>
    <w:p w:rsidR="00000000" w:rsidRDefault="00DE7B41">
      <w:pPr>
        <w:pStyle w:val="a3"/>
        <w:spacing w:before="0" w:beforeAutospacing="0" w:after="240" w:afterAutospacing="0"/>
        <w:ind w:firstLine="720"/>
        <w:divId w:val="1433740476"/>
        <w:rPr>
          <w:sz w:val="20"/>
          <w:szCs w:val="20"/>
        </w:rPr>
      </w:pPr>
      <w:r>
        <w:rPr>
          <w:sz w:val="20"/>
          <w:szCs w:val="20"/>
        </w:rPr>
        <w:t>These provisions could have the effect of depriving you of an opportunity to sell your ordinary shares at a premium over prevailing market prices by discouraging third parties from seeking to acquire control of us in a t</w:t>
      </w:r>
      <w:r>
        <w:rPr>
          <w:sz w:val="20"/>
          <w:szCs w:val="20"/>
        </w:rPr>
        <w:t>ender offer or similar transaction.</w:t>
      </w:r>
    </w:p>
    <w:p w:rsidR="00000000" w:rsidRDefault="00DE7B41">
      <w:pPr>
        <w:pStyle w:val="a3"/>
        <w:spacing w:before="360" w:beforeAutospacing="0" w:after="0" w:afterAutospacing="0"/>
        <w:jc w:val="center"/>
        <w:divId w:val="1383482464"/>
        <w:rPr>
          <w:sz w:val="20"/>
          <w:szCs w:val="20"/>
        </w:rPr>
      </w:pPr>
      <w:r>
        <w:rPr>
          <w:sz w:val="20"/>
          <w:szCs w:val="20"/>
        </w:rPr>
        <w:t>67</w:t>
      </w:r>
    </w:p>
    <w:p w:rsidR="00000000" w:rsidRDefault="00DE7B41">
      <w:pPr>
        <w:pStyle w:val="a3"/>
        <w:spacing w:before="0" w:beforeAutospacing="0" w:after="600" w:afterAutospacing="0"/>
        <w:divId w:val="959804506"/>
        <w:rPr>
          <w:sz w:val="20"/>
          <w:szCs w:val="20"/>
        </w:rPr>
      </w:pPr>
      <w:hyperlink w:anchor="TOC" w:history="1">
        <w:r>
          <w:rPr>
            <w:rStyle w:val="a4"/>
            <w:sz w:val="20"/>
            <w:szCs w:val="20"/>
          </w:rPr>
          <w:t>Table of Contents</w:t>
        </w:r>
      </w:hyperlink>
    </w:p>
    <w:p w:rsidR="00000000" w:rsidRDefault="00DE7B41">
      <w:pPr>
        <w:pStyle w:val="a3"/>
        <w:spacing w:before="0" w:beforeAutospacing="0" w:after="120" w:afterAutospacing="0"/>
        <w:divId w:val="1547057965"/>
        <w:rPr>
          <w:sz w:val="20"/>
          <w:szCs w:val="20"/>
        </w:rPr>
      </w:pPr>
      <w:r>
        <w:rPr>
          <w:b/>
          <w:bCs/>
          <w:i/>
          <w:iCs/>
          <w:sz w:val="20"/>
          <w:szCs w:val="20"/>
        </w:rPr>
        <w:t>Our shareholders may face difficulties in protecting their interests because we are incorporated under Cayman Islands law.</w:t>
      </w:r>
    </w:p>
    <w:p w:rsidR="00000000" w:rsidRDefault="00DE7B41">
      <w:pPr>
        <w:pStyle w:val="a3"/>
        <w:spacing w:before="0" w:beforeAutospacing="0" w:after="240" w:afterAutospacing="0"/>
        <w:ind w:firstLine="720"/>
        <w:divId w:val="1547057965"/>
        <w:rPr>
          <w:sz w:val="20"/>
          <w:szCs w:val="20"/>
        </w:rPr>
      </w:pPr>
      <w:r>
        <w:rPr>
          <w:sz w:val="20"/>
          <w:szCs w:val="20"/>
        </w:rPr>
        <w:t xml:space="preserve">Our corporate affairs are governed by our amended </w:t>
      </w:r>
      <w:r>
        <w:rPr>
          <w:sz w:val="20"/>
          <w:szCs w:val="20"/>
        </w:rPr>
        <w:t>and restated memorandum and articles of association, by the Companies Law (2020 Revision) of the Cayman Islands and by the common law of the Cayman Islands. The rights of our shareholders and the fiduciary responsibilities of our directors under the laws o</w:t>
      </w:r>
      <w:r>
        <w:rPr>
          <w:sz w:val="20"/>
          <w:szCs w:val="20"/>
        </w:rPr>
        <w:t>f the Cayman Islands are different from those under statutes or judicial precedent in existence in jurisdictions in the US. Therefore, you may have more difficulty in protecting your interests than would shareholders of a corporation incorporated in a juri</w:t>
      </w:r>
      <w:r>
        <w:rPr>
          <w:sz w:val="20"/>
          <w:szCs w:val="20"/>
        </w:rPr>
        <w:t>sdiction in the US, due to the different nature of Cayman Islands law in this area.</w:t>
      </w:r>
    </w:p>
    <w:p w:rsidR="00000000" w:rsidRDefault="00DE7B41">
      <w:pPr>
        <w:pStyle w:val="a3"/>
        <w:spacing w:before="0" w:beforeAutospacing="0" w:after="240" w:afterAutospacing="0"/>
        <w:ind w:firstLine="720"/>
        <w:divId w:val="1547057965"/>
        <w:rPr>
          <w:sz w:val="20"/>
          <w:szCs w:val="20"/>
        </w:rPr>
      </w:pPr>
      <w:r>
        <w:rPr>
          <w:sz w:val="20"/>
          <w:szCs w:val="20"/>
        </w:rPr>
        <w:t>Shareholders of Cayman Islands exempted companies such as our company have no general rights under Cayman Islands law to inspect corporate records and accounts or to obtain</w:t>
      </w:r>
      <w:r>
        <w:rPr>
          <w:sz w:val="20"/>
          <w:szCs w:val="20"/>
        </w:rPr>
        <w:t xml:space="preserve"> copies of lists of shareholders. Our directors have discretion under our amended and restated memorandum and articles of association to determine whether or not, and under what conditions, our corporate records may be inspected by our shareholders, but ar</w:t>
      </w:r>
      <w:r>
        <w:rPr>
          <w:sz w:val="20"/>
          <w:szCs w:val="20"/>
        </w:rPr>
        <w:t xml:space="preserve">e not obliged to make them available to our shareholders. This may make it more difficult for you to obtain the information needed to establish any facts necessary for a shareholder motion or to solicit proxies from other shareholders in connection with a </w:t>
      </w:r>
      <w:r>
        <w:rPr>
          <w:sz w:val="20"/>
          <w:szCs w:val="20"/>
        </w:rPr>
        <w:t>proxy contest.</w:t>
      </w:r>
    </w:p>
    <w:p w:rsidR="00000000" w:rsidRDefault="00DE7B41">
      <w:pPr>
        <w:pStyle w:val="a3"/>
        <w:spacing w:before="0" w:beforeAutospacing="0" w:after="240" w:afterAutospacing="0"/>
        <w:ind w:firstLine="720"/>
        <w:divId w:val="1547057965"/>
        <w:rPr>
          <w:sz w:val="20"/>
          <w:szCs w:val="20"/>
        </w:rPr>
      </w:pPr>
      <w:r>
        <w:rPr>
          <w:sz w:val="20"/>
          <w:szCs w:val="20"/>
        </w:rPr>
        <w:t>Our Cayman Islands counsel, Maples and Calder, is not aware of any reported class action having been brought in a Cayman Islands court. Derivative actions have been brought in the Cayman Islands courts, and the Cayman Islands courts have con</w:t>
      </w:r>
      <w:r>
        <w:rPr>
          <w:sz w:val="20"/>
          <w:szCs w:val="20"/>
        </w:rPr>
        <w:t>firmed the availability for such actions. In most cases, the company will be the proper plaintiff in any claim based on a breach of duty owed to it, and a claim against (for example) our officers or directors usually may not be brought by a shareholder. Ho</w:t>
      </w:r>
      <w:r>
        <w:rPr>
          <w:sz w:val="20"/>
          <w:szCs w:val="20"/>
        </w:rPr>
        <w:t>wever, based on English authorities, which would in all likelihood be of persuasive authority and be applied by a court in the Cayman Islands, exceptions to the foregoing principle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trPr>
          <w:divId w:val="1547057965"/>
        </w:trPr>
        <w:tc>
          <w:tcPr>
            <w:tcW w:w="720" w:type="dxa"/>
            <w:tcMar>
              <w:top w:w="0" w:type="dxa"/>
              <w:left w:w="0" w:type="dxa"/>
              <w:bottom w:w="0" w:type="dxa"/>
              <w:right w:w="0" w:type="dxa"/>
            </w:tcMar>
            <w:vAlign w:val="center"/>
            <w:hideMark/>
          </w:tcPr>
          <w:p w:rsidR="00000000" w:rsidRDefault="00DE7B41">
            <w:pPr>
              <w:rPr>
                <w:sz w:val="20"/>
                <w:szCs w:val="20"/>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a company is acting, or proposing to ac</w:t>
            </w:r>
            <w:r>
              <w:rPr>
                <w:sz w:val="20"/>
                <w:szCs w:val="20"/>
              </w:rPr>
              <w:t>t, illegally or beyond the scope of its authority;</w:t>
            </w:r>
          </w:p>
        </w:tc>
      </w:tr>
    </w:tbl>
    <w:p w:rsidR="00000000" w:rsidRDefault="00DE7B41">
      <w:pPr>
        <w:divId w:val="154705796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47057965"/>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the act complained of, although not beyond the scope of the authority, could be effected if duly authorized by more than the number of votes which have actually been obtained; or</w:t>
            </w:r>
          </w:p>
        </w:tc>
      </w:tr>
    </w:tbl>
    <w:p w:rsidR="00000000" w:rsidRDefault="00DE7B41">
      <w:pPr>
        <w:divId w:val="154705796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trPr>
          <w:divId w:val="1547057965"/>
        </w:trPr>
        <w:tc>
          <w:tcPr>
            <w:tcW w:w="720" w:type="dxa"/>
            <w:tcMar>
              <w:top w:w="0" w:type="dxa"/>
              <w:left w:w="0" w:type="dxa"/>
              <w:bottom w:w="0" w:type="dxa"/>
              <w:right w:w="0" w:type="dxa"/>
            </w:tcMar>
            <w:vAlign w:val="center"/>
            <w:hideMark/>
          </w:tcPr>
          <w:p w:rsidR="00000000" w:rsidRDefault="00DE7B41">
            <w:pPr>
              <w:rPr>
                <w:rFonts w:eastAsia="Times New Roman"/>
              </w:rPr>
            </w:pPr>
          </w:p>
        </w:tc>
        <w:tc>
          <w:tcPr>
            <w:tcW w:w="360" w:type="dxa"/>
            <w:noWrap/>
            <w:tcMar>
              <w:top w:w="0" w:type="dxa"/>
              <w:left w:w="0" w:type="dxa"/>
              <w:bottom w:w="0" w:type="dxa"/>
              <w:right w:w="0" w:type="dxa"/>
            </w:tcMar>
            <w:hideMark/>
          </w:tcPr>
          <w:p w:rsidR="00000000" w:rsidRDefault="00DE7B41">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E7B41">
            <w:pPr>
              <w:pStyle w:val="a3"/>
              <w:spacing w:before="0" w:beforeAutospacing="0" w:after="240" w:afterAutospacing="0"/>
              <w:rPr>
                <w:sz w:val="20"/>
                <w:szCs w:val="20"/>
              </w:rPr>
            </w:pPr>
            <w:r>
              <w:rPr>
                <w:sz w:val="20"/>
                <w:szCs w:val="20"/>
              </w:rPr>
              <w:t>those who control the company are perpetrating a “fraud on the minority.</w:t>
            </w:r>
            <w:r>
              <w:rPr>
                <w:sz w:val="20"/>
                <w:szCs w:val="20"/>
              </w:rPr>
              <w:t>”</w:t>
            </w:r>
          </w:p>
        </w:tc>
      </w:tr>
    </w:tbl>
    <w:p w:rsidR="00000000" w:rsidRDefault="00DE7B41">
      <w:pPr>
        <w:pStyle w:val="a3"/>
        <w:spacing w:before="0" w:beforeAutospacing="0" w:after="240" w:afterAutospacing="0"/>
        <w:ind w:firstLine="720"/>
        <w:divId w:val="1547057965"/>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DE7B41">
      <w:pPr>
        <w:pStyle w:val="a3"/>
        <w:spacing w:before="0" w:beforeAutospacing="0" w:after="120" w:afterAutospacing="0"/>
        <w:divId w:val="1547057965"/>
        <w:rPr>
          <w:sz w:val="20"/>
          <w:szCs w:val="20"/>
        </w:rPr>
      </w:pPr>
      <w:r>
        <w:rPr>
          <w:b/>
          <w:bCs/>
          <w:i/>
          <w:iCs/>
          <w:sz w:val="20"/>
          <w:szCs w:val="20"/>
        </w:rPr>
        <w:t>There is uncertainty as to shareholders’ ability to enforce certain foreign civil liabi</w:t>
      </w:r>
      <w:r>
        <w:rPr>
          <w:b/>
          <w:bCs/>
          <w:i/>
          <w:iCs/>
          <w:sz w:val="20"/>
          <w:szCs w:val="20"/>
        </w:rPr>
        <w:t>lities in the Cayman Islands.</w:t>
      </w:r>
    </w:p>
    <w:p w:rsidR="00000000" w:rsidRDefault="00DE7B41">
      <w:pPr>
        <w:pStyle w:val="a3"/>
        <w:spacing w:before="0" w:beforeAutospacing="0" w:after="240" w:afterAutospacing="0"/>
        <w:ind w:firstLine="720"/>
        <w:divId w:val="1547057965"/>
        <w:rPr>
          <w:sz w:val="20"/>
          <w:szCs w:val="20"/>
        </w:rPr>
      </w:pPr>
      <w:r>
        <w:rPr>
          <w:sz w:val="20"/>
          <w:szCs w:val="20"/>
        </w:rPr>
        <w:t>We are incorporated as an exempted company limited by shares with limited liability under the laws of the Cayman Islands. A material portion of our assets are located outside of the US. As a result, it may be difficult for our</w:t>
      </w:r>
      <w:r>
        <w:rPr>
          <w:sz w:val="20"/>
          <w:szCs w:val="20"/>
        </w:rPr>
        <w:t xml:space="preserve"> shareholders to enforce judgments against us or judgments obtained in US courts predicated upon the civil liability provisions of the federal securities laws of the US or any state of the US.</w:t>
      </w:r>
    </w:p>
    <w:p w:rsidR="00000000" w:rsidRDefault="00DE7B41">
      <w:pPr>
        <w:pStyle w:val="a3"/>
        <w:spacing w:before="0" w:beforeAutospacing="0" w:after="0" w:afterAutospacing="0"/>
        <w:ind w:firstLine="720"/>
        <w:divId w:val="1547057965"/>
        <w:rPr>
          <w:sz w:val="20"/>
          <w:szCs w:val="20"/>
        </w:rPr>
      </w:pPr>
      <w:r>
        <w:rPr>
          <w:sz w:val="20"/>
          <w:szCs w:val="20"/>
        </w:rPr>
        <w:t>We understand that the courts of the Cayman Islands are unlikel</w:t>
      </w:r>
      <w:r>
        <w:rPr>
          <w:sz w:val="20"/>
          <w:szCs w:val="20"/>
        </w:rPr>
        <w:t>y (i) to recognize or enforce against Theravance Biopharma judgments of courts of the US predicated upon the civil liability provisions of the securities laws of the US or any State; and (ii) in original actions brought in the Cayman Islands, to impose lia</w:t>
      </w:r>
      <w:r>
        <w:rPr>
          <w:sz w:val="20"/>
          <w:szCs w:val="20"/>
        </w:rPr>
        <w:t>bilities against Theravance Biopharma predicated upon the civil liability provisions of the securities laws of the US or any State, on the grounds that such provisions are penal in nature. However, in the case of laws that are not penal in nature, although</w:t>
      </w:r>
      <w:r>
        <w:rPr>
          <w:sz w:val="20"/>
          <w:szCs w:val="20"/>
        </w:rPr>
        <w:t xml:space="preserve"> there is no statutory enforcement in the Cayman Islands of judgments obtained in the US, the courts of the Cayman Islands will recognize and enforce a foreign money judgment of a foreign court of competent jurisdiction without retrial on the merits based </w:t>
      </w:r>
      <w:r>
        <w:rPr>
          <w:sz w:val="20"/>
          <w:szCs w:val="20"/>
        </w:rPr>
        <w:t xml:space="preserve">on the principle that a judgment of a competent foreign court imposes upon the judgment debtor an obligation to pay the sum for which judgment has been given provided certain conditions are met. For a foreign judgment to be enforced in the Cayman Islands, </w:t>
      </w:r>
      <w:r>
        <w:rPr>
          <w:sz w:val="20"/>
          <w:szCs w:val="20"/>
        </w:rPr>
        <w:t xml:space="preserve">such judgment must be final and conclusive and for a liquidated sum, and must not be in respect of taxes or a fine or penalty, inconsistent with a Cayman Islands’ judgment in respect of the same matter, impeachable on the grounds of fraud or obtained in a </w:t>
      </w:r>
      <w:r>
        <w:rPr>
          <w:sz w:val="20"/>
          <w:szCs w:val="20"/>
        </w:rPr>
        <w:t xml:space="preserve">manner, and or be of a kind the enforcement of which is, contrary to natural justice or the public policy of the Cayman Islands (awards of punitive or multiple damages may well be held to be contrary to public policy). A Cayman Islands court, </w:t>
      </w:r>
    </w:p>
    <w:p w:rsidR="00000000" w:rsidRDefault="00DE7B41">
      <w:pPr>
        <w:pStyle w:val="a3"/>
        <w:spacing w:before="360" w:beforeAutospacing="0" w:after="0" w:afterAutospacing="0"/>
        <w:jc w:val="center"/>
        <w:divId w:val="1294872761"/>
        <w:rPr>
          <w:sz w:val="20"/>
          <w:szCs w:val="20"/>
        </w:rPr>
      </w:pPr>
      <w:r>
        <w:rPr>
          <w:sz w:val="20"/>
          <w:szCs w:val="20"/>
        </w:rPr>
        <w:t>68</w:t>
      </w:r>
    </w:p>
    <w:p w:rsidR="00000000" w:rsidRDefault="00DE7B41">
      <w:pPr>
        <w:pStyle w:val="a3"/>
        <w:spacing w:before="0" w:beforeAutospacing="0" w:after="600" w:afterAutospacing="0"/>
        <w:divId w:val="1777823668"/>
        <w:rPr>
          <w:sz w:val="20"/>
          <w:szCs w:val="20"/>
        </w:rPr>
      </w:pPr>
      <w:hyperlink w:anchor="TOC" w:history="1">
        <w:r>
          <w:rPr>
            <w:rStyle w:val="a4"/>
            <w:sz w:val="20"/>
            <w:szCs w:val="20"/>
          </w:rPr>
          <w:t>Table of Contents</w:t>
        </w:r>
      </w:hyperlink>
    </w:p>
    <w:p w:rsidR="00000000" w:rsidRDefault="00DE7B41">
      <w:pPr>
        <w:pStyle w:val="a3"/>
        <w:spacing w:before="0" w:beforeAutospacing="0" w:after="240" w:afterAutospacing="0"/>
        <w:divId w:val="1991443478"/>
        <w:rPr>
          <w:sz w:val="20"/>
          <w:szCs w:val="20"/>
        </w:rPr>
      </w:pPr>
      <w:r>
        <w:rPr>
          <w:sz w:val="20"/>
          <w:szCs w:val="20"/>
        </w:rPr>
        <w:t>including the Grand Court of the Cayman Islands, may stay proceedings if concurrent proceedings are being brought elsewhere, which would delay proceedings and make it more difficult for our shareholders to bring action against us.</w:t>
      </w:r>
    </w:p>
    <w:p w:rsidR="00000000" w:rsidRDefault="00DE7B41">
      <w:pPr>
        <w:pStyle w:val="a3"/>
        <w:spacing w:before="0" w:beforeAutospacing="0" w:after="120" w:afterAutospacing="0"/>
        <w:divId w:val="1991443478"/>
        <w:rPr>
          <w:sz w:val="20"/>
          <w:szCs w:val="20"/>
        </w:rPr>
      </w:pPr>
      <w:r>
        <w:rPr>
          <w:b/>
          <w:bCs/>
          <w:i/>
          <w:iCs/>
          <w:sz w:val="20"/>
          <w:szCs w:val="20"/>
        </w:rPr>
        <w:t>If securities or industry</w:t>
      </w:r>
      <w:r>
        <w:rPr>
          <w:b/>
          <w:bCs/>
          <w:i/>
          <w:iCs/>
          <w:sz w:val="20"/>
          <w:szCs w:val="20"/>
        </w:rPr>
        <w:t xml:space="preserve"> analysts cease coverage of us or do not publish research, or publish inaccurate or unfavorable research, about our business, the price of our ordinary shares and trading volume could decline.</w:t>
      </w:r>
    </w:p>
    <w:p w:rsidR="00000000" w:rsidRDefault="00DE7B41">
      <w:pPr>
        <w:pStyle w:val="a3"/>
        <w:spacing w:before="0" w:beforeAutospacing="0" w:after="240" w:afterAutospacing="0"/>
        <w:ind w:firstLine="720"/>
        <w:divId w:val="1991443478"/>
        <w:rPr>
          <w:sz w:val="20"/>
          <w:szCs w:val="20"/>
        </w:rPr>
      </w:pPr>
      <w:r>
        <w:rPr>
          <w:sz w:val="20"/>
          <w:szCs w:val="20"/>
        </w:rPr>
        <w:t>The trading market for our ordinary shares depends in part on t</w:t>
      </w:r>
      <w:r>
        <w:rPr>
          <w:sz w:val="20"/>
          <w:szCs w:val="20"/>
        </w:rPr>
        <w:t>he research and reports that securities or industry analysts publish about us or our business. If few securities analysts commence coverage of us, or if industry analysts cease coverage of us, the trading price for our ordinary shares could be negatively a</w:t>
      </w:r>
      <w:r>
        <w:rPr>
          <w:sz w:val="20"/>
          <w:szCs w:val="20"/>
        </w:rPr>
        <w:t>ffected. If one or more of the analysts who cover us downgrade our ordinary shares or publish inaccurate or unfavorable research about our business or if our results fail to meet the expectations of these analysts, the price of our ordinary shares would li</w:t>
      </w:r>
      <w:r>
        <w:rPr>
          <w:sz w:val="20"/>
          <w:szCs w:val="20"/>
        </w:rPr>
        <w:t>kely decline. If one or more of these analysts cease coverage of us or fail to publish reports on us regularly, demand for our ordinary shares could decrease, which might cause our share price and trading volume to decline.</w:t>
      </w:r>
    </w:p>
    <w:p w:rsidR="00000000" w:rsidRDefault="00DE7B41">
      <w:pPr>
        <w:pStyle w:val="a3"/>
        <w:spacing w:before="0" w:beforeAutospacing="0" w:after="120" w:afterAutospacing="0"/>
        <w:divId w:val="1991443478"/>
        <w:rPr>
          <w:sz w:val="20"/>
          <w:szCs w:val="20"/>
        </w:rPr>
      </w:pPr>
      <w:r>
        <w:rPr>
          <w:b/>
          <w:bCs/>
          <w:i/>
          <w:iCs/>
          <w:sz w:val="20"/>
          <w:szCs w:val="20"/>
        </w:rPr>
        <w:t xml:space="preserve">We do not anticipate paying any </w:t>
      </w:r>
      <w:r>
        <w:rPr>
          <w:b/>
          <w:bCs/>
          <w:i/>
          <w:iCs/>
          <w:sz w:val="20"/>
          <w:szCs w:val="20"/>
        </w:rPr>
        <w:t>cash dividends on our capital shares in the foreseeable future; as a result, capital appreciation, if any, of our ordinary shares will be your sole source of gain for the foreseeable future.</w:t>
      </w:r>
    </w:p>
    <w:p w:rsidR="00000000" w:rsidRDefault="00DE7B41">
      <w:pPr>
        <w:pStyle w:val="a3"/>
        <w:spacing w:before="0" w:beforeAutospacing="0" w:after="0" w:afterAutospacing="0"/>
        <w:ind w:firstLine="720"/>
        <w:divId w:val="1991443478"/>
        <w:rPr>
          <w:sz w:val="20"/>
          <w:szCs w:val="20"/>
        </w:rPr>
      </w:pPr>
      <w:r>
        <w:rPr>
          <w:sz w:val="20"/>
          <w:szCs w:val="20"/>
        </w:rPr>
        <w:t>We have never declared or paid cash dividends on our capital shar</w:t>
      </w:r>
      <w:r>
        <w:rPr>
          <w:sz w:val="20"/>
          <w:szCs w:val="20"/>
        </w:rPr>
        <w:t xml:space="preserve">es. We do not anticipate paying any cash dividends on our capital shares in the foreseeable future. We currently intend to retain all available funds and any future earnings to fund the development and growth of our business. In addition, the terms of any </w:t>
      </w:r>
      <w:r>
        <w:rPr>
          <w:sz w:val="20"/>
          <w:szCs w:val="20"/>
        </w:rPr>
        <w:t xml:space="preserve">future debt financing arrangement may contain terms prohibiting or limiting the amount of dividends that may be declared or paid on our ordinary shares. As a result, capital appreciation, if any, of our ordinary shares will be your sole source of gain for </w:t>
      </w:r>
      <w:r>
        <w:rPr>
          <w:sz w:val="20"/>
          <w:szCs w:val="20"/>
        </w:rPr>
        <w:t>the foreseeable future.</w:t>
      </w:r>
    </w:p>
    <w:p w:rsidR="00000000" w:rsidRDefault="00DE7B41">
      <w:pPr>
        <w:pStyle w:val="a3"/>
        <w:spacing w:before="0" w:beforeAutospacing="0" w:after="0" w:afterAutospacing="0"/>
        <w:divId w:val="1991443478"/>
        <w:rPr>
          <w:sz w:val="20"/>
          <w:szCs w:val="20"/>
        </w:rPr>
      </w:pPr>
      <w:r>
        <w:rPr>
          <w:sz w:val="20"/>
          <w:szCs w:val="20"/>
        </w:rPr>
        <w:t>​</w:t>
      </w:r>
    </w:p>
    <w:p w:rsidR="00000000" w:rsidRDefault="00DE7B41">
      <w:pPr>
        <w:pStyle w:val="a3"/>
        <w:spacing w:before="0" w:beforeAutospacing="0" w:after="0" w:afterAutospacing="0"/>
        <w:divId w:val="1991443478"/>
        <w:rPr>
          <w:sz w:val="20"/>
          <w:szCs w:val="20"/>
        </w:rPr>
      </w:pPr>
      <w:r>
        <w:rPr>
          <w:b/>
          <w:bCs/>
          <w:sz w:val="20"/>
          <w:szCs w:val="20"/>
        </w:rPr>
        <w:t>ITEM 2.   UNREGISTERED SALES OF EQUITY SECURITIES AND USE OF PROCEEDS</w:t>
      </w:r>
    </w:p>
    <w:p w:rsidR="00000000" w:rsidRDefault="00DE7B41">
      <w:pPr>
        <w:pStyle w:val="a3"/>
        <w:spacing w:before="0" w:beforeAutospacing="0" w:after="0" w:afterAutospacing="0"/>
        <w:divId w:val="1991443478"/>
        <w:rPr>
          <w:sz w:val="20"/>
          <w:szCs w:val="20"/>
        </w:rPr>
      </w:pPr>
      <w:r>
        <w:rPr>
          <w:sz w:val="20"/>
          <w:szCs w:val="20"/>
        </w:rPr>
        <w:t>​</w:t>
      </w:r>
    </w:p>
    <w:p w:rsidR="00000000" w:rsidRDefault="00DE7B41">
      <w:pPr>
        <w:pStyle w:val="a3"/>
        <w:spacing w:before="0" w:beforeAutospacing="0" w:after="0" w:afterAutospacing="0"/>
        <w:ind w:firstLine="720"/>
        <w:divId w:val="1991443478"/>
        <w:rPr>
          <w:sz w:val="20"/>
          <w:szCs w:val="20"/>
        </w:rPr>
      </w:pPr>
      <w:r>
        <w:rPr>
          <w:sz w:val="20"/>
          <w:szCs w:val="20"/>
        </w:rPr>
        <w:t>None.</w:t>
      </w:r>
    </w:p>
    <w:p w:rsidR="00000000" w:rsidRDefault="00DE7B41">
      <w:pPr>
        <w:pStyle w:val="a3"/>
        <w:spacing w:before="0" w:beforeAutospacing="0" w:after="0" w:afterAutospacing="0"/>
        <w:divId w:val="1991443478"/>
        <w:rPr>
          <w:sz w:val="20"/>
          <w:szCs w:val="20"/>
        </w:rPr>
      </w:pPr>
      <w:r>
        <w:rPr>
          <w:b/>
          <w:bCs/>
          <w:sz w:val="20"/>
          <w:szCs w:val="20"/>
        </w:rPr>
        <w:t>​</w:t>
      </w:r>
    </w:p>
    <w:p w:rsidR="00000000" w:rsidRDefault="00DE7B41">
      <w:pPr>
        <w:pStyle w:val="a3"/>
        <w:spacing w:before="0" w:beforeAutospacing="0" w:after="0" w:afterAutospacing="0"/>
        <w:divId w:val="1991443478"/>
        <w:rPr>
          <w:sz w:val="20"/>
          <w:szCs w:val="20"/>
        </w:rPr>
      </w:pPr>
      <w:r>
        <w:rPr>
          <w:b/>
          <w:bCs/>
          <w:sz w:val="20"/>
          <w:szCs w:val="20"/>
        </w:rPr>
        <w:t>​</w:t>
      </w:r>
    </w:p>
    <w:p w:rsidR="00000000" w:rsidRDefault="00DE7B41">
      <w:pPr>
        <w:pStyle w:val="a3"/>
        <w:spacing w:before="360" w:beforeAutospacing="0" w:after="0" w:afterAutospacing="0"/>
        <w:jc w:val="center"/>
        <w:divId w:val="951863552"/>
        <w:rPr>
          <w:sz w:val="20"/>
          <w:szCs w:val="20"/>
        </w:rPr>
      </w:pPr>
      <w:r>
        <w:rPr>
          <w:sz w:val="20"/>
          <w:szCs w:val="20"/>
        </w:rPr>
        <w:t>69</w:t>
      </w:r>
    </w:p>
    <w:p w:rsidR="00000000" w:rsidRDefault="00DE7B41">
      <w:pPr>
        <w:pStyle w:val="a3"/>
        <w:spacing w:before="0" w:beforeAutospacing="0" w:after="600" w:afterAutospacing="0"/>
        <w:divId w:val="1743529581"/>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divId w:val="1156844931"/>
        <w:rPr>
          <w:sz w:val="20"/>
          <w:szCs w:val="20"/>
        </w:rPr>
      </w:pPr>
      <w:r>
        <w:rPr>
          <w:b/>
          <w:bCs/>
          <w:sz w:val="20"/>
          <w:szCs w:val="20"/>
        </w:rPr>
        <w:t>ITEM 6.   EXHIBITS</w:t>
      </w:r>
    </w:p>
    <w:p w:rsidR="00000000" w:rsidRDefault="00DE7B41">
      <w:pPr>
        <w:pStyle w:val="a3"/>
        <w:spacing w:before="0" w:beforeAutospacing="0" w:after="0" w:afterAutospacing="0"/>
        <w:divId w:val="115684493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trPr>
          <w:divId w:val="1156844931"/>
          <w:trHeight w:val="20"/>
        </w:trPr>
        <w:tc>
          <w:tcPr>
            <w:tcW w:w="349" w:type="pct"/>
            <w:tcMar>
              <w:top w:w="0" w:type="dxa"/>
              <w:left w:w="0" w:type="dxa"/>
              <w:bottom w:w="0" w:type="dxa"/>
              <w:right w:w="0" w:type="dxa"/>
            </w:tcMar>
            <w:vAlign w:val="bottom"/>
            <w:hideMark/>
          </w:tcPr>
          <w:p w:rsidR="00000000" w:rsidRDefault="00DE7B41">
            <w:pPr>
              <w:rPr>
                <w:sz w:val="20"/>
                <w:szCs w:val="20"/>
              </w:rPr>
            </w:pPr>
          </w:p>
        </w:tc>
        <w:tc>
          <w:tcPr>
            <w:tcW w:w="125" w:type="pct"/>
            <w:tcMar>
              <w:top w:w="0" w:type="dxa"/>
              <w:left w:w="0" w:type="dxa"/>
              <w:bottom w:w="0" w:type="dxa"/>
              <w:right w:w="0" w:type="dxa"/>
            </w:tcMar>
            <w:vAlign w:val="bottom"/>
            <w:hideMark/>
          </w:tcPr>
          <w:p w:rsidR="00000000" w:rsidRDefault="00DE7B41">
            <w:pPr>
              <w:rPr>
                <w:rFonts w:eastAsia="Times New Roman"/>
                <w:sz w:val="20"/>
                <w:szCs w:val="20"/>
              </w:rPr>
            </w:pPr>
          </w:p>
        </w:tc>
        <w:tc>
          <w:tcPr>
            <w:tcW w:w="2303" w:type="pct"/>
            <w:tcMar>
              <w:top w:w="0" w:type="dxa"/>
              <w:left w:w="0" w:type="dxa"/>
              <w:bottom w:w="0" w:type="dxa"/>
              <w:right w:w="0" w:type="dxa"/>
            </w:tcMar>
            <w:vAlign w:val="bottom"/>
            <w:hideMark/>
          </w:tcPr>
          <w:p w:rsidR="00000000" w:rsidRDefault="00DE7B41">
            <w:pPr>
              <w:rPr>
                <w:rFonts w:eastAsia="Times New Roman"/>
                <w:sz w:val="20"/>
                <w:szCs w:val="20"/>
              </w:rPr>
            </w:pPr>
          </w:p>
        </w:tc>
        <w:tc>
          <w:tcPr>
            <w:tcW w:w="125" w:type="pct"/>
            <w:tcMar>
              <w:top w:w="0" w:type="dxa"/>
              <w:left w:w="0" w:type="dxa"/>
              <w:bottom w:w="0" w:type="dxa"/>
              <w:right w:w="0" w:type="dxa"/>
            </w:tcMar>
            <w:vAlign w:val="bottom"/>
            <w:hideMark/>
          </w:tcPr>
          <w:p w:rsidR="00000000" w:rsidRDefault="00DE7B41">
            <w:pPr>
              <w:rPr>
                <w:rFonts w:eastAsia="Times New Roman"/>
                <w:sz w:val="20"/>
                <w:szCs w:val="20"/>
              </w:rPr>
            </w:pPr>
          </w:p>
        </w:tc>
        <w:tc>
          <w:tcPr>
            <w:tcW w:w="601" w:type="pct"/>
            <w:tcMar>
              <w:top w:w="0" w:type="dxa"/>
              <w:left w:w="0" w:type="dxa"/>
              <w:bottom w:w="0" w:type="dxa"/>
              <w:right w:w="0" w:type="dxa"/>
            </w:tcMar>
            <w:vAlign w:val="bottom"/>
            <w:hideMark/>
          </w:tcPr>
          <w:p w:rsidR="00000000" w:rsidRDefault="00DE7B41">
            <w:pPr>
              <w:rPr>
                <w:rFonts w:eastAsia="Times New Roman"/>
                <w:sz w:val="20"/>
                <w:szCs w:val="20"/>
              </w:rPr>
            </w:pPr>
          </w:p>
        </w:tc>
        <w:tc>
          <w:tcPr>
            <w:tcW w:w="125" w:type="pct"/>
            <w:tcMar>
              <w:top w:w="0" w:type="dxa"/>
              <w:left w:w="0" w:type="dxa"/>
              <w:bottom w:w="0" w:type="dxa"/>
              <w:right w:w="0" w:type="dxa"/>
            </w:tcMar>
            <w:vAlign w:val="bottom"/>
            <w:hideMark/>
          </w:tcPr>
          <w:p w:rsidR="00000000" w:rsidRDefault="00DE7B41">
            <w:pPr>
              <w:rPr>
                <w:rFonts w:eastAsia="Times New Roman"/>
                <w:sz w:val="20"/>
                <w:szCs w:val="20"/>
              </w:rPr>
            </w:pPr>
          </w:p>
        </w:tc>
        <w:tc>
          <w:tcPr>
            <w:tcW w:w="601" w:type="pct"/>
            <w:tcMar>
              <w:top w:w="0" w:type="dxa"/>
              <w:left w:w="0" w:type="dxa"/>
              <w:bottom w:w="0" w:type="dxa"/>
              <w:right w:w="0" w:type="dxa"/>
            </w:tcMar>
            <w:vAlign w:val="bottom"/>
            <w:hideMark/>
          </w:tcPr>
          <w:p w:rsidR="00000000" w:rsidRDefault="00DE7B41">
            <w:pPr>
              <w:rPr>
                <w:rFonts w:eastAsia="Times New Roman"/>
                <w:sz w:val="20"/>
                <w:szCs w:val="20"/>
              </w:rPr>
            </w:pPr>
          </w:p>
        </w:tc>
        <w:tc>
          <w:tcPr>
            <w:tcW w:w="125" w:type="pct"/>
            <w:tcMar>
              <w:top w:w="0" w:type="dxa"/>
              <w:left w:w="0" w:type="dxa"/>
              <w:bottom w:w="0" w:type="dxa"/>
              <w:right w:w="0" w:type="dxa"/>
            </w:tcMar>
            <w:vAlign w:val="bottom"/>
            <w:hideMark/>
          </w:tcPr>
          <w:p w:rsidR="00000000" w:rsidRDefault="00DE7B41">
            <w:pPr>
              <w:rPr>
                <w:rFonts w:eastAsia="Times New Roman"/>
                <w:sz w:val="20"/>
                <w:szCs w:val="20"/>
              </w:rPr>
            </w:pPr>
          </w:p>
        </w:tc>
        <w:tc>
          <w:tcPr>
            <w:tcW w:w="644" w:type="pct"/>
            <w:tcMar>
              <w:top w:w="0" w:type="dxa"/>
              <w:left w:w="0" w:type="dxa"/>
              <w:bottom w:w="0" w:type="dxa"/>
              <w:right w:w="0" w:type="dxa"/>
            </w:tcMar>
            <w:vAlign w:val="bottom"/>
            <w:hideMark/>
          </w:tcPr>
          <w:p w:rsidR="00000000" w:rsidRDefault="00DE7B41">
            <w:pPr>
              <w:rPr>
                <w:rFonts w:eastAsia="Times New Roman"/>
                <w:sz w:val="20"/>
                <w:szCs w:val="20"/>
              </w:rPr>
            </w:pPr>
          </w:p>
        </w:tc>
      </w:tr>
      <w:tr w:rsidR="00000000">
        <w:trPr>
          <w:divId w:val="1156844931"/>
        </w:trPr>
        <w:tc>
          <w:tcPr>
            <w:tcW w:w="349"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Incorporated by Reference</w:t>
            </w:r>
          </w:p>
        </w:tc>
      </w:tr>
      <w:tr w:rsidR="00000000">
        <w:trPr>
          <w:divId w:val="1156844931"/>
        </w:trPr>
        <w:tc>
          <w:tcPr>
            <w:tcW w:w="349"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1156844931"/>
        </w:trPr>
        <w:tc>
          <w:tcPr>
            <w:tcW w:w="349"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center"/>
              <w:rPr>
                <w:sz w:val="20"/>
                <w:szCs w:val="20"/>
              </w:rPr>
            </w:pPr>
            <w:r>
              <w:rPr>
                <w:b/>
                <w:bCs/>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r:id="rId4" w:history="1">
              <w:r>
                <w:rPr>
                  <w:rStyle w:val="a4"/>
                  <w:sz w:val="20"/>
                  <w:szCs w:val="20"/>
                </w:rPr>
                <w:t>Brett K. Haumann Transfer to Theravance Biopharma UK Ltd. Memo</w:t>
              </w:r>
            </w:hyperlink>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10.2</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r:id="rId5" w:history="1">
              <w:r>
                <w:rPr>
                  <w:rStyle w:val="a4"/>
                  <w:sz w:val="20"/>
                  <w:szCs w:val="20"/>
                </w:rPr>
                <w:t>Brett K. Haumann Theravance Biopharma UK Ltd. Contract of Employment</w:t>
              </w:r>
            </w:hyperlink>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10.3</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r:id="rId6" w:history="1">
              <w:r>
                <w:rPr>
                  <w:rStyle w:val="a4"/>
                  <w:sz w:val="20"/>
                  <w:szCs w:val="20"/>
                </w:rPr>
                <w:t>First Amendment of Registration Rights Agreement with Glaxo Group Limited</w:t>
              </w:r>
            </w:hyperlink>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r:id="rId7"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r:id="rId8"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32(1)</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hyperlink r:id="rId9" w:history="1">
              <w:r>
                <w:rPr>
                  <w:rStyle w:val="a4"/>
                  <w:sz w:val="20"/>
                  <w:szCs w:val="20"/>
                </w:rPr>
                <w:t>Certifications Pursuant to 18 U.S.C. Section 1350</w:t>
              </w:r>
            </w:hyperlink>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r w:rsidR="00000000">
        <w:trPr>
          <w:divId w:val="1156844931"/>
        </w:trPr>
        <w:tc>
          <w:tcPr>
            <w:tcW w:w="349" w:type="pct"/>
            <w:tcMar>
              <w:top w:w="0" w:type="dxa"/>
              <w:left w:w="0" w:type="dxa"/>
              <w:bottom w:w="0" w:type="dxa"/>
              <w:right w:w="0" w:type="dxa"/>
            </w:tcMar>
            <w:hideMark/>
          </w:tcPr>
          <w:p w:rsidR="00000000" w:rsidRDefault="00DE7B41">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March 31, 2020, formatted in iXBRL: (i) the Condensed Consolidated Balance Sheets, (ii) the Condensed Consolidated Statements of Operations and Comprehensive Loss, (iii) Condensed Consolidated Statement of Sharehol</w:t>
            </w:r>
            <w:r>
              <w:rPr>
                <w:sz w:val="20"/>
                <w:szCs w:val="20"/>
              </w:rPr>
              <w:t>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DE7B4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DE7B41">
            <w:pPr>
              <w:pStyle w:val="a3"/>
              <w:spacing w:before="0" w:beforeAutospacing="0" w:after="0" w:afterAutospacing="0"/>
              <w:jc w:val="right"/>
              <w:rPr>
                <w:sz w:val="20"/>
                <w:szCs w:val="20"/>
              </w:rPr>
            </w:pPr>
            <w:r>
              <w:rPr>
                <w:sz w:val="20"/>
                <w:szCs w:val="20"/>
              </w:rPr>
              <w:t>​</w:t>
            </w:r>
          </w:p>
        </w:tc>
      </w:tr>
    </w:tbl>
    <w:p w:rsidR="00000000" w:rsidRDefault="00DE7B41">
      <w:pPr>
        <w:pStyle w:val="a3"/>
        <w:spacing w:before="0" w:beforeAutospacing="0" w:after="0" w:afterAutospacing="0"/>
        <w:divId w:val="11568449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56844931"/>
        </w:trPr>
        <w:tc>
          <w:tcPr>
            <w:tcW w:w="360" w:type="dxa"/>
            <w:noWrap/>
            <w:tcMar>
              <w:top w:w="0" w:type="dxa"/>
              <w:left w:w="0" w:type="dxa"/>
              <w:bottom w:w="0" w:type="dxa"/>
              <w:right w:w="0" w:type="dxa"/>
            </w:tcMar>
            <w:hideMark/>
          </w:tcPr>
          <w:p w:rsidR="00000000" w:rsidRDefault="00DE7B41">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DE7B41">
            <w:pPr>
              <w:rPr>
                <w:rFonts w:eastAsia="Times New Roman"/>
                <w:sz w:val="20"/>
                <w:szCs w:val="20"/>
              </w:rPr>
            </w:pPr>
            <w:r>
              <w:rPr>
                <w:rFonts w:eastAsia="Times New Roman"/>
                <w:color w:val="000000"/>
                <w:sz w:val="20"/>
                <w:szCs w:val="20"/>
              </w:rPr>
              <w:t>The certifications provided as Exhibit </w:t>
            </w:r>
            <w:r>
              <w:rPr>
                <w:rFonts w:eastAsia="Times New Roman"/>
                <w:color w:val="000000"/>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color w:val="000000"/>
                <w:sz w:val="20"/>
                <w:szCs w:val="20"/>
              </w:rPr>
              <w:t>y filing of the Company, whether made before or after the date hereof, regardless of any general incorporation language in such filing.</w:t>
            </w:r>
          </w:p>
        </w:tc>
      </w:tr>
    </w:tbl>
    <w:p w:rsidR="00000000" w:rsidRDefault="00DE7B41">
      <w:pPr>
        <w:pStyle w:val="a3"/>
        <w:spacing w:before="0" w:beforeAutospacing="0" w:after="0" w:afterAutospacing="0"/>
        <w:divId w:val="1156844931"/>
        <w:rPr>
          <w:sz w:val="20"/>
          <w:szCs w:val="20"/>
        </w:rPr>
      </w:pPr>
      <w:r>
        <w:rPr>
          <w:sz w:val="20"/>
          <w:szCs w:val="20"/>
        </w:rPr>
        <w:t>​</w:t>
      </w:r>
    </w:p>
    <w:p w:rsidR="00000000" w:rsidRDefault="00DE7B41">
      <w:pPr>
        <w:pStyle w:val="a3"/>
        <w:spacing w:before="360" w:beforeAutospacing="0" w:after="0" w:afterAutospacing="0"/>
        <w:jc w:val="center"/>
        <w:divId w:val="2031370377"/>
        <w:rPr>
          <w:sz w:val="20"/>
          <w:szCs w:val="20"/>
        </w:rPr>
      </w:pPr>
      <w:r>
        <w:rPr>
          <w:sz w:val="20"/>
          <w:szCs w:val="20"/>
        </w:rPr>
        <w:t>70</w:t>
      </w:r>
    </w:p>
    <w:p w:rsidR="00000000" w:rsidRDefault="00DE7B41">
      <w:pPr>
        <w:pStyle w:val="a3"/>
        <w:spacing w:before="0" w:beforeAutospacing="0" w:after="600" w:afterAutospacing="0"/>
        <w:divId w:val="1461650909"/>
        <w:rPr>
          <w:sz w:val="20"/>
          <w:szCs w:val="20"/>
        </w:rPr>
      </w:pPr>
      <w:hyperlink w:anchor="TOC" w:history="1">
        <w:r>
          <w:rPr>
            <w:rStyle w:val="a4"/>
            <w:sz w:val="20"/>
            <w:szCs w:val="20"/>
          </w:rPr>
          <w:t>Table of Contents</w:t>
        </w:r>
      </w:hyperlink>
    </w:p>
    <w:p w:rsidR="00000000" w:rsidRDefault="00DE7B41">
      <w:pPr>
        <w:pStyle w:val="a3"/>
        <w:spacing w:before="0" w:beforeAutospacing="0" w:after="0" w:afterAutospacing="0"/>
        <w:jc w:val="center"/>
        <w:divId w:val="1049570843"/>
        <w:rPr>
          <w:sz w:val="20"/>
          <w:szCs w:val="20"/>
        </w:rPr>
      </w:pPr>
      <w:r>
        <w:rPr>
          <w:b/>
          <w:bCs/>
          <w:sz w:val="20"/>
          <w:szCs w:val="20"/>
        </w:rPr>
        <w:t>SIGNATURES</w:t>
      </w:r>
    </w:p>
    <w:p w:rsidR="00000000" w:rsidRDefault="00DE7B41">
      <w:pPr>
        <w:pStyle w:val="a3"/>
        <w:spacing w:before="0" w:beforeAutospacing="0" w:after="0" w:afterAutospacing="0"/>
        <w:divId w:val="1049570843"/>
        <w:rPr>
          <w:sz w:val="20"/>
          <w:szCs w:val="20"/>
        </w:rPr>
      </w:pPr>
      <w:r>
        <w:rPr>
          <w:sz w:val="20"/>
          <w:szCs w:val="20"/>
        </w:rPr>
        <w:t>​</w:t>
      </w:r>
    </w:p>
    <w:p w:rsidR="00000000" w:rsidRDefault="00DE7B41">
      <w:pPr>
        <w:pStyle w:val="a3"/>
        <w:spacing w:before="0" w:beforeAutospacing="0" w:after="0" w:afterAutospacing="0"/>
        <w:divId w:val="1049570843"/>
        <w:rPr>
          <w:sz w:val="20"/>
          <w:szCs w:val="20"/>
        </w:rPr>
      </w:pPr>
      <w:r>
        <w:rPr>
          <w:sz w:val="20"/>
          <w:szCs w:val="20"/>
        </w:rPr>
        <w:t>Pursuant to the Securities Exchange Act of 1934, the registrant has duly caused this report to be signed on its behalf by the undersigned thereunto duly authorized.</w:t>
      </w:r>
    </w:p>
    <w:p w:rsidR="00000000" w:rsidRDefault="00DE7B41">
      <w:pPr>
        <w:pStyle w:val="a3"/>
        <w:spacing w:before="0" w:beforeAutospacing="0" w:after="0" w:afterAutospacing="0"/>
        <w:divId w:val="10495708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049570843"/>
          <w:trHeight w:val="20"/>
        </w:trPr>
        <w:tc>
          <w:tcPr>
            <w:tcW w:w="2500" w:type="pct"/>
            <w:tcMar>
              <w:top w:w="0" w:type="dxa"/>
              <w:left w:w="0" w:type="dxa"/>
              <w:bottom w:w="0" w:type="dxa"/>
              <w:right w:w="0" w:type="dxa"/>
            </w:tcMar>
            <w:hideMark/>
          </w:tcPr>
          <w:p w:rsidR="00000000" w:rsidRDefault="00DE7B41">
            <w:pPr>
              <w:pStyle w:val="a3"/>
              <w:spacing w:before="0" w:beforeAutospacing="0" w:after="0" w:afterAutospacing="0"/>
              <w:divId w:val="2005087175"/>
              <w:rPr>
                <w:sz w:val="20"/>
                <w:szCs w:val="20"/>
              </w:rPr>
            </w:pPr>
            <w:r>
              <w:rPr>
                <w:sz w:val="20"/>
                <w:szCs w:val="20"/>
              </w:rPr>
              <w:t>​</w:t>
            </w:r>
          </w:p>
        </w:tc>
        <w:tc>
          <w:tcPr>
            <w:tcW w:w="2500" w:type="pct"/>
            <w:tcMar>
              <w:top w:w="0" w:type="dxa"/>
              <w:left w:w="0" w:type="dxa"/>
              <w:bottom w:w="0" w:type="dxa"/>
              <w:right w:w="0" w:type="dxa"/>
            </w:tcMar>
            <w:hideMark/>
          </w:tcPr>
          <w:p w:rsidR="00000000" w:rsidRDefault="00DE7B41">
            <w:pPr>
              <w:rPr>
                <w:sz w:val="20"/>
                <w:szCs w:val="20"/>
              </w:rPr>
            </w:pP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Theravance Biopharma, Inc.</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Date: May 8, 2020</w:t>
            </w:r>
          </w:p>
        </w:tc>
        <w:tc>
          <w:tcPr>
            <w:tcW w:w="2500" w:type="pct"/>
            <w:tcBorders>
              <w:bottom w:val="single" w:sz="6" w:space="0" w:color="000000"/>
            </w:tcBorders>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Rick E Winningham</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(Principal Executive Officer)</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Date: May 8, 2020</w:t>
            </w:r>
          </w:p>
        </w:tc>
        <w:tc>
          <w:tcPr>
            <w:tcW w:w="2500" w:type="pct"/>
            <w:tcBorders>
              <w:bottom w:val="single" w:sz="6" w:space="0" w:color="000000"/>
            </w:tcBorders>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Andrew Hindman</w:t>
            </w:r>
          </w:p>
          <w:p w:rsidR="00000000" w:rsidRDefault="00DE7B41">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(Principal Financial Officer)</w:t>
            </w:r>
          </w:p>
        </w:tc>
      </w:tr>
      <w:tr w:rsidR="00000000">
        <w:trPr>
          <w:divId w:val="1049570843"/>
        </w:trPr>
        <w:tc>
          <w:tcPr>
            <w:tcW w:w="2500" w:type="pct"/>
            <w:tcMar>
              <w:top w:w="0" w:type="dxa"/>
              <w:left w:w="0" w:type="dxa"/>
              <w:bottom w:w="0" w:type="dxa"/>
              <w:right w:w="0" w:type="dxa"/>
            </w:tcMar>
            <w:hideMark/>
          </w:tcPr>
          <w:p w:rsidR="00000000" w:rsidRDefault="00DE7B4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DE7B41">
            <w:pPr>
              <w:pStyle w:val="a3"/>
              <w:spacing w:before="0" w:beforeAutospacing="0" w:after="0" w:afterAutospacing="0"/>
              <w:jc w:val="center"/>
              <w:rPr>
                <w:sz w:val="20"/>
                <w:szCs w:val="20"/>
              </w:rPr>
            </w:pPr>
            <w:r>
              <w:rPr>
                <w:sz w:val="20"/>
                <w:szCs w:val="20"/>
              </w:rPr>
              <w:t>​</w:t>
            </w:r>
          </w:p>
        </w:tc>
      </w:tr>
    </w:tbl>
    <w:p w:rsidR="00000000" w:rsidRDefault="00DE7B41">
      <w:pPr>
        <w:pStyle w:val="a3"/>
        <w:spacing w:before="0" w:beforeAutospacing="0" w:after="0" w:afterAutospacing="0"/>
        <w:divId w:val="1049570843"/>
        <w:rPr>
          <w:sz w:val="20"/>
          <w:szCs w:val="20"/>
        </w:rPr>
      </w:pPr>
      <w:r>
        <w:rPr>
          <w:sz w:val="2"/>
          <w:szCs w:val="2"/>
        </w:rPr>
        <w:t>​</w:t>
      </w:r>
    </w:p>
    <w:p w:rsidR="00000000" w:rsidRDefault="00DE7B41">
      <w:pPr>
        <w:pStyle w:val="a3"/>
        <w:spacing w:before="0" w:beforeAutospacing="0" w:after="0" w:afterAutospacing="0"/>
        <w:divId w:val="1049570843"/>
        <w:rPr>
          <w:sz w:val="20"/>
          <w:szCs w:val="20"/>
        </w:rPr>
      </w:pPr>
      <w:r>
        <w:rPr>
          <w:sz w:val="20"/>
          <w:szCs w:val="20"/>
        </w:rPr>
        <w:t>​</w:t>
      </w:r>
    </w:p>
    <w:p w:rsidR="00000000" w:rsidRDefault="00DE7B41">
      <w:pPr>
        <w:pStyle w:val="a3"/>
        <w:spacing w:before="0" w:beforeAutospacing="0" w:after="0" w:afterAutospacing="0"/>
        <w:divId w:val="1049570843"/>
        <w:rPr>
          <w:sz w:val="20"/>
          <w:szCs w:val="20"/>
        </w:rPr>
      </w:pPr>
      <w:r>
        <w:rPr>
          <w:sz w:val="20"/>
          <w:szCs w:val="20"/>
        </w:rPr>
        <w:t>​</w:t>
      </w:r>
    </w:p>
    <w:p w:rsidR="00DE7B41" w:rsidRDefault="00DE7B41">
      <w:pPr>
        <w:pStyle w:val="a3"/>
        <w:spacing w:before="360" w:beforeAutospacing="0" w:after="0" w:afterAutospacing="0"/>
        <w:jc w:val="center"/>
        <w:divId w:val="1493256368"/>
        <w:rPr>
          <w:sz w:val="20"/>
          <w:szCs w:val="20"/>
        </w:rPr>
      </w:pPr>
      <w:r>
        <w:rPr>
          <w:sz w:val="20"/>
          <w:szCs w:val="20"/>
        </w:rPr>
        <w:t>71</w:t>
      </w:r>
    </w:p>
    <w:sectPr w:rsidR="00DE7B4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inherit">
    <w:altName w:val="Cambria"/>
    <w:panose1 w:val="00000000000000000000"/>
    <w:charset w:val="00"/>
    <w:family w:val="roman"/>
    <w:notTrueType/>
    <w:pitch w:val="default"/>
  </w:font>
  <w:font w:name="Times">
    <w:panose1 w:val="02020603050405020304"/>
    <w:charset w:val="00"/>
    <w:family w:val="roman"/>
    <w:pitch w:val="default"/>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7B41"/>
    <w:rsid w:val="00DE7B41"/>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theravance.com/20200508"/>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297">
      <w:marLeft w:val="0"/>
      <w:marRight w:val="0"/>
      <w:marTop w:val="0"/>
      <w:marBottom w:val="0"/>
      <w:divBdr>
        <w:top w:val="none" w:sz="0" w:space="0" w:color="auto"/>
        <w:left w:val="none" w:sz="0" w:space="0" w:color="auto"/>
        <w:bottom w:val="none" w:sz="0" w:space="0" w:color="auto"/>
        <w:right w:val="none" w:sz="0" w:space="0" w:color="auto"/>
      </w:divBdr>
      <w:divsChild>
        <w:div w:id="1306355894">
          <w:marLeft w:val="0"/>
          <w:marRight w:val="0"/>
          <w:marTop w:val="547"/>
          <w:marBottom w:val="0"/>
          <w:divBdr>
            <w:top w:val="none" w:sz="0" w:space="0" w:color="auto"/>
            <w:left w:val="none" w:sz="0" w:space="0" w:color="auto"/>
            <w:bottom w:val="none" w:sz="0" w:space="0" w:color="auto"/>
            <w:right w:val="none" w:sz="0" w:space="0" w:color="auto"/>
          </w:divBdr>
        </w:div>
        <w:div w:id="932519247">
          <w:marLeft w:val="0"/>
          <w:marRight w:val="0"/>
          <w:marTop w:val="0"/>
          <w:marBottom w:val="0"/>
          <w:divBdr>
            <w:top w:val="none" w:sz="0" w:space="0" w:color="auto"/>
            <w:left w:val="none" w:sz="0" w:space="0" w:color="auto"/>
            <w:bottom w:val="none" w:sz="0" w:space="0" w:color="auto"/>
            <w:right w:val="none" w:sz="0" w:space="0" w:color="auto"/>
          </w:divBdr>
        </w:div>
        <w:div w:id="1620338348">
          <w:marLeft w:val="0"/>
          <w:marRight w:val="0"/>
          <w:marTop w:val="0"/>
          <w:marBottom w:val="600"/>
          <w:divBdr>
            <w:top w:val="none" w:sz="0" w:space="0" w:color="auto"/>
            <w:left w:val="none" w:sz="0" w:space="0" w:color="auto"/>
            <w:bottom w:val="none" w:sz="0" w:space="0" w:color="auto"/>
            <w:right w:val="none" w:sz="0" w:space="0" w:color="auto"/>
          </w:divBdr>
        </w:div>
      </w:divsChild>
    </w:div>
    <w:div w:id="74865572">
      <w:marLeft w:val="0"/>
      <w:marRight w:val="0"/>
      <w:marTop w:val="0"/>
      <w:marBottom w:val="0"/>
      <w:divBdr>
        <w:top w:val="none" w:sz="0" w:space="0" w:color="auto"/>
        <w:left w:val="none" w:sz="0" w:space="0" w:color="auto"/>
        <w:bottom w:val="none" w:sz="0" w:space="0" w:color="auto"/>
        <w:right w:val="none" w:sz="0" w:space="0" w:color="auto"/>
      </w:divBdr>
      <w:divsChild>
        <w:div w:id="97793460">
          <w:marLeft w:val="0"/>
          <w:marRight w:val="0"/>
          <w:marTop w:val="547"/>
          <w:marBottom w:val="0"/>
          <w:divBdr>
            <w:top w:val="none" w:sz="0" w:space="0" w:color="auto"/>
            <w:left w:val="none" w:sz="0" w:space="0" w:color="auto"/>
            <w:bottom w:val="none" w:sz="0" w:space="0" w:color="auto"/>
            <w:right w:val="none" w:sz="0" w:space="0" w:color="auto"/>
          </w:divBdr>
        </w:div>
        <w:div w:id="51469777">
          <w:marLeft w:val="0"/>
          <w:marRight w:val="0"/>
          <w:marTop w:val="0"/>
          <w:marBottom w:val="0"/>
          <w:divBdr>
            <w:top w:val="none" w:sz="0" w:space="0" w:color="auto"/>
            <w:left w:val="none" w:sz="0" w:space="0" w:color="auto"/>
            <w:bottom w:val="none" w:sz="0" w:space="0" w:color="auto"/>
            <w:right w:val="none" w:sz="0" w:space="0" w:color="auto"/>
          </w:divBdr>
        </w:div>
        <w:div w:id="835223421">
          <w:marLeft w:val="0"/>
          <w:marRight w:val="0"/>
          <w:marTop w:val="0"/>
          <w:marBottom w:val="600"/>
          <w:divBdr>
            <w:top w:val="none" w:sz="0" w:space="0" w:color="auto"/>
            <w:left w:val="none" w:sz="0" w:space="0" w:color="auto"/>
            <w:bottom w:val="none" w:sz="0" w:space="0" w:color="auto"/>
            <w:right w:val="none" w:sz="0" w:space="0" w:color="auto"/>
          </w:divBdr>
        </w:div>
      </w:divsChild>
    </w:div>
    <w:div w:id="79300341">
      <w:marLeft w:val="0"/>
      <w:marRight w:val="0"/>
      <w:marTop w:val="0"/>
      <w:marBottom w:val="0"/>
      <w:divBdr>
        <w:top w:val="none" w:sz="0" w:space="0" w:color="auto"/>
        <w:left w:val="none" w:sz="0" w:space="0" w:color="auto"/>
        <w:bottom w:val="none" w:sz="0" w:space="0" w:color="auto"/>
        <w:right w:val="none" w:sz="0" w:space="0" w:color="auto"/>
      </w:divBdr>
      <w:divsChild>
        <w:div w:id="1032917650">
          <w:marLeft w:val="0"/>
          <w:marRight w:val="0"/>
          <w:marTop w:val="547"/>
          <w:marBottom w:val="0"/>
          <w:divBdr>
            <w:top w:val="none" w:sz="0" w:space="0" w:color="auto"/>
            <w:left w:val="none" w:sz="0" w:space="0" w:color="auto"/>
            <w:bottom w:val="none" w:sz="0" w:space="0" w:color="auto"/>
            <w:right w:val="none" w:sz="0" w:space="0" w:color="auto"/>
          </w:divBdr>
        </w:div>
        <w:div w:id="77096093">
          <w:marLeft w:val="0"/>
          <w:marRight w:val="0"/>
          <w:marTop w:val="0"/>
          <w:marBottom w:val="0"/>
          <w:divBdr>
            <w:top w:val="none" w:sz="0" w:space="0" w:color="auto"/>
            <w:left w:val="none" w:sz="0" w:space="0" w:color="auto"/>
            <w:bottom w:val="none" w:sz="0" w:space="0" w:color="auto"/>
            <w:right w:val="none" w:sz="0" w:space="0" w:color="auto"/>
          </w:divBdr>
        </w:div>
        <w:div w:id="90245928">
          <w:marLeft w:val="0"/>
          <w:marRight w:val="0"/>
          <w:marTop w:val="0"/>
          <w:marBottom w:val="600"/>
          <w:divBdr>
            <w:top w:val="none" w:sz="0" w:space="0" w:color="auto"/>
            <w:left w:val="none" w:sz="0" w:space="0" w:color="auto"/>
            <w:bottom w:val="none" w:sz="0" w:space="0" w:color="auto"/>
            <w:right w:val="none" w:sz="0" w:space="0" w:color="auto"/>
          </w:divBdr>
        </w:div>
      </w:divsChild>
    </w:div>
    <w:div w:id="103035903">
      <w:marLeft w:val="0"/>
      <w:marRight w:val="0"/>
      <w:marTop w:val="0"/>
      <w:marBottom w:val="0"/>
      <w:divBdr>
        <w:top w:val="none" w:sz="0" w:space="0" w:color="auto"/>
        <w:left w:val="none" w:sz="0" w:space="0" w:color="auto"/>
        <w:bottom w:val="none" w:sz="0" w:space="0" w:color="auto"/>
        <w:right w:val="none" w:sz="0" w:space="0" w:color="auto"/>
      </w:divBdr>
      <w:divsChild>
        <w:div w:id="1096558904">
          <w:marLeft w:val="0"/>
          <w:marRight w:val="0"/>
          <w:marTop w:val="547"/>
          <w:marBottom w:val="0"/>
          <w:divBdr>
            <w:top w:val="none" w:sz="0" w:space="0" w:color="auto"/>
            <w:left w:val="none" w:sz="0" w:space="0" w:color="auto"/>
            <w:bottom w:val="none" w:sz="0" w:space="0" w:color="auto"/>
            <w:right w:val="none" w:sz="0" w:space="0" w:color="auto"/>
          </w:divBdr>
        </w:div>
        <w:div w:id="1681275692">
          <w:marLeft w:val="0"/>
          <w:marRight w:val="0"/>
          <w:marTop w:val="0"/>
          <w:marBottom w:val="0"/>
          <w:divBdr>
            <w:top w:val="none" w:sz="0" w:space="0" w:color="auto"/>
            <w:left w:val="none" w:sz="0" w:space="0" w:color="auto"/>
            <w:bottom w:val="none" w:sz="0" w:space="0" w:color="auto"/>
            <w:right w:val="none" w:sz="0" w:space="0" w:color="auto"/>
          </w:divBdr>
        </w:div>
        <w:div w:id="408500858">
          <w:marLeft w:val="0"/>
          <w:marRight w:val="0"/>
          <w:marTop w:val="0"/>
          <w:marBottom w:val="600"/>
          <w:divBdr>
            <w:top w:val="none" w:sz="0" w:space="0" w:color="auto"/>
            <w:left w:val="none" w:sz="0" w:space="0" w:color="auto"/>
            <w:bottom w:val="none" w:sz="0" w:space="0" w:color="auto"/>
            <w:right w:val="none" w:sz="0" w:space="0" w:color="auto"/>
          </w:divBdr>
        </w:div>
      </w:divsChild>
    </w:div>
    <w:div w:id="122773241">
      <w:marLeft w:val="0"/>
      <w:marRight w:val="0"/>
      <w:marTop w:val="0"/>
      <w:marBottom w:val="0"/>
      <w:divBdr>
        <w:top w:val="none" w:sz="0" w:space="0" w:color="auto"/>
        <w:left w:val="none" w:sz="0" w:space="0" w:color="auto"/>
        <w:bottom w:val="none" w:sz="0" w:space="0" w:color="auto"/>
        <w:right w:val="none" w:sz="0" w:space="0" w:color="auto"/>
      </w:divBdr>
      <w:divsChild>
        <w:div w:id="1866364312">
          <w:marLeft w:val="0"/>
          <w:marRight w:val="0"/>
          <w:marTop w:val="547"/>
          <w:marBottom w:val="0"/>
          <w:divBdr>
            <w:top w:val="none" w:sz="0" w:space="0" w:color="auto"/>
            <w:left w:val="none" w:sz="0" w:space="0" w:color="auto"/>
            <w:bottom w:val="none" w:sz="0" w:space="0" w:color="auto"/>
            <w:right w:val="none" w:sz="0" w:space="0" w:color="auto"/>
          </w:divBdr>
        </w:div>
        <w:div w:id="1960910590">
          <w:marLeft w:val="0"/>
          <w:marRight w:val="0"/>
          <w:marTop w:val="0"/>
          <w:marBottom w:val="0"/>
          <w:divBdr>
            <w:top w:val="none" w:sz="0" w:space="0" w:color="auto"/>
            <w:left w:val="none" w:sz="0" w:space="0" w:color="auto"/>
            <w:bottom w:val="none" w:sz="0" w:space="0" w:color="auto"/>
            <w:right w:val="none" w:sz="0" w:space="0" w:color="auto"/>
          </w:divBdr>
        </w:div>
        <w:div w:id="2127578684">
          <w:marLeft w:val="0"/>
          <w:marRight w:val="0"/>
          <w:marTop w:val="0"/>
          <w:marBottom w:val="600"/>
          <w:divBdr>
            <w:top w:val="none" w:sz="0" w:space="0" w:color="auto"/>
            <w:left w:val="none" w:sz="0" w:space="0" w:color="auto"/>
            <w:bottom w:val="none" w:sz="0" w:space="0" w:color="auto"/>
            <w:right w:val="none" w:sz="0" w:space="0" w:color="auto"/>
          </w:divBdr>
        </w:div>
      </w:divsChild>
    </w:div>
    <w:div w:id="123162062">
      <w:marLeft w:val="0"/>
      <w:marRight w:val="0"/>
      <w:marTop w:val="0"/>
      <w:marBottom w:val="0"/>
      <w:divBdr>
        <w:top w:val="none" w:sz="0" w:space="0" w:color="auto"/>
        <w:left w:val="none" w:sz="0" w:space="0" w:color="auto"/>
        <w:bottom w:val="none" w:sz="0" w:space="0" w:color="auto"/>
        <w:right w:val="none" w:sz="0" w:space="0" w:color="auto"/>
      </w:divBdr>
      <w:divsChild>
        <w:div w:id="312177799">
          <w:marLeft w:val="0"/>
          <w:marRight w:val="0"/>
          <w:marTop w:val="547"/>
          <w:marBottom w:val="0"/>
          <w:divBdr>
            <w:top w:val="none" w:sz="0" w:space="0" w:color="auto"/>
            <w:left w:val="none" w:sz="0" w:space="0" w:color="auto"/>
            <w:bottom w:val="none" w:sz="0" w:space="0" w:color="auto"/>
            <w:right w:val="none" w:sz="0" w:space="0" w:color="auto"/>
          </w:divBdr>
        </w:div>
        <w:div w:id="2007512345">
          <w:marLeft w:val="0"/>
          <w:marRight w:val="0"/>
          <w:marTop w:val="0"/>
          <w:marBottom w:val="0"/>
          <w:divBdr>
            <w:top w:val="none" w:sz="0" w:space="0" w:color="auto"/>
            <w:left w:val="none" w:sz="0" w:space="0" w:color="auto"/>
            <w:bottom w:val="none" w:sz="0" w:space="0" w:color="auto"/>
            <w:right w:val="none" w:sz="0" w:space="0" w:color="auto"/>
          </w:divBdr>
        </w:div>
        <w:div w:id="299924325">
          <w:marLeft w:val="0"/>
          <w:marRight w:val="0"/>
          <w:marTop w:val="0"/>
          <w:marBottom w:val="600"/>
          <w:divBdr>
            <w:top w:val="none" w:sz="0" w:space="0" w:color="auto"/>
            <w:left w:val="none" w:sz="0" w:space="0" w:color="auto"/>
            <w:bottom w:val="none" w:sz="0" w:space="0" w:color="auto"/>
            <w:right w:val="none" w:sz="0" w:space="0" w:color="auto"/>
          </w:divBdr>
        </w:div>
      </w:divsChild>
    </w:div>
    <w:div w:id="131213298">
      <w:marLeft w:val="0"/>
      <w:marRight w:val="0"/>
      <w:marTop w:val="0"/>
      <w:marBottom w:val="0"/>
      <w:divBdr>
        <w:top w:val="none" w:sz="0" w:space="0" w:color="auto"/>
        <w:left w:val="none" w:sz="0" w:space="0" w:color="auto"/>
        <w:bottom w:val="none" w:sz="0" w:space="0" w:color="auto"/>
        <w:right w:val="none" w:sz="0" w:space="0" w:color="auto"/>
      </w:divBdr>
      <w:divsChild>
        <w:div w:id="503664983">
          <w:marLeft w:val="0"/>
          <w:marRight w:val="0"/>
          <w:marTop w:val="547"/>
          <w:marBottom w:val="0"/>
          <w:divBdr>
            <w:top w:val="none" w:sz="0" w:space="0" w:color="auto"/>
            <w:left w:val="none" w:sz="0" w:space="0" w:color="auto"/>
            <w:bottom w:val="none" w:sz="0" w:space="0" w:color="auto"/>
            <w:right w:val="none" w:sz="0" w:space="0" w:color="auto"/>
          </w:divBdr>
        </w:div>
        <w:div w:id="662203441">
          <w:marLeft w:val="0"/>
          <w:marRight w:val="0"/>
          <w:marTop w:val="0"/>
          <w:marBottom w:val="0"/>
          <w:divBdr>
            <w:top w:val="none" w:sz="0" w:space="0" w:color="auto"/>
            <w:left w:val="none" w:sz="0" w:space="0" w:color="auto"/>
            <w:bottom w:val="none" w:sz="0" w:space="0" w:color="auto"/>
            <w:right w:val="none" w:sz="0" w:space="0" w:color="auto"/>
          </w:divBdr>
        </w:div>
        <w:div w:id="1021398135">
          <w:marLeft w:val="0"/>
          <w:marRight w:val="0"/>
          <w:marTop w:val="0"/>
          <w:marBottom w:val="600"/>
          <w:divBdr>
            <w:top w:val="none" w:sz="0" w:space="0" w:color="auto"/>
            <w:left w:val="none" w:sz="0" w:space="0" w:color="auto"/>
            <w:bottom w:val="none" w:sz="0" w:space="0" w:color="auto"/>
            <w:right w:val="none" w:sz="0" w:space="0" w:color="auto"/>
          </w:divBdr>
        </w:div>
      </w:divsChild>
    </w:div>
    <w:div w:id="249706760">
      <w:marLeft w:val="0"/>
      <w:marRight w:val="0"/>
      <w:marTop w:val="0"/>
      <w:marBottom w:val="0"/>
      <w:divBdr>
        <w:top w:val="none" w:sz="0" w:space="0" w:color="auto"/>
        <w:left w:val="none" w:sz="0" w:space="0" w:color="auto"/>
        <w:bottom w:val="none" w:sz="0" w:space="0" w:color="auto"/>
        <w:right w:val="none" w:sz="0" w:space="0" w:color="auto"/>
      </w:divBdr>
      <w:divsChild>
        <w:div w:id="1100569504">
          <w:marLeft w:val="0"/>
          <w:marRight w:val="0"/>
          <w:marTop w:val="547"/>
          <w:marBottom w:val="0"/>
          <w:divBdr>
            <w:top w:val="none" w:sz="0" w:space="0" w:color="auto"/>
            <w:left w:val="none" w:sz="0" w:space="0" w:color="auto"/>
            <w:bottom w:val="none" w:sz="0" w:space="0" w:color="auto"/>
            <w:right w:val="none" w:sz="0" w:space="0" w:color="auto"/>
          </w:divBdr>
        </w:div>
        <w:div w:id="614560126">
          <w:marLeft w:val="0"/>
          <w:marRight w:val="0"/>
          <w:marTop w:val="0"/>
          <w:marBottom w:val="0"/>
          <w:divBdr>
            <w:top w:val="none" w:sz="0" w:space="0" w:color="auto"/>
            <w:left w:val="none" w:sz="0" w:space="0" w:color="auto"/>
            <w:bottom w:val="none" w:sz="0" w:space="0" w:color="auto"/>
            <w:right w:val="none" w:sz="0" w:space="0" w:color="auto"/>
          </w:divBdr>
        </w:div>
        <w:div w:id="483208175">
          <w:marLeft w:val="0"/>
          <w:marRight w:val="0"/>
          <w:marTop w:val="0"/>
          <w:marBottom w:val="600"/>
          <w:divBdr>
            <w:top w:val="none" w:sz="0" w:space="0" w:color="auto"/>
            <w:left w:val="none" w:sz="0" w:space="0" w:color="auto"/>
            <w:bottom w:val="none" w:sz="0" w:space="0" w:color="auto"/>
            <w:right w:val="none" w:sz="0" w:space="0" w:color="auto"/>
          </w:divBdr>
        </w:div>
      </w:divsChild>
    </w:div>
    <w:div w:id="267322080">
      <w:marLeft w:val="0"/>
      <w:marRight w:val="0"/>
      <w:marTop w:val="0"/>
      <w:marBottom w:val="0"/>
      <w:divBdr>
        <w:top w:val="none" w:sz="0" w:space="0" w:color="auto"/>
        <w:left w:val="none" w:sz="0" w:space="0" w:color="auto"/>
        <w:bottom w:val="none" w:sz="0" w:space="0" w:color="auto"/>
        <w:right w:val="none" w:sz="0" w:space="0" w:color="auto"/>
      </w:divBdr>
      <w:divsChild>
        <w:div w:id="8797108">
          <w:marLeft w:val="0"/>
          <w:marRight w:val="0"/>
          <w:marTop w:val="547"/>
          <w:marBottom w:val="0"/>
          <w:divBdr>
            <w:top w:val="none" w:sz="0" w:space="0" w:color="auto"/>
            <w:left w:val="none" w:sz="0" w:space="0" w:color="auto"/>
            <w:bottom w:val="none" w:sz="0" w:space="0" w:color="auto"/>
            <w:right w:val="none" w:sz="0" w:space="0" w:color="auto"/>
          </w:divBdr>
        </w:div>
        <w:div w:id="264657876">
          <w:marLeft w:val="0"/>
          <w:marRight w:val="0"/>
          <w:marTop w:val="0"/>
          <w:marBottom w:val="0"/>
          <w:divBdr>
            <w:top w:val="none" w:sz="0" w:space="0" w:color="auto"/>
            <w:left w:val="none" w:sz="0" w:space="0" w:color="auto"/>
            <w:bottom w:val="none" w:sz="0" w:space="0" w:color="auto"/>
            <w:right w:val="none" w:sz="0" w:space="0" w:color="auto"/>
          </w:divBdr>
        </w:div>
        <w:div w:id="1729910961">
          <w:marLeft w:val="0"/>
          <w:marRight w:val="0"/>
          <w:marTop w:val="0"/>
          <w:marBottom w:val="600"/>
          <w:divBdr>
            <w:top w:val="none" w:sz="0" w:space="0" w:color="auto"/>
            <w:left w:val="none" w:sz="0" w:space="0" w:color="auto"/>
            <w:bottom w:val="none" w:sz="0" w:space="0" w:color="auto"/>
            <w:right w:val="none" w:sz="0" w:space="0" w:color="auto"/>
          </w:divBdr>
        </w:div>
      </w:divsChild>
    </w:div>
    <w:div w:id="270361024">
      <w:marLeft w:val="0"/>
      <w:marRight w:val="0"/>
      <w:marTop w:val="0"/>
      <w:marBottom w:val="0"/>
      <w:divBdr>
        <w:top w:val="none" w:sz="0" w:space="0" w:color="auto"/>
        <w:left w:val="none" w:sz="0" w:space="0" w:color="auto"/>
        <w:bottom w:val="none" w:sz="0" w:space="0" w:color="auto"/>
        <w:right w:val="none" w:sz="0" w:space="0" w:color="auto"/>
      </w:divBdr>
      <w:divsChild>
        <w:div w:id="94836930">
          <w:marLeft w:val="0"/>
          <w:marRight w:val="0"/>
          <w:marTop w:val="547"/>
          <w:marBottom w:val="0"/>
          <w:divBdr>
            <w:top w:val="none" w:sz="0" w:space="0" w:color="auto"/>
            <w:left w:val="none" w:sz="0" w:space="0" w:color="auto"/>
            <w:bottom w:val="none" w:sz="0" w:space="0" w:color="auto"/>
            <w:right w:val="none" w:sz="0" w:space="0" w:color="auto"/>
          </w:divBdr>
        </w:div>
        <w:div w:id="467472597">
          <w:marLeft w:val="0"/>
          <w:marRight w:val="0"/>
          <w:marTop w:val="0"/>
          <w:marBottom w:val="0"/>
          <w:divBdr>
            <w:top w:val="none" w:sz="0" w:space="0" w:color="auto"/>
            <w:left w:val="none" w:sz="0" w:space="0" w:color="auto"/>
            <w:bottom w:val="none" w:sz="0" w:space="0" w:color="auto"/>
            <w:right w:val="none" w:sz="0" w:space="0" w:color="auto"/>
          </w:divBdr>
          <w:divsChild>
            <w:div w:id="1122308050">
              <w:marLeft w:val="0"/>
              <w:marRight w:val="0"/>
              <w:marTop w:val="0"/>
              <w:marBottom w:val="0"/>
              <w:divBdr>
                <w:top w:val="none" w:sz="0" w:space="0" w:color="auto"/>
                <w:left w:val="none" w:sz="0" w:space="0" w:color="auto"/>
                <w:bottom w:val="none" w:sz="0" w:space="0" w:color="auto"/>
                <w:right w:val="none" w:sz="0" w:space="0" w:color="auto"/>
              </w:divBdr>
              <w:divsChild>
                <w:div w:id="1262375363">
                  <w:marLeft w:val="0"/>
                  <w:marRight w:val="0"/>
                  <w:marTop w:val="0"/>
                  <w:marBottom w:val="0"/>
                  <w:divBdr>
                    <w:top w:val="none" w:sz="0" w:space="0" w:color="auto"/>
                    <w:left w:val="none" w:sz="0" w:space="0" w:color="auto"/>
                    <w:bottom w:val="none" w:sz="0" w:space="0" w:color="auto"/>
                    <w:right w:val="none" w:sz="0" w:space="0" w:color="auto"/>
                  </w:divBdr>
                </w:div>
              </w:divsChild>
            </w:div>
            <w:div w:id="52193043">
              <w:marLeft w:val="0"/>
              <w:marRight w:val="0"/>
              <w:marTop w:val="0"/>
              <w:marBottom w:val="0"/>
              <w:divBdr>
                <w:top w:val="none" w:sz="0" w:space="0" w:color="auto"/>
                <w:left w:val="none" w:sz="0" w:space="0" w:color="auto"/>
                <w:bottom w:val="none" w:sz="0" w:space="0" w:color="auto"/>
                <w:right w:val="none" w:sz="0" w:space="0" w:color="auto"/>
              </w:divBdr>
              <w:divsChild>
                <w:div w:id="1807619877">
                  <w:marLeft w:val="0"/>
                  <w:marRight w:val="0"/>
                  <w:marTop w:val="0"/>
                  <w:marBottom w:val="0"/>
                  <w:divBdr>
                    <w:top w:val="none" w:sz="0" w:space="0" w:color="auto"/>
                    <w:left w:val="none" w:sz="0" w:space="0" w:color="auto"/>
                    <w:bottom w:val="none" w:sz="0" w:space="0" w:color="auto"/>
                    <w:right w:val="none" w:sz="0" w:space="0" w:color="auto"/>
                  </w:divBdr>
                </w:div>
              </w:divsChild>
            </w:div>
            <w:div w:id="971178075">
              <w:marLeft w:val="0"/>
              <w:marRight w:val="0"/>
              <w:marTop w:val="0"/>
              <w:marBottom w:val="0"/>
              <w:divBdr>
                <w:top w:val="none" w:sz="0" w:space="0" w:color="auto"/>
                <w:left w:val="none" w:sz="0" w:space="0" w:color="auto"/>
                <w:bottom w:val="none" w:sz="0" w:space="0" w:color="auto"/>
                <w:right w:val="none" w:sz="0" w:space="0" w:color="auto"/>
              </w:divBdr>
              <w:divsChild>
                <w:div w:id="1864897582">
                  <w:marLeft w:val="0"/>
                  <w:marRight w:val="0"/>
                  <w:marTop w:val="0"/>
                  <w:marBottom w:val="0"/>
                  <w:divBdr>
                    <w:top w:val="none" w:sz="0" w:space="0" w:color="auto"/>
                    <w:left w:val="none" w:sz="0" w:space="0" w:color="auto"/>
                    <w:bottom w:val="none" w:sz="0" w:space="0" w:color="auto"/>
                    <w:right w:val="none" w:sz="0" w:space="0" w:color="auto"/>
                  </w:divBdr>
                </w:div>
              </w:divsChild>
            </w:div>
            <w:div w:id="652177565">
              <w:marLeft w:val="0"/>
              <w:marRight w:val="0"/>
              <w:marTop w:val="0"/>
              <w:marBottom w:val="0"/>
              <w:divBdr>
                <w:top w:val="none" w:sz="0" w:space="0" w:color="auto"/>
                <w:left w:val="none" w:sz="0" w:space="0" w:color="auto"/>
                <w:bottom w:val="none" w:sz="0" w:space="0" w:color="auto"/>
                <w:right w:val="none" w:sz="0" w:space="0" w:color="auto"/>
              </w:divBdr>
              <w:divsChild>
                <w:div w:id="1014042212">
                  <w:marLeft w:val="0"/>
                  <w:marRight w:val="0"/>
                  <w:marTop w:val="0"/>
                  <w:marBottom w:val="0"/>
                  <w:divBdr>
                    <w:top w:val="none" w:sz="0" w:space="0" w:color="auto"/>
                    <w:left w:val="none" w:sz="0" w:space="0" w:color="auto"/>
                    <w:bottom w:val="none" w:sz="0" w:space="0" w:color="auto"/>
                    <w:right w:val="none" w:sz="0" w:space="0" w:color="auto"/>
                  </w:divBdr>
                </w:div>
              </w:divsChild>
            </w:div>
            <w:div w:id="928197864">
              <w:marLeft w:val="0"/>
              <w:marRight w:val="0"/>
              <w:marTop w:val="0"/>
              <w:marBottom w:val="0"/>
              <w:divBdr>
                <w:top w:val="none" w:sz="0" w:space="0" w:color="auto"/>
                <w:left w:val="none" w:sz="0" w:space="0" w:color="auto"/>
                <w:bottom w:val="none" w:sz="0" w:space="0" w:color="auto"/>
                <w:right w:val="none" w:sz="0" w:space="0" w:color="auto"/>
              </w:divBdr>
              <w:divsChild>
                <w:div w:id="1593733686">
                  <w:marLeft w:val="0"/>
                  <w:marRight w:val="0"/>
                  <w:marTop w:val="0"/>
                  <w:marBottom w:val="0"/>
                  <w:divBdr>
                    <w:top w:val="none" w:sz="0" w:space="0" w:color="auto"/>
                    <w:left w:val="none" w:sz="0" w:space="0" w:color="auto"/>
                    <w:bottom w:val="none" w:sz="0" w:space="0" w:color="auto"/>
                    <w:right w:val="none" w:sz="0" w:space="0" w:color="auto"/>
                  </w:divBdr>
                </w:div>
              </w:divsChild>
            </w:div>
            <w:div w:id="1794328632">
              <w:marLeft w:val="0"/>
              <w:marRight w:val="0"/>
              <w:marTop w:val="0"/>
              <w:marBottom w:val="0"/>
              <w:divBdr>
                <w:top w:val="none" w:sz="0" w:space="0" w:color="auto"/>
                <w:left w:val="none" w:sz="0" w:space="0" w:color="auto"/>
                <w:bottom w:val="none" w:sz="0" w:space="0" w:color="auto"/>
                <w:right w:val="none" w:sz="0" w:space="0" w:color="auto"/>
              </w:divBdr>
              <w:divsChild>
                <w:div w:id="1567372331">
                  <w:marLeft w:val="0"/>
                  <w:marRight w:val="0"/>
                  <w:marTop w:val="0"/>
                  <w:marBottom w:val="0"/>
                  <w:divBdr>
                    <w:top w:val="none" w:sz="0" w:space="0" w:color="auto"/>
                    <w:left w:val="none" w:sz="0" w:space="0" w:color="auto"/>
                    <w:bottom w:val="none" w:sz="0" w:space="0" w:color="auto"/>
                    <w:right w:val="none" w:sz="0" w:space="0" w:color="auto"/>
                  </w:divBdr>
                </w:div>
              </w:divsChild>
            </w:div>
            <w:div w:id="1566648802">
              <w:marLeft w:val="0"/>
              <w:marRight w:val="0"/>
              <w:marTop w:val="0"/>
              <w:marBottom w:val="0"/>
              <w:divBdr>
                <w:top w:val="none" w:sz="0" w:space="0" w:color="auto"/>
                <w:left w:val="none" w:sz="0" w:space="0" w:color="auto"/>
                <w:bottom w:val="none" w:sz="0" w:space="0" w:color="auto"/>
                <w:right w:val="none" w:sz="0" w:space="0" w:color="auto"/>
              </w:divBdr>
              <w:divsChild>
                <w:div w:id="758409679">
                  <w:marLeft w:val="0"/>
                  <w:marRight w:val="0"/>
                  <w:marTop w:val="0"/>
                  <w:marBottom w:val="0"/>
                  <w:divBdr>
                    <w:top w:val="none" w:sz="0" w:space="0" w:color="auto"/>
                    <w:left w:val="none" w:sz="0" w:space="0" w:color="auto"/>
                    <w:bottom w:val="none" w:sz="0" w:space="0" w:color="auto"/>
                    <w:right w:val="none" w:sz="0" w:space="0" w:color="auto"/>
                  </w:divBdr>
                </w:div>
              </w:divsChild>
            </w:div>
            <w:div w:id="287515800">
              <w:marLeft w:val="0"/>
              <w:marRight w:val="0"/>
              <w:marTop w:val="0"/>
              <w:marBottom w:val="0"/>
              <w:divBdr>
                <w:top w:val="none" w:sz="0" w:space="0" w:color="auto"/>
                <w:left w:val="none" w:sz="0" w:space="0" w:color="auto"/>
                <w:bottom w:val="none" w:sz="0" w:space="0" w:color="auto"/>
                <w:right w:val="none" w:sz="0" w:space="0" w:color="auto"/>
              </w:divBdr>
              <w:divsChild>
                <w:div w:id="1107311113">
                  <w:marLeft w:val="0"/>
                  <w:marRight w:val="0"/>
                  <w:marTop w:val="0"/>
                  <w:marBottom w:val="0"/>
                  <w:divBdr>
                    <w:top w:val="none" w:sz="0" w:space="0" w:color="auto"/>
                    <w:left w:val="none" w:sz="0" w:space="0" w:color="auto"/>
                    <w:bottom w:val="none" w:sz="0" w:space="0" w:color="auto"/>
                    <w:right w:val="none" w:sz="0" w:space="0" w:color="auto"/>
                  </w:divBdr>
                </w:div>
              </w:divsChild>
            </w:div>
            <w:div w:id="185411992">
              <w:marLeft w:val="0"/>
              <w:marRight w:val="0"/>
              <w:marTop w:val="0"/>
              <w:marBottom w:val="0"/>
              <w:divBdr>
                <w:top w:val="none" w:sz="0" w:space="0" w:color="auto"/>
                <w:left w:val="none" w:sz="0" w:space="0" w:color="auto"/>
                <w:bottom w:val="none" w:sz="0" w:space="0" w:color="auto"/>
                <w:right w:val="none" w:sz="0" w:space="0" w:color="auto"/>
              </w:divBdr>
              <w:divsChild>
                <w:div w:id="1655909196">
                  <w:marLeft w:val="0"/>
                  <w:marRight w:val="0"/>
                  <w:marTop w:val="0"/>
                  <w:marBottom w:val="0"/>
                  <w:divBdr>
                    <w:top w:val="none" w:sz="0" w:space="0" w:color="auto"/>
                    <w:left w:val="none" w:sz="0" w:space="0" w:color="auto"/>
                    <w:bottom w:val="none" w:sz="0" w:space="0" w:color="auto"/>
                    <w:right w:val="none" w:sz="0" w:space="0" w:color="auto"/>
                  </w:divBdr>
                </w:div>
              </w:divsChild>
            </w:div>
            <w:div w:id="12264497">
              <w:marLeft w:val="0"/>
              <w:marRight w:val="0"/>
              <w:marTop w:val="0"/>
              <w:marBottom w:val="0"/>
              <w:divBdr>
                <w:top w:val="none" w:sz="0" w:space="0" w:color="auto"/>
                <w:left w:val="none" w:sz="0" w:space="0" w:color="auto"/>
                <w:bottom w:val="none" w:sz="0" w:space="0" w:color="auto"/>
                <w:right w:val="none" w:sz="0" w:space="0" w:color="auto"/>
              </w:divBdr>
              <w:divsChild>
                <w:div w:id="1168594406">
                  <w:marLeft w:val="0"/>
                  <w:marRight w:val="0"/>
                  <w:marTop w:val="0"/>
                  <w:marBottom w:val="0"/>
                  <w:divBdr>
                    <w:top w:val="none" w:sz="0" w:space="0" w:color="auto"/>
                    <w:left w:val="none" w:sz="0" w:space="0" w:color="auto"/>
                    <w:bottom w:val="none" w:sz="0" w:space="0" w:color="auto"/>
                    <w:right w:val="none" w:sz="0" w:space="0" w:color="auto"/>
                  </w:divBdr>
                </w:div>
              </w:divsChild>
            </w:div>
            <w:div w:id="625040666">
              <w:marLeft w:val="0"/>
              <w:marRight w:val="0"/>
              <w:marTop w:val="0"/>
              <w:marBottom w:val="0"/>
              <w:divBdr>
                <w:top w:val="none" w:sz="0" w:space="0" w:color="auto"/>
                <w:left w:val="none" w:sz="0" w:space="0" w:color="auto"/>
                <w:bottom w:val="none" w:sz="0" w:space="0" w:color="auto"/>
                <w:right w:val="none" w:sz="0" w:space="0" w:color="auto"/>
              </w:divBdr>
              <w:divsChild>
                <w:div w:id="2020618061">
                  <w:marLeft w:val="0"/>
                  <w:marRight w:val="0"/>
                  <w:marTop w:val="0"/>
                  <w:marBottom w:val="0"/>
                  <w:divBdr>
                    <w:top w:val="none" w:sz="0" w:space="0" w:color="auto"/>
                    <w:left w:val="none" w:sz="0" w:space="0" w:color="auto"/>
                    <w:bottom w:val="none" w:sz="0" w:space="0" w:color="auto"/>
                    <w:right w:val="none" w:sz="0" w:space="0" w:color="auto"/>
                  </w:divBdr>
                </w:div>
              </w:divsChild>
            </w:div>
            <w:div w:id="1645237813">
              <w:marLeft w:val="0"/>
              <w:marRight w:val="0"/>
              <w:marTop w:val="0"/>
              <w:marBottom w:val="0"/>
              <w:divBdr>
                <w:top w:val="none" w:sz="0" w:space="0" w:color="auto"/>
                <w:left w:val="none" w:sz="0" w:space="0" w:color="auto"/>
                <w:bottom w:val="none" w:sz="0" w:space="0" w:color="auto"/>
                <w:right w:val="none" w:sz="0" w:space="0" w:color="auto"/>
              </w:divBdr>
              <w:divsChild>
                <w:div w:id="1648627412">
                  <w:marLeft w:val="0"/>
                  <w:marRight w:val="0"/>
                  <w:marTop w:val="0"/>
                  <w:marBottom w:val="0"/>
                  <w:divBdr>
                    <w:top w:val="none" w:sz="0" w:space="0" w:color="auto"/>
                    <w:left w:val="none" w:sz="0" w:space="0" w:color="auto"/>
                    <w:bottom w:val="none" w:sz="0" w:space="0" w:color="auto"/>
                    <w:right w:val="none" w:sz="0" w:space="0" w:color="auto"/>
                  </w:divBdr>
                </w:div>
              </w:divsChild>
            </w:div>
            <w:div w:id="272129123">
              <w:marLeft w:val="0"/>
              <w:marRight w:val="0"/>
              <w:marTop w:val="0"/>
              <w:marBottom w:val="0"/>
              <w:divBdr>
                <w:top w:val="none" w:sz="0" w:space="0" w:color="auto"/>
                <w:left w:val="none" w:sz="0" w:space="0" w:color="auto"/>
                <w:bottom w:val="none" w:sz="0" w:space="0" w:color="auto"/>
                <w:right w:val="none" w:sz="0" w:space="0" w:color="auto"/>
              </w:divBdr>
              <w:divsChild>
                <w:div w:id="1095326543">
                  <w:marLeft w:val="0"/>
                  <w:marRight w:val="0"/>
                  <w:marTop w:val="0"/>
                  <w:marBottom w:val="0"/>
                  <w:divBdr>
                    <w:top w:val="none" w:sz="0" w:space="0" w:color="auto"/>
                    <w:left w:val="none" w:sz="0" w:space="0" w:color="auto"/>
                    <w:bottom w:val="none" w:sz="0" w:space="0" w:color="auto"/>
                    <w:right w:val="none" w:sz="0" w:space="0" w:color="auto"/>
                  </w:divBdr>
                </w:div>
              </w:divsChild>
            </w:div>
            <w:div w:id="1599286074">
              <w:marLeft w:val="0"/>
              <w:marRight w:val="0"/>
              <w:marTop w:val="0"/>
              <w:marBottom w:val="0"/>
              <w:divBdr>
                <w:top w:val="none" w:sz="0" w:space="0" w:color="auto"/>
                <w:left w:val="none" w:sz="0" w:space="0" w:color="auto"/>
                <w:bottom w:val="none" w:sz="0" w:space="0" w:color="auto"/>
                <w:right w:val="none" w:sz="0" w:space="0" w:color="auto"/>
              </w:divBdr>
              <w:divsChild>
                <w:div w:id="1938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069">
          <w:marLeft w:val="0"/>
          <w:marRight w:val="0"/>
          <w:marTop w:val="0"/>
          <w:marBottom w:val="600"/>
          <w:divBdr>
            <w:top w:val="none" w:sz="0" w:space="0" w:color="auto"/>
            <w:left w:val="none" w:sz="0" w:space="0" w:color="auto"/>
            <w:bottom w:val="none" w:sz="0" w:space="0" w:color="auto"/>
            <w:right w:val="none" w:sz="0" w:space="0" w:color="auto"/>
          </w:divBdr>
        </w:div>
      </w:divsChild>
    </w:div>
    <w:div w:id="328409985">
      <w:marLeft w:val="0"/>
      <w:marRight w:val="0"/>
      <w:marTop w:val="0"/>
      <w:marBottom w:val="0"/>
      <w:divBdr>
        <w:top w:val="none" w:sz="0" w:space="0" w:color="auto"/>
        <w:left w:val="none" w:sz="0" w:space="0" w:color="auto"/>
        <w:bottom w:val="none" w:sz="0" w:space="0" w:color="auto"/>
        <w:right w:val="none" w:sz="0" w:space="0" w:color="auto"/>
      </w:divBdr>
      <w:divsChild>
        <w:div w:id="212498787">
          <w:marLeft w:val="0"/>
          <w:marRight w:val="0"/>
          <w:marTop w:val="547"/>
          <w:marBottom w:val="0"/>
          <w:divBdr>
            <w:top w:val="none" w:sz="0" w:space="0" w:color="auto"/>
            <w:left w:val="none" w:sz="0" w:space="0" w:color="auto"/>
            <w:bottom w:val="none" w:sz="0" w:space="0" w:color="auto"/>
            <w:right w:val="none" w:sz="0" w:space="0" w:color="auto"/>
          </w:divBdr>
        </w:div>
        <w:div w:id="50277925">
          <w:marLeft w:val="0"/>
          <w:marRight w:val="0"/>
          <w:marTop w:val="0"/>
          <w:marBottom w:val="0"/>
          <w:divBdr>
            <w:top w:val="none" w:sz="0" w:space="0" w:color="auto"/>
            <w:left w:val="none" w:sz="0" w:space="0" w:color="auto"/>
            <w:bottom w:val="none" w:sz="0" w:space="0" w:color="auto"/>
            <w:right w:val="none" w:sz="0" w:space="0" w:color="auto"/>
          </w:divBdr>
        </w:div>
        <w:div w:id="1489711024">
          <w:marLeft w:val="0"/>
          <w:marRight w:val="0"/>
          <w:marTop w:val="0"/>
          <w:marBottom w:val="600"/>
          <w:divBdr>
            <w:top w:val="none" w:sz="0" w:space="0" w:color="auto"/>
            <w:left w:val="none" w:sz="0" w:space="0" w:color="auto"/>
            <w:bottom w:val="none" w:sz="0" w:space="0" w:color="auto"/>
            <w:right w:val="none" w:sz="0" w:space="0" w:color="auto"/>
          </w:divBdr>
        </w:div>
      </w:divsChild>
    </w:div>
    <w:div w:id="367149361">
      <w:marLeft w:val="0"/>
      <w:marRight w:val="0"/>
      <w:marTop w:val="0"/>
      <w:marBottom w:val="0"/>
      <w:divBdr>
        <w:top w:val="none" w:sz="0" w:space="0" w:color="auto"/>
        <w:left w:val="none" w:sz="0" w:space="0" w:color="auto"/>
        <w:bottom w:val="none" w:sz="0" w:space="0" w:color="auto"/>
        <w:right w:val="none" w:sz="0" w:space="0" w:color="auto"/>
      </w:divBdr>
      <w:divsChild>
        <w:div w:id="1461650909">
          <w:marLeft w:val="0"/>
          <w:marRight w:val="0"/>
          <w:marTop w:val="547"/>
          <w:marBottom w:val="0"/>
          <w:divBdr>
            <w:top w:val="none" w:sz="0" w:space="0" w:color="auto"/>
            <w:left w:val="none" w:sz="0" w:space="0" w:color="auto"/>
            <w:bottom w:val="none" w:sz="0" w:space="0" w:color="auto"/>
            <w:right w:val="none" w:sz="0" w:space="0" w:color="auto"/>
          </w:divBdr>
        </w:div>
        <w:div w:id="1049570843">
          <w:marLeft w:val="0"/>
          <w:marRight w:val="0"/>
          <w:marTop w:val="0"/>
          <w:marBottom w:val="0"/>
          <w:divBdr>
            <w:top w:val="none" w:sz="0" w:space="0" w:color="auto"/>
            <w:left w:val="none" w:sz="0" w:space="0" w:color="auto"/>
            <w:bottom w:val="none" w:sz="0" w:space="0" w:color="auto"/>
            <w:right w:val="none" w:sz="0" w:space="0" w:color="auto"/>
          </w:divBdr>
          <w:divsChild>
            <w:div w:id="1938169871">
              <w:marLeft w:val="0"/>
              <w:marRight w:val="0"/>
              <w:marTop w:val="0"/>
              <w:marBottom w:val="0"/>
              <w:divBdr>
                <w:top w:val="none" w:sz="0" w:space="0" w:color="auto"/>
                <w:left w:val="none" w:sz="0" w:space="0" w:color="auto"/>
                <w:bottom w:val="none" w:sz="0" w:space="0" w:color="auto"/>
                <w:right w:val="none" w:sz="0" w:space="0" w:color="auto"/>
              </w:divBdr>
              <w:divsChild>
                <w:div w:id="2005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368">
          <w:marLeft w:val="0"/>
          <w:marRight w:val="0"/>
          <w:marTop w:val="0"/>
          <w:marBottom w:val="600"/>
          <w:divBdr>
            <w:top w:val="none" w:sz="0" w:space="0" w:color="auto"/>
            <w:left w:val="none" w:sz="0" w:space="0" w:color="auto"/>
            <w:bottom w:val="none" w:sz="0" w:space="0" w:color="auto"/>
            <w:right w:val="none" w:sz="0" w:space="0" w:color="auto"/>
          </w:divBdr>
        </w:div>
      </w:divsChild>
    </w:div>
    <w:div w:id="375129196">
      <w:marLeft w:val="0"/>
      <w:marRight w:val="0"/>
      <w:marTop w:val="0"/>
      <w:marBottom w:val="0"/>
      <w:divBdr>
        <w:top w:val="none" w:sz="0" w:space="0" w:color="auto"/>
        <w:left w:val="none" w:sz="0" w:space="0" w:color="auto"/>
        <w:bottom w:val="none" w:sz="0" w:space="0" w:color="auto"/>
        <w:right w:val="none" w:sz="0" w:space="0" w:color="auto"/>
      </w:divBdr>
      <w:divsChild>
        <w:div w:id="1510215675">
          <w:marLeft w:val="0"/>
          <w:marRight w:val="0"/>
          <w:marTop w:val="547"/>
          <w:marBottom w:val="0"/>
          <w:divBdr>
            <w:top w:val="none" w:sz="0" w:space="0" w:color="auto"/>
            <w:left w:val="none" w:sz="0" w:space="0" w:color="auto"/>
            <w:bottom w:val="none" w:sz="0" w:space="0" w:color="auto"/>
            <w:right w:val="none" w:sz="0" w:space="0" w:color="auto"/>
          </w:divBdr>
        </w:div>
        <w:div w:id="1083836692">
          <w:marLeft w:val="0"/>
          <w:marRight w:val="0"/>
          <w:marTop w:val="0"/>
          <w:marBottom w:val="0"/>
          <w:divBdr>
            <w:top w:val="none" w:sz="0" w:space="0" w:color="auto"/>
            <w:left w:val="none" w:sz="0" w:space="0" w:color="auto"/>
            <w:bottom w:val="none" w:sz="0" w:space="0" w:color="auto"/>
            <w:right w:val="none" w:sz="0" w:space="0" w:color="auto"/>
          </w:divBdr>
          <w:divsChild>
            <w:div w:id="910310489">
              <w:marLeft w:val="0"/>
              <w:marRight w:val="0"/>
              <w:marTop w:val="0"/>
              <w:marBottom w:val="0"/>
              <w:divBdr>
                <w:top w:val="none" w:sz="0" w:space="0" w:color="auto"/>
                <w:left w:val="none" w:sz="0" w:space="0" w:color="auto"/>
                <w:bottom w:val="none" w:sz="0" w:space="0" w:color="auto"/>
                <w:right w:val="none" w:sz="0" w:space="0" w:color="auto"/>
              </w:divBdr>
              <w:divsChild>
                <w:div w:id="422261314">
                  <w:marLeft w:val="0"/>
                  <w:marRight w:val="0"/>
                  <w:marTop w:val="0"/>
                  <w:marBottom w:val="0"/>
                  <w:divBdr>
                    <w:top w:val="none" w:sz="0" w:space="0" w:color="auto"/>
                    <w:left w:val="none" w:sz="0" w:space="0" w:color="auto"/>
                    <w:bottom w:val="none" w:sz="0" w:space="0" w:color="auto"/>
                    <w:right w:val="none" w:sz="0" w:space="0" w:color="auto"/>
                  </w:divBdr>
                </w:div>
              </w:divsChild>
            </w:div>
            <w:div w:id="1399896">
              <w:marLeft w:val="0"/>
              <w:marRight w:val="0"/>
              <w:marTop w:val="0"/>
              <w:marBottom w:val="0"/>
              <w:divBdr>
                <w:top w:val="none" w:sz="0" w:space="0" w:color="auto"/>
                <w:left w:val="none" w:sz="0" w:space="0" w:color="auto"/>
                <w:bottom w:val="none" w:sz="0" w:space="0" w:color="auto"/>
                <w:right w:val="none" w:sz="0" w:space="0" w:color="auto"/>
              </w:divBdr>
              <w:divsChild>
                <w:div w:id="873811933">
                  <w:marLeft w:val="0"/>
                  <w:marRight w:val="0"/>
                  <w:marTop w:val="0"/>
                  <w:marBottom w:val="0"/>
                  <w:divBdr>
                    <w:top w:val="none" w:sz="0" w:space="0" w:color="auto"/>
                    <w:left w:val="none" w:sz="0" w:space="0" w:color="auto"/>
                    <w:bottom w:val="none" w:sz="0" w:space="0" w:color="auto"/>
                    <w:right w:val="none" w:sz="0" w:space="0" w:color="auto"/>
                  </w:divBdr>
                </w:div>
              </w:divsChild>
            </w:div>
            <w:div w:id="2435549">
              <w:marLeft w:val="0"/>
              <w:marRight w:val="0"/>
              <w:marTop w:val="0"/>
              <w:marBottom w:val="0"/>
              <w:divBdr>
                <w:top w:val="none" w:sz="0" w:space="0" w:color="auto"/>
                <w:left w:val="none" w:sz="0" w:space="0" w:color="auto"/>
                <w:bottom w:val="none" w:sz="0" w:space="0" w:color="auto"/>
                <w:right w:val="none" w:sz="0" w:space="0" w:color="auto"/>
              </w:divBdr>
              <w:divsChild>
                <w:div w:id="1220285308">
                  <w:marLeft w:val="0"/>
                  <w:marRight w:val="0"/>
                  <w:marTop w:val="0"/>
                  <w:marBottom w:val="0"/>
                  <w:divBdr>
                    <w:top w:val="none" w:sz="0" w:space="0" w:color="auto"/>
                    <w:left w:val="none" w:sz="0" w:space="0" w:color="auto"/>
                    <w:bottom w:val="none" w:sz="0" w:space="0" w:color="auto"/>
                    <w:right w:val="none" w:sz="0" w:space="0" w:color="auto"/>
                  </w:divBdr>
                </w:div>
              </w:divsChild>
            </w:div>
            <w:div w:id="347831846">
              <w:marLeft w:val="0"/>
              <w:marRight w:val="0"/>
              <w:marTop w:val="0"/>
              <w:marBottom w:val="0"/>
              <w:divBdr>
                <w:top w:val="none" w:sz="0" w:space="0" w:color="auto"/>
                <w:left w:val="none" w:sz="0" w:space="0" w:color="auto"/>
                <w:bottom w:val="none" w:sz="0" w:space="0" w:color="auto"/>
                <w:right w:val="none" w:sz="0" w:space="0" w:color="auto"/>
              </w:divBdr>
              <w:divsChild>
                <w:div w:id="611673282">
                  <w:marLeft w:val="0"/>
                  <w:marRight w:val="0"/>
                  <w:marTop w:val="0"/>
                  <w:marBottom w:val="0"/>
                  <w:divBdr>
                    <w:top w:val="none" w:sz="0" w:space="0" w:color="auto"/>
                    <w:left w:val="none" w:sz="0" w:space="0" w:color="auto"/>
                    <w:bottom w:val="none" w:sz="0" w:space="0" w:color="auto"/>
                    <w:right w:val="none" w:sz="0" w:space="0" w:color="auto"/>
                  </w:divBdr>
                </w:div>
              </w:divsChild>
            </w:div>
            <w:div w:id="276109765">
              <w:marLeft w:val="0"/>
              <w:marRight w:val="0"/>
              <w:marTop w:val="0"/>
              <w:marBottom w:val="0"/>
              <w:divBdr>
                <w:top w:val="none" w:sz="0" w:space="0" w:color="auto"/>
                <w:left w:val="none" w:sz="0" w:space="0" w:color="auto"/>
                <w:bottom w:val="none" w:sz="0" w:space="0" w:color="auto"/>
                <w:right w:val="none" w:sz="0" w:space="0" w:color="auto"/>
              </w:divBdr>
              <w:divsChild>
                <w:div w:id="791024578">
                  <w:marLeft w:val="0"/>
                  <w:marRight w:val="0"/>
                  <w:marTop w:val="0"/>
                  <w:marBottom w:val="0"/>
                  <w:divBdr>
                    <w:top w:val="none" w:sz="0" w:space="0" w:color="auto"/>
                    <w:left w:val="none" w:sz="0" w:space="0" w:color="auto"/>
                    <w:bottom w:val="none" w:sz="0" w:space="0" w:color="auto"/>
                    <w:right w:val="none" w:sz="0" w:space="0" w:color="auto"/>
                  </w:divBdr>
                </w:div>
              </w:divsChild>
            </w:div>
            <w:div w:id="507183437">
              <w:marLeft w:val="0"/>
              <w:marRight w:val="0"/>
              <w:marTop w:val="0"/>
              <w:marBottom w:val="0"/>
              <w:divBdr>
                <w:top w:val="none" w:sz="0" w:space="0" w:color="auto"/>
                <w:left w:val="none" w:sz="0" w:space="0" w:color="auto"/>
                <w:bottom w:val="none" w:sz="0" w:space="0" w:color="auto"/>
                <w:right w:val="none" w:sz="0" w:space="0" w:color="auto"/>
              </w:divBdr>
              <w:divsChild>
                <w:div w:id="581447100">
                  <w:marLeft w:val="0"/>
                  <w:marRight w:val="0"/>
                  <w:marTop w:val="0"/>
                  <w:marBottom w:val="0"/>
                  <w:divBdr>
                    <w:top w:val="none" w:sz="0" w:space="0" w:color="auto"/>
                    <w:left w:val="none" w:sz="0" w:space="0" w:color="auto"/>
                    <w:bottom w:val="none" w:sz="0" w:space="0" w:color="auto"/>
                    <w:right w:val="none" w:sz="0" w:space="0" w:color="auto"/>
                  </w:divBdr>
                </w:div>
              </w:divsChild>
            </w:div>
            <w:div w:id="568345583">
              <w:marLeft w:val="0"/>
              <w:marRight w:val="0"/>
              <w:marTop w:val="0"/>
              <w:marBottom w:val="0"/>
              <w:divBdr>
                <w:top w:val="none" w:sz="0" w:space="0" w:color="auto"/>
                <w:left w:val="none" w:sz="0" w:space="0" w:color="auto"/>
                <w:bottom w:val="none" w:sz="0" w:space="0" w:color="auto"/>
                <w:right w:val="none" w:sz="0" w:space="0" w:color="auto"/>
              </w:divBdr>
              <w:divsChild>
                <w:div w:id="2111198251">
                  <w:marLeft w:val="0"/>
                  <w:marRight w:val="0"/>
                  <w:marTop w:val="0"/>
                  <w:marBottom w:val="0"/>
                  <w:divBdr>
                    <w:top w:val="none" w:sz="0" w:space="0" w:color="auto"/>
                    <w:left w:val="none" w:sz="0" w:space="0" w:color="auto"/>
                    <w:bottom w:val="none" w:sz="0" w:space="0" w:color="auto"/>
                    <w:right w:val="none" w:sz="0" w:space="0" w:color="auto"/>
                  </w:divBdr>
                </w:div>
              </w:divsChild>
            </w:div>
            <w:div w:id="2128549909">
              <w:marLeft w:val="0"/>
              <w:marRight w:val="0"/>
              <w:marTop w:val="0"/>
              <w:marBottom w:val="0"/>
              <w:divBdr>
                <w:top w:val="none" w:sz="0" w:space="0" w:color="auto"/>
                <w:left w:val="none" w:sz="0" w:space="0" w:color="auto"/>
                <w:bottom w:val="none" w:sz="0" w:space="0" w:color="auto"/>
                <w:right w:val="none" w:sz="0" w:space="0" w:color="auto"/>
              </w:divBdr>
              <w:divsChild>
                <w:div w:id="1049181959">
                  <w:marLeft w:val="0"/>
                  <w:marRight w:val="0"/>
                  <w:marTop w:val="0"/>
                  <w:marBottom w:val="0"/>
                  <w:divBdr>
                    <w:top w:val="none" w:sz="0" w:space="0" w:color="auto"/>
                    <w:left w:val="none" w:sz="0" w:space="0" w:color="auto"/>
                    <w:bottom w:val="none" w:sz="0" w:space="0" w:color="auto"/>
                    <w:right w:val="none" w:sz="0" w:space="0" w:color="auto"/>
                  </w:divBdr>
                </w:div>
              </w:divsChild>
            </w:div>
            <w:div w:id="2066099445">
              <w:marLeft w:val="0"/>
              <w:marRight w:val="0"/>
              <w:marTop w:val="0"/>
              <w:marBottom w:val="0"/>
              <w:divBdr>
                <w:top w:val="none" w:sz="0" w:space="0" w:color="auto"/>
                <w:left w:val="none" w:sz="0" w:space="0" w:color="auto"/>
                <w:bottom w:val="none" w:sz="0" w:space="0" w:color="auto"/>
                <w:right w:val="none" w:sz="0" w:space="0" w:color="auto"/>
              </w:divBdr>
              <w:divsChild>
                <w:div w:id="2124110270">
                  <w:marLeft w:val="0"/>
                  <w:marRight w:val="0"/>
                  <w:marTop w:val="0"/>
                  <w:marBottom w:val="0"/>
                  <w:divBdr>
                    <w:top w:val="none" w:sz="0" w:space="0" w:color="auto"/>
                    <w:left w:val="none" w:sz="0" w:space="0" w:color="auto"/>
                    <w:bottom w:val="none" w:sz="0" w:space="0" w:color="auto"/>
                    <w:right w:val="none" w:sz="0" w:space="0" w:color="auto"/>
                  </w:divBdr>
                </w:div>
              </w:divsChild>
            </w:div>
            <w:div w:id="154298856">
              <w:marLeft w:val="0"/>
              <w:marRight w:val="0"/>
              <w:marTop w:val="0"/>
              <w:marBottom w:val="0"/>
              <w:divBdr>
                <w:top w:val="none" w:sz="0" w:space="0" w:color="auto"/>
                <w:left w:val="none" w:sz="0" w:space="0" w:color="auto"/>
                <w:bottom w:val="none" w:sz="0" w:space="0" w:color="auto"/>
                <w:right w:val="none" w:sz="0" w:space="0" w:color="auto"/>
              </w:divBdr>
              <w:divsChild>
                <w:div w:id="1131485416">
                  <w:marLeft w:val="0"/>
                  <w:marRight w:val="0"/>
                  <w:marTop w:val="0"/>
                  <w:marBottom w:val="0"/>
                  <w:divBdr>
                    <w:top w:val="none" w:sz="0" w:space="0" w:color="auto"/>
                    <w:left w:val="none" w:sz="0" w:space="0" w:color="auto"/>
                    <w:bottom w:val="none" w:sz="0" w:space="0" w:color="auto"/>
                    <w:right w:val="none" w:sz="0" w:space="0" w:color="auto"/>
                  </w:divBdr>
                </w:div>
              </w:divsChild>
            </w:div>
            <w:div w:id="1011680090">
              <w:marLeft w:val="0"/>
              <w:marRight w:val="0"/>
              <w:marTop w:val="0"/>
              <w:marBottom w:val="0"/>
              <w:divBdr>
                <w:top w:val="none" w:sz="0" w:space="0" w:color="auto"/>
                <w:left w:val="none" w:sz="0" w:space="0" w:color="auto"/>
                <w:bottom w:val="none" w:sz="0" w:space="0" w:color="auto"/>
                <w:right w:val="none" w:sz="0" w:space="0" w:color="auto"/>
              </w:divBdr>
              <w:divsChild>
                <w:div w:id="210311742">
                  <w:marLeft w:val="0"/>
                  <w:marRight w:val="0"/>
                  <w:marTop w:val="0"/>
                  <w:marBottom w:val="0"/>
                  <w:divBdr>
                    <w:top w:val="none" w:sz="0" w:space="0" w:color="auto"/>
                    <w:left w:val="none" w:sz="0" w:space="0" w:color="auto"/>
                    <w:bottom w:val="none" w:sz="0" w:space="0" w:color="auto"/>
                    <w:right w:val="none" w:sz="0" w:space="0" w:color="auto"/>
                  </w:divBdr>
                </w:div>
              </w:divsChild>
            </w:div>
            <w:div w:id="436679910">
              <w:marLeft w:val="0"/>
              <w:marRight w:val="0"/>
              <w:marTop w:val="0"/>
              <w:marBottom w:val="0"/>
              <w:divBdr>
                <w:top w:val="none" w:sz="0" w:space="0" w:color="auto"/>
                <w:left w:val="none" w:sz="0" w:space="0" w:color="auto"/>
                <w:bottom w:val="none" w:sz="0" w:space="0" w:color="auto"/>
                <w:right w:val="none" w:sz="0" w:space="0" w:color="auto"/>
              </w:divBdr>
              <w:divsChild>
                <w:div w:id="744037479">
                  <w:marLeft w:val="0"/>
                  <w:marRight w:val="0"/>
                  <w:marTop w:val="0"/>
                  <w:marBottom w:val="0"/>
                  <w:divBdr>
                    <w:top w:val="none" w:sz="0" w:space="0" w:color="auto"/>
                    <w:left w:val="none" w:sz="0" w:space="0" w:color="auto"/>
                    <w:bottom w:val="none" w:sz="0" w:space="0" w:color="auto"/>
                    <w:right w:val="none" w:sz="0" w:space="0" w:color="auto"/>
                  </w:divBdr>
                </w:div>
              </w:divsChild>
            </w:div>
            <w:div w:id="1509560873">
              <w:marLeft w:val="0"/>
              <w:marRight w:val="0"/>
              <w:marTop w:val="0"/>
              <w:marBottom w:val="0"/>
              <w:divBdr>
                <w:top w:val="none" w:sz="0" w:space="0" w:color="auto"/>
                <w:left w:val="none" w:sz="0" w:space="0" w:color="auto"/>
                <w:bottom w:val="none" w:sz="0" w:space="0" w:color="auto"/>
                <w:right w:val="none" w:sz="0" w:space="0" w:color="auto"/>
              </w:divBdr>
              <w:divsChild>
                <w:div w:id="2058234458">
                  <w:marLeft w:val="0"/>
                  <w:marRight w:val="0"/>
                  <w:marTop w:val="0"/>
                  <w:marBottom w:val="0"/>
                  <w:divBdr>
                    <w:top w:val="none" w:sz="0" w:space="0" w:color="auto"/>
                    <w:left w:val="none" w:sz="0" w:space="0" w:color="auto"/>
                    <w:bottom w:val="none" w:sz="0" w:space="0" w:color="auto"/>
                    <w:right w:val="none" w:sz="0" w:space="0" w:color="auto"/>
                  </w:divBdr>
                </w:div>
              </w:divsChild>
            </w:div>
            <w:div w:id="1986202188">
              <w:marLeft w:val="0"/>
              <w:marRight w:val="0"/>
              <w:marTop w:val="0"/>
              <w:marBottom w:val="0"/>
              <w:divBdr>
                <w:top w:val="none" w:sz="0" w:space="0" w:color="auto"/>
                <w:left w:val="none" w:sz="0" w:space="0" w:color="auto"/>
                <w:bottom w:val="none" w:sz="0" w:space="0" w:color="auto"/>
                <w:right w:val="none" w:sz="0" w:space="0" w:color="auto"/>
              </w:divBdr>
              <w:divsChild>
                <w:div w:id="11420109">
                  <w:marLeft w:val="0"/>
                  <w:marRight w:val="0"/>
                  <w:marTop w:val="0"/>
                  <w:marBottom w:val="0"/>
                  <w:divBdr>
                    <w:top w:val="none" w:sz="0" w:space="0" w:color="auto"/>
                    <w:left w:val="none" w:sz="0" w:space="0" w:color="auto"/>
                    <w:bottom w:val="none" w:sz="0" w:space="0" w:color="auto"/>
                    <w:right w:val="none" w:sz="0" w:space="0" w:color="auto"/>
                  </w:divBdr>
                </w:div>
              </w:divsChild>
            </w:div>
            <w:div w:id="30569379">
              <w:marLeft w:val="0"/>
              <w:marRight w:val="0"/>
              <w:marTop w:val="0"/>
              <w:marBottom w:val="0"/>
              <w:divBdr>
                <w:top w:val="none" w:sz="0" w:space="0" w:color="auto"/>
                <w:left w:val="none" w:sz="0" w:space="0" w:color="auto"/>
                <w:bottom w:val="none" w:sz="0" w:space="0" w:color="auto"/>
                <w:right w:val="none" w:sz="0" w:space="0" w:color="auto"/>
              </w:divBdr>
              <w:divsChild>
                <w:div w:id="561797146">
                  <w:marLeft w:val="0"/>
                  <w:marRight w:val="0"/>
                  <w:marTop w:val="0"/>
                  <w:marBottom w:val="0"/>
                  <w:divBdr>
                    <w:top w:val="none" w:sz="0" w:space="0" w:color="auto"/>
                    <w:left w:val="none" w:sz="0" w:space="0" w:color="auto"/>
                    <w:bottom w:val="none" w:sz="0" w:space="0" w:color="auto"/>
                    <w:right w:val="none" w:sz="0" w:space="0" w:color="auto"/>
                  </w:divBdr>
                </w:div>
              </w:divsChild>
            </w:div>
            <w:div w:id="1366061625">
              <w:marLeft w:val="0"/>
              <w:marRight w:val="0"/>
              <w:marTop w:val="0"/>
              <w:marBottom w:val="0"/>
              <w:divBdr>
                <w:top w:val="none" w:sz="0" w:space="0" w:color="auto"/>
                <w:left w:val="none" w:sz="0" w:space="0" w:color="auto"/>
                <w:bottom w:val="none" w:sz="0" w:space="0" w:color="auto"/>
                <w:right w:val="none" w:sz="0" w:space="0" w:color="auto"/>
              </w:divBdr>
              <w:divsChild>
                <w:div w:id="1338652878">
                  <w:marLeft w:val="0"/>
                  <w:marRight w:val="0"/>
                  <w:marTop w:val="0"/>
                  <w:marBottom w:val="0"/>
                  <w:divBdr>
                    <w:top w:val="none" w:sz="0" w:space="0" w:color="auto"/>
                    <w:left w:val="none" w:sz="0" w:space="0" w:color="auto"/>
                    <w:bottom w:val="none" w:sz="0" w:space="0" w:color="auto"/>
                    <w:right w:val="none" w:sz="0" w:space="0" w:color="auto"/>
                  </w:divBdr>
                </w:div>
              </w:divsChild>
            </w:div>
            <w:div w:id="884684227">
              <w:marLeft w:val="0"/>
              <w:marRight w:val="0"/>
              <w:marTop w:val="0"/>
              <w:marBottom w:val="0"/>
              <w:divBdr>
                <w:top w:val="none" w:sz="0" w:space="0" w:color="auto"/>
                <w:left w:val="none" w:sz="0" w:space="0" w:color="auto"/>
                <w:bottom w:val="none" w:sz="0" w:space="0" w:color="auto"/>
                <w:right w:val="none" w:sz="0" w:space="0" w:color="auto"/>
              </w:divBdr>
              <w:divsChild>
                <w:div w:id="573012975">
                  <w:marLeft w:val="0"/>
                  <w:marRight w:val="0"/>
                  <w:marTop w:val="0"/>
                  <w:marBottom w:val="0"/>
                  <w:divBdr>
                    <w:top w:val="none" w:sz="0" w:space="0" w:color="auto"/>
                    <w:left w:val="none" w:sz="0" w:space="0" w:color="auto"/>
                    <w:bottom w:val="none" w:sz="0" w:space="0" w:color="auto"/>
                    <w:right w:val="none" w:sz="0" w:space="0" w:color="auto"/>
                  </w:divBdr>
                </w:div>
              </w:divsChild>
            </w:div>
            <w:div w:id="1607272701">
              <w:marLeft w:val="0"/>
              <w:marRight w:val="0"/>
              <w:marTop w:val="0"/>
              <w:marBottom w:val="0"/>
              <w:divBdr>
                <w:top w:val="none" w:sz="0" w:space="0" w:color="auto"/>
                <w:left w:val="none" w:sz="0" w:space="0" w:color="auto"/>
                <w:bottom w:val="none" w:sz="0" w:space="0" w:color="auto"/>
                <w:right w:val="none" w:sz="0" w:space="0" w:color="auto"/>
              </w:divBdr>
              <w:divsChild>
                <w:div w:id="145166299">
                  <w:marLeft w:val="0"/>
                  <w:marRight w:val="0"/>
                  <w:marTop w:val="0"/>
                  <w:marBottom w:val="0"/>
                  <w:divBdr>
                    <w:top w:val="none" w:sz="0" w:space="0" w:color="auto"/>
                    <w:left w:val="none" w:sz="0" w:space="0" w:color="auto"/>
                    <w:bottom w:val="none" w:sz="0" w:space="0" w:color="auto"/>
                    <w:right w:val="none" w:sz="0" w:space="0" w:color="auto"/>
                  </w:divBdr>
                </w:div>
              </w:divsChild>
            </w:div>
            <w:div w:id="1590775084">
              <w:marLeft w:val="0"/>
              <w:marRight w:val="0"/>
              <w:marTop w:val="0"/>
              <w:marBottom w:val="0"/>
              <w:divBdr>
                <w:top w:val="none" w:sz="0" w:space="0" w:color="auto"/>
                <w:left w:val="none" w:sz="0" w:space="0" w:color="auto"/>
                <w:bottom w:val="none" w:sz="0" w:space="0" w:color="auto"/>
                <w:right w:val="none" w:sz="0" w:space="0" w:color="auto"/>
              </w:divBdr>
              <w:divsChild>
                <w:div w:id="1598709482">
                  <w:marLeft w:val="0"/>
                  <w:marRight w:val="0"/>
                  <w:marTop w:val="0"/>
                  <w:marBottom w:val="0"/>
                  <w:divBdr>
                    <w:top w:val="none" w:sz="0" w:space="0" w:color="auto"/>
                    <w:left w:val="none" w:sz="0" w:space="0" w:color="auto"/>
                    <w:bottom w:val="none" w:sz="0" w:space="0" w:color="auto"/>
                    <w:right w:val="none" w:sz="0" w:space="0" w:color="auto"/>
                  </w:divBdr>
                </w:div>
              </w:divsChild>
            </w:div>
            <w:div w:id="1384671578">
              <w:marLeft w:val="0"/>
              <w:marRight w:val="0"/>
              <w:marTop w:val="0"/>
              <w:marBottom w:val="0"/>
              <w:divBdr>
                <w:top w:val="none" w:sz="0" w:space="0" w:color="auto"/>
                <w:left w:val="none" w:sz="0" w:space="0" w:color="auto"/>
                <w:bottom w:val="none" w:sz="0" w:space="0" w:color="auto"/>
                <w:right w:val="none" w:sz="0" w:space="0" w:color="auto"/>
              </w:divBdr>
              <w:divsChild>
                <w:div w:id="911813874">
                  <w:marLeft w:val="0"/>
                  <w:marRight w:val="0"/>
                  <w:marTop w:val="0"/>
                  <w:marBottom w:val="0"/>
                  <w:divBdr>
                    <w:top w:val="none" w:sz="0" w:space="0" w:color="auto"/>
                    <w:left w:val="none" w:sz="0" w:space="0" w:color="auto"/>
                    <w:bottom w:val="none" w:sz="0" w:space="0" w:color="auto"/>
                    <w:right w:val="none" w:sz="0" w:space="0" w:color="auto"/>
                  </w:divBdr>
                </w:div>
              </w:divsChild>
            </w:div>
            <w:div w:id="1181358806">
              <w:marLeft w:val="0"/>
              <w:marRight w:val="0"/>
              <w:marTop w:val="0"/>
              <w:marBottom w:val="0"/>
              <w:divBdr>
                <w:top w:val="none" w:sz="0" w:space="0" w:color="auto"/>
                <w:left w:val="none" w:sz="0" w:space="0" w:color="auto"/>
                <w:bottom w:val="none" w:sz="0" w:space="0" w:color="auto"/>
                <w:right w:val="none" w:sz="0" w:space="0" w:color="auto"/>
              </w:divBdr>
              <w:divsChild>
                <w:div w:id="1239092410">
                  <w:marLeft w:val="0"/>
                  <w:marRight w:val="0"/>
                  <w:marTop w:val="0"/>
                  <w:marBottom w:val="0"/>
                  <w:divBdr>
                    <w:top w:val="none" w:sz="0" w:space="0" w:color="auto"/>
                    <w:left w:val="none" w:sz="0" w:space="0" w:color="auto"/>
                    <w:bottom w:val="none" w:sz="0" w:space="0" w:color="auto"/>
                    <w:right w:val="none" w:sz="0" w:space="0" w:color="auto"/>
                  </w:divBdr>
                </w:div>
              </w:divsChild>
            </w:div>
            <w:div w:id="54276672">
              <w:marLeft w:val="0"/>
              <w:marRight w:val="0"/>
              <w:marTop w:val="0"/>
              <w:marBottom w:val="0"/>
              <w:divBdr>
                <w:top w:val="none" w:sz="0" w:space="0" w:color="auto"/>
                <w:left w:val="none" w:sz="0" w:space="0" w:color="auto"/>
                <w:bottom w:val="none" w:sz="0" w:space="0" w:color="auto"/>
                <w:right w:val="none" w:sz="0" w:space="0" w:color="auto"/>
              </w:divBdr>
              <w:divsChild>
                <w:div w:id="526523304">
                  <w:marLeft w:val="0"/>
                  <w:marRight w:val="0"/>
                  <w:marTop w:val="0"/>
                  <w:marBottom w:val="0"/>
                  <w:divBdr>
                    <w:top w:val="none" w:sz="0" w:space="0" w:color="auto"/>
                    <w:left w:val="none" w:sz="0" w:space="0" w:color="auto"/>
                    <w:bottom w:val="none" w:sz="0" w:space="0" w:color="auto"/>
                    <w:right w:val="none" w:sz="0" w:space="0" w:color="auto"/>
                  </w:divBdr>
                </w:div>
              </w:divsChild>
            </w:div>
            <w:div w:id="1342273910">
              <w:marLeft w:val="0"/>
              <w:marRight w:val="0"/>
              <w:marTop w:val="0"/>
              <w:marBottom w:val="0"/>
              <w:divBdr>
                <w:top w:val="none" w:sz="0" w:space="0" w:color="auto"/>
                <w:left w:val="none" w:sz="0" w:space="0" w:color="auto"/>
                <w:bottom w:val="none" w:sz="0" w:space="0" w:color="auto"/>
                <w:right w:val="none" w:sz="0" w:space="0" w:color="auto"/>
              </w:divBdr>
              <w:divsChild>
                <w:div w:id="1652782874">
                  <w:marLeft w:val="0"/>
                  <w:marRight w:val="0"/>
                  <w:marTop w:val="0"/>
                  <w:marBottom w:val="0"/>
                  <w:divBdr>
                    <w:top w:val="none" w:sz="0" w:space="0" w:color="auto"/>
                    <w:left w:val="none" w:sz="0" w:space="0" w:color="auto"/>
                    <w:bottom w:val="none" w:sz="0" w:space="0" w:color="auto"/>
                    <w:right w:val="none" w:sz="0" w:space="0" w:color="auto"/>
                  </w:divBdr>
                </w:div>
              </w:divsChild>
            </w:div>
            <w:div w:id="963852932">
              <w:marLeft w:val="0"/>
              <w:marRight w:val="0"/>
              <w:marTop w:val="0"/>
              <w:marBottom w:val="0"/>
              <w:divBdr>
                <w:top w:val="none" w:sz="0" w:space="0" w:color="auto"/>
                <w:left w:val="none" w:sz="0" w:space="0" w:color="auto"/>
                <w:bottom w:val="none" w:sz="0" w:space="0" w:color="auto"/>
                <w:right w:val="none" w:sz="0" w:space="0" w:color="auto"/>
              </w:divBdr>
              <w:divsChild>
                <w:div w:id="1593511631">
                  <w:marLeft w:val="0"/>
                  <w:marRight w:val="0"/>
                  <w:marTop w:val="0"/>
                  <w:marBottom w:val="0"/>
                  <w:divBdr>
                    <w:top w:val="none" w:sz="0" w:space="0" w:color="auto"/>
                    <w:left w:val="none" w:sz="0" w:space="0" w:color="auto"/>
                    <w:bottom w:val="none" w:sz="0" w:space="0" w:color="auto"/>
                    <w:right w:val="none" w:sz="0" w:space="0" w:color="auto"/>
                  </w:divBdr>
                </w:div>
              </w:divsChild>
            </w:div>
            <w:div w:id="1808819403">
              <w:marLeft w:val="0"/>
              <w:marRight w:val="0"/>
              <w:marTop w:val="0"/>
              <w:marBottom w:val="0"/>
              <w:divBdr>
                <w:top w:val="none" w:sz="0" w:space="0" w:color="auto"/>
                <w:left w:val="none" w:sz="0" w:space="0" w:color="auto"/>
                <w:bottom w:val="none" w:sz="0" w:space="0" w:color="auto"/>
                <w:right w:val="none" w:sz="0" w:space="0" w:color="auto"/>
              </w:divBdr>
              <w:divsChild>
                <w:div w:id="1993293544">
                  <w:marLeft w:val="0"/>
                  <w:marRight w:val="0"/>
                  <w:marTop w:val="0"/>
                  <w:marBottom w:val="0"/>
                  <w:divBdr>
                    <w:top w:val="none" w:sz="0" w:space="0" w:color="auto"/>
                    <w:left w:val="none" w:sz="0" w:space="0" w:color="auto"/>
                    <w:bottom w:val="none" w:sz="0" w:space="0" w:color="auto"/>
                    <w:right w:val="none" w:sz="0" w:space="0" w:color="auto"/>
                  </w:divBdr>
                </w:div>
              </w:divsChild>
            </w:div>
            <w:div w:id="249583589">
              <w:marLeft w:val="0"/>
              <w:marRight w:val="0"/>
              <w:marTop w:val="0"/>
              <w:marBottom w:val="0"/>
              <w:divBdr>
                <w:top w:val="none" w:sz="0" w:space="0" w:color="auto"/>
                <w:left w:val="none" w:sz="0" w:space="0" w:color="auto"/>
                <w:bottom w:val="none" w:sz="0" w:space="0" w:color="auto"/>
                <w:right w:val="none" w:sz="0" w:space="0" w:color="auto"/>
              </w:divBdr>
              <w:divsChild>
                <w:div w:id="1422986778">
                  <w:marLeft w:val="0"/>
                  <w:marRight w:val="0"/>
                  <w:marTop w:val="0"/>
                  <w:marBottom w:val="0"/>
                  <w:divBdr>
                    <w:top w:val="none" w:sz="0" w:space="0" w:color="auto"/>
                    <w:left w:val="none" w:sz="0" w:space="0" w:color="auto"/>
                    <w:bottom w:val="none" w:sz="0" w:space="0" w:color="auto"/>
                    <w:right w:val="none" w:sz="0" w:space="0" w:color="auto"/>
                  </w:divBdr>
                </w:div>
              </w:divsChild>
            </w:div>
            <w:div w:id="2109230812">
              <w:marLeft w:val="0"/>
              <w:marRight w:val="0"/>
              <w:marTop w:val="0"/>
              <w:marBottom w:val="0"/>
              <w:divBdr>
                <w:top w:val="none" w:sz="0" w:space="0" w:color="auto"/>
                <w:left w:val="none" w:sz="0" w:space="0" w:color="auto"/>
                <w:bottom w:val="none" w:sz="0" w:space="0" w:color="auto"/>
                <w:right w:val="none" w:sz="0" w:space="0" w:color="auto"/>
              </w:divBdr>
              <w:divsChild>
                <w:div w:id="865098698">
                  <w:marLeft w:val="0"/>
                  <w:marRight w:val="0"/>
                  <w:marTop w:val="0"/>
                  <w:marBottom w:val="0"/>
                  <w:divBdr>
                    <w:top w:val="none" w:sz="0" w:space="0" w:color="auto"/>
                    <w:left w:val="none" w:sz="0" w:space="0" w:color="auto"/>
                    <w:bottom w:val="none" w:sz="0" w:space="0" w:color="auto"/>
                    <w:right w:val="none" w:sz="0" w:space="0" w:color="auto"/>
                  </w:divBdr>
                </w:div>
              </w:divsChild>
            </w:div>
            <w:div w:id="1092628462">
              <w:marLeft w:val="0"/>
              <w:marRight w:val="0"/>
              <w:marTop w:val="0"/>
              <w:marBottom w:val="0"/>
              <w:divBdr>
                <w:top w:val="none" w:sz="0" w:space="0" w:color="auto"/>
                <w:left w:val="none" w:sz="0" w:space="0" w:color="auto"/>
                <w:bottom w:val="none" w:sz="0" w:space="0" w:color="auto"/>
                <w:right w:val="none" w:sz="0" w:space="0" w:color="auto"/>
              </w:divBdr>
              <w:divsChild>
                <w:div w:id="1764375554">
                  <w:marLeft w:val="0"/>
                  <w:marRight w:val="0"/>
                  <w:marTop w:val="0"/>
                  <w:marBottom w:val="0"/>
                  <w:divBdr>
                    <w:top w:val="none" w:sz="0" w:space="0" w:color="auto"/>
                    <w:left w:val="none" w:sz="0" w:space="0" w:color="auto"/>
                    <w:bottom w:val="none" w:sz="0" w:space="0" w:color="auto"/>
                    <w:right w:val="none" w:sz="0" w:space="0" w:color="auto"/>
                  </w:divBdr>
                </w:div>
              </w:divsChild>
            </w:div>
            <w:div w:id="884218870">
              <w:marLeft w:val="0"/>
              <w:marRight w:val="0"/>
              <w:marTop w:val="0"/>
              <w:marBottom w:val="0"/>
              <w:divBdr>
                <w:top w:val="none" w:sz="0" w:space="0" w:color="auto"/>
                <w:left w:val="none" w:sz="0" w:space="0" w:color="auto"/>
                <w:bottom w:val="none" w:sz="0" w:space="0" w:color="auto"/>
                <w:right w:val="none" w:sz="0" w:space="0" w:color="auto"/>
              </w:divBdr>
              <w:divsChild>
                <w:div w:id="1578786190">
                  <w:marLeft w:val="0"/>
                  <w:marRight w:val="0"/>
                  <w:marTop w:val="0"/>
                  <w:marBottom w:val="0"/>
                  <w:divBdr>
                    <w:top w:val="none" w:sz="0" w:space="0" w:color="auto"/>
                    <w:left w:val="none" w:sz="0" w:space="0" w:color="auto"/>
                    <w:bottom w:val="none" w:sz="0" w:space="0" w:color="auto"/>
                    <w:right w:val="none" w:sz="0" w:space="0" w:color="auto"/>
                  </w:divBdr>
                </w:div>
              </w:divsChild>
            </w:div>
            <w:div w:id="1568803401">
              <w:marLeft w:val="0"/>
              <w:marRight w:val="0"/>
              <w:marTop w:val="0"/>
              <w:marBottom w:val="0"/>
              <w:divBdr>
                <w:top w:val="none" w:sz="0" w:space="0" w:color="auto"/>
                <w:left w:val="none" w:sz="0" w:space="0" w:color="auto"/>
                <w:bottom w:val="none" w:sz="0" w:space="0" w:color="auto"/>
                <w:right w:val="none" w:sz="0" w:space="0" w:color="auto"/>
              </w:divBdr>
              <w:divsChild>
                <w:div w:id="1024210423">
                  <w:marLeft w:val="0"/>
                  <w:marRight w:val="0"/>
                  <w:marTop w:val="0"/>
                  <w:marBottom w:val="0"/>
                  <w:divBdr>
                    <w:top w:val="none" w:sz="0" w:space="0" w:color="auto"/>
                    <w:left w:val="none" w:sz="0" w:space="0" w:color="auto"/>
                    <w:bottom w:val="none" w:sz="0" w:space="0" w:color="auto"/>
                    <w:right w:val="none" w:sz="0" w:space="0" w:color="auto"/>
                  </w:divBdr>
                </w:div>
              </w:divsChild>
            </w:div>
            <w:div w:id="686106180">
              <w:marLeft w:val="0"/>
              <w:marRight w:val="0"/>
              <w:marTop w:val="0"/>
              <w:marBottom w:val="0"/>
              <w:divBdr>
                <w:top w:val="none" w:sz="0" w:space="0" w:color="auto"/>
                <w:left w:val="none" w:sz="0" w:space="0" w:color="auto"/>
                <w:bottom w:val="none" w:sz="0" w:space="0" w:color="auto"/>
                <w:right w:val="none" w:sz="0" w:space="0" w:color="auto"/>
              </w:divBdr>
              <w:divsChild>
                <w:div w:id="415244568">
                  <w:marLeft w:val="0"/>
                  <w:marRight w:val="0"/>
                  <w:marTop w:val="0"/>
                  <w:marBottom w:val="0"/>
                  <w:divBdr>
                    <w:top w:val="none" w:sz="0" w:space="0" w:color="auto"/>
                    <w:left w:val="none" w:sz="0" w:space="0" w:color="auto"/>
                    <w:bottom w:val="none" w:sz="0" w:space="0" w:color="auto"/>
                    <w:right w:val="none" w:sz="0" w:space="0" w:color="auto"/>
                  </w:divBdr>
                </w:div>
              </w:divsChild>
            </w:div>
            <w:div w:id="507253149">
              <w:marLeft w:val="0"/>
              <w:marRight w:val="0"/>
              <w:marTop w:val="0"/>
              <w:marBottom w:val="0"/>
              <w:divBdr>
                <w:top w:val="none" w:sz="0" w:space="0" w:color="auto"/>
                <w:left w:val="none" w:sz="0" w:space="0" w:color="auto"/>
                <w:bottom w:val="none" w:sz="0" w:space="0" w:color="auto"/>
                <w:right w:val="none" w:sz="0" w:space="0" w:color="auto"/>
              </w:divBdr>
              <w:divsChild>
                <w:div w:id="251160988">
                  <w:marLeft w:val="0"/>
                  <w:marRight w:val="0"/>
                  <w:marTop w:val="0"/>
                  <w:marBottom w:val="0"/>
                  <w:divBdr>
                    <w:top w:val="none" w:sz="0" w:space="0" w:color="auto"/>
                    <w:left w:val="none" w:sz="0" w:space="0" w:color="auto"/>
                    <w:bottom w:val="none" w:sz="0" w:space="0" w:color="auto"/>
                    <w:right w:val="none" w:sz="0" w:space="0" w:color="auto"/>
                  </w:divBdr>
                </w:div>
              </w:divsChild>
            </w:div>
            <w:div w:id="1493527428">
              <w:marLeft w:val="0"/>
              <w:marRight w:val="0"/>
              <w:marTop w:val="0"/>
              <w:marBottom w:val="0"/>
              <w:divBdr>
                <w:top w:val="none" w:sz="0" w:space="0" w:color="auto"/>
                <w:left w:val="none" w:sz="0" w:space="0" w:color="auto"/>
                <w:bottom w:val="none" w:sz="0" w:space="0" w:color="auto"/>
                <w:right w:val="none" w:sz="0" w:space="0" w:color="auto"/>
              </w:divBdr>
              <w:divsChild>
                <w:div w:id="990671248">
                  <w:marLeft w:val="0"/>
                  <w:marRight w:val="0"/>
                  <w:marTop w:val="0"/>
                  <w:marBottom w:val="0"/>
                  <w:divBdr>
                    <w:top w:val="none" w:sz="0" w:space="0" w:color="auto"/>
                    <w:left w:val="none" w:sz="0" w:space="0" w:color="auto"/>
                    <w:bottom w:val="none" w:sz="0" w:space="0" w:color="auto"/>
                    <w:right w:val="none" w:sz="0" w:space="0" w:color="auto"/>
                  </w:divBdr>
                </w:div>
              </w:divsChild>
            </w:div>
            <w:div w:id="595526714">
              <w:marLeft w:val="0"/>
              <w:marRight w:val="0"/>
              <w:marTop w:val="0"/>
              <w:marBottom w:val="0"/>
              <w:divBdr>
                <w:top w:val="none" w:sz="0" w:space="0" w:color="auto"/>
                <w:left w:val="none" w:sz="0" w:space="0" w:color="auto"/>
                <w:bottom w:val="none" w:sz="0" w:space="0" w:color="auto"/>
                <w:right w:val="none" w:sz="0" w:space="0" w:color="auto"/>
              </w:divBdr>
              <w:divsChild>
                <w:div w:id="1607887897">
                  <w:marLeft w:val="0"/>
                  <w:marRight w:val="0"/>
                  <w:marTop w:val="0"/>
                  <w:marBottom w:val="0"/>
                  <w:divBdr>
                    <w:top w:val="none" w:sz="0" w:space="0" w:color="auto"/>
                    <w:left w:val="none" w:sz="0" w:space="0" w:color="auto"/>
                    <w:bottom w:val="none" w:sz="0" w:space="0" w:color="auto"/>
                    <w:right w:val="none" w:sz="0" w:space="0" w:color="auto"/>
                  </w:divBdr>
                </w:div>
              </w:divsChild>
            </w:div>
            <w:div w:id="1627076549">
              <w:marLeft w:val="0"/>
              <w:marRight w:val="0"/>
              <w:marTop w:val="0"/>
              <w:marBottom w:val="0"/>
              <w:divBdr>
                <w:top w:val="none" w:sz="0" w:space="0" w:color="auto"/>
                <w:left w:val="none" w:sz="0" w:space="0" w:color="auto"/>
                <w:bottom w:val="none" w:sz="0" w:space="0" w:color="auto"/>
                <w:right w:val="none" w:sz="0" w:space="0" w:color="auto"/>
              </w:divBdr>
              <w:divsChild>
                <w:div w:id="893731834">
                  <w:marLeft w:val="0"/>
                  <w:marRight w:val="0"/>
                  <w:marTop w:val="0"/>
                  <w:marBottom w:val="0"/>
                  <w:divBdr>
                    <w:top w:val="none" w:sz="0" w:space="0" w:color="auto"/>
                    <w:left w:val="none" w:sz="0" w:space="0" w:color="auto"/>
                    <w:bottom w:val="none" w:sz="0" w:space="0" w:color="auto"/>
                    <w:right w:val="none" w:sz="0" w:space="0" w:color="auto"/>
                  </w:divBdr>
                </w:div>
              </w:divsChild>
            </w:div>
            <w:div w:id="1719889094">
              <w:marLeft w:val="0"/>
              <w:marRight w:val="0"/>
              <w:marTop w:val="0"/>
              <w:marBottom w:val="0"/>
              <w:divBdr>
                <w:top w:val="none" w:sz="0" w:space="0" w:color="auto"/>
                <w:left w:val="none" w:sz="0" w:space="0" w:color="auto"/>
                <w:bottom w:val="none" w:sz="0" w:space="0" w:color="auto"/>
                <w:right w:val="none" w:sz="0" w:space="0" w:color="auto"/>
              </w:divBdr>
              <w:divsChild>
                <w:div w:id="192809557">
                  <w:marLeft w:val="0"/>
                  <w:marRight w:val="0"/>
                  <w:marTop w:val="0"/>
                  <w:marBottom w:val="0"/>
                  <w:divBdr>
                    <w:top w:val="none" w:sz="0" w:space="0" w:color="auto"/>
                    <w:left w:val="none" w:sz="0" w:space="0" w:color="auto"/>
                    <w:bottom w:val="none" w:sz="0" w:space="0" w:color="auto"/>
                    <w:right w:val="none" w:sz="0" w:space="0" w:color="auto"/>
                  </w:divBdr>
                </w:div>
              </w:divsChild>
            </w:div>
            <w:div w:id="1150823986">
              <w:marLeft w:val="0"/>
              <w:marRight w:val="0"/>
              <w:marTop w:val="0"/>
              <w:marBottom w:val="0"/>
              <w:divBdr>
                <w:top w:val="none" w:sz="0" w:space="0" w:color="auto"/>
                <w:left w:val="none" w:sz="0" w:space="0" w:color="auto"/>
                <w:bottom w:val="none" w:sz="0" w:space="0" w:color="auto"/>
                <w:right w:val="none" w:sz="0" w:space="0" w:color="auto"/>
              </w:divBdr>
              <w:divsChild>
                <w:div w:id="291253516">
                  <w:marLeft w:val="0"/>
                  <w:marRight w:val="0"/>
                  <w:marTop w:val="0"/>
                  <w:marBottom w:val="0"/>
                  <w:divBdr>
                    <w:top w:val="none" w:sz="0" w:space="0" w:color="auto"/>
                    <w:left w:val="none" w:sz="0" w:space="0" w:color="auto"/>
                    <w:bottom w:val="none" w:sz="0" w:space="0" w:color="auto"/>
                    <w:right w:val="none" w:sz="0" w:space="0" w:color="auto"/>
                  </w:divBdr>
                </w:div>
              </w:divsChild>
            </w:div>
            <w:div w:id="344790512">
              <w:marLeft w:val="0"/>
              <w:marRight w:val="0"/>
              <w:marTop w:val="0"/>
              <w:marBottom w:val="0"/>
              <w:divBdr>
                <w:top w:val="none" w:sz="0" w:space="0" w:color="auto"/>
                <w:left w:val="none" w:sz="0" w:space="0" w:color="auto"/>
                <w:bottom w:val="none" w:sz="0" w:space="0" w:color="auto"/>
                <w:right w:val="none" w:sz="0" w:space="0" w:color="auto"/>
              </w:divBdr>
              <w:divsChild>
                <w:div w:id="1084691318">
                  <w:marLeft w:val="0"/>
                  <w:marRight w:val="0"/>
                  <w:marTop w:val="0"/>
                  <w:marBottom w:val="0"/>
                  <w:divBdr>
                    <w:top w:val="none" w:sz="0" w:space="0" w:color="auto"/>
                    <w:left w:val="none" w:sz="0" w:space="0" w:color="auto"/>
                    <w:bottom w:val="none" w:sz="0" w:space="0" w:color="auto"/>
                    <w:right w:val="none" w:sz="0" w:space="0" w:color="auto"/>
                  </w:divBdr>
                </w:div>
              </w:divsChild>
            </w:div>
            <w:div w:id="1521159403">
              <w:marLeft w:val="0"/>
              <w:marRight w:val="0"/>
              <w:marTop w:val="0"/>
              <w:marBottom w:val="0"/>
              <w:divBdr>
                <w:top w:val="none" w:sz="0" w:space="0" w:color="auto"/>
                <w:left w:val="none" w:sz="0" w:space="0" w:color="auto"/>
                <w:bottom w:val="none" w:sz="0" w:space="0" w:color="auto"/>
                <w:right w:val="none" w:sz="0" w:space="0" w:color="auto"/>
              </w:divBdr>
              <w:divsChild>
                <w:div w:id="8217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800">
          <w:marLeft w:val="0"/>
          <w:marRight w:val="0"/>
          <w:marTop w:val="0"/>
          <w:marBottom w:val="600"/>
          <w:divBdr>
            <w:top w:val="none" w:sz="0" w:space="0" w:color="auto"/>
            <w:left w:val="none" w:sz="0" w:space="0" w:color="auto"/>
            <w:bottom w:val="none" w:sz="0" w:space="0" w:color="auto"/>
            <w:right w:val="none" w:sz="0" w:space="0" w:color="auto"/>
          </w:divBdr>
        </w:div>
      </w:divsChild>
    </w:div>
    <w:div w:id="402333403">
      <w:marLeft w:val="0"/>
      <w:marRight w:val="0"/>
      <w:marTop w:val="0"/>
      <w:marBottom w:val="0"/>
      <w:divBdr>
        <w:top w:val="none" w:sz="0" w:space="0" w:color="auto"/>
        <w:left w:val="none" w:sz="0" w:space="0" w:color="auto"/>
        <w:bottom w:val="none" w:sz="0" w:space="0" w:color="auto"/>
        <w:right w:val="none" w:sz="0" w:space="0" w:color="auto"/>
      </w:divBdr>
      <w:divsChild>
        <w:div w:id="831721600">
          <w:marLeft w:val="0"/>
          <w:marRight w:val="0"/>
          <w:marTop w:val="547"/>
          <w:marBottom w:val="0"/>
          <w:divBdr>
            <w:top w:val="none" w:sz="0" w:space="0" w:color="auto"/>
            <w:left w:val="none" w:sz="0" w:space="0" w:color="auto"/>
            <w:bottom w:val="none" w:sz="0" w:space="0" w:color="auto"/>
            <w:right w:val="none" w:sz="0" w:space="0" w:color="auto"/>
          </w:divBdr>
        </w:div>
        <w:div w:id="195626038">
          <w:marLeft w:val="0"/>
          <w:marRight w:val="0"/>
          <w:marTop w:val="0"/>
          <w:marBottom w:val="0"/>
          <w:divBdr>
            <w:top w:val="none" w:sz="0" w:space="0" w:color="auto"/>
            <w:left w:val="none" w:sz="0" w:space="0" w:color="auto"/>
            <w:bottom w:val="none" w:sz="0" w:space="0" w:color="auto"/>
            <w:right w:val="none" w:sz="0" w:space="0" w:color="auto"/>
          </w:divBdr>
        </w:div>
        <w:div w:id="618339374">
          <w:marLeft w:val="0"/>
          <w:marRight w:val="0"/>
          <w:marTop w:val="0"/>
          <w:marBottom w:val="600"/>
          <w:divBdr>
            <w:top w:val="none" w:sz="0" w:space="0" w:color="auto"/>
            <w:left w:val="none" w:sz="0" w:space="0" w:color="auto"/>
            <w:bottom w:val="none" w:sz="0" w:space="0" w:color="auto"/>
            <w:right w:val="none" w:sz="0" w:space="0" w:color="auto"/>
          </w:divBdr>
        </w:div>
      </w:divsChild>
    </w:div>
    <w:div w:id="431901013">
      <w:marLeft w:val="0"/>
      <w:marRight w:val="0"/>
      <w:marTop w:val="0"/>
      <w:marBottom w:val="0"/>
      <w:divBdr>
        <w:top w:val="none" w:sz="0" w:space="0" w:color="auto"/>
        <w:left w:val="none" w:sz="0" w:space="0" w:color="auto"/>
        <w:bottom w:val="none" w:sz="0" w:space="0" w:color="auto"/>
        <w:right w:val="none" w:sz="0" w:space="0" w:color="auto"/>
      </w:divBdr>
      <w:divsChild>
        <w:div w:id="1923566723">
          <w:marLeft w:val="0"/>
          <w:marRight w:val="0"/>
          <w:marTop w:val="547"/>
          <w:marBottom w:val="0"/>
          <w:divBdr>
            <w:top w:val="none" w:sz="0" w:space="0" w:color="auto"/>
            <w:left w:val="none" w:sz="0" w:space="0" w:color="auto"/>
            <w:bottom w:val="none" w:sz="0" w:space="0" w:color="auto"/>
            <w:right w:val="none" w:sz="0" w:space="0" w:color="auto"/>
          </w:divBdr>
        </w:div>
        <w:div w:id="883058225">
          <w:marLeft w:val="0"/>
          <w:marRight w:val="0"/>
          <w:marTop w:val="0"/>
          <w:marBottom w:val="0"/>
          <w:divBdr>
            <w:top w:val="none" w:sz="0" w:space="0" w:color="auto"/>
            <w:left w:val="none" w:sz="0" w:space="0" w:color="auto"/>
            <w:bottom w:val="none" w:sz="0" w:space="0" w:color="auto"/>
            <w:right w:val="none" w:sz="0" w:space="0" w:color="auto"/>
          </w:divBdr>
        </w:div>
        <w:div w:id="36004972">
          <w:marLeft w:val="0"/>
          <w:marRight w:val="0"/>
          <w:marTop w:val="0"/>
          <w:marBottom w:val="600"/>
          <w:divBdr>
            <w:top w:val="none" w:sz="0" w:space="0" w:color="auto"/>
            <w:left w:val="none" w:sz="0" w:space="0" w:color="auto"/>
            <w:bottom w:val="none" w:sz="0" w:space="0" w:color="auto"/>
            <w:right w:val="none" w:sz="0" w:space="0" w:color="auto"/>
          </w:divBdr>
        </w:div>
      </w:divsChild>
    </w:div>
    <w:div w:id="468397863">
      <w:marLeft w:val="0"/>
      <w:marRight w:val="0"/>
      <w:marTop w:val="0"/>
      <w:marBottom w:val="0"/>
      <w:divBdr>
        <w:top w:val="none" w:sz="0" w:space="0" w:color="auto"/>
        <w:left w:val="none" w:sz="0" w:space="0" w:color="auto"/>
        <w:bottom w:val="none" w:sz="0" w:space="0" w:color="auto"/>
        <w:right w:val="none" w:sz="0" w:space="0" w:color="auto"/>
      </w:divBdr>
      <w:divsChild>
        <w:div w:id="1475219766">
          <w:marLeft w:val="0"/>
          <w:marRight w:val="0"/>
          <w:marTop w:val="547"/>
          <w:marBottom w:val="0"/>
          <w:divBdr>
            <w:top w:val="none" w:sz="0" w:space="0" w:color="auto"/>
            <w:left w:val="none" w:sz="0" w:space="0" w:color="auto"/>
            <w:bottom w:val="none" w:sz="0" w:space="0" w:color="auto"/>
            <w:right w:val="none" w:sz="0" w:space="0" w:color="auto"/>
          </w:divBdr>
        </w:div>
        <w:div w:id="1056196682">
          <w:marLeft w:val="0"/>
          <w:marRight w:val="0"/>
          <w:marTop w:val="0"/>
          <w:marBottom w:val="0"/>
          <w:divBdr>
            <w:top w:val="none" w:sz="0" w:space="0" w:color="auto"/>
            <w:left w:val="none" w:sz="0" w:space="0" w:color="auto"/>
            <w:bottom w:val="none" w:sz="0" w:space="0" w:color="auto"/>
            <w:right w:val="none" w:sz="0" w:space="0" w:color="auto"/>
          </w:divBdr>
        </w:div>
        <w:div w:id="1459179369">
          <w:marLeft w:val="0"/>
          <w:marRight w:val="0"/>
          <w:marTop w:val="0"/>
          <w:marBottom w:val="600"/>
          <w:divBdr>
            <w:top w:val="none" w:sz="0" w:space="0" w:color="auto"/>
            <w:left w:val="none" w:sz="0" w:space="0" w:color="auto"/>
            <w:bottom w:val="none" w:sz="0" w:space="0" w:color="auto"/>
            <w:right w:val="none" w:sz="0" w:space="0" w:color="auto"/>
          </w:divBdr>
        </w:div>
      </w:divsChild>
    </w:div>
    <w:div w:id="477039222">
      <w:marLeft w:val="0"/>
      <w:marRight w:val="0"/>
      <w:marTop w:val="0"/>
      <w:marBottom w:val="0"/>
      <w:divBdr>
        <w:top w:val="none" w:sz="0" w:space="0" w:color="auto"/>
        <w:left w:val="none" w:sz="0" w:space="0" w:color="auto"/>
        <w:bottom w:val="none" w:sz="0" w:space="0" w:color="auto"/>
        <w:right w:val="none" w:sz="0" w:space="0" w:color="auto"/>
      </w:divBdr>
      <w:divsChild>
        <w:div w:id="1777823668">
          <w:marLeft w:val="0"/>
          <w:marRight w:val="0"/>
          <w:marTop w:val="547"/>
          <w:marBottom w:val="0"/>
          <w:divBdr>
            <w:top w:val="none" w:sz="0" w:space="0" w:color="auto"/>
            <w:left w:val="none" w:sz="0" w:space="0" w:color="auto"/>
            <w:bottom w:val="none" w:sz="0" w:space="0" w:color="auto"/>
            <w:right w:val="none" w:sz="0" w:space="0" w:color="auto"/>
          </w:divBdr>
        </w:div>
        <w:div w:id="1991443478">
          <w:marLeft w:val="0"/>
          <w:marRight w:val="0"/>
          <w:marTop w:val="0"/>
          <w:marBottom w:val="0"/>
          <w:divBdr>
            <w:top w:val="none" w:sz="0" w:space="0" w:color="auto"/>
            <w:left w:val="none" w:sz="0" w:space="0" w:color="auto"/>
            <w:bottom w:val="none" w:sz="0" w:space="0" w:color="auto"/>
            <w:right w:val="none" w:sz="0" w:space="0" w:color="auto"/>
          </w:divBdr>
        </w:div>
        <w:div w:id="951863552">
          <w:marLeft w:val="0"/>
          <w:marRight w:val="0"/>
          <w:marTop w:val="0"/>
          <w:marBottom w:val="600"/>
          <w:divBdr>
            <w:top w:val="none" w:sz="0" w:space="0" w:color="auto"/>
            <w:left w:val="none" w:sz="0" w:space="0" w:color="auto"/>
            <w:bottom w:val="none" w:sz="0" w:space="0" w:color="auto"/>
            <w:right w:val="none" w:sz="0" w:space="0" w:color="auto"/>
          </w:divBdr>
        </w:div>
      </w:divsChild>
    </w:div>
    <w:div w:id="481698787">
      <w:marLeft w:val="0"/>
      <w:marRight w:val="0"/>
      <w:marTop w:val="0"/>
      <w:marBottom w:val="0"/>
      <w:divBdr>
        <w:top w:val="none" w:sz="0" w:space="0" w:color="auto"/>
        <w:left w:val="none" w:sz="0" w:space="0" w:color="auto"/>
        <w:bottom w:val="none" w:sz="0" w:space="0" w:color="auto"/>
        <w:right w:val="none" w:sz="0" w:space="0" w:color="auto"/>
      </w:divBdr>
      <w:divsChild>
        <w:div w:id="1458722744">
          <w:marLeft w:val="0"/>
          <w:marRight w:val="0"/>
          <w:marTop w:val="144"/>
          <w:marBottom w:val="0"/>
          <w:divBdr>
            <w:top w:val="none" w:sz="0" w:space="0" w:color="auto"/>
            <w:left w:val="none" w:sz="0" w:space="0" w:color="auto"/>
            <w:bottom w:val="none" w:sz="0" w:space="0" w:color="auto"/>
            <w:right w:val="none" w:sz="0" w:space="0" w:color="auto"/>
          </w:divBdr>
        </w:div>
        <w:div w:id="1434714399">
          <w:marLeft w:val="0"/>
          <w:marRight w:val="0"/>
          <w:marTop w:val="0"/>
          <w:marBottom w:val="0"/>
          <w:divBdr>
            <w:top w:val="none" w:sz="0" w:space="0" w:color="auto"/>
            <w:left w:val="none" w:sz="0" w:space="0" w:color="auto"/>
            <w:bottom w:val="none" w:sz="0" w:space="0" w:color="auto"/>
            <w:right w:val="none" w:sz="0" w:space="0" w:color="auto"/>
          </w:divBdr>
          <w:divsChild>
            <w:div w:id="680666129">
              <w:marLeft w:val="0"/>
              <w:marRight w:val="0"/>
              <w:marTop w:val="0"/>
              <w:marBottom w:val="0"/>
              <w:divBdr>
                <w:top w:val="none" w:sz="0" w:space="0" w:color="auto"/>
                <w:left w:val="none" w:sz="0" w:space="0" w:color="auto"/>
                <w:bottom w:val="none" w:sz="0" w:space="0" w:color="auto"/>
                <w:right w:val="none" w:sz="0" w:space="0" w:color="auto"/>
              </w:divBdr>
              <w:divsChild>
                <w:div w:id="1355767115">
                  <w:marLeft w:val="0"/>
                  <w:marRight w:val="0"/>
                  <w:marTop w:val="0"/>
                  <w:marBottom w:val="0"/>
                  <w:divBdr>
                    <w:top w:val="none" w:sz="0" w:space="0" w:color="auto"/>
                    <w:left w:val="none" w:sz="0" w:space="0" w:color="auto"/>
                    <w:bottom w:val="none" w:sz="0" w:space="0" w:color="auto"/>
                    <w:right w:val="none" w:sz="0" w:space="0" w:color="auto"/>
                  </w:divBdr>
                </w:div>
              </w:divsChild>
            </w:div>
            <w:div w:id="81801203">
              <w:marLeft w:val="0"/>
              <w:marRight w:val="0"/>
              <w:marTop w:val="0"/>
              <w:marBottom w:val="0"/>
              <w:divBdr>
                <w:top w:val="none" w:sz="0" w:space="0" w:color="auto"/>
                <w:left w:val="none" w:sz="0" w:space="0" w:color="auto"/>
                <w:bottom w:val="none" w:sz="0" w:space="0" w:color="auto"/>
                <w:right w:val="none" w:sz="0" w:space="0" w:color="auto"/>
              </w:divBdr>
              <w:divsChild>
                <w:div w:id="389887090">
                  <w:marLeft w:val="0"/>
                  <w:marRight w:val="0"/>
                  <w:marTop w:val="0"/>
                  <w:marBottom w:val="0"/>
                  <w:divBdr>
                    <w:top w:val="none" w:sz="0" w:space="0" w:color="auto"/>
                    <w:left w:val="none" w:sz="0" w:space="0" w:color="auto"/>
                    <w:bottom w:val="none" w:sz="0" w:space="0" w:color="auto"/>
                    <w:right w:val="none" w:sz="0" w:space="0" w:color="auto"/>
                  </w:divBdr>
                </w:div>
              </w:divsChild>
            </w:div>
            <w:div w:id="623466083">
              <w:marLeft w:val="0"/>
              <w:marRight w:val="0"/>
              <w:marTop w:val="0"/>
              <w:marBottom w:val="0"/>
              <w:divBdr>
                <w:top w:val="none" w:sz="0" w:space="0" w:color="auto"/>
                <w:left w:val="none" w:sz="0" w:space="0" w:color="auto"/>
                <w:bottom w:val="none" w:sz="0" w:space="0" w:color="auto"/>
                <w:right w:val="none" w:sz="0" w:space="0" w:color="auto"/>
              </w:divBdr>
              <w:divsChild>
                <w:div w:id="640960368">
                  <w:marLeft w:val="0"/>
                  <w:marRight w:val="0"/>
                  <w:marTop w:val="0"/>
                  <w:marBottom w:val="0"/>
                  <w:divBdr>
                    <w:top w:val="none" w:sz="0" w:space="0" w:color="auto"/>
                    <w:left w:val="none" w:sz="0" w:space="0" w:color="auto"/>
                    <w:bottom w:val="none" w:sz="0" w:space="0" w:color="auto"/>
                    <w:right w:val="none" w:sz="0" w:space="0" w:color="auto"/>
                  </w:divBdr>
                </w:div>
              </w:divsChild>
            </w:div>
            <w:div w:id="1793816674">
              <w:marLeft w:val="0"/>
              <w:marRight w:val="0"/>
              <w:marTop w:val="0"/>
              <w:marBottom w:val="0"/>
              <w:divBdr>
                <w:top w:val="none" w:sz="0" w:space="0" w:color="auto"/>
                <w:left w:val="none" w:sz="0" w:space="0" w:color="auto"/>
                <w:bottom w:val="none" w:sz="0" w:space="0" w:color="auto"/>
                <w:right w:val="none" w:sz="0" w:space="0" w:color="auto"/>
              </w:divBdr>
              <w:divsChild>
                <w:div w:id="11548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3156">
      <w:marLeft w:val="0"/>
      <w:marRight w:val="0"/>
      <w:marTop w:val="0"/>
      <w:marBottom w:val="0"/>
      <w:divBdr>
        <w:top w:val="none" w:sz="0" w:space="0" w:color="auto"/>
        <w:left w:val="none" w:sz="0" w:space="0" w:color="auto"/>
        <w:bottom w:val="none" w:sz="0" w:space="0" w:color="auto"/>
        <w:right w:val="none" w:sz="0" w:space="0" w:color="auto"/>
      </w:divBdr>
      <w:divsChild>
        <w:div w:id="147287683">
          <w:marLeft w:val="0"/>
          <w:marRight w:val="0"/>
          <w:marTop w:val="547"/>
          <w:marBottom w:val="0"/>
          <w:divBdr>
            <w:top w:val="none" w:sz="0" w:space="0" w:color="auto"/>
            <w:left w:val="none" w:sz="0" w:space="0" w:color="auto"/>
            <w:bottom w:val="none" w:sz="0" w:space="0" w:color="auto"/>
            <w:right w:val="none" w:sz="0" w:space="0" w:color="auto"/>
          </w:divBdr>
        </w:div>
        <w:div w:id="1212882693">
          <w:marLeft w:val="0"/>
          <w:marRight w:val="0"/>
          <w:marTop w:val="0"/>
          <w:marBottom w:val="0"/>
          <w:divBdr>
            <w:top w:val="none" w:sz="0" w:space="0" w:color="auto"/>
            <w:left w:val="none" w:sz="0" w:space="0" w:color="auto"/>
            <w:bottom w:val="none" w:sz="0" w:space="0" w:color="auto"/>
            <w:right w:val="none" w:sz="0" w:space="0" w:color="auto"/>
          </w:divBdr>
        </w:div>
        <w:div w:id="123735939">
          <w:marLeft w:val="0"/>
          <w:marRight w:val="0"/>
          <w:marTop w:val="0"/>
          <w:marBottom w:val="600"/>
          <w:divBdr>
            <w:top w:val="none" w:sz="0" w:space="0" w:color="auto"/>
            <w:left w:val="none" w:sz="0" w:space="0" w:color="auto"/>
            <w:bottom w:val="none" w:sz="0" w:space="0" w:color="auto"/>
            <w:right w:val="none" w:sz="0" w:space="0" w:color="auto"/>
          </w:divBdr>
        </w:div>
      </w:divsChild>
    </w:div>
    <w:div w:id="642661488">
      <w:marLeft w:val="0"/>
      <w:marRight w:val="0"/>
      <w:marTop w:val="0"/>
      <w:marBottom w:val="0"/>
      <w:divBdr>
        <w:top w:val="none" w:sz="0" w:space="0" w:color="auto"/>
        <w:left w:val="none" w:sz="0" w:space="0" w:color="auto"/>
        <w:bottom w:val="none" w:sz="0" w:space="0" w:color="auto"/>
        <w:right w:val="none" w:sz="0" w:space="0" w:color="auto"/>
      </w:divBdr>
      <w:divsChild>
        <w:div w:id="230429239">
          <w:marLeft w:val="0"/>
          <w:marRight w:val="0"/>
          <w:marTop w:val="547"/>
          <w:marBottom w:val="0"/>
          <w:divBdr>
            <w:top w:val="none" w:sz="0" w:space="0" w:color="auto"/>
            <w:left w:val="none" w:sz="0" w:space="0" w:color="auto"/>
            <w:bottom w:val="none" w:sz="0" w:space="0" w:color="auto"/>
            <w:right w:val="none" w:sz="0" w:space="0" w:color="auto"/>
          </w:divBdr>
        </w:div>
        <w:div w:id="1433740476">
          <w:marLeft w:val="0"/>
          <w:marRight w:val="0"/>
          <w:marTop w:val="0"/>
          <w:marBottom w:val="0"/>
          <w:divBdr>
            <w:top w:val="none" w:sz="0" w:space="0" w:color="auto"/>
            <w:left w:val="none" w:sz="0" w:space="0" w:color="auto"/>
            <w:bottom w:val="none" w:sz="0" w:space="0" w:color="auto"/>
            <w:right w:val="none" w:sz="0" w:space="0" w:color="auto"/>
          </w:divBdr>
        </w:div>
        <w:div w:id="1383482464">
          <w:marLeft w:val="0"/>
          <w:marRight w:val="0"/>
          <w:marTop w:val="0"/>
          <w:marBottom w:val="600"/>
          <w:divBdr>
            <w:top w:val="none" w:sz="0" w:space="0" w:color="auto"/>
            <w:left w:val="none" w:sz="0" w:space="0" w:color="auto"/>
            <w:bottom w:val="none" w:sz="0" w:space="0" w:color="auto"/>
            <w:right w:val="none" w:sz="0" w:space="0" w:color="auto"/>
          </w:divBdr>
        </w:div>
      </w:divsChild>
    </w:div>
    <w:div w:id="648822545">
      <w:marLeft w:val="0"/>
      <w:marRight w:val="0"/>
      <w:marTop w:val="0"/>
      <w:marBottom w:val="0"/>
      <w:divBdr>
        <w:top w:val="none" w:sz="0" w:space="0" w:color="auto"/>
        <w:left w:val="none" w:sz="0" w:space="0" w:color="auto"/>
        <w:bottom w:val="none" w:sz="0" w:space="0" w:color="auto"/>
        <w:right w:val="none" w:sz="0" w:space="0" w:color="auto"/>
      </w:divBdr>
      <w:divsChild>
        <w:div w:id="183977799">
          <w:marLeft w:val="0"/>
          <w:marRight w:val="0"/>
          <w:marTop w:val="547"/>
          <w:marBottom w:val="0"/>
          <w:divBdr>
            <w:top w:val="none" w:sz="0" w:space="0" w:color="auto"/>
            <w:left w:val="none" w:sz="0" w:space="0" w:color="auto"/>
            <w:bottom w:val="none" w:sz="0" w:space="0" w:color="auto"/>
            <w:right w:val="none" w:sz="0" w:space="0" w:color="auto"/>
          </w:divBdr>
        </w:div>
        <w:div w:id="72894916">
          <w:marLeft w:val="0"/>
          <w:marRight w:val="0"/>
          <w:marTop w:val="0"/>
          <w:marBottom w:val="0"/>
          <w:divBdr>
            <w:top w:val="none" w:sz="0" w:space="0" w:color="auto"/>
            <w:left w:val="none" w:sz="0" w:space="0" w:color="auto"/>
            <w:bottom w:val="none" w:sz="0" w:space="0" w:color="auto"/>
            <w:right w:val="none" w:sz="0" w:space="0" w:color="auto"/>
          </w:divBdr>
        </w:div>
        <w:div w:id="1945574343">
          <w:marLeft w:val="0"/>
          <w:marRight w:val="0"/>
          <w:marTop w:val="0"/>
          <w:marBottom w:val="600"/>
          <w:divBdr>
            <w:top w:val="none" w:sz="0" w:space="0" w:color="auto"/>
            <w:left w:val="none" w:sz="0" w:space="0" w:color="auto"/>
            <w:bottom w:val="none" w:sz="0" w:space="0" w:color="auto"/>
            <w:right w:val="none" w:sz="0" w:space="0" w:color="auto"/>
          </w:divBdr>
        </w:div>
      </w:divsChild>
    </w:div>
    <w:div w:id="675380229">
      <w:marLeft w:val="0"/>
      <w:marRight w:val="0"/>
      <w:marTop w:val="0"/>
      <w:marBottom w:val="0"/>
      <w:divBdr>
        <w:top w:val="none" w:sz="0" w:space="0" w:color="auto"/>
        <w:left w:val="none" w:sz="0" w:space="0" w:color="auto"/>
        <w:bottom w:val="none" w:sz="0" w:space="0" w:color="auto"/>
        <w:right w:val="none" w:sz="0" w:space="0" w:color="auto"/>
      </w:divBdr>
      <w:divsChild>
        <w:div w:id="1635603566">
          <w:marLeft w:val="0"/>
          <w:marRight w:val="0"/>
          <w:marTop w:val="547"/>
          <w:marBottom w:val="0"/>
          <w:divBdr>
            <w:top w:val="none" w:sz="0" w:space="0" w:color="auto"/>
            <w:left w:val="none" w:sz="0" w:space="0" w:color="auto"/>
            <w:bottom w:val="none" w:sz="0" w:space="0" w:color="auto"/>
            <w:right w:val="none" w:sz="0" w:space="0" w:color="auto"/>
          </w:divBdr>
        </w:div>
        <w:div w:id="2147120942">
          <w:marLeft w:val="0"/>
          <w:marRight w:val="0"/>
          <w:marTop w:val="0"/>
          <w:marBottom w:val="0"/>
          <w:divBdr>
            <w:top w:val="none" w:sz="0" w:space="0" w:color="auto"/>
            <w:left w:val="none" w:sz="0" w:space="0" w:color="auto"/>
            <w:bottom w:val="none" w:sz="0" w:space="0" w:color="auto"/>
            <w:right w:val="none" w:sz="0" w:space="0" w:color="auto"/>
          </w:divBdr>
          <w:divsChild>
            <w:div w:id="1324357971">
              <w:marLeft w:val="0"/>
              <w:marRight w:val="0"/>
              <w:marTop w:val="0"/>
              <w:marBottom w:val="0"/>
              <w:divBdr>
                <w:top w:val="none" w:sz="0" w:space="0" w:color="auto"/>
                <w:left w:val="none" w:sz="0" w:space="0" w:color="auto"/>
                <w:bottom w:val="none" w:sz="0" w:space="0" w:color="auto"/>
                <w:right w:val="none" w:sz="0" w:space="0" w:color="auto"/>
              </w:divBdr>
              <w:divsChild>
                <w:div w:id="1548225699">
                  <w:marLeft w:val="0"/>
                  <w:marRight w:val="0"/>
                  <w:marTop w:val="0"/>
                  <w:marBottom w:val="0"/>
                  <w:divBdr>
                    <w:top w:val="none" w:sz="0" w:space="0" w:color="auto"/>
                    <w:left w:val="none" w:sz="0" w:space="0" w:color="auto"/>
                    <w:bottom w:val="none" w:sz="0" w:space="0" w:color="auto"/>
                    <w:right w:val="none" w:sz="0" w:space="0" w:color="auto"/>
                  </w:divBdr>
                </w:div>
              </w:divsChild>
            </w:div>
            <w:div w:id="1585068283">
              <w:marLeft w:val="0"/>
              <w:marRight w:val="0"/>
              <w:marTop w:val="0"/>
              <w:marBottom w:val="0"/>
              <w:divBdr>
                <w:top w:val="none" w:sz="0" w:space="0" w:color="auto"/>
                <w:left w:val="none" w:sz="0" w:space="0" w:color="auto"/>
                <w:bottom w:val="none" w:sz="0" w:space="0" w:color="auto"/>
                <w:right w:val="none" w:sz="0" w:space="0" w:color="auto"/>
              </w:divBdr>
              <w:divsChild>
                <w:div w:id="517040324">
                  <w:marLeft w:val="0"/>
                  <w:marRight w:val="0"/>
                  <w:marTop w:val="0"/>
                  <w:marBottom w:val="0"/>
                  <w:divBdr>
                    <w:top w:val="none" w:sz="0" w:space="0" w:color="auto"/>
                    <w:left w:val="none" w:sz="0" w:space="0" w:color="auto"/>
                    <w:bottom w:val="none" w:sz="0" w:space="0" w:color="auto"/>
                    <w:right w:val="none" w:sz="0" w:space="0" w:color="auto"/>
                  </w:divBdr>
                </w:div>
              </w:divsChild>
            </w:div>
            <w:div w:id="648436134">
              <w:marLeft w:val="0"/>
              <w:marRight w:val="0"/>
              <w:marTop w:val="0"/>
              <w:marBottom w:val="0"/>
              <w:divBdr>
                <w:top w:val="none" w:sz="0" w:space="0" w:color="auto"/>
                <w:left w:val="none" w:sz="0" w:space="0" w:color="auto"/>
                <w:bottom w:val="none" w:sz="0" w:space="0" w:color="auto"/>
                <w:right w:val="none" w:sz="0" w:space="0" w:color="auto"/>
              </w:divBdr>
              <w:divsChild>
                <w:div w:id="452333270">
                  <w:marLeft w:val="0"/>
                  <w:marRight w:val="0"/>
                  <w:marTop w:val="0"/>
                  <w:marBottom w:val="0"/>
                  <w:divBdr>
                    <w:top w:val="none" w:sz="0" w:space="0" w:color="auto"/>
                    <w:left w:val="none" w:sz="0" w:space="0" w:color="auto"/>
                    <w:bottom w:val="none" w:sz="0" w:space="0" w:color="auto"/>
                    <w:right w:val="none" w:sz="0" w:space="0" w:color="auto"/>
                  </w:divBdr>
                </w:div>
              </w:divsChild>
            </w:div>
            <w:div w:id="41294663">
              <w:marLeft w:val="0"/>
              <w:marRight w:val="0"/>
              <w:marTop w:val="0"/>
              <w:marBottom w:val="0"/>
              <w:divBdr>
                <w:top w:val="none" w:sz="0" w:space="0" w:color="auto"/>
                <w:left w:val="none" w:sz="0" w:space="0" w:color="auto"/>
                <w:bottom w:val="none" w:sz="0" w:space="0" w:color="auto"/>
                <w:right w:val="none" w:sz="0" w:space="0" w:color="auto"/>
              </w:divBdr>
              <w:divsChild>
                <w:div w:id="1541825399">
                  <w:marLeft w:val="0"/>
                  <w:marRight w:val="0"/>
                  <w:marTop w:val="0"/>
                  <w:marBottom w:val="0"/>
                  <w:divBdr>
                    <w:top w:val="none" w:sz="0" w:space="0" w:color="auto"/>
                    <w:left w:val="none" w:sz="0" w:space="0" w:color="auto"/>
                    <w:bottom w:val="none" w:sz="0" w:space="0" w:color="auto"/>
                    <w:right w:val="none" w:sz="0" w:space="0" w:color="auto"/>
                  </w:divBdr>
                </w:div>
              </w:divsChild>
            </w:div>
            <w:div w:id="31421951">
              <w:marLeft w:val="0"/>
              <w:marRight w:val="0"/>
              <w:marTop w:val="0"/>
              <w:marBottom w:val="0"/>
              <w:divBdr>
                <w:top w:val="none" w:sz="0" w:space="0" w:color="auto"/>
                <w:left w:val="none" w:sz="0" w:space="0" w:color="auto"/>
                <w:bottom w:val="none" w:sz="0" w:space="0" w:color="auto"/>
                <w:right w:val="none" w:sz="0" w:space="0" w:color="auto"/>
              </w:divBdr>
              <w:divsChild>
                <w:div w:id="368342224">
                  <w:marLeft w:val="0"/>
                  <w:marRight w:val="0"/>
                  <w:marTop w:val="0"/>
                  <w:marBottom w:val="0"/>
                  <w:divBdr>
                    <w:top w:val="none" w:sz="0" w:space="0" w:color="auto"/>
                    <w:left w:val="none" w:sz="0" w:space="0" w:color="auto"/>
                    <w:bottom w:val="none" w:sz="0" w:space="0" w:color="auto"/>
                    <w:right w:val="none" w:sz="0" w:space="0" w:color="auto"/>
                  </w:divBdr>
                </w:div>
              </w:divsChild>
            </w:div>
            <w:div w:id="627007026">
              <w:marLeft w:val="0"/>
              <w:marRight w:val="0"/>
              <w:marTop w:val="0"/>
              <w:marBottom w:val="0"/>
              <w:divBdr>
                <w:top w:val="none" w:sz="0" w:space="0" w:color="auto"/>
                <w:left w:val="none" w:sz="0" w:space="0" w:color="auto"/>
                <w:bottom w:val="none" w:sz="0" w:space="0" w:color="auto"/>
                <w:right w:val="none" w:sz="0" w:space="0" w:color="auto"/>
              </w:divBdr>
              <w:divsChild>
                <w:div w:id="1345550549">
                  <w:marLeft w:val="0"/>
                  <w:marRight w:val="0"/>
                  <w:marTop w:val="0"/>
                  <w:marBottom w:val="0"/>
                  <w:divBdr>
                    <w:top w:val="none" w:sz="0" w:space="0" w:color="auto"/>
                    <w:left w:val="none" w:sz="0" w:space="0" w:color="auto"/>
                    <w:bottom w:val="none" w:sz="0" w:space="0" w:color="auto"/>
                    <w:right w:val="none" w:sz="0" w:space="0" w:color="auto"/>
                  </w:divBdr>
                </w:div>
              </w:divsChild>
            </w:div>
            <w:div w:id="368066037">
              <w:marLeft w:val="0"/>
              <w:marRight w:val="0"/>
              <w:marTop w:val="0"/>
              <w:marBottom w:val="0"/>
              <w:divBdr>
                <w:top w:val="none" w:sz="0" w:space="0" w:color="auto"/>
                <w:left w:val="none" w:sz="0" w:space="0" w:color="auto"/>
                <w:bottom w:val="none" w:sz="0" w:space="0" w:color="auto"/>
                <w:right w:val="none" w:sz="0" w:space="0" w:color="auto"/>
              </w:divBdr>
              <w:divsChild>
                <w:div w:id="1492672349">
                  <w:marLeft w:val="0"/>
                  <w:marRight w:val="0"/>
                  <w:marTop w:val="0"/>
                  <w:marBottom w:val="0"/>
                  <w:divBdr>
                    <w:top w:val="none" w:sz="0" w:space="0" w:color="auto"/>
                    <w:left w:val="none" w:sz="0" w:space="0" w:color="auto"/>
                    <w:bottom w:val="none" w:sz="0" w:space="0" w:color="auto"/>
                    <w:right w:val="none" w:sz="0" w:space="0" w:color="auto"/>
                  </w:divBdr>
                </w:div>
              </w:divsChild>
            </w:div>
            <w:div w:id="1366982182">
              <w:marLeft w:val="0"/>
              <w:marRight w:val="0"/>
              <w:marTop w:val="0"/>
              <w:marBottom w:val="0"/>
              <w:divBdr>
                <w:top w:val="none" w:sz="0" w:space="0" w:color="auto"/>
                <w:left w:val="none" w:sz="0" w:space="0" w:color="auto"/>
                <w:bottom w:val="none" w:sz="0" w:space="0" w:color="auto"/>
                <w:right w:val="none" w:sz="0" w:space="0" w:color="auto"/>
              </w:divBdr>
              <w:divsChild>
                <w:div w:id="1930191330">
                  <w:marLeft w:val="0"/>
                  <w:marRight w:val="0"/>
                  <w:marTop w:val="0"/>
                  <w:marBottom w:val="0"/>
                  <w:divBdr>
                    <w:top w:val="none" w:sz="0" w:space="0" w:color="auto"/>
                    <w:left w:val="none" w:sz="0" w:space="0" w:color="auto"/>
                    <w:bottom w:val="none" w:sz="0" w:space="0" w:color="auto"/>
                    <w:right w:val="none" w:sz="0" w:space="0" w:color="auto"/>
                  </w:divBdr>
                </w:div>
              </w:divsChild>
            </w:div>
            <w:div w:id="1683776802">
              <w:marLeft w:val="0"/>
              <w:marRight w:val="0"/>
              <w:marTop w:val="0"/>
              <w:marBottom w:val="0"/>
              <w:divBdr>
                <w:top w:val="none" w:sz="0" w:space="0" w:color="auto"/>
                <w:left w:val="none" w:sz="0" w:space="0" w:color="auto"/>
                <w:bottom w:val="none" w:sz="0" w:space="0" w:color="auto"/>
                <w:right w:val="none" w:sz="0" w:space="0" w:color="auto"/>
              </w:divBdr>
              <w:divsChild>
                <w:div w:id="937955158">
                  <w:marLeft w:val="0"/>
                  <w:marRight w:val="0"/>
                  <w:marTop w:val="0"/>
                  <w:marBottom w:val="0"/>
                  <w:divBdr>
                    <w:top w:val="none" w:sz="0" w:space="0" w:color="auto"/>
                    <w:left w:val="none" w:sz="0" w:space="0" w:color="auto"/>
                    <w:bottom w:val="none" w:sz="0" w:space="0" w:color="auto"/>
                    <w:right w:val="none" w:sz="0" w:space="0" w:color="auto"/>
                  </w:divBdr>
                </w:div>
              </w:divsChild>
            </w:div>
            <w:div w:id="1687639087">
              <w:marLeft w:val="0"/>
              <w:marRight w:val="0"/>
              <w:marTop w:val="0"/>
              <w:marBottom w:val="0"/>
              <w:divBdr>
                <w:top w:val="none" w:sz="0" w:space="0" w:color="auto"/>
                <w:left w:val="none" w:sz="0" w:space="0" w:color="auto"/>
                <w:bottom w:val="none" w:sz="0" w:space="0" w:color="auto"/>
                <w:right w:val="none" w:sz="0" w:space="0" w:color="auto"/>
              </w:divBdr>
              <w:divsChild>
                <w:div w:id="1683818369">
                  <w:marLeft w:val="0"/>
                  <w:marRight w:val="0"/>
                  <w:marTop w:val="0"/>
                  <w:marBottom w:val="0"/>
                  <w:divBdr>
                    <w:top w:val="none" w:sz="0" w:space="0" w:color="auto"/>
                    <w:left w:val="none" w:sz="0" w:space="0" w:color="auto"/>
                    <w:bottom w:val="none" w:sz="0" w:space="0" w:color="auto"/>
                    <w:right w:val="none" w:sz="0" w:space="0" w:color="auto"/>
                  </w:divBdr>
                </w:div>
              </w:divsChild>
            </w:div>
            <w:div w:id="671297020">
              <w:marLeft w:val="0"/>
              <w:marRight w:val="0"/>
              <w:marTop w:val="0"/>
              <w:marBottom w:val="0"/>
              <w:divBdr>
                <w:top w:val="none" w:sz="0" w:space="0" w:color="auto"/>
                <w:left w:val="none" w:sz="0" w:space="0" w:color="auto"/>
                <w:bottom w:val="none" w:sz="0" w:space="0" w:color="auto"/>
                <w:right w:val="none" w:sz="0" w:space="0" w:color="auto"/>
              </w:divBdr>
              <w:divsChild>
                <w:div w:id="532498932">
                  <w:marLeft w:val="0"/>
                  <w:marRight w:val="0"/>
                  <w:marTop w:val="0"/>
                  <w:marBottom w:val="0"/>
                  <w:divBdr>
                    <w:top w:val="none" w:sz="0" w:space="0" w:color="auto"/>
                    <w:left w:val="none" w:sz="0" w:space="0" w:color="auto"/>
                    <w:bottom w:val="none" w:sz="0" w:space="0" w:color="auto"/>
                    <w:right w:val="none" w:sz="0" w:space="0" w:color="auto"/>
                  </w:divBdr>
                </w:div>
              </w:divsChild>
            </w:div>
            <w:div w:id="116291875">
              <w:marLeft w:val="0"/>
              <w:marRight w:val="0"/>
              <w:marTop w:val="0"/>
              <w:marBottom w:val="0"/>
              <w:divBdr>
                <w:top w:val="none" w:sz="0" w:space="0" w:color="auto"/>
                <w:left w:val="none" w:sz="0" w:space="0" w:color="auto"/>
                <w:bottom w:val="none" w:sz="0" w:space="0" w:color="auto"/>
                <w:right w:val="none" w:sz="0" w:space="0" w:color="auto"/>
              </w:divBdr>
              <w:divsChild>
                <w:div w:id="1142967668">
                  <w:marLeft w:val="0"/>
                  <w:marRight w:val="0"/>
                  <w:marTop w:val="0"/>
                  <w:marBottom w:val="0"/>
                  <w:divBdr>
                    <w:top w:val="none" w:sz="0" w:space="0" w:color="auto"/>
                    <w:left w:val="none" w:sz="0" w:space="0" w:color="auto"/>
                    <w:bottom w:val="none" w:sz="0" w:space="0" w:color="auto"/>
                    <w:right w:val="none" w:sz="0" w:space="0" w:color="auto"/>
                  </w:divBdr>
                </w:div>
              </w:divsChild>
            </w:div>
            <w:div w:id="1264260971">
              <w:marLeft w:val="0"/>
              <w:marRight w:val="0"/>
              <w:marTop w:val="0"/>
              <w:marBottom w:val="0"/>
              <w:divBdr>
                <w:top w:val="none" w:sz="0" w:space="0" w:color="auto"/>
                <w:left w:val="none" w:sz="0" w:space="0" w:color="auto"/>
                <w:bottom w:val="none" w:sz="0" w:space="0" w:color="auto"/>
                <w:right w:val="none" w:sz="0" w:space="0" w:color="auto"/>
              </w:divBdr>
              <w:divsChild>
                <w:div w:id="1704210340">
                  <w:marLeft w:val="0"/>
                  <w:marRight w:val="0"/>
                  <w:marTop w:val="0"/>
                  <w:marBottom w:val="0"/>
                  <w:divBdr>
                    <w:top w:val="none" w:sz="0" w:space="0" w:color="auto"/>
                    <w:left w:val="none" w:sz="0" w:space="0" w:color="auto"/>
                    <w:bottom w:val="none" w:sz="0" w:space="0" w:color="auto"/>
                    <w:right w:val="none" w:sz="0" w:space="0" w:color="auto"/>
                  </w:divBdr>
                </w:div>
              </w:divsChild>
            </w:div>
            <w:div w:id="1313876009">
              <w:marLeft w:val="0"/>
              <w:marRight w:val="0"/>
              <w:marTop w:val="0"/>
              <w:marBottom w:val="0"/>
              <w:divBdr>
                <w:top w:val="none" w:sz="0" w:space="0" w:color="auto"/>
                <w:left w:val="none" w:sz="0" w:space="0" w:color="auto"/>
                <w:bottom w:val="none" w:sz="0" w:space="0" w:color="auto"/>
                <w:right w:val="none" w:sz="0" w:space="0" w:color="auto"/>
              </w:divBdr>
              <w:divsChild>
                <w:div w:id="1695569464">
                  <w:marLeft w:val="0"/>
                  <w:marRight w:val="0"/>
                  <w:marTop w:val="0"/>
                  <w:marBottom w:val="0"/>
                  <w:divBdr>
                    <w:top w:val="none" w:sz="0" w:space="0" w:color="auto"/>
                    <w:left w:val="none" w:sz="0" w:space="0" w:color="auto"/>
                    <w:bottom w:val="none" w:sz="0" w:space="0" w:color="auto"/>
                    <w:right w:val="none" w:sz="0" w:space="0" w:color="auto"/>
                  </w:divBdr>
                </w:div>
              </w:divsChild>
            </w:div>
            <w:div w:id="1973516213">
              <w:marLeft w:val="0"/>
              <w:marRight w:val="0"/>
              <w:marTop w:val="0"/>
              <w:marBottom w:val="0"/>
              <w:divBdr>
                <w:top w:val="none" w:sz="0" w:space="0" w:color="auto"/>
                <w:left w:val="none" w:sz="0" w:space="0" w:color="auto"/>
                <w:bottom w:val="none" w:sz="0" w:space="0" w:color="auto"/>
                <w:right w:val="none" w:sz="0" w:space="0" w:color="auto"/>
              </w:divBdr>
              <w:divsChild>
                <w:div w:id="1104420245">
                  <w:marLeft w:val="0"/>
                  <w:marRight w:val="0"/>
                  <w:marTop w:val="0"/>
                  <w:marBottom w:val="0"/>
                  <w:divBdr>
                    <w:top w:val="none" w:sz="0" w:space="0" w:color="auto"/>
                    <w:left w:val="none" w:sz="0" w:space="0" w:color="auto"/>
                    <w:bottom w:val="none" w:sz="0" w:space="0" w:color="auto"/>
                    <w:right w:val="none" w:sz="0" w:space="0" w:color="auto"/>
                  </w:divBdr>
                </w:div>
              </w:divsChild>
            </w:div>
            <w:div w:id="1836021908">
              <w:marLeft w:val="0"/>
              <w:marRight w:val="0"/>
              <w:marTop w:val="0"/>
              <w:marBottom w:val="0"/>
              <w:divBdr>
                <w:top w:val="none" w:sz="0" w:space="0" w:color="auto"/>
                <w:left w:val="none" w:sz="0" w:space="0" w:color="auto"/>
                <w:bottom w:val="none" w:sz="0" w:space="0" w:color="auto"/>
                <w:right w:val="none" w:sz="0" w:space="0" w:color="auto"/>
              </w:divBdr>
              <w:divsChild>
                <w:div w:id="1553813095">
                  <w:marLeft w:val="0"/>
                  <w:marRight w:val="0"/>
                  <w:marTop w:val="0"/>
                  <w:marBottom w:val="0"/>
                  <w:divBdr>
                    <w:top w:val="none" w:sz="0" w:space="0" w:color="auto"/>
                    <w:left w:val="none" w:sz="0" w:space="0" w:color="auto"/>
                    <w:bottom w:val="none" w:sz="0" w:space="0" w:color="auto"/>
                    <w:right w:val="none" w:sz="0" w:space="0" w:color="auto"/>
                  </w:divBdr>
                </w:div>
              </w:divsChild>
            </w:div>
            <w:div w:id="1463763384">
              <w:marLeft w:val="0"/>
              <w:marRight w:val="0"/>
              <w:marTop w:val="0"/>
              <w:marBottom w:val="0"/>
              <w:divBdr>
                <w:top w:val="none" w:sz="0" w:space="0" w:color="auto"/>
                <w:left w:val="none" w:sz="0" w:space="0" w:color="auto"/>
                <w:bottom w:val="none" w:sz="0" w:space="0" w:color="auto"/>
                <w:right w:val="none" w:sz="0" w:space="0" w:color="auto"/>
              </w:divBdr>
              <w:divsChild>
                <w:div w:id="1621448886">
                  <w:marLeft w:val="0"/>
                  <w:marRight w:val="0"/>
                  <w:marTop w:val="0"/>
                  <w:marBottom w:val="0"/>
                  <w:divBdr>
                    <w:top w:val="none" w:sz="0" w:space="0" w:color="auto"/>
                    <w:left w:val="none" w:sz="0" w:space="0" w:color="auto"/>
                    <w:bottom w:val="none" w:sz="0" w:space="0" w:color="auto"/>
                    <w:right w:val="none" w:sz="0" w:space="0" w:color="auto"/>
                  </w:divBdr>
                </w:div>
              </w:divsChild>
            </w:div>
            <w:div w:id="1008406724">
              <w:marLeft w:val="0"/>
              <w:marRight w:val="0"/>
              <w:marTop w:val="0"/>
              <w:marBottom w:val="0"/>
              <w:divBdr>
                <w:top w:val="none" w:sz="0" w:space="0" w:color="auto"/>
                <w:left w:val="none" w:sz="0" w:space="0" w:color="auto"/>
                <w:bottom w:val="none" w:sz="0" w:space="0" w:color="auto"/>
                <w:right w:val="none" w:sz="0" w:space="0" w:color="auto"/>
              </w:divBdr>
              <w:divsChild>
                <w:div w:id="1078016990">
                  <w:marLeft w:val="0"/>
                  <w:marRight w:val="0"/>
                  <w:marTop w:val="0"/>
                  <w:marBottom w:val="0"/>
                  <w:divBdr>
                    <w:top w:val="none" w:sz="0" w:space="0" w:color="auto"/>
                    <w:left w:val="none" w:sz="0" w:space="0" w:color="auto"/>
                    <w:bottom w:val="none" w:sz="0" w:space="0" w:color="auto"/>
                    <w:right w:val="none" w:sz="0" w:space="0" w:color="auto"/>
                  </w:divBdr>
                </w:div>
              </w:divsChild>
            </w:div>
            <w:div w:id="1761489970">
              <w:marLeft w:val="0"/>
              <w:marRight w:val="0"/>
              <w:marTop w:val="0"/>
              <w:marBottom w:val="0"/>
              <w:divBdr>
                <w:top w:val="none" w:sz="0" w:space="0" w:color="auto"/>
                <w:left w:val="none" w:sz="0" w:space="0" w:color="auto"/>
                <w:bottom w:val="none" w:sz="0" w:space="0" w:color="auto"/>
                <w:right w:val="none" w:sz="0" w:space="0" w:color="auto"/>
              </w:divBdr>
              <w:divsChild>
                <w:div w:id="1007708884">
                  <w:marLeft w:val="0"/>
                  <w:marRight w:val="0"/>
                  <w:marTop w:val="0"/>
                  <w:marBottom w:val="0"/>
                  <w:divBdr>
                    <w:top w:val="none" w:sz="0" w:space="0" w:color="auto"/>
                    <w:left w:val="none" w:sz="0" w:space="0" w:color="auto"/>
                    <w:bottom w:val="none" w:sz="0" w:space="0" w:color="auto"/>
                    <w:right w:val="none" w:sz="0" w:space="0" w:color="auto"/>
                  </w:divBdr>
                </w:div>
              </w:divsChild>
            </w:div>
            <w:div w:id="1002471113">
              <w:marLeft w:val="0"/>
              <w:marRight w:val="0"/>
              <w:marTop w:val="0"/>
              <w:marBottom w:val="0"/>
              <w:divBdr>
                <w:top w:val="none" w:sz="0" w:space="0" w:color="auto"/>
                <w:left w:val="none" w:sz="0" w:space="0" w:color="auto"/>
                <w:bottom w:val="none" w:sz="0" w:space="0" w:color="auto"/>
                <w:right w:val="none" w:sz="0" w:space="0" w:color="auto"/>
              </w:divBdr>
              <w:divsChild>
                <w:div w:id="1862669161">
                  <w:marLeft w:val="0"/>
                  <w:marRight w:val="0"/>
                  <w:marTop w:val="0"/>
                  <w:marBottom w:val="0"/>
                  <w:divBdr>
                    <w:top w:val="none" w:sz="0" w:space="0" w:color="auto"/>
                    <w:left w:val="none" w:sz="0" w:space="0" w:color="auto"/>
                    <w:bottom w:val="none" w:sz="0" w:space="0" w:color="auto"/>
                    <w:right w:val="none" w:sz="0" w:space="0" w:color="auto"/>
                  </w:divBdr>
                </w:div>
              </w:divsChild>
            </w:div>
            <w:div w:id="1066798976">
              <w:marLeft w:val="0"/>
              <w:marRight w:val="0"/>
              <w:marTop w:val="0"/>
              <w:marBottom w:val="0"/>
              <w:divBdr>
                <w:top w:val="none" w:sz="0" w:space="0" w:color="auto"/>
                <w:left w:val="none" w:sz="0" w:space="0" w:color="auto"/>
                <w:bottom w:val="none" w:sz="0" w:space="0" w:color="auto"/>
                <w:right w:val="none" w:sz="0" w:space="0" w:color="auto"/>
              </w:divBdr>
              <w:divsChild>
                <w:div w:id="144055680">
                  <w:marLeft w:val="0"/>
                  <w:marRight w:val="0"/>
                  <w:marTop w:val="0"/>
                  <w:marBottom w:val="0"/>
                  <w:divBdr>
                    <w:top w:val="none" w:sz="0" w:space="0" w:color="auto"/>
                    <w:left w:val="none" w:sz="0" w:space="0" w:color="auto"/>
                    <w:bottom w:val="none" w:sz="0" w:space="0" w:color="auto"/>
                    <w:right w:val="none" w:sz="0" w:space="0" w:color="auto"/>
                  </w:divBdr>
                </w:div>
              </w:divsChild>
            </w:div>
            <w:div w:id="1607077565">
              <w:marLeft w:val="0"/>
              <w:marRight w:val="0"/>
              <w:marTop w:val="0"/>
              <w:marBottom w:val="0"/>
              <w:divBdr>
                <w:top w:val="none" w:sz="0" w:space="0" w:color="auto"/>
                <w:left w:val="none" w:sz="0" w:space="0" w:color="auto"/>
                <w:bottom w:val="none" w:sz="0" w:space="0" w:color="auto"/>
                <w:right w:val="none" w:sz="0" w:space="0" w:color="auto"/>
              </w:divBdr>
              <w:divsChild>
                <w:div w:id="637615501">
                  <w:marLeft w:val="0"/>
                  <w:marRight w:val="0"/>
                  <w:marTop w:val="0"/>
                  <w:marBottom w:val="0"/>
                  <w:divBdr>
                    <w:top w:val="none" w:sz="0" w:space="0" w:color="auto"/>
                    <w:left w:val="none" w:sz="0" w:space="0" w:color="auto"/>
                    <w:bottom w:val="none" w:sz="0" w:space="0" w:color="auto"/>
                    <w:right w:val="none" w:sz="0" w:space="0" w:color="auto"/>
                  </w:divBdr>
                </w:div>
              </w:divsChild>
            </w:div>
            <w:div w:id="2041197909">
              <w:marLeft w:val="0"/>
              <w:marRight w:val="0"/>
              <w:marTop w:val="0"/>
              <w:marBottom w:val="0"/>
              <w:divBdr>
                <w:top w:val="none" w:sz="0" w:space="0" w:color="auto"/>
                <w:left w:val="none" w:sz="0" w:space="0" w:color="auto"/>
                <w:bottom w:val="none" w:sz="0" w:space="0" w:color="auto"/>
                <w:right w:val="none" w:sz="0" w:space="0" w:color="auto"/>
              </w:divBdr>
              <w:divsChild>
                <w:div w:id="1943879994">
                  <w:marLeft w:val="0"/>
                  <w:marRight w:val="0"/>
                  <w:marTop w:val="0"/>
                  <w:marBottom w:val="0"/>
                  <w:divBdr>
                    <w:top w:val="none" w:sz="0" w:space="0" w:color="auto"/>
                    <w:left w:val="none" w:sz="0" w:space="0" w:color="auto"/>
                    <w:bottom w:val="none" w:sz="0" w:space="0" w:color="auto"/>
                    <w:right w:val="none" w:sz="0" w:space="0" w:color="auto"/>
                  </w:divBdr>
                </w:div>
              </w:divsChild>
            </w:div>
            <w:div w:id="176769290">
              <w:marLeft w:val="0"/>
              <w:marRight w:val="0"/>
              <w:marTop w:val="0"/>
              <w:marBottom w:val="0"/>
              <w:divBdr>
                <w:top w:val="none" w:sz="0" w:space="0" w:color="auto"/>
                <w:left w:val="none" w:sz="0" w:space="0" w:color="auto"/>
                <w:bottom w:val="none" w:sz="0" w:space="0" w:color="auto"/>
                <w:right w:val="none" w:sz="0" w:space="0" w:color="auto"/>
              </w:divBdr>
              <w:divsChild>
                <w:div w:id="459735854">
                  <w:marLeft w:val="0"/>
                  <w:marRight w:val="0"/>
                  <w:marTop w:val="0"/>
                  <w:marBottom w:val="0"/>
                  <w:divBdr>
                    <w:top w:val="none" w:sz="0" w:space="0" w:color="auto"/>
                    <w:left w:val="none" w:sz="0" w:space="0" w:color="auto"/>
                    <w:bottom w:val="none" w:sz="0" w:space="0" w:color="auto"/>
                    <w:right w:val="none" w:sz="0" w:space="0" w:color="auto"/>
                  </w:divBdr>
                </w:div>
              </w:divsChild>
            </w:div>
            <w:div w:id="1182747458">
              <w:marLeft w:val="0"/>
              <w:marRight w:val="0"/>
              <w:marTop w:val="0"/>
              <w:marBottom w:val="0"/>
              <w:divBdr>
                <w:top w:val="none" w:sz="0" w:space="0" w:color="auto"/>
                <w:left w:val="none" w:sz="0" w:space="0" w:color="auto"/>
                <w:bottom w:val="none" w:sz="0" w:space="0" w:color="auto"/>
                <w:right w:val="none" w:sz="0" w:space="0" w:color="auto"/>
              </w:divBdr>
              <w:divsChild>
                <w:div w:id="556279636">
                  <w:marLeft w:val="0"/>
                  <w:marRight w:val="0"/>
                  <w:marTop w:val="0"/>
                  <w:marBottom w:val="0"/>
                  <w:divBdr>
                    <w:top w:val="none" w:sz="0" w:space="0" w:color="auto"/>
                    <w:left w:val="none" w:sz="0" w:space="0" w:color="auto"/>
                    <w:bottom w:val="none" w:sz="0" w:space="0" w:color="auto"/>
                    <w:right w:val="none" w:sz="0" w:space="0" w:color="auto"/>
                  </w:divBdr>
                </w:div>
              </w:divsChild>
            </w:div>
            <w:div w:id="208496079">
              <w:marLeft w:val="0"/>
              <w:marRight w:val="0"/>
              <w:marTop w:val="0"/>
              <w:marBottom w:val="0"/>
              <w:divBdr>
                <w:top w:val="none" w:sz="0" w:space="0" w:color="auto"/>
                <w:left w:val="none" w:sz="0" w:space="0" w:color="auto"/>
                <w:bottom w:val="none" w:sz="0" w:space="0" w:color="auto"/>
                <w:right w:val="none" w:sz="0" w:space="0" w:color="auto"/>
              </w:divBdr>
              <w:divsChild>
                <w:div w:id="878906042">
                  <w:marLeft w:val="0"/>
                  <w:marRight w:val="0"/>
                  <w:marTop w:val="0"/>
                  <w:marBottom w:val="0"/>
                  <w:divBdr>
                    <w:top w:val="none" w:sz="0" w:space="0" w:color="auto"/>
                    <w:left w:val="none" w:sz="0" w:space="0" w:color="auto"/>
                    <w:bottom w:val="none" w:sz="0" w:space="0" w:color="auto"/>
                    <w:right w:val="none" w:sz="0" w:space="0" w:color="auto"/>
                  </w:divBdr>
                </w:div>
              </w:divsChild>
            </w:div>
            <w:div w:id="191966148">
              <w:marLeft w:val="0"/>
              <w:marRight w:val="0"/>
              <w:marTop w:val="0"/>
              <w:marBottom w:val="0"/>
              <w:divBdr>
                <w:top w:val="none" w:sz="0" w:space="0" w:color="auto"/>
                <w:left w:val="none" w:sz="0" w:space="0" w:color="auto"/>
                <w:bottom w:val="none" w:sz="0" w:space="0" w:color="auto"/>
                <w:right w:val="none" w:sz="0" w:space="0" w:color="auto"/>
              </w:divBdr>
              <w:divsChild>
                <w:div w:id="1255286250">
                  <w:marLeft w:val="0"/>
                  <w:marRight w:val="0"/>
                  <w:marTop w:val="0"/>
                  <w:marBottom w:val="0"/>
                  <w:divBdr>
                    <w:top w:val="none" w:sz="0" w:space="0" w:color="auto"/>
                    <w:left w:val="none" w:sz="0" w:space="0" w:color="auto"/>
                    <w:bottom w:val="none" w:sz="0" w:space="0" w:color="auto"/>
                    <w:right w:val="none" w:sz="0" w:space="0" w:color="auto"/>
                  </w:divBdr>
                </w:div>
              </w:divsChild>
            </w:div>
            <w:div w:id="1329018403">
              <w:marLeft w:val="0"/>
              <w:marRight w:val="0"/>
              <w:marTop w:val="0"/>
              <w:marBottom w:val="0"/>
              <w:divBdr>
                <w:top w:val="none" w:sz="0" w:space="0" w:color="auto"/>
                <w:left w:val="none" w:sz="0" w:space="0" w:color="auto"/>
                <w:bottom w:val="none" w:sz="0" w:space="0" w:color="auto"/>
                <w:right w:val="none" w:sz="0" w:space="0" w:color="auto"/>
              </w:divBdr>
              <w:divsChild>
                <w:div w:id="531265563">
                  <w:marLeft w:val="0"/>
                  <w:marRight w:val="0"/>
                  <w:marTop w:val="0"/>
                  <w:marBottom w:val="0"/>
                  <w:divBdr>
                    <w:top w:val="none" w:sz="0" w:space="0" w:color="auto"/>
                    <w:left w:val="none" w:sz="0" w:space="0" w:color="auto"/>
                    <w:bottom w:val="none" w:sz="0" w:space="0" w:color="auto"/>
                    <w:right w:val="none" w:sz="0" w:space="0" w:color="auto"/>
                  </w:divBdr>
                </w:div>
              </w:divsChild>
            </w:div>
            <w:div w:id="1242447386">
              <w:marLeft w:val="0"/>
              <w:marRight w:val="0"/>
              <w:marTop w:val="0"/>
              <w:marBottom w:val="0"/>
              <w:divBdr>
                <w:top w:val="none" w:sz="0" w:space="0" w:color="auto"/>
                <w:left w:val="none" w:sz="0" w:space="0" w:color="auto"/>
                <w:bottom w:val="none" w:sz="0" w:space="0" w:color="auto"/>
                <w:right w:val="none" w:sz="0" w:space="0" w:color="auto"/>
              </w:divBdr>
              <w:divsChild>
                <w:div w:id="87779834">
                  <w:marLeft w:val="0"/>
                  <w:marRight w:val="0"/>
                  <w:marTop w:val="0"/>
                  <w:marBottom w:val="0"/>
                  <w:divBdr>
                    <w:top w:val="none" w:sz="0" w:space="0" w:color="auto"/>
                    <w:left w:val="none" w:sz="0" w:space="0" w:color="auto"/>
                    <w:bottom w:val="none" w:sz="0" w:space="0" w:color="auto"/>
                    <w:right w:val="none" w:sz="0" w:space="0" w:color="auto"/>
                  </w:divBdr>
                </w:div>
              </w:divsChild>
            </w:div>
            <w:div w:id="1448815744">
              <w:marLeft w:val="0"/>
              <w:marRight w:val="0"/>
              <w:marTop w:val="0"/>
              <w:marBottom w:val="0"/>
              <w:divBdr>
                <w:top w:val="none" w:sz="0" w:space="0" w:color="auto"/>
                <w:left w:val="none" w:sz="0" w:space="0" w:color="auto"/>
                <w:bottom w:val="none" w:sz="0" w:space="0" w:color="auto"/>
                <w:right w:val="none" w:sz="0" w:space="0" w:color="auto"/>
              </w:divBdr>
              <w:divsChild>
                <w:div w:id="319308787">
                  <w:marLeft w:val="0"/>
                  <w:marRight w:val="0"/>
                  <w:marTop w:val="0"/>
                  <w:marBottom w:val="0"/>
                  <w:divBdr>
                    <w:top w:val="none" w:sz="0" w:space="0" w:color="auto"/>
                    <w:left w:val="none" w:sz="0" w:space="0" w:color="auto"/>
                    <w:bottom w:val="none" w:sz="0" w:space="0" w:color="auto"/>
                    <w:right w:val="none" w:sz="0" w:space="0" w:color="auto"/>
                  </w:divBdr>
                </w:div>
              </w:divsChild>
            </w:div>
            <w:div w:id="1364792201">
              <w:marLeft w:val="0"/>
              <w:marRight w:val="0"/>
              <w:marTop w:val="0"/>
              <w:marBottom w:val="0"/>
              <w:divBdr>
                <w:top w:val="none" w:sz="0" w:space="0" w:color="auto"/>
                <w:left w:val="none" w:sz="0" w:space="0" w:color="auto"/>
                <w:bottom w:val="none" w:sz="0" w:space="0" w:color="auto"/>
                <w:right w:val="none" w:sz="0" w:space="0" w:color="auto"/>
              </w:divBdr>
              <w:divsChild>
                <w:div w:id="1075200767">
                  <w:marLeft w:val="0"/>
                  <w:marRight w:val="0"/>
                  <w:marTop w:val="0"/>
                  <w:marBottom w:val="0"/>
                  <w:divBdr>
                    <w:top w:val="none" w:sz="0" w:space="0" w:color="auto"/>
                    <w:left w:val="none" w:sz="0" w:space="0" w:color="auto"/>
                    <w:bottom w:val="none" w:sz="0" w:space="0" w:color="auto"/>
                    <w:right w:val="none" w:sz="0" w:space="0" w:color="auto"/>
                  </w:divBdr>
                </w:div>
              </w:divsChild>
            </w:div>
            <w:div w:id="1240751362">
              <w:marLeft w:val="0"/>
              <w:marRight w:val="0"/>
              <w:marTop w:val="0"/>
              <w:marBottom w:val="0"/>
              <w:divBdr>
                <w:top w:val="none" w:sz="0" w:space="0" w:color="auto"/>
                <w:left w:val="none" w:sz="0" w:space="0" w:color="auto"/>
                <w:bottom w:val="none" w:sz="0" w:space="0" w:color="auto"/>
                <w:right w:val="none" w:sz="0" w:space="0" w:color="auto"/>
              </w:divBdr>
              <w:divsChild>
                <w:div w:id="247931121">
                  <w:marLeft w:val="0"/>
                  <w:marRight w:val="0"/>
                  <w:marTop w:val="0"/>
                  <w:marBottom w:val="0"/>
                  <w:divBdr>
                    <w:top w:val="none" w:sz="0" w:space="0" w:color="auto"/>
                    <w:left w:val="none" w:sz="0" w:space="0" w:color="auto"/>
                    <w:bottom w:val="none" w:sz="0" w:space="0" w:color="auto"/>
                    <w:right w:val="none" w:sz="0" w:space="0" w:color="auto"/>
                  </w:divBdr>
                </w:div>
              </w:divsChild>
            </w:div>
            <w:div w:id="120854902">
              <w:marLeft w:val="0"/>
              <w:marRight w:val="0"/>
              <w:marTop w:val="0"/>
              <w:marBottom w:val="0"/>
              <w:divBdr>
                <w:top w:val="none" w:sz="0" w:space="0" w:color="auto"/>
                <w:left w:val="none" w:sz="0" w:space="0" w:color="auto"/>
                <w:bottom w:val="none" w:sz="0" w:space="0" w:color="auto"/>
                <w:right w:val="none" w:sz="0" w:space="0" w:color="auto"/>
              </w:divBdr>
              <w:divsChild>
                <w:div w:id="1124927051">
                  <w:marLeft w:val="0"/>
                  <w:marRight w:val="0"/>
                  <w:marTop w:val="0"/>
                  <w:marBottom w:val="0"/>
                  <w:divBdr>
                    <w:top w:val="none" w:sz="0" w:space="0" w:color="auto"/>
                    <w:left w:val="none" w:sz="0" w:space="0" w:color="auto"/>
                    <w:bottom w:val="none" w:sz="0" w:space="0" w:color="auto"/>
                    <w:right w:val="none" w:sz="0" w:space="0" w:color="auto"/>
                  </w:divBdr>
                </w:div>
              </w:divsChild>
            </w:div>
            <w:div w:id="1414207685">
              <w:marLeft w:val="0"/>
              <w:marRight w:val="0"/>
              <w:marTop w:val="0"/>
              <w:marBottom w:val="0"/>
              <w:divBdr>
                <w:top w:val="none" w:sz="0" w:space="0" w:color="auto"/>
                <w:left w:val="none" w:sz="0" w:space="0" w:color="auto"/>
                <w:bottom w:val="none" w:sz="0" w:space="0" w:color="auto"/>
                <w:right w:val="none" w:sz="0" w:space="0" w:color="auto"/>
              </w:divBdr>
              <w:divsChild>
                <w:div w:id="10994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730">
          <w:marLeft w:val="0"/>
          <w:marRight w:val="0"/>
          <w:marTop w:val="0"/>
          <w:marBottom w:val="600"/>
          <w:divBdr>
            <w:top w:val="none" w:sz="0" w:space="0" w:color="auto"/>
            <w:left w:val="none" w:sz="0" w:space="0" w:color="auto"/>
            <w:bottom w:val="none" w:sz="0" w:space="0" w:color="auto"/>
            <w:right w:val="none" w:sz="0" w:space="0" w:color="auto"/>
          </w:divBdr>
        </w:div>
      </w:divsChild>
    </w:div>
    <w:div w:id="676464022">
      <w:marLeft w:val="0"/>
      <w:marRight w:val="0"/>
      <w:marTop w:val="0"/>
      <w:marBottom w:val="0"/>
      <w:divBdr>
        <w:top w:val="none" w:sz="0" w:space="0" w:color="auto"/>
        <w:left w:val="none" w:sz="0" w:space="0" w:color="auto"/>
        <w:bottom w:val="none" w:sz="0" w:space="0" w:color="auto"/>
        <w:right w:val="none" w:sz="0" w:space="0" w:color="auto"/>
      </w:divBdr>
      <w:divsChild>
        <w:div w:id="38361253">
          <w:marLeft w:val="0"/>
          <w:marRight w:val="0"/>
          <w:marTop w:val="547"/>
          <w:marBottom w:val="0"/>
          <w:divBdr>
            <w:top w:val="none" w:sz="0" w:space="0" w:color="auto"/>
            <w:left w:val="none" w:sz="0" w:space="0" w:color="auto"/>
            <w:bottom w:val="none" w:sz="0" w:space="0" w:color="auto"/>
            <w:right w:val="none" w:sz="0" w:space="0" w:color="auto"/>
          </w:divBdr>
        </w:div>
        <w:div w:id="5717846">
          <w:marLeft w:val="0"/>
          <w:marRight w:val="0"/>
          <w:marTop w:val="0"/>
          <w:marBottom w:val="0"/>
          <w:divBdr>
            <w:top w:val="none" w:sz="0" w:space="0" w:color="auto"/>
            <w:left w:val="none" w:sz="0" w:space="0" w:color="auto"/>
            <w:bottom w:val="none" w:sz="0" w:space="0" w:color="auto"/>
            <w:right w:val="none" w:sz="0" w:space="0" w:color="auto"/>
          </w:divBdr>
        </w:div>
        <w:div w:id="1901862952">
          <w:marLeft w:val="0"/>
          <w:marRight w:val="0"/>
          <w:marTop w:val="0"/>
          <w:marBottom w:val="600"/>
          <w:divBdr>
            <w:top w:val="none" w:sz="0" w:space="0" w:color="auto"/>
            <w:left w:val="none" w:sz="0" w:space="0" w:color="auto"/>
            <w:bottom w:val="none" w:sz="0" w:space="0" w:color="auto"/>
            <w:right w:val="none" w:sz="0" w:space="0" w:color="auto"/>
          </w:divBdr>
        </w:div>
      </w:divsChild>
    </w:div>
    <w:div w:id="817191442">
      <w:marLeft w:val="0"/>
      <w:marRight w:val="0"/>
      <w:marTop w:val="0"/>
      <w:marBottom w:val="0"/>
      <w:divBdr>
        <w:top w:val="none" w:sz="0" w:space="0" w:color="auto"/>
        <w:left w:val="none" w:sz="0" w:space="0" w:color="auto"/>
        <w:bottom w:val="none" w:sz="0" w:space="0" w:color="auto"/>
        <w:right w:val="none" w:sz="0" w:space="0" w:color="auto"/>
      </w:divBdr>
      <w:divsChild>
        <w:div w:id="1146823530">
          <w:marLeft w:val="0"/>
          <w:marRight w:val="0"/>
          <w:marTop w:val="547"/>
          <w:marBottom w:val="0"/>
          <w:divBdr>
            <w:top w:val="none" w:sz="0" w:space="0" w:color="auto"/>
            <w:left w:val="none" w:sz="0" w:space="0" w:color="auto"/>
            <w:bottom w:val="none" w:sz="0" w:space="0" w:color="auto"/>
            <w:right w:val="none" w:sz="0" w:space="0" w:color="auto"/>
          </w:divBdr>
        </w:div>
        <w:div w:id="1025450367">
          <w:marLeft w:val="0"/>
          <w:marRight w:val="0"/>
          <w:marTop w:val="0"/>
          <w:marBottom w:val="0"/>
          <w:divBdr>
            <w:top w:val="none" w:sz="0" w:space="0" w:color="auto"/>
            <w:left w:val="none" w:sz="0" w:space="0" w:color="auto"/>
            <w:bottom w:val="none" w:sz="0" w:space="0" w:color="auto"/>
            <w:right w:val="none" w:sz="0" w:space="0" w:color="auto"/>
          </w:divBdr>
        </w:div>
        <w:div w:id="590434231">
          <w:marLeft w:val="0"/>
          <w:marRight w:val="0"/>
          <w:marTop w:val="0"/>
          <w:marBottom w:val="600"/>
          <w:divBdr>
            <w:top w:val="none" w:sz="0" w:space="0" w:color="auto"/>
            <w:left w:val="none" w:sz="0" w:space="0" w:color="auto"/>
            <w:bottom w:val="none" w:sz="0" w:space="0" w:color="auto"/>
            <w:right w:val="none" w:sz="0" w:space="0" w:color="auto"/>
          </w:divBdr>
        </w:div>
      </w:divsChild>
    </w:div>
    <w:div w:id="848759567">
      <w:marLeft w:val="0"/>
      <w:marRight w:val="0"/>
      <w:marTop w:val="0"/>
      <w:marBottom w:val="0"/>
      <w:divBdr>
        <w:top w:val="none" w:sz="0" w:space="0" w:color="auto"/>
        <w:left w:val="none" w:sz="0" w:space="0" w:color="auto"/>
        <w:bottom w:val="none" w:sz="0" w:space="0" w:color="auto"/>
        <w:right w:val="none" w:sz="0" w:space="0" w:color="auto"/>
      </w:divBdr>
      <w:divsChild>
        <w:div w:id="824978112">
          <w:marLeft w:val="0"/>
          <w:marRight w:val="0"/>
          <w:marTop w:val="547"/>
          <w:marBottom w:val="0"/>
          <w:divBdr>
            <w:top w:val="none" w:sz="0" w:space="0" w:color="auto"/>
            <w:left w:val="none" w:sz="0" w:space="0" w:color="auto"/>
            <w:bottom w:val="none" w:sz="0" w:space="0" w:color="auto"/>
            <w:right w:val="none" w:sz="0" w:space="0" w:color="auto"/>
          </w:divBdr>
        </w:div>
        <w:div w:id="1407461683">
          <w:marLeft w:val="0"/>
          <w:marRight w:val="0"/>
          <w:marTop w:val="0"/>
          <w:marBottom w:val="0"/>
          <w:divBdr>
            <w:top w:val="none" w:sz="0" w:space="0" w:color="auto"/>
            <w:left w:val="none" w:sz="0" w:space="0" w:color="auto"/>
            <w:bottom w:val="none" w:sz="0" w:space="0" w:color="auto"/>
            <w:right w:val="none" w:sz="0" w:space="0" w:color="auto"/>
          </w:divBdr>
        </w:div>
        <w:div w:id="744957906">
          <w:marLeft w:val="0"/>
          <w:marRight w:val="0"/>
          <w:marTop w:val="0"/>
          <w:marBottom w:val="600"/>
          <w:divBdr>
            <w:top w:val="none" w:sz="0" w:space="0" w:color="auto"/>
            <w:left w:val="none" w:sz="0" w:space="0" w:color="auto"/>
            <w:bottom w:val="none" w:sz="0" w:space="0" w:color="auto"/>
            <w:right w:val="none" w:sz="0" w:space="0" w:color="auto"/>
          </w:divBdr>
        </w:div>
      </w:divsChild>
    </w:div>
    <w:div w:id="866483857">
      <w:marLeft w:val="0"/>
      <w:marRight w:val="0"/>
      <w:marTop w:val="0"/>
      <w:marBottom w:val="0"/>
      <w:divBdr>
        <w:top w:val="none" w:sz="0" w:space="0" w:color="auto"/>
        <w:left w:val="none" w:sz="0" w:space="0" w:color="auto"/>
        <w:bottom w:val="none" w:sz="0" w:space="0" w:color="auto"/>
        <w:right w:val="none" w:sz="0" w:space="0" w:color="auto"/>
      </w:divBdr>
      <w:divsChild>
        <w:div w:id="1197694857">
          <w:marLeft w:val="0"/>
          <w:marRight w:val="0"/>
          <w:marTop w:val="547"/>
          <w:marBottom w:val="0"/>
          <w:divBdr>
            <w:top w:val="none" w:sz="0" w:space="0" w:color="auto"/>
            <w:left w:val="none" w:sz="0" w:space="0" w:color="auto"/>
            <w:bottom w:val="none" w:sz="0" w:space="0" w:color="auto"/>
            <w:right w:val="none" w:sz="0" w:space="0" w:color="auto"/>
          </w:divBdr>
        </w:div>
        <w:div w:id="2116165625">
          <w:marLeft w:val="0"/>
          <w:marRight w:val="0"/>
          <w:marTop w:val="0"/>
          <w:marBottom w:val="0"/>
          <w:divBdr>
            <w:top w:val="none" w:sz="0" w:space="0" w:color="auto"/>
            <w:left w:val="none" w:sz="0" w:space="0" w:color="auto"/>
            <w:bottom w:val="none" w:sz="0" w:space="0" w:color="auto"/>
            <w:right w:val="none" w:sz="0" w:space="0" w:color="auto"/>
          </w:divBdr>
          <w:divsChild>
            <w:div w:id="1025639258">
              <w:marLeft w:val="0"/>
              <w:marRight w:val="0"/>
              <w:marTop w:val="0"/>
              <w:marBottom w:val="0"/>
              <w:divBdr>
                <w:top w:val="none" w:sz="0" w:space="0" w:color="auto"/>
                <w:left w:val="none" w:sz="0" w:space="0" w:color="auto"/>
                <w:bottom w:val="none" w:sz="0" w:space="0" w:color="auto"/>
                <w:right w:val="none" w:sz="0" w:space="0" w:color="auto"/>
              </w:divBdr>
              <w:divsChild>
                <w:div w:id="821853935">
                  <w:marLeft w:val="0"/>
                  <w:marRight w:val="0"/>
                  <w:marTop w:val="0"/>
                  <w:marBottom w:val="0"/>
                  <w:divBdr>
                    <w:top w:val="none" w:sz="0" w:space="0" w:color="auto"/>
                    <w:left w:val="none" w:sz="0" w:space="0" w:color="auto"/>
                    <w:bottom w:val="none" w:sz="0" w:space="0" w:color="auto"/>
                    <w:right w:val="none" w:sz="0" w:space="0" w:color="auto"/>
                  </w:divBdr>
                </w:div>
              </w:divsChild>
            </w:div>
            <w:div w:id="1941060697">
              <w:marLeft w:val="0"/>
              <w:marRight w:val="0"/>
              <w:marTop w:val="0"/>
              <w:marBottom w:val="0"/>
              <w:divBdr>
                <w:top w:val="none" w:sz="0" w:space="0" w:color="auto"/>
                <w:left w:val="none" w:sz="0" w:space="0" w:color="auto"/>
                <w:bottom w:val="none" w:sz="0" w:space="0" w:color="auto"/>
                <w:right w:val="none" w:sz="0" w:space="0" w:color="auto"/>
              </w:divBdr>
              <w:divsChild>
                <w:div w:id="167984689">
                  <w:marLeft w:val="0"/>
                  <w:marRight w:val="0"/>
                  <w:marTop w:val="0"/>
                  <w:marBottom w:val="0"/>
                  <w:divBdr>
                    <w:top w:val="none" w:sz="0" w:space="0" w:color="auto"/>
                    <w:left w:val="none" w:sz="0" w:space="0" w:color="auto"/>
                    <w:bottom w:val="none" w:sz="0" w:space="0" w:color="auto"/>
                    <w:right w:val="none" w:sz="0" w:space="0" w:color="auto"/>
                  </w:divBdr>
                </w:div>
              </w:divsChild>
            </w:div>
            <w:div w:id="416824804">
              <w:marLeft w:val="0"/>
              <w:marRight w:val="0"/>
              <w:marTop w:val="0"/>
              <w:marBottom w:val="0"/>
              <w:divBdr>
                <w:top w:val="none" w:sz="0" w:space="0" w:color="auto"/>
                <w:left w:val="none" w:sz="0" w:space="0" w:color="auto"/>
                <w:bottom w:val="none" w:sz="0" w:space="0" w:color="auto"/>
                <w:right w:val="none" w:sz="0" w:space="0" w:color="auto"/>
              </w:divBdr>
              <w:divsChild>
                <w:div w:id="1189828531">
                  <w:marLeft w:val="0"/>
                  <w:marRight w:val="0"/>
                  <w:marTop w:val="0"/>
                  <w:marBottom w:val="0"/>
                  <w:divBdr>
                    <w:top w:val="none" w:sz="0" w:space="0" w:color="auto"/>
                    <w:left w:val="none" w:sz="0" w:space="0" w:color="auto"/>
                    <w:bottom w:val="none" w:sz="0" w:space="0" w:color="auto"/>
                    <w:right w:val="none" w:sz="0" w:space="0" w:color="auto"/>
                  </w:divBdr>
                </w:div>
              </w:divsChild>
            </w:div>
            <w:div w:id="516576970">
              <w:marLeft w:val="0"/>
              <w:marRight w:val="0"/>
              <w:marTop w:val="0"/>
              <w:marBottom w:val="0"/>
              <w:divBdr>
                <w:top w:val="none" w:sz="0" w:space="0" w:color="auto"/>
                <w:left w:val="none" w:sz="0" w:space="0" w:color="auto"/>
                <w:bottom w:val="none" w:sz="0" w:space="0" w:color="auto"/>
                <w:right w:val="none" w:sz="0" w:space="0" w:color="auto"/>
              </w:divBdr>
              <w:divsChild>
                <w:div w:id="1660188531">
                  <w:marLeft w:val="0"/>
                  <w:marRight w:val="0"/>
                  <w:marTop w:val="0"/>
                  <w:marBottom w:val="0"/>
                  <w:divBdr>
                    <w:top w:val="none" w:sz="0" w:space="0" w:color="auto"/>
                    <w:left w:val="none" w:sz="0" w:space="0" w:color="auto"/>
                    <w:bottom w:val="none" w:sz="0" w:space="0" w:color="auto"/>
                    <w:right w:val="none" w:sz="0" w:space="0" w:color="auto"/>
                  </w:divBdr>
                </w:div>
              </w:divsChild>
            </w:div>
            <w:div w:id="820270581">
              <w:marLeft w:val="0"/>
              <w:marRight w:val="0"/>
              <w:marTop w:val="0"/>
              <w:marBottom w:val="0"/>
              <w:divBdr>
                <w:top w:val="none" w:sz="0" w:space="0" w:color="auto"/>
                <w:left w:val="none" w:sz="0" w:space="0" w:color="auto"/>
                <w:bottom w:val="none" w:sz="0" w:space="0" w:color="auto"/>
                <w:right w:val="none" w:sz="0" w:space="0" w:color="auto"/>
              </w:divBdr>
              <w:divsChild>
                <w:div w:id="687415163">
                  <w:marLeft w:val="0"/>
                  <w:marRight w:val="0"/>
                  <w:marTop w:val="0"/>
                  <w:marBottom w:val="0"/>
                  <w:divBdr>
                    <w:top w:val="none" w:sz="0" w:space="0" w:color="auto"/>
                    <w:left w:val="none" w:sz="0" w:space="0" w:color="auto"/>
                    <w:bottom w:val="none" w:sz="0" w:space="0" w:color="auto"/>
                    <w:right w:val="none" w:sz="0" w:space="0" w:color="auto"/>
                  </w:divBdr>
                </w:div>
              </w:divsChild>
            </w:div>
            <w:div w:id="182525376">
              <w:marLeft w:val="0"/>
              <w:marRight w:val="0"/>
              <w:marTop w:val="0"/>
              <w:marBottom w:val="0"/>
              <w:divBdr>
                <w:top w:val="none" w:sz="0" w:space="0" w:color="auto"/>
                <w:left w:val="none" w:sz="0" w:space="0" w:color="auto"/>
                <w:bottom w:val="none" w:sz="0" w:space="0" w:color="auto"/>
                <w:right w:val="none" w:sz="0" w:space="0" w:color="auto"/>
              </w:divBdr>
              <w:divsChild>
                <w:div w:id="978338697">
                  <w:marLeft w:val="0"/>
                  <w:marRight w:val="0"/>
                  <w:marTop w:val="0"/>
                  <w:marBottom w:val="0"/>
                  <w:divBdr>
                    <w:top w:val="none" w:sz="0" w:space="0" w:color="auto"/>
                    <w:left w:val="none" w:sz="0" w:space="0" w:color="auto"/>
                    <w:bottom w:val="none" w:sz="0" w:space="0" w:color="auto"/>
                    <w:right w:val="none" w:sz="0" w:space="0" w:color="auto"/>
                  </w:divBdr>
                </w:div>
              </w:divsChild>
            </w:div>
            <w:div w:id="1599217979">
              <w:marLeft w:val="0"/>
              <w:marRight w:val="0"/>
              <w:marTop w:val="0"/>
              <w:marBottom w:val="0"/>
              <w:divBdr>
                <w:top w:val="none" w:sz="0" w:space="0" w:color="auto"/>
                <w:left w:val="none" w:sz="0" w:space="0" w:color="auto"/>
                <w:bottom w:val="none" w:sz="0" w:space="0" w:color="auto"/>
                <w:right w:val="none" w:sz="0" w:space="0" w:color="auto"/>
              </w:divBdr>
              <w:divsChild>
                <w:div w:id="1757901711">
                  <w:marLeft w:val="0"/>
                  <w:marRight w:val="0"/>
                  <w:marTop w:val="0"/>
                  <w:marBottom w:val="0"/>
                  <w:divBdr>
                    <w:top w:val="none" w:sz="0" w:space="0" w:color="auto"/>
                    <w:left w:val="none" w:sz="0" w:space="0" w:color="auto"/>
                    <w:bottom w:val="none" w:sz="0" w:space="0" w:color="auto"/>
                    <w:right w:val="none" w:sz="0" w:space="0" w:color="auto"/>
                  </w:divBdr>
                </w:div>
              </w:divsChild>
            </w:div>
            <w:div w:id="744571931">
              <w:marLeft w:val="0"/>
              <w:marRight w:val="0"/>
              <w:marTop w:val="0"/>
              <w:marBottom w:val="0"/>
              <w:divBdr>
                <w:top w:val="none" w:sz="0" w:space="0" w:color="auto"/>
                <w:left w:val="none" w:sz="0" w:space="0" w:color="auto"/>
                <w:bottom w:val="none" w:sz="0" w:space="0" w:color="auto"/>
                <w:right w:val="none" w:sz="0" w:space="0" w:color="auto"/>
              </w:divBdr>
              <w:divsChild>
                <w:div w:id="1743410583">
                  <w:marLeft w:val="0"/>
                  <w:marRight w:val="0"/>
                  <w:marTop w:val="0"/>
                  <w:marBottom w:val="0"/>
                  <w:divBdr>
                    <w:top w:val="none" w:sz="0" w:space="0" w:color="auto"/>
                    <w:left w:val="none" w:sz="0" w:space="0" w:color="auto"/>
                    <w:bottom w:val="none" w:sz="0" w:space="0" w:color="auto"/>
                    <w:right w:val="none" w:sz="0" w:space="0" w:color="auto"/>
                  </w:divBdr>
                </w:div>
              </w:divsChild>
            </w:div>
            <w:div w:id="159589608">
              <w:marLeft w:val="0"/>
              <w:marRight w:val="0"/>
              <w:marTop w:val="0"/>
              <w:marBottom w:val="0"/>
              <w:divBdr>
                <w:top w:val="none" w:sz="0" w:space="0" w:color="auto"/>
                <w:left w:val="none" w:sz="0" w:space="0" w:color="auto"/>
                <w:bottom w:val="none" w:sz="0" w:space="0" w:color="auto"/>
                <w:right w:val="none" w:sz="0" w:space="0" w:color="auto"/>
              </w:divBdr>
              <w:divsChild>
                <w:div w:id="1337073586">
                  <w:marLeft w:val="0"/>
                  <w:marRight w:val="0"/>
                  <w:marTop w:val="0"/>
                  <w:marBottom w:val="0"/>
                  <w:divBdr>
                    <w:top w:val="none" w:sz="0" w:space="0" w:color="auto"/>
                    <w:left w:val="none" w:sz="0" w:space="0" w:color="auto"/>
                    <w:bottom w:val="none" w:sz="0" w:space="0" w:color="auto"/>
                    <w:right w:val="none" w:sz="0" w:space="0" w:color="auto"/>
                  </w:divBdr>
                </w:div>
              </w:divsChild>
            </w:div>
            <w:div w:id="152071806">
              <w:marLeft w:val="0"/>
              <w:marRight w:val="0"/>
              <w:marTop w:val="0"/>
              <w:marBottom w:val="0"/>
              <w:divBdr>
                <w:top w:val="none" w:sz="0" w:space="0" w:color="auto"/>
                <w:left w:val="none" w:sz="0" w:space="0" w:color="auto"/>
                <w:bottom w:val="none" w:sz="0" w:space="0" w:color="auto"/>
                <w:right w:val="none" w:sz="0" w:space="0" w:color="auto"/>
              </w:divBdr>
              <w:divsChild>
                <w:div w:id="1618174966">
                  <w:marLeft w:val="0"/>
                  <w:marRight w:val="0"/>
                  <w:marTop w:val="0"/>
                  <w:marBottom w:val="0"/>
                  <w:divBdr>
                    <w:top w:val="none" w:sz="0" w:space="0" w:color="auto"/>
                    <w:left w:val="none" w:sz="0" w:space="0" w:color="auto"/>
                    <w:bottom w:val="none" w:sz="0" w:space="0" w:color="auto"/>
                    <w:right w:val="none" w:sz="0" w:space="0" w:color="auto"/>
                  </w:divBdr>
                </w:div>
              </w:divsChild>
            </w:div>
            <w:div w:id="323320957">
              <w:marLeft w:val="0"/>
              <w:marRight w:val="0"/>
              <w:marTop w:val="0"/>
              <w:marBottom w:val="0"/>
              <w:divBdr>
                <w:top w:val="none" w:sz="0" w:space="0" w:color="auto"/>
                <w:left w:val="none" w:sz="0" w:space="0" w:color="auto"/>
                <w:bottom w:val="none" w:sz="0" w:space="0" w:color="auto"/>
                <w:right w:val="none" w:sz="0" w:space="0" w:color="auto"/>
              </w:divBdr>
              <w:divsChild>
                <w:div w:id="1926836625">
                  <w:marLeft w:val="0"/>
                  <w:marRight w:val="0"/>
                  <w:marTop w:val="0"/>
                  <w:marBottom w:val="0"/>
                  <w:divBdr>
                    <w:top w:val="none" w:sz="0" w:space="0" w:color="auto"/>
                    <w:left w:val="none" w:sz="0" w:space="0" w:color="auto"/>
                    <w:bottom w:val="none" w:sz="0" w:space="0" w:color="auto"/>
                    <w:right w:val="none" w:sz="0" w:space="0" w:color="auto"/>
                  </w:divBdr>
                </w:div>
              </w:divsChild>
            </w:div>
            <w:div w:id="904728994">
              <w:marLeft w:val="0"/>
              <w:marRight w:val="0"/>
              <w:marTop w:val="0"/>
              <w:marBottom w:val="0"/>
              <w:divBdr>
                <w:top w:val="none" w:sz="0" w:space="0" w:color="auto"/>
                <w:left w:val="none" w:sz="0" w:space="0" w:color="auto"/>
                <w:bottom w:val="none" w:sz="0" w:space="0" w:color="auto"/>
                <w:right w:val="none" w:sz="0" w:space="0" w:color="auto"/>
              </w:divBdr>
              <w:divsChild>
                <w:div w:id="1835220514">
                  <w:marLeft w:val="0"/>
                  <w:marRight w:val="0"/>
                  <w:marTop w:val="0"/>
                  <w:marBottom w:val="0"/>
                  <w:divBdr>
                    <w:top w:val="none" w:sz="0" w:space="0" w:color="auto"/>
                    <w:left w:val="none" w:sz="0" w:space="0" w:color="auto"/>
                    <w:bottom w:val="none" w:sz="0" w:space="0" w:color="auto"/>
                    <w:right w:val="none" w:sz="0" w:space="0" w:color="auto"/>
                  </w:divBdr>
                </w:div>
              </w:divsChild>
            </w:div>
            <w:div w:id="90899885">
              <w:marLeft w:val="0"/>
              <w:marRight w:val="0"/>
              <w:marTop w:val="0"/>
              <w:marBottom w:val="0"/>
              <w:divBdr>
                <w:top w:val="none" w:sz="0" w:space="0" w:color="auto"/>
                <w:left w:val="none" w:sz="0" w:space="0" w:color="auto"/>
                <w:bottom w:val="none" w:sz="0" w:space="0" w:color="auto"/>
                <w:right w:val="none" w:sz="0" w:space="0" w:color="auto"/>
              </w:divBdr>
              <w:divsChild>
                <w:div w:id="1035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802">
          <w:marLeft w:val="0"/>
          <w:marRight w:val="0"/>
          <w:marTop w:val="0"/>
          <w:marBottom w:val="600"/>
          <w:divBdr>
            <w:top w:val="none" w:sz="0" w:space="0" w:color="auto"/>
            <w:left w:val="none" w:sz="0" w:space="0" w:color="auto"/>
            <w:bottom w:val="none" w:sz="0" w:space="0" w:color="auto"/>
            <w:right w:val="none" w:sz="0" w:space="0" w:color="auto"/>
          </w:divBdr>
        </w:div>
      </w:divsChild>
    </w:div>
    <w:div w:id="883252013">
      <w:marLeft w:val="0"/>
      <w:marRight w:val="0"/>
      <w:marTop w:val="0"/>
      <w:marBottom w:val="0"/>
      <w:divBdr>
        <w:top w:val="none" w:sz="0" w:space="0" w:color="auto"/>
        <w:left w:val="none" w:sz="0" w:space="0" w:color="auto"/>
        <w:bottom w:val="none" w:sz="0" w:space="0" w:color="auto"/>
        <w:right w:val="none" w:sz="0" w:space="0" w:color="auto"/>
      </w:divBdr>
      <w:divsChild>
        <w:div w:id="657270883">
          <w:marLeft w:val="0"/>
          <w:marRight w:val="0"/>
          <w:marTop w:val="547"/>
          <w:marBottom w:val="0"/>
          <w:divBdr>
            <w:top w:val="none" w:sz="0" w:space="0" w:color="auto"/>
            <w:left w:val="none" w:sz="0" w:space="0" w:color="auto"/>
            <w:bottom w:val="none" w:sz="0" w:space="0" w:color="auto"/>
            <w:right w:val="none" w:sz="0" w:space="0" w:color="auto"/>
          </w:divBdr>
        </w:div>
        <w:div w:id="1289555770">
          <w:marLeft w:val="0"/>
          <w:marRight w:val="0"/>
          <w:marTop w:val="0"/>
          <w:marBottom w:val="0"/>
          <w:divBdr>
            <w:top w:val="none" w:sz="0" w:space="0" w:color="auto"/>
            <w:left w:val="none" w:sz="0" w:space="0" w:color="auto"/>
            <w:bottom w:val="none" w:sz="0" w:space="0" w:color="auto"/>
            <w:right w:val="none" w:sz="0" w:space="0" w:color="auto"/>
          </w:divBdr>
          <w:divsChild>
            <w:div w:id="1656296616">
              <w:marLeft w:val="0"/>
              <w:marRight w:val="0"/>
              <w:marTop w:val="0"/>
              <w:marBottom w:val="0"/>
              <w:divBdr>
                <w:top w:val="none" w:sz="0" w:space="0" w:color="auto"/>
                <w:left w:val="none" w:sz="0" w:space="0" w:color="auto"/>
                <w:bottom w:val="none" w:sz="0" w:space="0" w:color="auto"/>
                <w:right w:val="none" w:sz="0" w:space="0" w:color="auto"/>
              </w:divBdr>
              <w:divsChild>
                <w:div w:id="1934822570">
                  <w:marLeft w:val="0"/>
                  <w:marRight w:val="0"/>
                  <w:marTop w:val="0"/>
                  <w:marBottom w:val="0"/>
                  <w:divBdr>
                    <w:top w:val="none" w:sz="0" w:space="0" w:color="auto"/>
                    <w:left w:val="none" w:sz="0" w:space="0" w:color="auto"/>
                    <w:bottom w:val="none" w:sz="0" w:space="0" w:color="auto"/>
                    <w:right w:val="none" w:sz="0" w:space="0" w:color="auto"/>
                  </w:divBdr>
                </w:div>
              </w:divsChild>
            </w:div>
            <w:div w:id="1928152462">
              <w:marLeft w:val="0"/>
              <w:marRight w:val="0"/>
              <w:marTop w:val="0"/>
              <w:marBottom w:val="0"/>
              <w:divBdr>
                <w:top w:val="none" w:sz="0" w:space="0" w:color="auto"/>
                <w:left w:val="none" w:sz="0" w:space="0" w:color="auto"/>
                <w:bottom w:val="none" w:sz="0" w:space="0" w:color="auto"/>
                <w:right w:val="none" w:sz="0" w:space="0" w:color="auto"/>
              </w:divBdr>
              <w:divsChild>
                <w:div w:id="1915356380">
                  <w:marLeft w:val="0"/>
                  <w:marRight w:val="0"/>
                  <w:marTop w:val="0"/>
                  <w:marBottom w:val="0"/>
                  <w:divBdr>
                    <w:top w:val="none" w:sz="0" w:space="0" w:color="auto"/>
                    <w:left w:val="none" w:sz="0" w:space="0" w:color="auto"/>
                    <w:bottom w:val="none" w:sz="0" w:space="0" w:color="auto"/>
                    <w:right w:val="none" w:sz="0" w:space="0" w:color="auto"/>
                  </w:divBdr>
                </w:div>
              </w:divsChild>
            </w:div>
            <w:div w:id="1895459550">
              <w:marLeft w:val="0"/>
              <w:marRight w:val="0"/>
              <w:marTop w:val="0"/>
              <w:marBottom w:val="0"/>
              <w:divBdr>
                <w:top w:val="none" w:sz="0" w:space="0" w:color="auto"/>
                <w:left w:val="none" w:sz="0" w:space="0" w:color="auto"/>
                <w:bottom w:val="none" w:sz="0" w:space="0" w:color="auto"/>
                <w:right w:val="none" w:sz="0" w:space="0" w:color="auto"/>
              </w:divBdr>
              <w:divsChild>
                <w:div w:id="1748990140">
                  <w:marLeft w:val="0"/>
                  <w:marRight w:val="0"/>
                  <w:marTop w:val="0"/>
                  <w:marBottom w:val="0"/>
                  <w:divBdr>
                    <w:top w:val="none" w:sz="0" w:space="0" w:color="auto"/>
                    <w:left w:val="none" w:sz="0" w:space="0" w:color="auto"/>
                    <w:bottom w:val="none" w:sz="0" w:space="0" w:color="auto"/>
                    <w:right w:val="none" w:sz="0" w:space="0" w:color="auto"/>
                  </w:divBdr>
                </w:div>
              </w:divsChild>
            </w:div>
            <w:div w:id="88551440">
              <w:marLeft w:val="0"/>
              <w:marRight w:val="0"/>
              <w:marTop w:val="0"/>
              <w:marBottom w:val="0"/>
              <w:divBdr>
                <w:top w:val="none" w:sz="0" w:space="0" w:color="auto"/>
                <w:left w:val="none" w:sz="0" w:space="0" w:color="auto"/>
                <w:bottom w:val="none" w:sz="0" w:space="0" w:color="auto"/>
                <w:right w:val="none" w:sz="0" w:space="0" w:color="auto"/>
              </w:divBdr>
              <w:divsChild>
                <w:div w:id="2026394166">
                  <w:marLeft w:val="0"/>
                  <w:marRight w:val="0"/>
                  <w:marTop w:val="0"/>
                  <w:marBottom w:val="0"/>
                  <w:divBdr>
                    <w:top w:val="none" w:sz="0" w:space="0" w:color="auto"/>
                    <w:left w:val="none" w:sz="0" w:space="0" w:color="auto"/>
                    <w:bottom w:val="none" w:sz="0" w:space="0" w:color="auto"/>
                    <w:right w:val="none" w:sz="0" w:space="0" w:color="auto"/>
                  </w:divBdr>
                </w:div>
              </w:divsChild>
            </w:div>
            <w:div w:id="468326648">
              <w:marLeft w:val="0"/>
              <w:marRight w:val="0"/>
              <w:marTop w:val="0"/>
              <w:marBottom w:val="0"/>
              <w:divBdr>
                <w:top w:val="none" w:sz="0" w:space="0" w:color="auto"/>
                <w:left w:val="none" w:sz="0" w:space="0" w:color="auto"/>
                <w:bottom w:val="none" w:sz="0" w:space="0" w:color="auto"/>
                <w:right w:val="none" w:sz="0" w:space="0" w:color="auto"/>
              </w:divBdr>
              <w:divsChild>
                <w:div w:id="2099137759">
                  <w:marLeft w:val="0"/>
                  <w:marRight w:val="0"/>
                  <w:marTop w:val="0"/>
                  <w:marBottom w:val="0"/>
                  <w:divBdr>
                    <w:top w:val="none" w:sz="0" w:space="0" w:color="auto"/>
                    <w:left w:val="none" w:sz="0" w:space="0" w:color="auto"/>
                    <w:bottom w:val="none" w:sz="0" w:space="0" w:color="auto"/>
                    <w:right w:val="none" w:sz="0" w:space="0" w:color="auto"/>
                  </w:divBdr>
                </w:div>
              </w:divsChild>
            </w:div>
            <w:div w:id="2123067786">
              <w:marLeft w:val="0"/>
              <w:marRight w:val="0"/>
              <w:marTop w:val="0"/>
              <w:marBottom w:val="0"/>
              <w:divBdr>
                <w:top w:val="none" w:sz="0" w:space="0" w:color="auto"/>
                <w:left w:val="none" w:sz="0" w:space="0" w:color="auto"/>
                <w:bottom w:val="none" w:sz="0" w:space="0" w:color="auto"/>
                <w:right w:val="none" w:sz="0" w:space="0" w:color="auto"/>
              </w:divBdr>
              <w:divsChild>
                <w:div w:id="1767311924">
                  <w:marLeft w:val="0"/>
                  <w:marRight w:val="0"/>
                  <w:marTop w:val="0"/>
                  <w:marBottom w:val="0"/>
                  <w:divBdr>
                    <w:top w:val="none" w:sz="0" w:space="0" w:color="auto"/>
                    <w:left w:val="none" w:sz="0" w:space="0" w:color="auto"/>
                    <w:bottom w:val="none" w:sz="0" w:space="0" w:color="auto"/>
                    <w:right w:val="none" w:sz="0" w:space="0" w:color="auto"/>
                  </w:divBdr>
                </w:div>
              </w:divsChild>
            </w:div>
            <w:div w:id="1149513984">
              <w:marLeft w:val="0"/>
              <w:marRight w:val="0"/>
              <w:marTop w:val="0"/>
              <w:marBottom w:val="0"/>
              <w:divBdr>
                <w:top w:val="none" w:sz="0" w:space="0" w:color="auto"/>
                <w:left w:val="none" w:sz="0" w:space="0" w:color="auto"/>
                <w:bottom w:val="none" w:sz="0" w:space="0" w:color="auto"/>
                <w:right w:val="none" w:sz="0" w:space="0" w:color="auto"/>
              </w:divBdr>
              <w:divsChild>
                <w:div w:id="1869637454">
                  <w:marLeft w:val="0"/>
                  <w:marRight w:val="0"/>
                  <w:marTop w:val="0"/>
                  <w:marBottom w:val="0"/>
                  <w:divBdr>
                    <w:top w:val="none" w:sz="0" w:space="0" w:color="auto"/>
                    <w:left w:val="none" w:sz="0" w:space="0" w:color="auto"/>
                    <w:bottom w:val="none" w:sz="0" w:space="0" w:color="auto"/>
                    <w:right w:val="none" w:sz="0" w:space="0" w:color="auto"/>
                  </w:divBdr>
                </w:div>
              </w:divsChild>
            </w:div>
            <w:div w:id="1493908169">
              <w:marLeft w:val="0"/>
              <w:marRight w:val="0"/>
              <w:marTop w:val="0"/>
              <w:marBottom w:val="0"/>
              <w:divBdr>
                <w:top w:val="none" w:sz="0" w:space="0" w:color="auto"/>
                <w:left w:val="none" w:sz="0" w:space="0" w:color="auto"/>
                <w:bottom w:val="none" w:sz="0" w:space="0" w:color="auto"/>
                <w:right w:val="none" w:sz="0" w:space="0" w:color="auto"/>
              </w:divBdr>
              <w:divsChild>
                <w:div w:id="1757360324">
                  <w:marLeft w:val="0"/>
                  <w:marRight w:val="0"/>
                  <w:marTop w:val="0"/>
                  <w:marBottom w:val="0"/>
                  <w:divBdr>
                    <w:top w:val="none" w:sz="0" w:space="0" w:color="auto"/>
                    <w:left w:val="none" w:sz="0" w:space="0" w:color="auto"/>
                    <w:bottom w:val="none" w:sz="0" w:space="0" w:color="auto"/>
                    <w:right w:val="none" w:sz="0" w:space="0" w:color="auto"/>
                  </w:divBdr>
                </w:div>
              </w:divsChild>
            </w:div>
            <w:div w:id="1068964170">
              <w:marLeft w:val="0"/>
              <w:marRight w:val="0"/>
              <w:marTop w:val="0"/>
              <w:marBottom w:val="0"/>
              <w:divBdr>
                <w:top w:val="none" w:sz="0" w:space="0" w:color="auto"/>
                <w:left w:val="none" w:sz="0" w:space="0" w:color="auto"/>
                <w:bottom w:val="none" w:sz="0" w:space="0" w:color="auto"/>
                <w:right w:val="none" w:sz="0" w:space="0" w:color="auto"/>
              </w:divBdr>
              <w:divsChild>
                <w:div w:id="1080174716">
                  <w:marLeft w:val="0"/>
                  <w:marRight w:val="0"/>
                  <w:marTop w:val="0"/>
                  <w:marBottom w:val="0"/>
                  <w:divBdr>
                    <w:top w:val="none" w:sz="0" w:space="0" w:color="auto"/>
                    <w:left w:val="none" w:sz="0" w:space="0" w:color="auto"/>
                    <w:bottom w:val="none" w:sz="0" w:space="0" w:color="auto"/>
                    <w:right w:val="none" w:sz="0" w:space="0" w:color="auto"/>
                  </w:divBdr>
                </w:div>
              </w:divsChild>
            </w:div>
            <w:div w:id="517503559">
              <w:marLeft w:val="0"/>
              <w:marRight w:val="0"/>
              <w:marTop w:val="0"/>
              <w:marBottom w:val="0"/>
              <w:divBdr>
                <w:top w:val="none" w:sz="0" w:space="0" w:color="auto"/>
                <w:left w:val="none" w:sz="0" w:space="0" w:color="auto"/>
                <w:bottom w:val="none" w:sz="0" w:space="0" w:color="auto"/>
                <w:right w:val="none" w:sz="0" w:space="0" w:color="auto"/>
              </w:divBdr>
              <w:divsChild>
                <w:div w:id="7513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99">
          <w:marLeft w:val="0"/>
          <w:marRight w:val="0"/>
          <w:marTop w:val="0"/>
          <w:marBottom w:val="600"/>
          <w:divBdr>
            <w:top w:val="none" w:sz="0" w:space="0" w:color="auto"/>
            <w:left w:val="none" w:sz="0" w:space="0" w:color="auto"/>
            <w:bottom w:val="none" w:sz="0" w:space="0" w:color="auto"/>
            <w:right w:val="none" w:sz="0" w:space="0" w:color="auto"/>
          </w:divBdr>
        </w:div>
      </w:divsChild>
    </w:div>
    <w:div w:id="907349494">
      <w:marLeft w:val="0"/>
      <w:marRight w:val="0"/>
      <w:marTop w:val="0"/>
      <w:marBottom w:val="0"/>
      <w:divBdr>
        <w:top w:val="none" w:sz="0" w:space="0" w:color="auto"/>
        <w:left w:val="none" w:sz="0" w:space="0" w:color="auto"/>
        <w:bottom w:val="none" w:sz="0" w:space="0" w:color="auto"/>
        <w:right w:val="none" w:sz="0" w:space="0" w:color="auto"/>
      </w:divBdr>
      <w:divsChild>
        <w:div w:id="222330759">
          <w:marLeft w:val="0"/>
          <w:marRight w:val="0"/>
          <w:marTop w:val="547"/>
          <w:marBottom w:val="0"/>
          <w:divBdr>
            <w:top w:val="none" w:sz="0" w:space="0" w:color="auto"/>
            <w:left w:val="none" w:sz="0" w:space="0" w:color="auto"/>
            <w:bottom w:val="none" w:sz="0" w:space="0" w:color="auto"/>
            <w:right w:val="none" w:sz="0" w:space="0" w:color="auto"/>
          </w:divBdr>
        </w:div>
        <w:div w:id="343752193">
          <w:marLeft w:val="0"/>
          <w:marRight w:val="0"/>
          <w:marTop w:val="0"/>
          <w:marBottom w:val="0"/>
          <w:divBdr>
            <w:top w:val="none" w:sz="0" w:space="0" w:color="auto"/>
            <w:left w:val="none" w:sz="0" w:space="0" w:color="auto"/>
            <w:bottom w:val="none" w:sz="0" w:space="0" w:color="auto"/>
            <w:right w:val="none" w:sz="0" w:space="0" w:color="auto"/>
          </w:divBdr>
        </w:div>
        <w:div w:id="1187525620">
          <w:marLeft w:val="0"/>
          <w:marRight w:val="0"/>
          <w:marTop w:val="0"/>
          <w:marBottom w:val="600"/>
          <w:divBdr>
            <w:top w:val="none" w:sz="0" w:space="0" w:color="auto"/>
            <w:left w:val="none" w:sz="0" w:space="0" w:color="auto"/>
            <w:bottom w:val="none" w:sz="0" w:space="0" w:color="auto"/>
            <w:right w:val="none" w:sz="0" w:space="0" w:color="auto"/>
          </w:divBdr>
        </w:div>
      </w:divsChild>
    </w:div>
    <w:div w:id="928545792">
      <w:marLeft w:val="0"/>
      <w:marRight w:val="0"/>
      <w:marTop w:val="0"/>
      <w:marBottom w:val="0"/>
      <w:divBdr>
        <w:top w:val="none" w:sz="0" w:space="0" w:color="auto"/>
        <w:left w:val="none" w:sz="0" w:space="0" w:color="auto"/>
        <w:bottom w:val="none" w:sz="0" w:space="0" w:color="auto"/>
        <w:right w:val="none" w:sz="0" w:space="0" w:color="auto"/>
      </w:divBdr>
      <w:divsChild>
        <w:div w:id="1337462861">
          <w:marLeft w:val="0"/>
          <w:marRight w:val="0"/>
          <w:marTop w:val="547"/>
          <w:marBottom w:val="0"/>
          <w:divBdr>
            <w:top w:val="none" w:sz="0" w:space="0" w:color="auto"/>
            <w:left w:val="none" w:sz="0" w:space="0" w:color="auto"/>
            <w:bottom w:val="none" w:sz="0" w:space="0" w:color="auto"/>
            <w:right w:val="none" w:sz="0" w:space="0" w:color="auto"/>
          </w:divBdr>
        </w:div>
        <w:div w:id="2041010407">
          <w:marLeft w:val="0"/>
          <w:marRight w:val="0"/>
          <w:marTop w:val="0"/>
          <w:marBottom w:val="0"/>
          <w:divBdr>
            <w:top w:val="none" w:sz="0" w:space="0" w:color="auto"/>
            <w:left w:val="none" w:sz="0" w:space="0" w:color="auto"/>
            <w:bottom w:val="none" w:sz="0" w:space="0" w:color="auto"/>
            <w:right w:val="none" w:sz="0" w:space="0" w:color="auto"/>
          </w:divBdr>
        </w:div>
        <w:div w:id="793061293">
          <w:marLeft w:val="0"/>
          <w:marRight w:val="0"/>
          <w:marTop w:val="0"/>
          <w:marBottom w:val="600"/>
          <w:divBdr>
            <w:top w:val="none" w:sz="0" w:space="0" w:color="auto"/>
            <w:left w:val="none" w:sz="0" w:space="0" w:color="auto"/>
            <w:bottom w:val="none" w:sz="0" w:space="0" w:color="auto"/>
            <w:right w:val="none" w:sz="0" w:space="0" w:color="auto"/>
          </w:divBdr>
        </w:div>
      </w:divsChild>
    </w:div>
    <w:div w:id="930242008">
      <w:marLeft w:val="0"/>
      <w:marRight w:val="0"/>
      <w:marTop w:val="0"/>
      <w:marBottom w:val="0"/>
      <w:divBdr>
        <w:top w:val="none" w:sz="0" w:space="0" w:color="auto"/>
        <w:left w:val="none" w:sz="0" w:space="0" w:color="auto"/>
        <w:bottom w:val="none" w:sz="0" w:space="0" w:color="auto"/>
        <w:right w:val="none" w:sz="0" w:space="0" w:color="auto"/>
      </w:divBdr>
      <w:divsChild>
        <w:div w:id="316540165">
          <w:marLeft w:val="0"/>
          <w:marRight w:val="0"/>
          <w:marTop w:val="547"/>
          <w:marBottom w:val="0"/>
          <w:divBdr>
            <w:top w:val="none" w:sz="0" w:space="0" w:color="auto"/>
            <w:left w:val="none" w:sz="0" w:space="0" w:color="auto"/>
            <w:bottom w:val="none" w:sz="0" w:space="0" w:color="auto"/>
            <w:right w:val="none" w:sz="0" w:space="0" w:color="auto"/>
          </w:divBdr>
        </w:div>
        <w:div w:id="483856273">
          <w:marLeft w:val="0"/>
          <w:marRight w:val="0"/>
          <w:marTop w:val="0"/>
          <w:marBottom w:val="0"/>
          <w:divBdr>
            <w:top w:val="none" w:sz="0" w:space="0" w:color="auto"/>
            <w:left w:val="none" w:sz="0" w:space="0" w:color="auto"/>
            <w:bottom w:val="none" w:sz="0" w:space="0" w:color="auto"/>
            <w:right w:val="none" w:sz="0" w:space="0" w:color="auto"/>
          </w:divBdr>
        </w:div>
        <w:div w:id="675422368">
          <w:marLeft w:val="0"/>
          <w:marRight w:val="0"/>
          <w:marTop w:val="0"/>
          <w:marBottom w:val="600"/>
          <w:divBdr>
            <w:top w:val="none" w:sz="0" w:space="0" w:color="auto"/>
            <w:left w:val="none" w:sz="0" w:space="0" w:color="auto"/>
            <w:bottom w:val="none" w:sz="0" w:space="0" w:color="auto"/>
            <w:right w:val="none" w:sz="0" w:space="0" w:color="auto"/>
          </w:divBdr>
        </w:div>
      </w:divsChild>
    </w:div>
    <w:div w:id="952204625">
      <w:marLeft w:val="0"/>
      <w:marRight w:val="0"/>
      <w:marTop w:val="0"/>
      <w:marBottom w:val="0"/>
      <w:divBdr>
        <w:top w:val="none" w:sz="0" w:space="0" w:color="auto"/>
        <w:left w:val="none" w:sz="0" w:space="0" w:color="auto"/>
        <w:bottom w:val="none" w:sz="0" w:space="0" w:color="auto"/>
        <w:right w:val="none" w:sz="0" w:space="0" w:color="auto"/>
      </w:divBdr>
      <w:divsChild>
        <w:div w:id="1384981063">
          <w:marLeft w:val="0"/>
          <w:marRight w:val="0"/>
          <w:marTop w:val="547"/>
          <w:marBottom w:val="0"/>
          <w:divBdr>
            <w:top w:val="none" w:sz="0" w:space="0" w:color="auto"/>
            <w:left w:val="none" w:sz="0" w:space="0" w:color="auto"/>
            <w:bottom w:val="none" w:sz="0" w:space="0" w:color="auto"/>
            <w:right w:val="none" w:sz="0" w:space="0" w:color="auto"/>
          </w:divBdr>
        </w:div>
        <w:div w:id="90665371">
          <w:marLeft w:val="0"/>
          <w:marRight w:val="0"/>
          <w:marTop w:val="0"/>
          <w:marBottom w:val="0"/>
          <w:divBdr>
            <w:top w:val="none" w:sz="0" w:space="0" w:color="auto"/>
            <w:left w:val="none" w:sz="0" w:space="0" w:color="auto"/>
            <w:bottom w:val="none" w:sz="0" w:space="0" w:color="auto"/>
            <w:right w:val="none" w:sz="0" w:space="0" w:color="auto"/>
          </w:divBdr>
        </w:div>
        <w:div w:id="1824275001">
          <w:marLeft w:val="0"/>
          <w:marRight w:val="0"/>
          <w:marTop w:val="0"/>
          <w:marBottom w:val="600"/>
          <w:divBdr>
            <w:top w:val="none" w:sz="0" w:space="0" w:color="auto"/>
            <w:left w:val="none" w:sz="0" w:space="0" w:color="auto"/>
            <w:bottom w:val="none" w:sz="0" w:space="0" w:color="auto"/>
            <w:right w:val="none" w:sz="0" w:space="0" w:color="auto"/>
          </w:divBdr>
        </w:div>
      </w:divsChild>
    </w:div>
    <w:div w:id="1011570249">
      <w:marLeft w:val="0"/>
      <w:marRight w:val="0"/>
      <w:marTop w:val="0"/>
      <w:marBottom w:val="0"/>
      <w:divBdr>
        <w:top w:val="none" w:sz="0" w:space="0" w:color="auto"/>
        <w:left w:val="none" w:sz="0" w:space="0" w:color="auto"/>
        <w:bottom w:val="none" w:sz="0" w:space="0" w:color="auto"/>
        <w:right w:val="none" w:sz="0" w:space="0" w:color="auto"/>
      </w:divBdr>
      <w:divsChild>
        <w:div w:id="1689218346">
          <w:marLeft w:val="0"/>
          <w:marRight w:val="0"/>
          <w:marTop w:val="547"/>
          <w:marBottom w:val="0"/>
          <w:divBdr>
            <w:top w:val="none" w:sz="0" w:space="0" w:color="auto"/>
            <w:left w:val="none" w:sz="0" w:space="0" w:color="auto"/>
            <w:bottom w:val="none" w:sz="0" w:space="0" w:color="auto"/>
            <w:right w:val="none" w:sz="0" w:space="0" w:color="auto"/>
          </w:divBdr>
        </w:div>
        <w:div w:id="195970290">
          <w:marLeft w:val="0"/>
          <w:marRight w:val="0"/>
          <w:marTop w:val="0"/>
          <w:marBottom w:val="0"/>
          <w:divBdr>
            <w:top w:val="none" w:sz="0" w:space="0" w:color="auto"/>
            <w:left w:val="none" w:sz="0" w:space="0" w:color="auto"/>
            <w:bottom w:val="none" w:sz="0" w:space="0" w:color="auto"/>
            <w:right w:val="none" w:sz="0" w:space="0" w:color="auto"/>
          </w:divBdr>
        </w:div>
        <w:div w:id="524368968">
          <w:marLeft w:val="0"/>
          <w:marRight w:val="0"/>
          <w:marTop w:val="0"/>
          <w:marBottom w:val="600"/>
          <w:divBdr>
            <w:top w:val="none" w:sz="0" w:space="0" w:color="auto"/>
            <w:left w:val="none" w:sz="0" w:space="0" w:color="auto"/>
            <w:bottom w:val="none" w:sz="0" w:space="0" w:color="auto"/>
            <w:right w:val="none" w:sz="0" w:space="0" w:color="auto"/>
          </w:divBdr>
        </w:div>
      </w:divsChild>
    </w:div>
    <w:div w:id="1033306821">
      <w:marLeft w:val="0"/>
      <w:marRight w:val="0"/>
      <w:marTop w:val="0"/>
      <w:marBottom w:val="0"/>
      <w:divBdr>
        <w:top w:val="none" w:sz="0" w:space="0" w:color="auto"/>
        <w:left w:val="none" w:sz="0" w:space="0" w:color="auto"/>
        <w:bottom w:val="none" w:sz="0" w:space="0" w:color="auto"/>
        <w:right w:val="none" w:sz="0" w:space="0" w:color="auto"/>
      </w:divBdr>
      <w:divsChild>
        <w:div w:id="1066102090">
          <w:marLeft w:val="0"/>
          <w:marRight w:val="0"/>
          <w:marTop w:val="547"/>
          <w:marBottom w:val="0"/>
          <w:divBdr>
            <w:top w:val="none" w:sz="0" w:space="0" w:color="auto"/>
            <w:left w:val="none" w:sz="0" w:space="0" w:color="auto"/>
            <w:bottom w:val="none" w:sz="0" w:space="0" w:color="auto"/>
            <w:right w:val="none" w:sz="0" w:space="0" w:color="auto"/>
          </w:divBdr>
        </w:div>
        <w:div w:id="1773747924">
          <w:marLeft w:val="0"/>
          <w:marRight w:val="0"/>
          <w:marTop w:val="0"/>
          <w:marBottom w:val="0"/>
          <w:divBdr>
            <w:top w:val="none" w:sz="0" w:space="0" w:color="auto"/>
            <w:left w:val="none" w:sz="0" w:space="0" w:color="auto"/>
            <w:bottom w:val="none" w:sz="0" w:space="0" w:color="auto"/>
            <w:right w:val="none" w:sz="0" w:space="0" w:color="auto"/>
          </w:divBdr>
        </w:div>
        <w:div w:id="1431001976">
          <w:marLeft w:val="0"/>
          <w:marRight w:val="0"/>
          <w:marTop w:val="0"/>
          <w:marBottom w:val="600"/>
          <w:divBdr>
            <w:top w:val="none" w:sz="0" w:space="0" w:color="auto"/>
            <w:left w:val="none" w:sz="0" w:space="0" w:color="auto"/>
            <w:bottom w:val="none" w:sz="0" w:space="0" w:color="auto"/>
            <w:right w:val="none" w:sz="0" w:space="0" w:color="auto"/>
          </w:divBdr>
        </w:div>
      </w:divsChild>
    </w:div>
    <w:div w:id="1076441410">
      <w:marLeft w:val="0"/>
      <w:marRight w:val="0"/>
      <w:marTop w:val="0"/>
      <w:marBottom w:val="0"/>
      <w:divBdr>
        <w:top w:val="none" w:sz="0" w:space="0" w:color="auto"/>
        <w:left w:val="none" w:sz="0" w:space="0" w:color="auto"/>
        <w:bottom w:val="none" w:sz="0" w:space="0" w:color="auto"/>
        <w:right w:val="none" w:sz="0" w:space="0" w:color="auto"/>
      </w:divBdr>
    </w:div>
    <w:div w:id="1085228612">
      <w:marLeft w:val="0"/>
      <w:marRight w:val="0"/>
      <w:marTop w:val="0"/>
      <w:marBottom w:val="0"/>
      <w:divBdr>
        <w:top w:val="none" w:sz="0" w:space="0" w:color="auto"/>
        <w:left w:val="none" w:sz="0" w:space="0" w:color="auto"/>
        <w:bottom w:val="none" w:sz="0" w:space="0" w:color="auto"/>
        <w:right w:val="none" w:sz="0" w:space="0" w:color="auto"/>
      </w:divBdr>
      <w:divsChild>
        <w:div w:id="551386431">
          <w:marLeft w:val="0"/>
          <w:marRight w:val="0"/>
          <w:marTop w:val="547"/>
          <w:marBottom w:val="0"/>
          <w:divBdr>
            <w:top w:val="none" w:sz="0" w:space="0" w:color="auto"/>
            <w:left w:val="none" w:sz="0" w:space="0" w:color="auto"/>
            <w:bottom w:val="none" w:sz="0" w:space="0" w:color="auto"/>
            <w:right w:val="none" w:sz="0" w:space="0" w:color="auto"/>
          </w:divBdr>
        </w:div>
        <w:div w:id="2097827256">
          <w:marLeft w:val="0"/>
          <w:marRight w:val="0"/>
          <w:marTop w:val="0"/>
          <w:marBottom w:val="0"/>
          <w:divBdr>
            <w:top w:val="none" w:sz="0" w:space="0" w:color="auto"/>
            <w:left w:val="none" w:sz="0" w:space="0" w:color="auto"/>
            <w:bottom w:val="none" w:sz="0" w:space="0" w:color="auto"/>
            <w:right w:val="none" w:sz="0" w:space="0" w:color="auto"/>
          </w:divBdr>
          <w:divsChild>
            <w:div w:id="1190217967">
              <w:marLeft w:val="0"/>
              <w:marRight w:val="0"/>
              <w:marTop w:val="0"/>
              <w:marBottom w:val="0"/>
              <w:divBdr>
                <w:top w:val="none" w:sz="0" w:space="0" w:color="auto"/>
                <w:left w:val="none" w:sz="0" w:space="0" w:color="auto"/>
                <w:bottom w:val="none" w:sz="0" w:space="0" w:color="auto"/>
                <w:right w:val="none" w:sz="0" w:space="0" w:color="auto"/>
              </w:divBdr>
              <w:divsChild>
                <w:div w:id="421873250">
                  <w:marLeft w:val="0"/>
                  <w:marRight w:val="0"/>
                  <w:marTop w:val="0"/>
                  <w:marBottom w:val="0"/>
                  <w:divBdr>
                    <w:top w:val="none" w:sz="0" w:space="0" w:color="auto"/>
                    <w:left w:val="none" w:sz="0" w:space="0" w:color="auto"/>
                    <w:bottom w:val="none" w:sz="0" w:space="0" w:color="auto"/>
                    <w:right w:val="none" w:sz="0" w:space="0" w:color="auto"/>
                  </w:divBdr>
                </w:div>
              </w:divsChild>
            </w:div>
            <w:div w:id="901216427">
              <w:marLeft w:val="0"/>
              <w:marRight w:val="0"/>
              <w:marTop w:val="0"/>
              <w:marBottom w:val="0"/>
              <w:divBdr>
                <w:top w:val="none" w:sz="0" w:space="0" w:color="auto"/>
                <w:left w:val="none" w:sz="0" w:space="0" w:color="auto"/>
                <w:bottom w:val="none" w:sz="0" w:space="0" w:color="auto"/>
                <w:right w:val="none" w:sz="0" w:space="0" w:color="auto"/>
              </w:divBdr>
              <w:divsChild>
                <w:div w:id="334961731">
                  <w:marLeft w:val="0"/>
                  <w:marRight w:val="0"/>
                  <w:marTop w:val="0"/>
                  <w:marBottom w:val="0"/>
                  <w:divBdr>
                    <w:top w:val="none" w:sz="0" w:space="0" w:color="auto"/>
                    <w:left w:val="none" w:sz="0" w:space="0" w:color="auto"/>
                    <w:bottom w:val="none" w:sz="0" w:space="0" w:color="auto"/>
                    <w:right w:val="none" w:sz="0" w:space="0" w:color="auto"/>
                  </w:divBdr>
                </w:div>
              </w:divsChild>
            </w:div>
            <w:div w:id="1384711819">
              <w:marLeft w:val="0"/>
              <w:marRight w:val="0"/>
              <w:marTop w:val="0"/>
              <w:marBottom w:val="0"/>
              <w:divBdr>
                <w:top w:val="none" w:sz="0" w:space="0" w:color="auto"/>
                <w:left w:val="none" w:sz="0" w:space="0" w:color="auto"/>
                <w:bottom w:val="none" w:sz="0" w:space="0" w:color="auto"/>
                <w:right w:val="none" w:sz="0" w:space="0" w:color="auto"/>
              </w:divBdr>
              <w:divsChild>
                <w:div w:id="1555578876">
                  <w:marLeft w:val="0"/>
                  <w:marRight w:val="0"/>
                  <w:marTop w:val="0"/>
                  <w:marBottom w:val="0"/>
                  <w:divBdr>
                    <w:top w:val="none" w:sz="0" w:space="0" w:color="auto"/>
                    <w:left w:val="none" w:sz="0" w:space="0" w:color="auto"/>
                    <w:bottom w:val="none" w:sz="0" w:space="0" w:color="auto"/>
                    <w:right w:val="none" w:sz="0" w:space="0" w:color="auto"/>
                  </w:divBdr>
                </w:div>
              </w:divsChild>
            </w:div>
            <w:div w:id="339940805">
              <w:marLeft w:val="0"/>
              <w:marRight w:val="0"/>
              <w:marTop w:val="0"/>
              <w:marBottom w:val="0"/>
              <w:divBdr>
                <w:top w:val="none" w:sz="0" w:space="0" w:color="auto"/>
                <w:left w:val="none" w:sz="0" w:space="0" w:color="auto"/>
                <w:bottom w:val="none" w:sz="0" w:space="0" w:color="auto"/>
                <w:right w:val="none" w:sz="0" w:space="0" w:color="auto"/>
              </w:divBdr>
              <w:divsChild>
                <w:div w:id="2105757899">
                  <w:marLeft w:val="0"/>
                  <w:marRight w:val="0"/>
                  <w:marTop w:val="0"/>
                  <w:marBottom w:val="0"/>
                  <w:divBdr>
                    <w:top w:val="none" w:sz="0" w:space="0" w:color="auto"/>
                    <w:left w:val="none" w:sz="0" w:space="0" w:color="auto"/>
                    <w:bottom w:val="none" w:sz="0" w:space="0" w:color="auto"/>
                    <w:right w:val="none" w:sz="0" w:space="0" w:color="auto"/>
                  </w:divBdr>
                </w:div>
              </w:divsChild>
            </w:div>
            <w:div w:id="1770738913">
              <w:marLeft w:val="0"/>
              <w:marRight w:val="0"/>
              <w:marTop w:val="0"/>
              <w:marBottom w:val="0"/>
              <w:divBdr>
                <w:top w:val="none" w:sz="0" w:space="0" w:color="auto"/>
                <w:left w:val="none" w:sz="0" w:space="0" w:color="auto"/>
                <w:bottom w:val="none" w:sz="0" w:space="0" w:color="auto"/>
                <w:right w:val="none" w:sz="0" w:space="0" w:color="auto"/>
              </w:divBdr>
              <w:divsChild>
                <w:div w:id="963921958">
                  <w:marLeft w:val="0"/>
                  <w:marRight w:val="0"/>
                  <w:marTop w:val="0"/>
                  <w:marBottom w:val="0"/>
                  <w:divBdr>
                    <w:top w:val="none" w:sz="0" w:space="0" w:color="auto"/>
                    <w:left w:val="none" w:sz="0" w:space="0" w:color="auto"/>
                    <w:bottom w:val="none" w:sz="0" w:space="0" w:color="auto"/>
                    <w:right w:val="none" w:sz="0" w:space="0" w:color="auto"/>
                  </w:divBdr>
                </w:div>
              </w:divsChild>
            </w:div>
            <w:div w:id="941299721">
              <w:marLeft w:val="0"/>
              <w:marRight w:val="0"/>
              <w:marTop w:val="0"/>
              <w:marBottom w:val="0"/>
              <w:divBdr>
                <w:top w:val="none" w:sz="0" w:space="0" w:color="auto"/>
                <w:left w:val="none" w:sz="0" w:space="0" w:color="auto"/>
                <w:bottom w:val="none" w:sz="0" w:space="0" w:color="auto"/>
                <w:right w:val="none" w:sz="0" w:space="0" w:color="auto"/>
              </w:divBdr>
              <w:divsChild>
                <w:div w:id="1263607191">
                  <w:marLeft w:val="0"/>
                  <w:marRight w:val="0"/>
                  <w:marTop w:val="0"/>
                  <w:marBottom w:val="0"/>
                  <w:divBdr>
                    <w:top w:val="none" w:sz="0" w:space="0" w:color="auto"/>
                    <w:left w:val="none" w:sz="0" w:space="0" w:color="auto"/>
                    <w:bottom w:val="none" w:sz="0" w:space="0" w:color="auto"/>
                    <w:right w:val="none" w:sz="0" w:space="0" w:color="auto"/>
                  </w:divBdr>
                </w:div>
              </w:divsChild>
            </w:div>
            <w:div w:id="384908840">
              <w:marLeft w:val="0"/>
              <w:marRight w:val="0"/>
              <w:marTop w:val="0"/>
              <w:marBottom w:val="0"/>
              <w:divBdr>
                <w:top w:val="none" w:sz="0" w:space="0" w:color="auto"/>
                <w:left w:val="none" w:sz="0" w:space="0" w:color="auto"/>
                <w:bottom w:val="none" w:sz="0" w:space="0" w:color="auto"/>
                <w:right w:val="none" w:sz="0" w:space="0" w:color="auto"/>
              </w:divBdr>
              <w:divsChild>
                <w:div w:id="464783288">
                  <w:marLeft w:val="0"/>
                  <w:marRight w:val="0"/>
                  <w:marTop w:val="0"/>
                  <w:marBottom w:val="0"/>
                  <w:divBdr>
                    <w:top w:val="none" w:sz="0" w:space="0" w:color="auto"/>
                    <w:left w:val="none" w:sz="0" w:space="0" w:color="auto"/>
                    <w:bottom w:val="none" w:sz="0" w:space="0" w:color="auto"/>
                    <w:right w:val="none" w:sz="0" w:space="0" w:color="auto"/>
                  </w:divBdr>
                </w:div>
              </w:divsChild>
            </w:div>
            <w:div w:id="568924187">
              <w:marLeft w:val="0"/>
              <w:marRight w:val="0"/>
              <w:marTop w:val="0"/>
              <w:marBottom w:val="0"/>
              <w:divBdr>
                <w:top w:val="none" w:sz="0" w:space="0" w:color="auto"/>
                <w:left w:val="none" w:sz="0" w:space="0" w:color="auto"/>
                <w:bottom w:val="none" w:sz="0" w:space="0" w:color="auto"/>
                <w:right w:val="none" w:sz="0" w:space="0" w:color="auto"/>
              </w:divBdr>
              <w:divsChild>
                <w:div w:id="609818263">
                  <w:marLeft w:val="0"/>
                  <w:marRight w:val="0"/>
                  <w:marTop w:val="0"/>
                  <w:marBottom w:val="0"/>
                  <w:divBdr>
                    <w:top w:val="none" w:sz="0" w:space="0" w:color="auto"/>
                    <w:left w:val="none" w:sz="0" w:space="0" w:color="auto"/>
                    <w:bottom w:val="none" w:sz="0" w:space="0" w:color="auto"/>
                    <w:right w:val="none" w:sz="0" w:space="0" w:color="auto"/>
                  </w:divBdr>
                </w:div>
              </w:divsChild>
            </w:div>
            <w:div w:id="348260804">
              <w:marLeft w:val="0"/>
              <w:marRight w:val="0"/>
              <w:marTop w:val="0"/>
              <w:marBottom w:val="0"/>
              <w:divBdr>
                <w:top w:val="none" w:sz="0" w:space="0" w:color="auto"/>
                <w:left w:val="none" w:sz="0" w:space="0" w:color="auto"/>
                <w:bottom w:val="none" w:sz="0" w:space="0" w:color="auto"/>
                <w:right w:val="none" w:sz="0" w:space="0" w:color="auto"/>
              </w:divBdr>
              <w:divsChild>
                <w:div w:id="1230308426">
                  <w:marLeft w:val="0"/>
                  <w:marRight w:val="0"/>
                  <w:marTop w:val="0"/>
                  <w:marBottom w:val="0"/>
                  <w:divBdr>
                    <w:top w:val="none" w:sz="0" w:space="0" w:color="auto"/>
                    <w:left w:val="none" w:sz="0" w:space="0" w:color="auto"/>
                    <w:bottom w:val="none" w:sz="0" w:space="0" w:color="auto"/>
                    <w:right w:val="none" w:sz="0" w:space="0" w:color="auto"/>
                  </w:divBdr>
                </w:div>
              </w:divsChild>
            </w:div>
            <w:div w:id="1319731128">
              <w:marLeft w:val="0"/>
              <w:marRight w:val="0"/>
              <w:marTop w:val="0"/>
              <w:marBottom w:val="0"/>
              <w:divBdr>
                <w:top w:val="none" w:sz="0" w:space="0" w:color="auto"/>
                <w:left w:val="none" w:sz="0" w:space="0" w:color="auto"/>
                <w:bottom w:val="none" w:sz="0" w:space="0" w:color="auto"/>
                <w:right w:val="none" w:sz="0" w:space="0" w:color="auto"/>
              </w:divBdr>
              <w:divsChild>
                <w:div w:id="561713495">
                  <w:marLeft w:val="0"/>
                  <w:marRight w:val="0"/>
                  <w:marTop w:val="0"/>
                  <w:marBottom w:val="0"/>
                  <w:divBdr>
                    <w:top w:val="none" w:sz="0" w:space="0" w:color="auto"/>
                    <w:left w:val="none" w:sz="0" w:space="0" w:color="auto"/>
                    <w:bottom w:val="none" w:sz="0" w:space="0" w:color="auto"/>
                    <w:right w:val="none" w:sz="0" w:space="0" w:color="auto"/>
                  </w:divBdr>
                </w:div>
              </w:divsChild>
            </w:div>
            <w:div w:id="1503858090">
              <w:marLeft w:val="0"/>
              <w:marRight w:val="0"/>
              <w:marTop w:val="0"/>
              <w:marBottom w:val="0"/>
              <w:divBdr>
                <w:top w:val="none" w:sz="0" w:space="0" w:color="auto"/>
                <w:left w:val="none" w:sz="0" w:space="0" w:color="auto"/>
                <w:bottom w:val="none" w:sz="0" w:space="0" w:color="auto"/>
                <w:right w:val="none" w:sz="0" w:space="0" w:color="auto"/>
              </w:divBdr>
              <w:divsChild>
                <w:div w:id="1861971151">
                  <w:marLeft w:val="0"/>
                  <w:marRight w:val="0"/>
                  <w:marTop w:val="0"/>
                  <w:marBottom w:val="0"/>
                  <w:divBdr>
                    <w:top w:val="none" w:sz="0" w:space="0" w:color="auto"/>
                    <w:left w:val="none" w:sz="0" w:space="0" w:color="auto"/>
                    <w:bottom w:val="none" w:sz="0" w:space="0" w:color="auto"/>
                    <w:right w:val="none" w:sz="0" w:space="0" w:color="auto"/>
                  </w:divBdr>
                </w:div>
              </w:divsChild>
            </w:div>
            <w:div w:id="1433016093">
              <w:marLeft w:val="0"/>
              <w:marRight w:val="0"/>
              <w:marTop w:val="0"/>
              <w:marBottom w:val="0"/>
              <w:divBdr>
                <w:top w:val="none" w:sz="0" w:space="0" w:color="auto"/>
                <w:left w:val="none" w:sz="0" w:space="0" w:color="auto"/>
                <w:bottom w:val="none" w:sz="0" w:space="0" w:color="auto"/>
                <w:right w:val="none" w:sz="0" w:space="0" w:color="auto"/>
              </w:divBdr>
              <w:divsChild>
                <w:div w:id="1225947320">
                  <w:marLeft w:val="0"/>
                  <w:marRight w:val="0"/>
                  <w:marTop w:val="0"/>
                  <w:marBottom w:val="0"/>
                  <w:divBdr>
                    <w:top w:val="none" w:sz="0" w:space="0" w:color="auto"/>
                    <w:left w:val="none" w:sz="0" w:space="0" w:color="auto"/>
                    <w:bottom w:val="none" w:sz="0" w:space="0" w:color="auto"/>
                    <w:right w:val="none" w:sz="0" w:space="0" w:color="auto"/>
                  </w:divBdr>
                </w:div>
              </w:divsChild>
            </w:div>
            <w:div w:id="758528916">
              <w:marLeft w:val="0"/>
              <w:marRight w:val="0"/>
              <w:marTop w:val="0"/>
              <w:marBottom w:val="0"/>
              <w:divBdr>
                <w:top w:val="none" w:sz="0" w:space="0" w:color="auto"/>
                <w:left w:val="none" w:sz="0" w:space="0" w:color="auto"/>
                <w:bottom w:val="none" w:sz="0" w:space="0" w:color="auto"/>
                <w:right w:val="none" w:sz="0" w:space="0" w:color="auto"/>
              </w:divBdr>
              <w:divsChild>
                <w:div w:id="877358983">
                  <w:marLeft w:val="0"/>
                  <w:marRight w:val="0"/>
                  <w:marTop w:val="0"/>
                  <w:marBottom w:val="0"/>
                  <w:divBdr>
                    <w:top w:val="none" w:sz="0" w:space="0" w:color="auto"/>
                    <w:left w:val="none" w:sz="0" w:space="0" w:color="auto"/>
                    <w:bottom w:val="none" w:sz="0" w:space="0" w:color="auto"/>
                    <w:right w:val="none" w:sz="0" w:space="0" w:color="auto"/>
                  </w:divBdr>
                </w:div>
              </w:divsChild>
            </w:div>
            <w:div w:id="1661889614">
              <w:marLeft w:val="0"/>
              <w:marRight w:val="0"/>
              <w:marTop w:val="0"/>
              <w:marBottom w:val="0"/>
              <w:divBdr>
                <w:top w:val="none" w:sz="0" w:space="0" w:color="auto"/>
                <w:left w:val="none" w:sz="0" w:space="0" w:color="auto"/>
                <w:bottom w:val="none" w:sz="0" w:space="0" w:color="auto"/>
                <w:right w:val="none" w:sz="0" w:space="0" w:color="auto"/>
              </w:divBdr>
              <w:divsChild>
                <w:div w:id="297882008">
                  <w:marLeft w:val="0"/>
                  <w:marRight w:val="0"/>
                  <w:marTop w:val="0"/>
                  <w:marBottom w:val="0"/>
                  <w:divBdr>
                    <w:top w:val="none" w:sz="0" w:space="0" w:color="auto"/>
                    <w:left w:val="none" w:sz="0" w:space="0" w:color="auto"/>
                    <w:bottom w:val="none" w:sz="0" w:space="0" w:color="auto"/>
                    <w:right w:val="none" w:sz="0" w:space="0" w:color="auto"/>
                  </w:divBdr>
                </w:div>
              </w:divsChild>
            </w:div>
            <w:div w:id="79520621">
              <w:marLeft w:val="0"/>
              <w:marRight w:val="0"/>
              <w:marTop w:val="0"/>
              <w:marBottom w:val="0"/>
              <w:divBdr>
                <w:top w:val="none" w:sz="0" w:space="0" w:color="auto"/>
                <w:left w:val="none" w:sz="0" w:space="0" w:color="auto"/>
                <w:bottom w:val="none" w:sz="0" w:space="0" w:color="auto"/>
                <w:right w:val="none" w:sz="0" w:space="0" w:color="auto"/>
              </w:divBdr>
              <w:divsChild>
                <w:div w:id="294218916">
                  <w:marLeft w:val="0"/>
                  <w:marRight w:val="0"/>
                  <w:marTop w:val="0"/>
                  <w:marBottom w:val="0"/>
                  <w:divBdr>
                    <w:top w:val="none" w:sz="0" w:space="0" w:color="auto"/>
                    <w:left w:val="none" w:sz="0" w:space="0" w:color="auto"/>
                    <w:bottom w:val="none" w:sz="0" w:space="0" w:color="auto"/>
                    <w:right w:val="none" w:sz="0" w:space="0" w:color="auto"/>
                  </w:divBdr>
                </w:div>
              </w:divsChild>
            </w:div>
            <w:div w:id="594024415">
              <w:marLeft w:val="0"/>
              <w:marRight w:val="0"/>
              <w:marTop w:val="0"/>
              <w:marBottom w:val="0"/>
              <w:divBdr>
                <w:top w:val="none" w:sz="0" w:space="0" w:color="auto"/>
                <w:left w:val="none" w:sz="0" w:space="0" w:color="auto"/>
                <w:bottom w:val="none" w:sz="0" w:space="0" w:color="auto"/>
                <w:right w:val="none" w:sz="0" w:space="0" w:color="auto"/>
              </w:divBdr>
              <w:divsChild>
                <w:div w:id="2130542278">
                  <w:marLeft w:val="0"/>
                  <w:marRight w:val="0"/>
                  <w:marTop w:val="0"/>
                  <w:marBottom w:val="0"/>
                  <w:divBdr>
                    <w:top w:val="none" w:sz="0" w:space="0" w:color="auto"/>
                    <w:left w:val="none" w:sz="0" w:space="0" w:color="auto"/>
                    <w:bottom w:val="none" w:sz="0" w:space="0" w:color="auto"/>
                    <w:right w:val="none" w:sz="0" w:space="0" w:color="auto"/>
                  </w:divBdr>
                </w:div>
              </w:divsChild>
            </w:div>
            <w:div w:id="1151486370">
              <w:marLeft w:val="0"/>
              <w:marRight w:val="0"/>
              <w:marTop w:val="0"/>
              <w:marBottom w:val="0"/>
              <w:divBdr>
                <w:top w:val="none" w:sz="0" w:space="0" w:color="auto"/>
                <w:left w:val="none" w:sz="0" w:space="0" w:color="auto"/>
                <w:bottom w:val="none" w:sz="0" w:space="0" w:color="auto"/>
                <w:right w:val="none" w:sz="0" w:space="0" w:color="auto"/>
              </w:divBdr>
              <w:divsChild>
                <w:div w:id="1153984541">
                  <w:marLeft w:val="0"/>
                  <w:marRight w:val="0"/>
                  <w:marTop w:val="0"/>
                  <w:marBottom w:val="0"/>
                  <w:divBdr>
                    <w:top w:val="none" w:sz="0" w:space="0" w:color="auto"/>
                    <w:left w:val="none" w:sz="0" w:space="0" w:color="auto"/>
                    <w:bottom w:val="none" w:sz="0" w:space="0" w:color="auto"/>
                    <w:right w:val="none" w:sz="0" w:space="0" w:color="auto"/>
                  </w:divBdr>
                </w:div>
              </w:divsChild>
            </w:div>
            <w:div w:id="1008755489">
              <w:marLeft w:val="0"/>
              <w:marRight w:val="0"/>
              <w:marTop w:val="0"/>
              <w:marBottom w:val="0"/>
              <w:divBdr>
                <w:top w:val="none" w:sz="0" w:space="0" w:color="auto"/>
                <w:left w:val="none" w:sz="0" w:space="0" w:color="auto"/>
                <w:bottom w:val="none" w:sz="0" w:space="0" w:color="auto"/>
                <w:right w:val="none" w:sz="0" w:space="0" w:color="auto"/>
              </w:divBdr>
              <w:divsChild>
                <w:div w:id="2051564222">
                  <w:marLeft w:val="0"/>
                  <w:marRight w:val="0"/>
                  <w:marTop w:val="0"/>
                  <w:marBottom w:val="0"/>
                  <w:divBdr>
                    <w:top w:val="none" w:sz="0" w:space="0" w:color="auto"/>
                    <w:left w:val="none" w:sz="0" w:space="0" w:color="auto"/>
                    <w:bottom w:val="none" w:sz="0" w:space="0" w:color="auto"/>
                    <w:right w:val="none" w:sz="0" w:space="0" w:color="auto"/>
                  </w:divBdr>
                </w:div>
              </w:divsChild>
            </w:div>
            <w:div w:id="1816029144">
              <w:marLeft w:val="0"/>
              <w:marRight w:val="0"/>
              <w:marTop w:val="0"/>
              <w:marBottom w:val="0"/>
              <w:divBdr>
                <w:top w:val="none" w:sz="0" w:space="0" w:color="auto"/>
                <w:left w:val="none" w:sz="0" w:space="0" w:color="auto"/>
                <w:bottom w:val="none" w:sz="0" w:space="0" w:color="auto"/>
                <w:right w:val="none" w:sz="0" w:space="0" w:color="auto"/>
              </w:divBdr>
              <w:divsChild>
                <w:div w:id="85620150">
                  <w:marLeft w:val="0"/>
                  <w:marRight w:val="0"/>
                  <w:marTop w:val="0"/>
                  <w:marBottom w:val="0"/>
                  <w:divBdr>
                    <w:top w:val="none" w:sz="0" w:space="0" w:color="auto"/>
                    <w:left w:val="none" w:sz="0" w:space="0" w:color="auto"/>
                    <w:bottom w:val="none" w:sz="0" w:space="0" w:color="auto"/>
                    <w:right w:val="none" w:sz="0" w:space="0" w:color="auto"/>
                  </w:divBdr>
                </w:div>
              </w:divsChild>
            </w:div>
            <w:div w:id="1347635267">
              <w:marLeft w:val="0"/>
              <w:marRight w:val="0"/>
              <w:marTop w:val="0"/>
              <w:marBottom w:val="0"/>
              <w:divBdr>
                <w:top w:val="none" w:sz="0" w:space="0" w:color="auto"/>
                <w:left w:val="none" w:sz="0" w:space="0" w:color="auto"/>
                <w:bottom w:val="none" w:sz="0" w:space="0" w:color="auto"/>
                <w:right w:val="none" w:sz="0" w:space="0" w:color="auto"/>
              </w:divBdr>
              <w:divsChild>
                <w:div w:id="2078746252">
                  <w:marLeft w:val="0"/>
                  <w:marRight w:val="0"/>
                  <w:marTop w:val="0"/>
                  <w:marBottom w:val="0"/>
                  <w:divBdr>
                    <w:top w:val="none" w:sz="0" w:space="0" w:color="auto"/>
                    <w:left w:val="none" w:sz="0" w:space="0" w:color="auto"/>
                    <w:bottom w:val="none" w:sz="0" w:space="0" w:color="auto"/>
                    <w:right w:val="none" w:sz="0" w:space="0" w:color="auto"/>
                  </w:divBdr>
                </w:div>
              </w:divsChild>
            </w:div>
            <w:div w:id="482550184">
              <w:marLeft w:val="0"/>
              <w:marRight w:val="0"/>
              <w:marTop w:val="0"/>
              <w:marBottom w:val="0"/>
              <w:divBdr>
                <w:top w:val="none" w:sz="0" w:space="0" w:color="auto"/>
                <w:left w:val="none" w:sz="0" w:space="0" w:color="auto"/>
                <w:bottom w:val="none" w:sz="0" w:space="0" w:color="auto"/>
                <w:right w:val="none" w:sz="0" w:space="0" w:color="auto"/>
              </w:divBdr>
              <w:divsChild>
                <w:div w:id="1122117405">
                  <w:marLeft w:val="0"/>
                  <w:marRight w:val="0"/>
                  <w:marTop w:val="0"/>
                  <w:marBottom w:val="0"/>
                  <w:divBdr>
                    <w:top w:val="none" w:sz="0" w:space="0" w:color="auto"/>
                    <w:left w:val="none" w:sz="0" w:space="0" w:color="auto"/>
                    <w:bottom w:val="none" w:sz="0" w:space="0" w:color="auto"/>
                    <w:right w:val="none" w:sz="0" w:space="0" w:color="auto"/>
                  </w:divBdr>
                </w:div>
              </w:divsChild>
            </w:div>
            <w:div w:id="458494215">
              <w:marLeft w:val="0"/>
              <w:marRight w:val="0"/>
              <w:marTop w:val="0"/>
              <w:marBottom w:val="0"/>
              <w:divBdr>
                <w:top w:val="none" w:sz="0" w:space="0" w:color="auto"/>
                <w:left w:val="none" w:sz="0" w:space="0" w:color="auto"/>
                <w:bottom w:val="none" w:sz="0" w:space="0" w:color="auto"/>
                <w:right w:val="none" w:sz="0" w:space="0" w:color="auto"/>
              </w:divBdr>
              <w:divsChild>
                <w:div w:id="923147643">
                  <w:marLeft w:val="0"/>
                  <w:marRight w:val="0"/>
                  <w:marTop w:val="0"/>
                  <w:marBottom w:val="0"/>
                  <w:divBdr>
                    <w:top w:val="none" w:sz="0" w:space="0" w:color="auto"/>
                    <w:left w:val="none" w:sz="0" w:space="0" w:color="auto"/>
                    <w:bottom w:val="none" w:sz="0" w:space="0" w:color="auto"/>
                    <w:right w:val="none" w:sz="0" w:space="0" w:color="auto"/>
                  </w:divBdr>
                </w:div>
              </w:divsChild>
            </w:div>
            <w:div w:id="1183125209">
              <w:marLeft w:val="0"/>
              <w:marRight w:val="0"/>
              <w:marTop w:val="0"/>
              <w:marBottom w:val="0"/>
              <w:divBdr>
                <w:top w:val="none" w:sz="0" w:space="0" w:color="auto"/>
                <w:left w:val="none" w:sz="0" w:space="0" w:color="auto"/>
                <w:bottom w:val="none" w:sz="0" w:space="0" w:color="auto"/>
                <w:right w:val="none" w:sz="0" w:space="0" w:color="auto"/>
              </w:divBdr>
              <w:divsChild>
                <w:div w:id="1214930138">
                  <w:marLeft w:val="0"/>
                  <w:marRight w:val="0"/>
                  <w:marTop w:val="0"/>
                  <w:marBottom w:val="0"/>
                  <w:divBdr>
                    <w:top w:val="none" w:sz="0" w:space="0" w:color="auto"/>
                    <w:left w:val="none" w:sz="0" w:space="0" w:color="auto"/>
                    <w:bottom w:val="none" w:sz="0" w:space="0" w:color="auto"/>
                    <w:right w:val="none" w:sz="0" w:space="0" w:color="auto"/>
                  </w:divBdr>
                </w:div>
              </w:divsChild>
            </w:div>
            <w:div w:id="2103138844">
              <w:marLeft w:val="0"/>
              <w:marRight w:val="0"/>
              <w:marTop w:val="0"/>
              <w:marBottom w:val="0"/>
              <w:divBdr>
                <w:top w:val="none" w:sz="0" w:space="0" w:color="auto"/>
                <w:left w:val="none" w:sz="0" w:space="0" w:color="auto"/>
                <w:bottom w:val="none" w:sz="0" w:space="0" w:color="auto"/>
                <w:right w:val="none" w:sz="0" w:space="0" w:color="auto"/>
              </w:divBdr>
              <w:divsChild>
                <w:div w:id="351104314">
                  <w:marLeft w:val="0"/>
                  <w:marRight w:val="0"/>
                  <w:marTop w:val="0"/>
                  <w:marBottom w:val="0"/>
                  <w:divBdr>
                    <w:top w:val="none" w:sz="0" w:space="0" w:color="auto"/>
                    <w:left w:val="none" w:sz="0" w:space="0" w:color="auto"/>
                    <w:bottom w:val="none" w:sz="0" w:space="0" w:color="auto"/>
                    <w:right w:val="none" w:sz="0" w:space="0" w:color="auto"/>
                  </w:divBdr>
                </w:div>
              </w:divsChild>
            </w:div>
            <w:div w:id="1131170147">
              <w:marLeft w:val="0"/>
              <w:marRight w:val="0"/>
              <w:marTop w:val="0"/>
              <w:marBottom w:val="0"/>
              <w:divBdr>
                <w:top w:val="none" w:sz="0" w:space="0" w:color="auto"/>
                <w:left w:val="none" w:sz="0" w:space="0" w:color="auto"/>
                <w:bottom w:val="none" w:sz="0" w:space="0" w:color="auto"/>
                <w:right w:val="none" w:sz="0" w:space="0" w:color="auto"/>
              </w:divBdr>
              <w:divsChild>
                <w:div w:id="143812567">
                  <w:marLeft w:val="0"/>
                  <w:marRight w:val="0"/>
                  <w:marTop w:val="0"/>
                  <w:marBottom w:val="0"/>
                  <w:divBdr>
                    <w:top w:val="none" w:sz="0" w:space="0" w:color="auto"/>
                    <w:left w:val="none" w:sz="0" w:space="0" w:color="auto"/>
                    <w:bottom w:val="none" w:sz="0" w:space="0" w:color="auto"/>
                    <w:right w:val="none" w:sz="0" w:space="0" w:color="auto"/>
                  </w:divBdr>
                </w:div>
              </w:divsChild>
            </w:div>
            <w:div w:id="1253472779">
              <w:marLeft w:val="0"/>
              <w:marRight w:val="0"/>
              <w:marTop w:val="0"/>
              <w:marBottom w:val="0"/>
              <w:divBdr>
                <w:top w:val="none" w:sz="0" w:space="0" w:color="auto"/>
                <w:left w:val="none" w:sz="0" w:space="0" w:color="auto"/>
                <w:bottom w:val="none" w:sz="0" w:space="0" w:color="auto"/>
                <w:right w:val="none" w:sz="0" w:space="0" w:color="auto"/>
              </w:divBdr>
              <w:divsChild>
                <w:div w:id="1926525658">
                  <w:marLeft w:val="0"/>
                  <w:marRight w:val="0"/>
                  <w:marTop w:val="0"/>
                  <w:marBottom w:val="0"/>
                  <w:divBdr>
                    <w:top w:val="none" w:sz="0" w:space="0" w:color="auto"/>
                    <w:left w:val="none" w:sz="0" w:space="0" w:color="auto"/>
                    <w:bottom w:val="none" w:sz="0" w:space="0" w:color="auto"/>
                    <w:right w:val="none" w:sz="0" w:space="0" w:color="auto"/>
                  </w:divBdr>
                </w:div>
              </w:divsChild>
            </w:div>
            <w:div w:id="574975425">
              <w:marLeft w:val="0"/>
              <w:marRight w:val="0"/>
              <w:marTop w:val="0"/>
              <w:marBottom w:val="0"/>
              <w:divBdr>
                <w:top w:val="none" w:sz="0" w:space="0" w:color="auto"/>
                <w:left w:val="none" w:sz="0" w:space="0" w:color="auto"/>
                <w:bottom w:val="none" w:sz="0" w:space="0" w:color="auto"/>
                <w:right w:val="none" w:sz="0" w:space="0" w:color="auto"/>
              </w:divBdr>
              <w:divsChild>
                <w:div w:id="1590692599">
                  <w:marLeft w:val="0"/>
                  <w:marRight w:val="0"/>
                  <w:marTop w:val="0"/>
                  <w:marBottom w:val="0"/>
                  <w:divBdr>
                    <w:top w:val="none" w:sz="0" w:space="0" w:color="auto"/>
                    <w:left w:val="none" w:sz="0" w:space="0" w:color="auto"/>
                    <w:bottom w:val="none" w:sz="0" w:space="0" w:color="auto"/>
                    <w:right w:val="none" w:sz="0" w:space="0" w:color="auto"/>
                  </w:divBdr>
                </w:div>
              </w:divsChild>
            </w:div>
            <w:div w:id="1478644551">
              <w:marLeft w:val="0"/>
              <w:marRight w:val="0"/>
              <w:marTop w:val="0"/>
              <w:marBottom w:val="0"/>
              <w:divBdr>
                <w:top w:val="none" w:sz="0" w:space="0" w:color="auto"/>
                <w:left w:val="none" w:sz="0" w:space="0" w:color="auto"/>
                <w:bottom w:val="none" w:sz="0" w:space="0" w:color="auto"/>
                <w:right w:val="none" w:sz="0" w:space="0" w:color="auto"/>
              </w:divBdr>
              <w:divsChild>
                <w:div w:id="1085883222">
                  <w:marLeft w:val="0"/>
                  <w:marRight w:val="0"/>
                  <w:marTop w:val="0"/>
                  <w:marBottom w:val="0"/>
                  <w:divBdr>
                    <w:top w:val="none" w:sz="0" w:space="0" w:color="auto"/>
                    <w:left w:val="none" w:sz="0" w:space="0" w:color="auto"/>
                    <w:bottom w:val="none" w:sz="0" w:space="0" w:color="auto"/>
                    <w:right w:val="none" w:sz="0" w:space="0" w:color="auto"/>
                  </w:divBdr>
                </w:div>
              </w:divsChild>
            </w:div>
            <w:div w:id="1514222">
              <w:marLeft w:val="0"/>
              <w:marRight w:val="0"/>
              <w:marTop w:val="0"/>
              <w:marBottom w:val="0"/>
              <w:divBdr>
                <w:top w:val="none" w:sz="0" w:space="0" w:color="auto"/>
                <w:left w:val="none" w:sz="0" w:space="0" w:color="auto"/>
                <w:bottom w:val="none" w:sz="0" w:space="0" w:color="auto"/>
                <w:right w:val="none" w:sz="0" w:space="0" w:color="auto"/>
              </w:divBdr>
              <w:divsChild>
                <w:div w:id="1641223853">
                  <w:marLeft w:val="0"/>
                  <w:marRight w:val="0"/>
                  <w:marTop w:val="0"/>
                  <w:marBottom w:val="0"/>
                  <w:divBdr>
                    <w:top w:val="none" w:sz="0" w:space="0" w:color="auto"/>
                    <w:left w:val="none" w:sz="0" w:space="0" w:color="auto"/>
                    <w:bottom w:val="none" w:sz="0" w:space="0" w:color="auto"/>
                    <w:right w:val="none" w:sz="0" w:space="0" w:color="auto"/>
                  </w:divBdr>
                </w:div>
              </w:divsChild>
            </w:div>
            <w:div w:id="2146729606">
              <w:marLeft w:val="0"/>
              <w:marRight w:val="0"/>
              <w:marTop w:val="0"/>
              <w:marBottom w:val="0"/>
              <w:divBdr>
                <w:top w:val="none" w:sz="0" w:space="0" w:color="auto"/>
                <w:left w:val="none" w:sz="0" w:space="0" w:color="auto"/>
                <w:bottom w:val="none" w:sz="0" w:space="0" w:color="auto"/>
                <w:right w:val="none" w:sz="0" w:space="0" w:color="auto"/>
              </w:divBdr>
              <w:divsChild>
                <w:div w:id="889148809">
                  <w:marLeft w:val="0"/>
                  <w:marRight w:val="0"/>
                  <w:marTop w:val="0"/>
                  <w:marBottom w:val="0"/>
                  <w:divBdr>
                    <w:top w:val="none" w:sz="0" w:space="0" w:color="auto"/>
                    <w:left w:val="none" w:sz="0" w:space="0" w:color="auto"/>
                    <w:bottom w:val="none" w:sz="0" w:space="0" w:color="auto"/>
                    <w:right w:val="none" w:sz="0" w:space="0" w:color="auto"/>
                  </w:divBdr>
                </w:div>
              </w:divsChild>
            </w:div>
            <w:div w:id="1198153375">
              <w:marLeft w:val="0"/>
              <w:marRight w:val="0"/>
              <w:marTop w:val="0"/>
              <w:marBottom w:val="0"/>
              <w:divBdr>
                <w:top w:val="none" w:sz="0" w:space="0" w:color="auto"/>
                <w:left w:val="none" w:sz="0" w:space="0" w:color="auto"/>
                <w:bottom w:val="none" w:sz="0" w:space="0" w:color="auto"/>
                <w:right w:val="none" w:sz="0" w:space="0" w:color="auto"/>
              </w:divBdr>
              <w:divsChild>
                <w:div w:id="34429647">
                  <w:marLeft w:val="0"/>
                  <w:marRight w:val="0"/>
                  <w:marTop w:val="0"/>
                  <w:marBottom w:val="0"/>
                  <w:divBdr>
                    <w:top w:val="none" w:sz="0" w:space="0" w:color="auto"/>
                    <w:left w:val="none" w:sz="0" w:space="0" w:color="auto"/>
                    <w:bottom w:val="none" w:sz="0" w:space="0" w:color="auto"/>
                    <w:right w:val="none" w:sz="0" w:space="0" w:color="auto"/>
                  </w:divBdr>
                </w:div>
              </w:divsChild>
            </w:div>
            <w:div w:id="1839341085">
              <w:marLeft w:val="0"/>
              <w:marRight w:val="0"/>
              <w:marTop w:val="0"/>
              <w:marBottom w:val="0"/>
              <w:divBdr>
                <w:top w:val="none" w:sz="0" w:space="0" w:color="auto"/>
                <w:left w:val="none" w:sz="0" w:space="0" w:color="auto"/>
                <w:bottom w:val="none" w:sz="0" w:space="0" w:color="auto"/>
                <w:right w:val="none" w:sz="0" w:space="0" w:color="auto"/>
              </w:divBdr>
              <w:divsChild>
                <w:div w:id="668410622">
                  <w:marLeft w:val="0"/>
                  <w:marRight w:val="0"/>
                  <w:marTop w:val="0"/>
                  <w:marBottom w:val="0"/>
                  <w:divBdr>
                    <w:top w:val="none" w:sz="0" w:space="0" w:color="auto"/>
                    <w:left w:val="none" w:sz="0" w:space="0" w:color="auto"/>
                    <w:bottom w:val="none" w:sz="0" w:space="0" w:color="auto"/>
                    <w:right w:val="none" w:sz="0" w:space="0" w:color="auto"/>
                  </w:divBdr>
                </w:div>
              </w:divsChild>
            </w:div>
            <w:div w:id="1744377606">
              <w:marLeft w:val="0"/>
              <w:marRight w:val="0"/>
              <w:marTop w:val="0"/>
              <w:marBottom w:val="0"/>
              <w:divBdr>
                <w:top w:val="none" w:sz="0" w:space="0" w:color="auto"/>
                <w:left w:val="none" w:sz="0" w:space="0" w:color="auto"/>
                <w:bottom w:val="none" w:sz="0" w:space="0" w:color="auto"/>
                <w:right w:val="none" w:sz="0" w:space="0" w:color="auto"/>
              </w:divBdr>
              <w:divsChild>
                <w:div w:id="1303656858">
                  <w:marLeft w:val="0"/>
                  <w:marRight w:val="0"/>
                  <w:marTop w:val="0"/>
                  <w:marBottom w:val="0"/>
                  <w:divBdr>
                    <w:top w:val="none" w:sz="0" w:space="0" w:color="auto"/>
                    <w:left w:val="none" w:sz="0" w:space="0" w:color="auto"/>
                    <w:bottom w:val="none" w:sz="0" w:space="0" w:color="auto"/>
                    <w:right w:val="none" w:sz="0" w:space="0" w:color="auto"/>
                  </w:divBdr>
                </w:div>
              </w:divsChild>
            </w:div>
            <w:div w:id="456146411">
              <w:marLeft w:val="0"/>
              <w:marRight w:val="0"/>
              <w:marTop w:val="0"/>
              <w:marBottom w:val="0"/>
              <w:divBdr>
                <w:top w:val="none" w:sz="0" w:space="0" w:color="auto"/>
                <w:left w:val="none" w:sz="0" w:space="0" w:color="auto"/>
                <w:bottom w:val="none" w:sz="0" w:space="0" w:color="auto"/>
                <w:right w:val="none" w:sz="0" w:space="0" w:color="auto"/>
              </w:divBdr>
              <w:divsChild>
                <w:div w:id="1159275593">
                  <w:marLeft w:val="0"/>
                  <w:marRight w:val="0"/>
                  <w:marTop w:val="0"/>
                  <w:marBottom w:val="0"/>
                  <w:divBdr>
                    <w:top w:val="none" w:sz="0" w:space="0" w:color="auto"/>
                    <w:left w:val="none" w:sz="0" w:space="0" w:color="auto"/>
                    <w:bottom w:val="none" w:sz="0" w:space="0" w:color="auto"/>
                    <w:right w:val="none" w:sz="0" w:space="0" w:color="auto"/>
                  </w:divBdr>
                </w:div>
              </w:divsChild>
            </w:div>
            <w:div w:id="1698627769">
              <w:marLeft w:val="0"/>
              <w:marRight w:val="0"/>
              <w:marTop w:val="0"/>
              <w:marBottom w:val="0"/>
              <w:divBdr>
                <w:top w:val="none" w:sz="0" w:space="0" w:color="auto"/>
                <w:left w:val="none" w:sz="0" w:space="0" w:color="auto"/>
                <w:bottom w:val="none" w:sz="0" w:space="0" w:color="auto"/>
                <w:right w:val="none" w:sz="0" w:space="0" w:color="auto"/>
              </w:divBdr>
              <w:divsChild>
                <w:div w:id="1993756350">
                  <w:marLeft w:val="0"/>
                  <w:marRight w:val="0"/>
                  <w:marTop w:val="0"/>
                  <w:marBottom w:val="0"/>
                  <w:divBdr>
                    <w:top w:val="none" w:sz="0" w:space="0" w:color="auto"/>
                    <w:left w:val="none" w:sz="0" w:space="0" w:color="auto"/>
                    <w:bottom w:val="none" w:sz="0" w:space="0" w:color="auto"/>
                    <w:right w:val="none" w:sz="0" w:space="0" w:color="auto"/>
                  </w:divBdr>
                </w:div>
              </w:divsChild>
            </w:div>
            <w:div w:id="1696155745">
              <w:marLeft w:val="0"/>
              <w:marRight w:val="0"/>
              <w:marTop w:val="0"/>
              <w:marBottom w:val="0"/>
              <w:divBdr>
                <w:top w:val="none" w:sz="0" w:space="0" w:color="auto"/>
                <w:left w:val="none" w:sz="0" w:space="0" w:color="auto"/>
                <w:bottom w:val="none" w:sz="0" w:space="0" w:color="auto"/>
                <w:right w:val="none" w:sz="0" w:space="0" w:color="auto"/>
              </w:divBdr>
              <w:divsChild>
                <w:div w:id="1023240068">
                  <w:marLeft w:val="0"/>
                  <w:marRight w:val="0"/>
                  <w:marTop w:val="0"/>
                  <w:marBottom w:val="0"/>
                  <w:divBdr>
                    <w:top w:val="none" w:sz="0" w:space="0" w:color="auto"/>
                    <w:left w:val="none" w:sz="0" w:space="0" w:color="auto"/>
                    <w:bottom w:val="none" w:sz="0" w:space="0" w:color="auto"/>
                    <w:right w:val="none" w:sz="0" w:space="0" w:color="auto"/>
                  </w:divBdr>
                </w:div>
              </w:divsChild>
            </w:div>
            <w:div w:id="728845954">
              <w:marLeft w:val="0"/>
              <w:marRight w:val="0"/>
              <w:marTop w:val="0"/>
              <w:marBottom w:val="0"/>
              <w:divBdr>
                <w:top w:val="none" w:sz="0" w:space="0" w:color="auto"/>
                <w:left w:val="none" w:sz="0" w:space="0" w:color="auto"/>
                <w:bottom w:val="none" w:sz="0" w:space="0" w:color="auto"/>
                <w:right w:val="none" w:sz="0" w:space="0" w:color="auto"/>
              </w:divBdr>
              <w:divsChild>
                <w:div w:id="1053389686">
                  <w:marLeft w:val="0"/>
                  <w:marRight w:val="0"/>
                  <w:marTop w:val="0"/>
                  <w:marBottom w:val="0"/>
                  <w:divBdr>
                    <w:top w:val="none" w:sz="0" w:space="0" w:color="auto"/>
                    <w:left w:val="none" w:sz="0" w:space="0" w:color="auto"/>
                    <w:bottom w:val="none" w:sz="0" w:space="0" w:color="auto"/>
                    <w:right w:val="none" w:sz="0" w:space="0" w:color="auto"/>
                  </w:divBdr>
                </w:div>
              </w:divsChild>
            </w:div>
            <w:div w:id="1645426290">
              <w:marLeft w:val="0"/>
              <w:marRight w:val="0"/>
              <w:marTop w:val="0"/>
              <w:marBottom w:val="0"/>
              <w:divBdr>
                <w:top w:val="none" w:sz="0" w:space="0" w:color="auto"/>
                <w:left w:val="none" w:sz="0" w:space="0" w:color="auto"/>
                <w:bottom w:val="none" w:sz="0" w:space="0" w:color="auto"/>
                <w:right w:val="none" w:sz="0" w:space="0" w:color="auto"/>
              </w:divBdr>
              <w:divsChild>
                <w:div w:id="1685744253">
                  <w:marLeft w:val="0"/>
                  <w:marRight w:val="0"/>
                  <w:marTop w:val="0"/>
                  <w:marBottom w:val="0"/>
                  <w:divBdr>
                    <w:top w:val="none" w:sz="0" w:space="0" w:color="auto"/>
                    <w:left w:val="none" w:sz="0" w:space="0" w:color="auto"/>
                    <w:bottom w:val="none" w:sz="0" w:space="0" w:color="auto"/>
                    <w:right w:val="none" w:sz="0" w:space="0" w:color="auto"/>
                  </w:divBdr>
                </w:div>
              </w:divsChild>
            </w:div>
            <w:div w:id="2004895009">
              <w:marLeft w:val="0"/>
              <w:marRight w:val="0"/>
              <w:marTop w:val="0"/>
              <w:marBottom w:val="0"/>
              <w:divBdr>
                <w:top w:val="none" w:sz="0" w:space="0" w:color="auto"/>
                <w:left w:val="none" w:sz="0" w:space="0" w:color="auto"/>
                <w:bottom w:val="none" w:sz="0" w:space="0" w:color="auto"/>
                <w:right w:val="none" w:sz="0" w:space="0" w:color="auto"/>
              </w:divBdr>
              <w:divsChild>
                <w:div w:id="13110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7068">
          <w:marLeft w:val="0"/>
          <w:marRight w:val="0"/>
          <w:marTop w:val="0"/>
          <w:marBottom w:val="600"/>
          <w:divBdr>
            <w:top w:val="none" w:sz="0" w:space="0" w:color="auto"/>
            <w:left w:val="none" w:sz="0" w:space="0" w:color="auto"/>
            <w:bottom w:val="none" w:sz="0" w:space="0" w:color="auto"/>
            <w:right w:val="none" w:sz="0" w:space="0" w:color="auto"/>
          </w:divBdr>
        </w:div>
      </w:divsChild>
    </w:div>
    <w:div w:id="1090739434">
      <w:marLeft w:val="0"/>
      <w:marRight w:val="0"/>
      <w:marTop w:val="0"/>
      <w:marBottom w:val="0"/>
      <w:divBdr>
        <w:top w:val="none" w:sz="0" w:space="0" w:color="auto"/>
        <w:left w:val="none" w:sz="0" w:space="0" w:color="auto"/>
        <w:bottom w:val="none" w:sz="0" w:space="0" w:color="auto"/>
        <w:right w:val="none" w:sz="0" w:space="0" w:color="auto"/>
      </w:divBdr>
      <w:divsChild>
        <w:div w:id="632373125">
          <w:marLeft w:val="0"/>
          <w:marRight w:val="0"/>
          <w:marTop w:val="547"/>
          <w:marBottom w:val="0"/>
          <w:divBdr>
            <w:top w:val="none" w:sz="0" w:space="0" w:color="auto"/>
            <w:left w:val="none" w:sz="0" w:space="0" w:color="auto"/>
            <w:bottom w:val="none" w:sz="0" w:space="0" w:color="auto"/>
            <w:right w:val="none" w:sz="0" w:space="0" w:color="auto"/>
          </w:divBdr>
        </w:div>
        <w:div w:id="761755460">
          <w:marLeft w:val="0"/>
          <w:marRight w:val="0"/>
          <w:marTop w:val="0"/>
          <w:marBottom w:val="0"/>
          <w:divBdr>
            <w:top w:val="none" w:sz="0" w:space="0" w:color="auto"/>
            <w:left w:val="none" w:sz="0" w:space="0" w:color="auto"/>
            <w:bottom w:val="none" w:sz="0" w:space="0" w:color="auto"/>
            <w:right w:val="none" w:sz="0" w:space="0" w:color="auto"/>
          </w:divBdr>
          <w:divsChild>
            <w:div w:id="501896364">
              <w:marLeft w:val="0"/>
              <w:marRight w:val="0"/>
              <w:marTop w:val="0"/>
              <w:marBottom w:val="0"/>
              <w:divBdr>
                <w:top w:val="none" w:sz="0" w:space="0" w:color="auto"/>
                <w:left w:val="none" w:sz="0" w:space="0" w:color="auto"/>
                <w:bottom w:val="none" w:sz="0" w:space="0" w:color="auto"/>
                <w:right w:val="none" w:sz="0" w:space="0" w:color="auto"/>
              </w:divBdr>
              <w:divsChild>
                <w:div w:id="1890722372">
                  <w:marLeft w:val="0"/>
                  <w:marRight w:val="0"/>
                  <w:marTop w:val="0"/>
                  <w:marBottom w:val="0"/>
                  <w:divBdr>
                    <w:top w:val="none" w:sz="0" w:space="0" w:color="auto"/>
                    <w:left w:val="none" w:sz="0" w:space="0" w:color="auto"/>
                    <w:bottom w:val="none" w:sz="0" w:space="0" w:color="auto"/>
                    <w:right w:val="none" w:sz="0" w:space="0" w:color="auto"/>
                  </w:divBdr>
                </w:div>
              </w:divsChild>
            </w:div>
            <w:div w:id="962661157">
              <w:marLeft w:val="0"/>
              <w:marRight w:val="0"/>
              <w:marTop w:val="0"/>
              <w:marBottom w:val="0"/>
              <w:divBdr>
                <w:top w:val="none" w:sz="0" w:space="0" w:color="auto"/>
                <w:left w:val="none" w:sz="0" w:space="0" w:color="auto"/>
                <w:bottom w:val="none" w:sz="0" w:space="0" w:color="auto"/>
                <w:right w:val="none" w:sz="0" w:space="0" w:color="auto"/>
              </w:divBdr>
              <w:divsChild>
                <w:div w:id="1872763440">
                  <w:marLeft w:val="0"/>
                  <w:marRight w:val="0"/>
                  <w:marTop w:val="0"/>
                  <w:marBottom w:val="0"/>
                  <w:divBdr>
                    <w:top w:val="none" w:sz="0" w:space="0" w:color="auto"/>
                    <w:left w:val="none" w:sz="0" w:space="0" w:color="auto"/>
                    <w:bottom w:val="none" w:sz="0" w:space="0" w:color="auto"/>
                    <w:right w:val="none" w:sz="0" w:space="0" w:color="auto"/>
                  </w:divBdr>
                </w:div>
              </w:divsChild>
            </w:div>
            <w:div w:id="1593585174">
              <w:marLeft w:val="0"/>
              <w:marRight w:val="0"/>
              <w:marTop w:val="0"/>
              <w:marBottom w:val="0"/>
              <w:divBdr>
                <w:top w:val="none" w:sz="0" w:space="0" w:color="auto"/>
                <w:left w:val="none" w:sz="0" w:space="0" w:color="auto"/>
                <w:bottom w:val="none" w:sz="0" w:space="0" w:color="auto"/>
                <w:right w:val="none" w:sz="0" w:space="0" w:color="auto"/>
              </w:divBdr>
              <w:divsChild>
                <w:div w:id="289019574">
                  <w:marLeft w:val="0"/>
                  <w:marRight w:val="0"/>
                  <w:marTop w:val="0"/>
                  <w:marBottom w:val="0"/>
                  <w:divBdr>
                    <w:top w:val="none" w:sz="0" w:space="0" w:color="auto"/>
                    <w:left w:val="none" w:sz="0" w:space="0" w:color="auto"/>
                    <w:bottom w:val="none" w:sz="0" w:space="0" w:color="auto"/>
                    <w:right w:val="none" w:sz="0" w:space="0" w:color="auto"/>
                  </w:divBdr>
                </w:div>
              </w:divsChild>
            </w:div>
            <w:div w:id="91247982">
              <w:marLeft w:val="0"/>
              <w:marRight w:val="0"/>
              <w:marTop w:val="0"/>
              <w:marBottom w:val="0"/>
              <w:divBdr>
                <w:top w:val="none" w:sz="0" w:space="0" w:color="auto"/>
                <w:left w:val="none" w:sz="0" w:space="0" w:color="auto"/>
                <w:bottom w:val="none" w:sz="0" w:space="0" w:color="auto"/>
                <w:right w:val="none" w:sz="0" w:space="0" w:color="auto"/>
              </w:divBdr>
              <w:divsChild>
                <w:div w:id="4023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2985">
          <w:marLeft w:val="0"/>
          <w:marRight w:val="0"/>
          <w:marTop w:val="0"/>
          <w:marBottom w:val="600"/>
          <w:divBdr>
            <w:top w:val="none" w:sz="0" w:space="0" w:color="auto"/>
            <w:left w:val="none" w:sz="0" w:space="0" w:color="auto"/>
            <w:bottom w:val="none" w:sz="0" w:space="0" w:color="auto"/>
            <w:right w:val="none" w:sz="0" w:space="0" w:color="auto"/>
          </w:divBdr>
        </w:div>
      </w:divsChild>
    </w:div>
    <w:div w:id="1095323391">
      <w:marLeft w:val="0"/>
      <w:marRight w:val="0"/>
      <w:marTop w:val="0"/>
      <w:marBottom w:val="0"/>
      <w:divBdr>
        <w:top w:val="none" w:sz="0" w:space="0" w:color="auto"/>
        <w:left w:val="none" w:sz="0" w:space="0" w:color="auto"/>
        <w:bottom w:val="none" w:sz="0" w:space="0" w:color="auto"/>
        <w:right w:val="none" w:sz="0" w:space="0" w:color="auto"/>
      </w:divBdr>
      <w:divsChild>
        <w:div w:id="1934632241">
          <w:marLeft w:val="0"/>
          <w:marRight w:val="0"/>
          <w:marTop w:val="547"/>
          <w:marBottom w:val="0"/>
          <w:divBdr>
            <w:top w:val="none" w:sz="0" w:space="0" w:color="auto"/>
            <w:left w:val="none" w:sz="0" w:space="0" w:color="auto"/>
            <w:bottom w:val="none" w:sz="0" w:space="0" w:color="auto"/>
            <w:right w:val="none" w:sz="0" w:space="0" w:color="auto"/>
          </w:divBdr>
        </w:div>
        <w:div w:id="1398355236">
          <w:marLeft w:val="0"/>
          <w:marRight w:val="0"/>
          <w:marTop w:val="0"/>
          <w:marBottom w:val="0"/>
          <w:divBdr>
            <w:top w:val="none" w:sz="0" w:space="0" w:color="auto"/>
            <w:left w:val="none" w:sz="0" w:space="0" w:color="auto"/>
            <w:bottom w:val="none" w:sz="0" w:space="0" w:color="auto"/>
            <w:right w:val="none" w:sz="0" w:space="0" w:color="auto"/>
          </w:divBdr>
        </w:div>
        <w:div w:id="1027829839">
          <w:marLeft w:val="0"/>
          <w:marRight w:val="0"/>
          <w:marTop w:val="0"/>
          <w:marBottom w:val="600"/>
          <w:divBdr>
            <w:top w:val="none" w:sz="0" w:space="0" w:color="auto"/>
            <w:left w:val="none" w:sz="0" w:space="0" w:color="auto"/>
            <w:bottom w:val="none" w:sz="0" w:space="0" w:color="auto"/>
            <w:right w:val="none" w:sz="0" w:space="0" w:color="auto"/>
          </w:divBdr>
        </w:div>
      </w:divsChild>
    </w:div>
    <w:div w:id="1130247434">
      <w:marLeft w:val="0"/>
      <w:marRight w:val="0"/>
      <w:marTop w:val="0"/>
      <w:marBottom w:val="0"/>
      <w:divBdr>
        <w:top w:val="none" w:sz="0" w:space="0" w:color="auto"/>
        <w:left w:val="none" w:sz="0" w:space="0" w:color="auto"/>
        <w:bottom w:val="none" w:sz="0" w:space="0" w:color="auto"/>
        <w:right w:val="none" w:sz="0" w:space="0" w:color="auto"/>
      </w:divBdr>
      <w:divsChild>
        <w:div w:id="959804506">
          <w:marLeft w:val="0"/>
          <w:marRight w:val="0"/>
          <w:marTop w:val="547"/>
          <w:marBottom w:val="0"/>
          <w:divBdr>
            <w:top w:val="none" w:sz="0" w:space="0" w:color="auto"/>
            <w:left w:val="none" w:sz="0" w:space="0" w:color="auto"/>
            <w:bottom w:val="none" w:sz="0" w:space="0" w:color="auto"/>
            <w:right w:val="none" w:sz="0" w:space="0" w:color="auto"/>
          </w:divBdr>
        </w:div>
        <w:div w:id="1547057965">
          <w:marLeft w:val="0"/>
          <w:marRight w:val="0"/>
          <w:marTop w:val="0"/>
          <w:marBottom w:val="0"/>
          <w:divBdr>
            <w:top w:val="none" w:sz="0" w:space="0" w:color="auto"/>
            <w:left w:val="none" w:sz="0" w:space="0" w:color="auto"/>
            <w:bottom w:val="none" w:sz="0" w:space="0" w:color="auto"/>
            <w:right w:val="none" w:sz="0" w:space="0" w:color="auto"/>
          </w:divBdr>
        </w:div>
        <w:div w:id="1294872761">
          <w:marLeft w:val="0"/>
          <w:marRight w:val="0"/>
          <w:marTop w:val="0"/>
          <w:marBottom w:val="600"/>
          <w:divBdr>
            <w:top w:val="none" w:sz="0" w:space="0" w:color="auto"/>
            <w:left w:val="none" w:sz="0" w:space="0" w:color="auto"/>
            <w:bottom w:val="none" w:sz="0" w:space="0" w:color="auto"/>
            <w:right w:val="none" w:sz="0" w:space="0" w:color="auto"/>
          </w:divBdr>
        </w:div>
      </w:divsChild>
    </w:div>
    <w:div w:id="1161651960">
      <w:marLeft w:val="0"/>
      <w:marRight w:val="0"/>
      <w:marTop w:val="0"/>
      <w:marBottom w:val="0"/>
      <w:divBdr>
        <w:top w:val="none" w:sz="0" w:space="0" w:color="auto"/>
        <w:left w:val="none" w:sz="0" w:space="0" w:color="auto"/>
        <w:bottom w:val="none" w:sz="0" w:space="0" w:color="auto"/>
        <w:right w:val="none" w:sz="0" w:space="0" w:color="auto"/>
      </w:divBdr>
      <w:divsChild>
        <w:div w:id="700323924">
          <w:marLeft w:val="0"/>
          <w:marRight w:val="0"/>
          <w:marTop w:val="547"/>
          <w:marBottom w:val="0"/>
          <w:divBdr>
            <w:top w:val="none" w:sz="0" w:space="0" w:color="auto"/>
            <w:left w:val="none" w:sz="0" w:space="0" w:color="auto"/>
            <w:bottom w:val="none" w:sz="0" w:space="0" w:color="auto"/>
            <w:right w:val="none" w:sz="0" w:space="0" w:color="auto"/>
          </w:divBdr>
        </w:div>
        <w:div w:id="1499350423">
          <w:marLeft w:val="0"/>
          <w:marRight w:val="0"/>
          <w:marTop w:val="0"/>
          <w:marBottom w:val="0"/>
          <w:divBdr>
            <w:top w:val="none" w:sz="0" w:space="0" w:color="auto"/>
            <w:left w:val="none" w:sz="0" w:space="0" w:color="auto"/>
            <w:bottom w:val="none" w:sz="0" w:space="0" w:color="auto"/>
            <w:right w:val="none" w:sz="0" w:space="0" w:color="auto"/>
          </w:divBdr>
          <w:divsChild>
            <w:div w:id="2030252207">
              <w:marLeft w:val="0"/>
              <w:marRight w:val="0"/>
              <w:marTop w:val="0"/>
              <w:marBottom w:val="0"/>
              <w:divBdr>
                <w:top w:val="none" w:sz="0" w:space="0" w:color="auto"/>
                <w:left w:val="none" w:sz="0" w:space="0" w:color="auto"/>
                <w:bottom w:val="none" w:sz="0" w:space="0" w:color="auto"/>
                <w:right w:val="none" w:sz="0" w:space="0" w:color="auto"/>
              </w:divBdr>
              <w:divsChild>
                <w:div w:id="1667509788">
                  <w:marLeft w:val="0"/>
                  <w:marRight w:val="0"/>
                  <w:marTop w:val="0"/>
                  <w:marBottom w:val="0"/>
                  <w:divBdr>
                    <w:top w:val="none" w:sz="0" w:space="0" w:color="auto"/>
                    <w:left w:val="none" w:sz="0" w:space="0" w:color="auto"/>
                    <w:bottom w:val="none" w:sz="0" w:space="0" w:color="auto"/>
                    <w:right w:val="none" w:sz="0" w:space="0" w:color="auto"/>
                  </w:divBdr>
                </w:div>
              </w:divsChild>
            </w:div>
            <w:div w:id="69811699">
              <w:marLeft w:val="0"/>
              <w:marRight w:val="0"/>
              <w:marTop w:val="0"/>
              <w:marBottom w:val="0"/>
              <w:divBdr>
                <w:top w:val="none" w:sz="0" w:space="0" w:color="auto"/>
                <w:left w:val="none" w:sz="0" w:space="0" w:color="auto"/>
                <w:bottom w:val="none" w:sz="0" w:space="0" w:color="auto"/>
                <w:right w:val="none" w:sz="0" w:space="0" w:color="auto"/>
              </w:divBdr>
              <w:divsChild>
                <w:div w:id="1032683329">
                  <w:marLeft w:val="0"/>
                  <w:marRight w:val="0"/>
                  <w:marTop w:val="0"/>
                  <w:marBottom w:val="0"/>
                  <w:divBdr>
                    <w:top w:val="none" w:sz="0" w:space="0" w:color="auto"/>
                    <w:left w:val="none" w:sz="0" w:space="0" w:color="auto"/>
                    <w:bottom w:val="none" w:sz="0" w:space="0" w:color="auto"/>
                    <w:right w:val="none" w:sz="0" w:space="0" w:color="auto"/>
                  </w:divBdr>
                </w:div>
              </w:divsChild>
            </w:div>
            <w:div w:id="1204364385">
              <w:marLeft w:val="0"/>
              <w:marRight w:val="0"/>
              <w:marTop w:val="0"/>
              <w:marBottom w:val="0"/>
              <w:divBdr>
                <w:top w:val="none" w:sz="0" w:space="0" w:color="auto"/>
                <w:left w:val="none" w:sz="0" w:space="0" w:color="auto"/>
                <w:bottom w:val="none" w:sz="0" w:space="0" w:color="auto"/>
                <w:right w:val="none" w:sz="0" w:space="0" w:color="auto"/>
              </w:divBdr>
              <w:divsChild>
                <w:div w:id="695694403">
                  <w:marLeft w:val="0"/>
                  <w:marRight w:val="0"/>
                  <w:marTop w:val="0"/>
                  <w:marBottom w:val="0"/>
                  <w:divBdr>
                    <w:top w:val="none" w:sz="0" w:space="0" w:color="auto"/>
                    <w:left w:val="none" w:sz="0" w:space="0" w:color="auto"/>
                    <w:bottom w:val="none" w:sz="0" w:space="0" w:color="auto"/>
                    <w:right w:val="none" w:sz="0" w:space="0" w:color="auto"/>
                  </w:divBdr>
                </w:div>
              </w:divsChild>
            </w:div>
            <w:div w:id="679818212">
              <w:marLeft w:val="0"/>
              <w:marRight w:val="0"/>
              <w:marTop w:val="0"/>
              <w:marBottom w:val="0"/>
              <w:divBdr>
                <w:top w:val="none" w:sz="0" w:space="0" w:color="auto"/>
                <w:left w:val="none" w:sz="0" w:space="0" w:color="auto"/>
                <w:bottom w:val="none" w:sz="0" w:space="0" w:color="auto"/>
                <w:right w:val="none" w:sz="0" w:space="0" w:color="auto"/>
              </w:divBdr>
              <w:divsChild>
                <w:div w:id="1082023683">
                  <w:marLeft w:val="0"/>
                  <w:marRight w:val="0"/>
                  <w:marTop w:val="0"/>
                  <w:marBottom w:val="0"/>
                  <w:divBdr>
                    <w:top w:val="none" w:sz="0" w:space="0" w:color="auto"/>
                    <w:left w:val="none" w:sz="0" w:space="0" w:color="auto"/>
                    <w:bottom w:val="none" w:sz="0" w:space="0" w:color="auto"/>
                    <w:right w:val="none" w:sz="0" w:space="0" w:color="auto"/>
                  </w:divBdr>
                </w:div>
              </w:divsChild>
            </w:div>
            <w:div w:id="651518187">
              <w:marLeft w:val="0"/>
              <w:marRight w:val="0"/>
              <w:marTop w:val="0"/>
              <w:marBottom w:val="0"/>
              <w:divBdr>
                <w:top w:val="none" w:sz="0" w:space="0" w:color="auto"/>
                <w:left w:val="none" w:sz="0" w:space="0" w:color="auto"/>
                <w:bottom w:val="none" w:sz="0" w:space="0" w:color="auto"/>
                <w:right w:val="none" w:sz="0" w:space="0" w:color="auto"/>
              </w:divBdr>
              <w:divsChild>
                <w:div w:id="1194928919">
                  <w:marLeft w:val="0"/>
                  <w:marRight w:val="0"/>
                  <w:marTop w:val="0"/>
                  <w:marBottom w:val="0"/>
                  <w:divBdr>
                    <w:top w:val="none" w:sz="0" w:space="0" w:color="auto"/>
                    <w:left w:val="none" w:sz="0" w:space="0" w:color="auto"/>
                    <w:bottom w:val="none" w:sz="0" w:space="0" w:color="auto"/>
                    <w:right w:val="none" w:sz="0" w:space="0" w:color="auto"/>
                  </w:divBdr>
                </w:div>
              </w:divsChild>
            </w:div>
            <w:div w:id="241840497">
              <w:marLeft w:val="0"/>
              <w:marRight w:val="0"/>
              <w:marTop w:val="0"/>
              <w:marBottom w:val="0"/>
              <w:divBdr>
                <w:top w:val="none" w:sz="0" w:space="0" w:color="auto"/>
                <w:left w:val="none" w:sz="0" w:space="0" w:color="auto"/>
                <w:bottom w:val="none" w:sz="0" w:space="0" w:color="auto"/>
                <w:right w:val="none" w:sz="0" w:space="0" w:color="auto"/>
              </w:divBdr>
              <w:divsChild>
                <w:div w:id="1117026229">
                  <w:marLeft w:val="0"/>
                  <w:marRight w:val="0"/>
                  <w:marTop w:val="0"/>
                  <w:marBottom w:val="0"/>
                  <w:divBdr>
                    <w:top w:val="none" w:sz="0" w:space="0" w:color="auto"/>
                    <w:left w:val="none" w:sz="0" w:space="0" w:color="auto"/>
                    <w:bottom w:val="none" w:sz="0" w:space="0" w:color="auto"/>
                    <w:right w:val="none" w:sz="0" w:space="0" w:color="auto"/>
                  </w:divBdr>
                </w:div>
              </w:divsChild>
            </w:div>
            <w:div w:id="2081053197">
              <w:marLeft w:val="0"/>
              <w:marRight w:val="0"/>
              <w:marTop w:val="0"/>
              <w:marBottom w:val="0"/>
              <w:divBdr>
                <w:top w:val="none" w:sz="0" w:space="0" w:color="auto"/>
                <w:left w:val="none" w:sz="0" w:space="0" w:color="auto"/>
                <w:bottom w:val="none" w:sz="0" w:space="0" w:color="auto"/>
                <w:right w:val="none" w:sz="0" w:space="0" w:color="auto"/>
              </w:divBdr>
              <w:divsChild>
                <w:div w:id="17012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398">
          <w:marLeft w:val="0"/>
          <w:marRight w:val="0"/>
          <w:marTop w:val="0"/>
          <w:marBottom w:val="600"/>
          <w:divBdr>
            <w:top w:val="none" w:sz="0" w:space="0" w:color="auto"/>
            <w:left w:val="none" w:sz="0" w:space="0" w:color="auto"/>
            <w:bottom w:val="none" w:sz="0" w:space="0" w:color="auto"/>
            <w:right w:val="none" w:sz="0" w:space="0" w:color="auto"/>
          </w:divBdr>
        </w:div>
      </w:divsChild>
    </w:div>
    <w:div w:id="1211382604">
      <w:marLeft w:val="0"/>
      <w:marRight w:val="0"/>
      <w:marTop w:val="0"/>
      <w:marBottom w:val="0"/>
      <w:divBdr>
        <w:top w:val="none" w:sz="0" w:space="0" w:color="auto"/>
        <w:left w:val="none" w:sz="0" w:space="0" w:color="auto"/>
        <w:bottom w:val="none" w:sz="0" w:space="0" w:color="auto"/>
        <w:right w:val="none" w:sz="0" w:space="0" w:color="auto"/>
      </w:divBdr>
      <w:divsChild>
        <w:div w:id="1074354860">
          <w:marLeft w:val="0"/>
          <w:marRight w:val="0"/>
          <w:marTop w:val="547"/>
          <w:marBottom w:val="0"/>
          <w:divBdr>
            <w:top w:val="none" w:sz="0" w:space="0" w:color="auto"/>
            <w:left w:val="none" w:sz="0" w:space="0" w:color="auto"/>
            <w:bottom w:val="none" w:sz="0" w:space="0" w:color="auto"/>
            <w:right w:val="none" w:sz="0" w:space="0" w:color="auto"/>
          </w:divBdr>
        </w:div>
        <w:div w:id="954748984">
          <w:marLeft w:val="0"/>
          <w:marRight w:val="0"/>
          <w:marTop w:val="0"/>
          <w:marBottom w:val="0"/>
          <w:divBdr>
            <w:top w:val="none" w:sz="0" w:space="0" w:color="auto"/>
            <w:left w:val="none" w:sz="0" w:space="0" w:color="auto"/>
            <w:bottom w:val="none" w:sz="0" w:space="0" w:color="auto"/>
            <w:right w:val="none" w:sz="0" w:space="0" w:color="auto"/>
          </w:divBdr>
        </w:div>
        <w:div w:id="393312913">
          <w:marLeft w:val="0"/>
          <w:marRight w:val="0"/>
          <w:marTop w:val="0"/>
          <w:marBottom w:val="600"/>
          <w:divBdr>
            <w:top w:val="none" w:sz="0" w:space="0" w:color="auto"/>
            <w:left w:val="none" w:sz="0" w:space="0" w:color="auto"/>
            <w:bottom w:val="none" w:sz="0" w:space="0" w:color="auto"/>
            <w:right w:val="none" w:sz="0" w:space="0" w:color="auto"/>
          </w:divBdr>
        </w:div>
      </w:divsChild>
    </w:div>
    <w:div w:id="1218317093">
      <w:marLeft w:val="0"/>
      <w:marRight w:val="0"/>
      <w:marTop w:val="0"/>
      <w:marBottom w:val="0"/>
      <w:divBdr>
        <w:top w:val="none" w:sz="0" w:space="0" w:color="auto"/>
        <w:left w:val="none" w:sz="0" w:space="0" w:color="auto"/>
        <w:bottom w:val="none" w:sz="0" w:space="0" w:color="auto"/>
        <w:right w:val="none" w:sz="0" w:space="0" w:color="auto"/>
      </w:divBdr>
      <w:divsChild>
        <w:div w:id="554466731">
          <w:marLeft w:val="0"/>
          <w:marRight w:val="0"/>
          <w:marTop w:val="547"/>
          <w:marBottom w:val="0"/>
          <w:divBdr>
            <w:top w:val="none" w:sz="0" w:space="0" w:color="auto"/>
            <w:left w:val="none" w:sz="0" w:space="0" w:color="auto"/>
            <w:bottom w:val="none" w:sz="0" w:space="0" w:color="auto"/>
            <w:right w:val="none" w:sz="0" w:space="0" w:color="auto"/>
          </w:divBdr>
        </w:div>
        <w:div w:id="955067545">
          <w:marLeft w:val="0"/>
          <w:marRight w:val="0"/>
          <w:marTop w:val="0"/>
          <w:marBottom w:val="0"/>
          <w:divBdr>
            <w:top w:val="none" w:sz="0" w:space="0" w:color="auto"/>
            <w:left w:val="none" w:sz="0" w:space="0" w:color="auto"/>
            <w:bottom w:val="none" w:sz="0" w:space="0" w:color="auto"/>
            <w:right w:val="none" w:sz="0" w:space="0" w:color="auto"/>
          </w:divBdr>
        </w:div>
        <w:div w:id="1981029803">
          <w:marLeft w:val="0"/>
          <w:marRight w:val="0"/>
          <w:marTop w:val="0"/>
          <w:marBottom w:val="600"/>
          <w:divBdr>
            <w:top w:val="none" w:sz="0" w:space="0" w:color="auto"/>
            <w:left w:val="none" w:sz="0" w:space="0" w:color="auto"/>
            <w:bottom w:val="none" w:sz="0" w:space="0" w:color="auto"/>
            <w:right w:val="none" w:sz="0" w:space="0" w:color="auto"/>
          </w:divBdr>
        </w:div>
      </w:divsChild>
    </w:div>
    <w:div w:id="1222256935">
      <w:marLeft w:val="0"/>
      <w:marRight w:val="0"/>
      <w:marTop w:val="0"/>
      <w:marBottom w:val="0"/>
      <w:divBdr>
        <w:top w:val="none" w:sz="0" w:space="0" w:color="auto"/>
        <w:left w:val="none" w:sz="0" w:space="0" w:color="auto"/>
        <w:bottom w:val="none" w:sz="0" w:space="0" w:color="auto"/>
        <w:right w:val="none" w:sz="0" w:space="0" w:color="auto"/>
      </w:divBdr>
      <w:divsChild>
        <w:div w:id="1387097633">
          <w:marLeft w:val="0"/>
          <w:marRight w:val="0"/>
          <w:marTop w:val="547"/>
          <w:marBottom w:val="0"/>
          <w:divBdr>
            <w:top w:val="none" w:sz="0" w:space="0" w:color="auto"/>
            <w:left w:val="none" w:sz="0" w:space="0" w:color="auto"/>
            <w:bottom w:val="none" w:sz="0" w:space="0" w:color="auto"/>
            <w:right w:val="none" w:sz="0" w:space="0" w:color="auto"/>
          </w:divBdr>
        </w:div>
        <w:div w:id="1838962540">
          <w:marLeft w:val="0"/>
          <w:marRight w:val="0"/>
          <w:marTop w:val="0"/>
          <w:marBottom w:val="0"/>
          <w:divBdr>
            <w:top w:val="none" w:sz="0" w:space="0" w:color="auto"/>
            <w:left w:val="none" w:sz="0" w:space="0" w:color="auto"/>
            <w:bottom w:val="none" w:sz="0" w:space="0" w:color="auto"/>
            <w:right w:val="none" w:sz="0" w:space="0" w:color="auto"/>
          </w:divBdr>
        </w:div>
        <w:div w:id="1775858047">
          <w:marLeft w:val="0"/>
          <w:marRight w:val="0"/>
          <w:marTop w:val="0"/>
          <w:marBottom w:val="600"/>
          <w:divBdr>
            <w:top w:val="none" w:sz="0" w:space="0" w:color="auto"/>
            <w:left w:val="none" w:sz="0" w:space="0" w:color="auto"/>
            <w:bottom w:val="none" w:sz="0" w:space="0" w:color="auto"/>
            <w:right w:val="none" w:sz="0" w:space="0" w:color="auto"/>
          </w:divBdr>
        </w:div>
      </w:divsChild>
    </w:div>
    <w:div w:id="1230964286">
      <w:marLeft w:val="0"/>
      <w:marRight w:val="0"/>
      <w:marTop w:val="0"/>
      <w:marBottom w:val="0"/>
      <w:divBdr>
        <w:top w:val="none" w:sz="0" w:space="0" w:color="auto"/>
        <w:left w:val="none" w:sz="0" w:space="0" w:color="auto"/>
        <w:bottom w:val="none" w:sz="0" w:space="0" w:color="auto"/>
        <w:right w:val="none" w:sz="0" w:space="0" w:color="auto"/>
      </w:divBdr>
      <w:divsChild>
        <w:div w:id="1188059750">
          <w:marLeft w:val="0"/>
          <w:marRight w:val="0"/>
          <w:marTop w:val="547"/>
          <w:marBottom w:val="0"/>
          <w:divBdr>
            <w:top w:val="none" w:sz="0" w:space="0" w:color="auto"/>
            <w:left w:val="none" w:sz="0" w:space="0" w:color="auto"/>
            <w:bottom w:val="none" w:sz="0" w:space="0" w:color="auto"/>
            <w:right w:val="none" w:sz="0" w:space="0" w:color="auto"/>
          </w:divBdr>
        </w:div>
        <w:div w:id="642933014">
          <w:marLeft w:val="0"/>
          <w:marRight w:val="0"/>
          <w:marTop w:val="0"/>
          <w:marBottom w:val="0"/>
          <w:divBdr>
            <w:top w:val="none" w:sz="0" w:space="0" w:color="auto"/>
            <w:left w:val="none" w:sz="0" w:space="0" w:color="auto"/>
            <w:bottom w:val="none" w:sz="0" w:space="0" w:color="auto"/>
            <w:right w:val="none" w:sz="0" w:space="0" w:color="auto"/>
          </w:divBdr>
        </w:div>
        <w:div w:id="556891046">
          <w:marLeft w:val="0"/>
          <w:marRight w:val="0"/>
          <w:marTop w:val="0"/>
          <w:marBottom w:val="600"/>
          <w:divBdr>
            <w:top w:val="none" w:sz="0" w:space="0" w:color="auto"/>
            <w:left w:val="none" w:sz="0" w:space="0" w:color="auto"/>
            <w:bottom w:val="none" w:sz="0" w:space="0" w:color="auto"/>
            <w:right w:val="none" w:sz="0" w:space="0" w:color="auto"/>
          </w:divBdr>
        </w:div>
      </w:divsChild>
    </w:div>
    <w:div w:id="1242641599">
      <w:marLeft w:val="0"/>
      <w:marRight w:val="0"/>
      <w:marTop w:val="0"/>
      <w:marBottom w:val="0"/>
      <w:divBdr>
        <w:top w:val="none" w:sz="0" w:space="0" w:color="auto"/>
        <w:left w:val="none" w:sz="0" w:space="0" w:color="auto"/>
        <w:bottom w:val="none" w:sz="0" w:space="0" w:color="auto"/>
        <w:right w:val="none" w:sz="0" w:space="0" w:color="auto"/>
      </w:divBdr>
      <w:divsChild>
        <w:div w:id="1824545806">
          <w:marLeft w:val="0"/>
          <w:marRight w:val="0"/>
          <w:marTop w:val="547"/>
          <w:marBottom w:val="0"/>
          <w:divBdr>
            <w:top w:val="none" w:sz="0" w:space="0" w:color="auto"/>
            <w:left w:val="none" w:sz="0" w:space="0" w:color="auto"/>
            <w:bottom w:val="none" w:sz="0" w:space="0" w:color="auto"/>
            <w:right w:val="none" w:sz="0" w:space="0" w:color="auto"/>
          </w:divBdr>
        </w:div>
        <w:div w:id="1883203901">
          <w:marLeft w:val="0"/>
          <w:marRight w:val="0"/>
          <w:marTop w:val="0"/>
          <w:marBottom w:val="0"/>
          <w:divBdr>
            <w:top w:val="none" w:sz="0" w:space="0" w:color="auto"/>
            <w:left w:val="none" w:sz="0" w:space="0" w:color="auto"/>
            <w:bottom w:val="none" w:sz="0" w:space="0" w:color="auto"/>
            <w:right w:val="none" w:sz="0" w:space="0" w:color="auto"/>
          </w:divBdr>
        </w:div>
        <w:div w:id="2003966873">
          <w:marLeft w:val="0"/>
          <w:marRight w:val="0"/>
          <w:marTop w:val="0"/>
          <w:marBottom w:val="600"/>
          <w:divBdr>
            <w:top w:val="none" w:sz="0" w:space="0" w:color="auto"/>
            <w:left w:val="none" w:sz="0" w:space="0" w:color="auto"/>
            <w:bottom w:val="none" w:sz="0" w:space="0" w:color="auto"/>
            <w:right w:val="none" w:sz="0" w:space="0" w:color="auto"/>
          </w:divBdr>
        </w:div>
      </w:divsChild>
    </w:div>
    <w:div w:id="1256480988">
      <w:marLeft w:val="0"/>
      <w:marRight w:val="0"/>
      <w:marTop w:val="0"/>
      <w:marBottom w:val="0"/>
      <w:divBdr>
        <w:top w:val="none" w:sz="0" w:space="0" w:color="auto"/>
        <w:left w:val="none" w:sz="0" w:space="0" w:color="auto"/>
        <w:bottom w:val="none" w:sz="0" w:space="0" w:color="auto"/>
        <w:right w:val="none" w:sz="0" w:space="0" w:color="auto"/>
      </w:divBdr>
      <w:divsChild>
        <w:div w:id="1908416482">
          <w:marLeft w:val="0"/>
          <w:marRight w:val="0"/>
          <w:marTop w:val="547"/>
          <w:marBottom w:val="0"/>
          <w:divBdr>
            <w:top w:val="none" w:sz="0" w:space="0" w:color="auto"/>
            <w:left w:val="none" w:sz="0" w:space="0" w:color="auto"/>
            <w:bottom w:val="none" w:sz="0" w:space="0" w:color="auto"/>
            <w:right w:val="none" w:sz="0" w:space="0" w:color="auto"/>
          </w:divBdr>
        </w:div>
        <w:div w:id="891773412">
          <w:marLeft w:val="0"/>
          <w:marRight w:val="0"/>
          <w:marTop w:val="0"/>
          <w:marBottom w:val="0"/>
          <w:divBdr>
            <w:top w:val="none" w:sz="0" w:space="0" w:color="auto"/>
            <w:left w:val="none" w:sz="0" w:space="0" w:color="auto"/>
            <w:bottom w:val="none" w:sz="0" w:space="0" w:color="auto"/>
            <w:right w:val="none" w:sz="0" w:space="0" w:color="auto"/>
          </w:divBdr>
        </w:div>
        <w:div w:id="390270502">
          <w:marLeft w:val="0"/>
          <w:marRight w:val="0"/>
          <w:marTop w:val="0"/>
          <w:marBottom w:val="600"/>
          <w:divBdr>
            <w:top w:val="none" w:sz="0" w:space="0" w:color="auto"/>
            <w:left w:val="none" w:sz="0" w:space="0" w:color="auto"/>
            <w:bottom w:val="none" w:sz="0" w:space="0" w:color="auto"/>
            <w:right w:val="none" w:sz="0" w:space="0" w:color="auto"/>
          </w:divBdr>
        </w:div>
      </w:divsChild>
    </w:div>
    <w:div w:id="1268273383">
      <w:marLeft w:val="0"/>
      <w:marRight w:val="0"/>
      <w:marTop w:val="0"/>
      <w:marBottom w:val="0"/>
      <w:divBdr>
        <w:top w:val="none" w:sz="0" w:space="0" w:color="auto"/>
        <w:left w:val="none" w:sz="0" w:space="0" w:color="auto"/>
        <w:bottom w:val="none" w:sz="0" w:space="0" w:color="auto"/>
        <w:right w:val="none" w:sz="0" w:space="0" w:color="auto"/>
      </w:divBdr>
      <w:divsChild>
        <w:div w:id="456145544">
          <w:marLeft w:val="0"/>
          <w:marRight w:val="0"/>
          <w:marTop w:val="547"/>
          <w:marBottom w:val="0"/>
          <w:divBdr>
            <w:top w:val="none" w:sz="0" w:space="0" w:color="auto"/>
            <w:left w:val="none" w:sz="0" w:space="0" w:color="auto"/>
            <w:bottom w:val="none" w:sz="0" w:space="0" w:color="auto"/>
            <w:right w:val="none" w:sz="0" w:space="0" w:color="auto"/>
          </w:divBdr>
        </w:div>
        <w:div w:id="420297667">
          <w:marLeft w:val="0"/>
          <w:marRight w:val="0"/>
          <w:marTop w:val="0"/>
          <w:marBottom w:val="0"/>
          <w:divBdr>
            <w:top w:val="none" w:sz="0" w:space="0" w:color="auto"/>
            <w:left w:val="none" w:sz="0" w:space="0" w:color="auto"/>
            <w:bottom w:val="none" w:sz="0" w:space="0" w:color="auto"/>
            <w:right w:val="none" w:sz="0" w:space="0" w:color="auto"/>
          </w:divBdr>
        </w:div>
        <w:div w:id="1260137203">
          <w:marLeft w:val="0"/>
          <w:marRight w:val="0"/>
          <w:marTop w:val="0"/>
          <w:marBottom w:val="600"/>
          <w:divBdr>
            <w:top w:val="none" w:sz="0" w:space="0" w:color="auto"/>
            <w:left w:val="none" w:sz="0" w:space="0" w:color="auto"/>
            <w:bottom w:val="none" w:sz="0" w:space="0" w:color="auto"/>
            <w:right w:val="none" w:sz="0" w:space="0" w:color="auto"/>
          </w:divBdr>
        </w:div>
      </w:divsChild>
    </w:div>
    <w:div w:id="1340934226">
      <w:marLeft w:val="0"/>
      <w:marRight w:val="0"/>
      <w:marTop w:val="0"/>
      <w:marBottom w:val="0"/>
      <w:divBdr>
        <w:top w:val="none" w:sz="0" w:space="0" w:color="auto"/>
        <w:left w:val="none" w:sz="0" w:space="0" w:color="auto"/>
        <w:bottom w:val="none" w:sz="0" w:space="0" w:color="auto"/>
        <w:right w:val="none" w:sz="0" w:space="0" w:color="auto"/>
      </w:divBdr>
      <w:divsChild>
        <w:div w:id="1143935978">
          <w:marLeft w:val="0"/>
          <w:marRight w:val="0"/>
          <w:marTop w:val="547"/>
          <w:marBottom w:val="0"/>
          <w:divBdr>
            <w:top w:val="none" w:sz="0" w:space="0" w:color="auto"/>
            <w:left w:val="none" w:sz="0" w:space="0" w:color="auto"/>
            <w:bottom w:val="none" w:sz="0" w:space="0" w:color="auto"/>
            <w:right w:val="none" w:sz="0" w:space="0" w:color="auto"/>
          </w:divBdr>
        </w:div>
        <w:div w:id="1723676376">
          <w:marLeft w:val="0"/>
          <w:marRight w:val="0"/>
          <w:marTop w:val="0"/>
          <w:marBottom w:val="0"/>
          <w:divBdr>
            <w:top w:val="none" w:sz="0" w:space="0" w:color="auto"/>
            <w:left w:val="none" w:sz="0" w:space="0" w:color="auto"/>
            <w:bottom w:val="none" w:sz="0" w:space="0" w:color="auto"/>
            <w:right w:val="none" w:sz="0" w:space="0" w:color="auto"/>
          </w:divBdr>
          <w:divsChild>
            <w:div w:id="1160924981">
              <w:marLeft w:val="0"/>
              <w:marRight w:val="0"/>
              <w:marTop w:val="0"/>
              <w:marBottom w:val="0"/>
              <w:divBdr>
                <w:top w:val="none" w:sz="0" w:space="0" w:color="auto"/>
                <w:left w:val="none" w:sz="0" w:space="0" w:color="auto"/>
                <w:bottom w:val="none" w:sz="0" w:space="0" w:color="auto"/>
                <w:right w:val="none" w:sz="0" w:space="0" w:color="auto"/>
              </w:divBdr>
              <w:divsChild>
                <w:div w:id="271518839">
                  <w:marLeft w:val="0"/>
                  <w:marRight w:val="0"/>
                  <w:marTop w:val="0"/>
                  <w:marBottom w:val="0"/>
                  <w:divBdr>
                    <w:top w:val="none" w:sz="0" w:space="0" w:color="auto"/>
                    <w:left w:val="none" w:sz="0" w:space="0" w:color="auto"/>
                    <w:bottom w:val="none" w:sz="0" w:space="0" w:color="auto"/>
                    <w:right w:val="none" w:sz="0" w:space="0" w:color="auto"/>
                  </w:divBdr>
                </w:div>
              </w:divsChild>
            </w:div>
            <w:div w:id="67575280">
              <w:marLeft w:val="0"/>
              <w:marRight w:val="0"/>
              <w:marTop w:val="0"/>
              <w:marBottom w:val="0"/>
              <w:divBdr>
                <w:top w:val="none" w:sz="0" w:space="0" w:color="auto"/>
                <w:left w:val="none" w:sz="0" w:space="0" w:color="auto"/>
                <w:bottom w:val="none" w:sz="0" w:space="0" w:color="auto"/>
                <w:right w:val="none" w:sz="0" w:space="0" w:color="auto"/>
              </w:divBdr>
              <w:divsChild>
                <w:div w:id="1402485287">
                  <w:marLeft w:val="0"/>
                  <w:marRight w:val="0"/>
                  <w:marTop w:val="0"/>
                  <w:marBottom w:val="0"/>
                  <w:divBdr>
                    <w:top w:val="none" w:sz="0" w:space="0" w:color="auto"/>
                    <w:left w:val="none" w:sz="0" w:space="0" w:color="auto"/>
                    <w:bottom w:val="none" w:sz="0" w:space="0" w:color="auto"/>
                    <w:right w:val="none" w:sz="0" w:space="0" w:color="auto"/>
                  </w:divBdr>
                </w:div>
              </w:divsChild>
            </w:div>
            <w:div w:id="1831677736">
              <w:marLeft w:val="0"/>
              <w:marRight w:val="0"/>
              <w:marTop w:val="0"/>
              <w:marBottom w:val="0"/>
              <w:divBdr>
                <w:top w:val="none" w:sz="0" w:space="0" w:color="auto"/>
                <w:left w:val="none" w:sz="0" w:space="0" w:color="auto"/>
                <w:bottom w:val="none" w:sz="0" w:space="0" w:color="auto"/>
                <w:right w:val="none" w:sz="0" w:space="0" w:color="auto"/>
              </w:divBdr>
              <w:divsChild>
                <w:div w:id="496195576">
                  <w:marLeft w:val="0"/>
                  <w:marRight w:val="0"/>
                  <w:marTop w:val="0"/>
                  <w:marBottom w:val="0"/>
                  <w:divBdr>
                    <w:top w:val="none" w:sz="0" w:space="0" w:color="auto"/>
                    <w:left w:val="none" w:sz="0" w:space="0" w:color="auto"/>
                    <w:bottom w:val="none" w:sz="0" w:space="0" w:color="auto"/>
                    <w:right w:val="none" w:sz="0" w:space="0" w:color="auto"/>
                  </w:divBdr>
                </w:div>
              </w:divsChild>
            </w:div>
            <w:div w:id="1412897118">
              <w:marLeft w:val="0"/>
              <w:marRight w:val="0"/>
              <w:marTop w:val="0"/>
              <w:marBottom w:val="0"/>
              <w:divBdr>
                <w:top w:val="none" w:sz="0" w:space="0" w:color="auto"/>
                <w:left w:val="none" w:sz="0" w:space="0" w:color="auto"/>
                <w:bottom w:val="none" w:sz="0" w:space="0" w:color="auto"/>
                <w:right w:val="none" w:sz="0" w:space="0" w:color="auto"/>
              </w:divBdr>
              <w:divsChild>
                <w:div w:id="480198466">
                  <w:marLeft w:val="0"/>
                  <w:marRight w:val="0"/>
                  <w:marTop w:val="0"/>
                  <w:marBottom w:val="0"/>
                  <w:divBdr>
                    <w:top w:val="none" w:sz="0" w:space="0" w:color="auto"/>
                    <w:left w:val="none" w:sz="0" w:space="0" w:color="auto"/>
                    <w:bottom w:val="none" w:sz="0" w:space="0" w:color="auto"/>
                    <w:right w:val="none" w:sz="0" w:space="0" w:color="auto"/>
                  </w:divBdr>
                </w:div>
              </w:divsChild>
            </w:div>
            <w:div w:id="1401246262">
              <w:marLeft w:val="0"/>
              <w:marRight w:val="0"/>
              <w:marTop w:val="0"/>
              <w:marBottom w:val="0"/>
              <w:divBdr>
                <w:top w:val="none" w:sz="0" w:space="0" w:color="auto"/>
                <w:left w:val="none" w:sz="0" w:space="0" w:color="auto"/>
                <w:bottom w:val="none" w:sz="0" w:space="0" w:color="auto"/>
                <w:right w:val="none" w:sz="0" w:space="0" w:color="auto"/>
              </w:divBdr>
              <w:divsChild>
                <w:div w:id="1189106519">
                  <w:marLeft w:val="0"/>
                  <w:marRight w:val="0"/>
                  <w:marTop w:val="0"/>
                  <w:marBottom w:val="0"/>
                  <w:divBdr>
                    <w:top w:val="none" w:sz="0" w:space="0" w:color="auto"/>
                    <w:left w:val="none" w:sz="0" w:space="0" w:color="auto"/>
                    <w:bottom w:val="none" w:sz="0" w:space="0" w:color="auto"/>
                    <w:right w:val="none" w:sz="0" w:space="0" w:color="auto"/>
                  </w:divBdr>
                </w:div>
              </w:divsChild>
            </w:div>
            <w:div w:id="1898589213">
              <w:marLeft w:val="0"/>
              <w:marRight w:val="0"/>
              <w:marTop w:val="0"/>
              <w:marBottom w:val="0"/>
              <w:divBdr>
                <w:top w:val="none" w:sz="0" w:space="0" w:color="auto"/>
                <w:left w:val="none" w:sz="0" w:space="0" w:color="auto"/>
                <w:bottom w:val="none" w:sz="0" w:space="0" w:color="auto"/>
                <w:right w:val="none" w:sz="0" w:space="0" w:color="auto"/>
              </w:divBdr>
              <w:divsChild>
                <w:div w:id="48114280">
                  <w:marLeft w:val="0"/>
                  <w:marRight w:val="0"/>
                  <w:marTop w:val="0"/>
                  <w:marBottom w:val="0"/>
                  <w:divBdr>
                    <w:top w:val="none" w:sz="0" w:space="0" w:color="auto"/>
                    <w:left w:val="none" w:sz="0" w:space="0" w:color="auto"/>
                    <w:bottom w:val="none" w:sz="0" w:space="0" w:color="auto"/>
                    <w:right w:val="none" w:sz="0" w:space="0" w:color="auto"/>
                  </w:divBdr>
                </w:div>
              </w:divsChild>
            </w:div>
            <w:div w:id="938024142">
              <w:marLeft w:val="0"/>
              <w:marRight w:val="0"/>
              <w:marTop w:val="0"/>
              <w:marBottom w:val="0"/>
              <w:divBdr>
                <w:top w:val="none" w:sz="0" w:space="0" w:color="auto"/>
                <w:left w:val="none" w:sz="0" w:space="0" w:color="auto"/>
                <w:bottom w:val="none" w:sz="0" w:space="0" w:color="auto"/>
                <w:right w:val="none" w:sz="0" w:space="0" w:color="auto"/>
              </w:divBdr>
              <w:divsChild>
                <w:div w:id="1966691389">
                  <w:marLeft w:val="0"/>
                  <w:marRight w:val="0"/>
                  <w:marTop w:val="0"/>
                  <w:marBottom w:val="0"/>
                  <w:divBdr>
                    <w:top w:val="none" w:sz="0" w:space="0" w:color="auto"/>
                    <w:left w:val="none" w:sz="0" w:space="0" w:color="auto"/>
                    <w:bottom w:val="none" w:sz="0" w:space="0" w:color="auto"/>
                    <w:right w:val="none" w:sz="0" w:space="0" w:color="auto"/>
                  </w:divBdr>
                </w:div>
              </w:divsChild>
            </w:div>
            <w:div w:id="2005469658">
              <w:marLeft w:val="0"/>
              <w:marRight w:val="0"/>
              <w:marTop w:val="0"/>
              <w:marBottom w:val="0"/>
              <w:divBdr>
                <w:top w:val="none" w:sz="0" w:space="0" w:color="auto"/>
                <w:left w:val="none" w:sz="0" w:space="0" w:color="auto"/>
                <w:bottom w:val="none" w:sz="0" w:space="0" w:color="auto"/>
                <w:right w:val="none" w:sz="0" w:space="0" w:color="auto"/>
              </w:divBdr>
              <w:divsChild>
                <w:div w:id="1592085315">
                  <w:marLeft w:val="0"/>
                  <w:marRight w:val="0"/>
                  <w:marTop w:val="0"/>
                  <w:marBottom w:val="0"/>
                  <w:divBdr>
                    <w:top w:val="none" w:sz="0" w:space="0" w:color="auto"/>
                    <w:left w:val="none" w:sz="0" w:space="0" w:color="auto"/>
                    <w:bottom w:val="none" w:sz="0" w:space="0" w:color="auto"/>
                    <w:right w:val="none" w:sz="0" w:space="0" w:color="auto"/>
                  </w:divBdr>
                </w:div>
              </w:divsChild>
            </w:div>
            <w:div w:id="849371298">
              <w:marLeft w:val="0"/>
              <w:marRight w:val="0"/>
              <w:marTop w:val="0"/>
              <w:marBottom w:val="0"/>
              <w:divBdr>
                <w:top w:val="none" w:sz="0" w:space="0" w:color="auto"/>
                <w:left w:val="none" w:sz="0" w:space="0" w:color="auto"/>
                <w:bottom w:val="none" w:sz="0" w:space="0" w:color="auto"/>
                <w:right w:val="none" w:sz="0" w:space="0" w:color="auto"/>
              </w:divBdr>
              <w:divsChild>
                <w:div w:id="126750369">
                  <w:marLeft w:val="0"/>
                  <w:marRight w:val="0"/>
                  <w:marTop w:val="0"/>
                  <w:marBottom w:val="0"/>
                  <w:divBdr>
                    <w:top w:val="none" w:sz="0" w:space="0" w:color="auto"/>
                    <w:left w:val="none" w:sz="0" w:space="0" w:color="auto"/>
                    <w:bottom w:val="none" w:sz="0" w:space="0" w:color="auto"/>
                    <w:right w:val="none" w:sz="0" w:space="0" w:color="auto"/>
                  </w:divBdr>
                </w:div>
              </w:divsChild>
            </w:div>
            <w:div w:id="440077518">
              <w:marLeft w:val="0"/>
              <w:marRight w:val="0"/>
              <w:marTop w:val="0"/>
              <w:marBottom w:val="0"/>
              <w:divBdr>
                <w:top w:val="none" w:sz="0" w:space="0" w:color="auto"/>
                <w:left w:val="none" w:sz="0" w:space="0" w:color="auto"/>
                <w:bottom w:val="none" w:sz="0" w:space="0" w:color="auto"/>
                <w:right w:val="none" w:sz="0" w:space="0" w:color="auto"/>
              </w:divBdr>
              <w:divsChild>
                <w:div w:id="1353070697">
                  <w:marLeft w:val="0"/>
                  <w:marRight w:val="0"/>
                  <w:marTop w:val="0"/>
                  <w:marBottom w:val="0"/>
                  <w:divBdr>
                    <w:top w:val="none" w:sz="0" w:space="0" w:color="auto"/>
                    <w:left w:val="none" w:sz="0" w:space="0" w:color="auto"/>
                    <w:bottom w:val="none" w:sz="0" w:space="0" w:color="auto"/>
                    <w:right w:val="none" w:sz="0" w:space="0" w:color="auto"/>
                  </w:divBdr>
                </w:div>
              </w:divsChild>
            </w:div>
            <w:div w:id="105467099">
              <w:marLeft w:val="0"/>
              <w:marRight w:val="0"/>
              <w:marTop w:val="0"/>
              <w:marBottom w:val="0"/>
              <w:divBdr>
                <w:top w:val="none" w:sz="0" w:space="0" w:color="auto"/>
                <w:left w:val="none" w:sz="0" w:space="0" w:color="auto"/>
                <w:bottom w:val="none" w:sz="0" w:space="0" w:color="auto"/>
                <w:right w:val="none" w:sz="0" w:space="0" w:color="auto"/>
              </w:divBdr>
              <w:divsChild>
                <w:div w:id="1097092789">
                  <w:marLeft w:val="0"/>
                  <w:marRight w:val="0"/>
                  <w:marTop w:val="0"/>
                  <w:marBottom w:val="0"/>
                  <w:divBdr>
                    <w:top w:val="none" w:sz="0" w:space="0" w:color="auto"/>
                    <w:left w:val="none" w:sz="0" w:space="0" w:color="auto"/>
                    <w:bottom w:val="none" w:sz="0" w:space="0" w:color="auto"/>
                    <w:right w:val="none" w:sz="0" w:space="0" w:color="auto"/>
                  </w:divBdr>
                </w:div>
              </w:divsChild>
            </w:div>
            <w:div w:id="709957060">
              <w:marLeft w:val="0"/>
              <w:marRight w:val="0"/>
              <w:marTop w:val="0"/>
              <w:marBottom w:val="0"/>
              <w:divBdr>
                <w:top w:val="none" w:sz="0" w:space="0" w:color="auto"/>
                <w:left w:val="none" w:sz="0" w:space="0" w:color="auto"/>
                <w:bottom w:val="none" w:sz="0" w:space="0" w:color="auto"/>
                <w:right w:val="none" w:sz="0" w:space="0" w:color="auto"/>
              </w:divBdr>
              <w:divsChild>
                <w:div w:id="2034841535">
                  <w:marLeft w:val="0"/>
                  <w:marRight w:val="0"/>
                  <w:marTop w:val="0"/>
                  <w:marBottom w:val="0"/>
                  <w:divBdr>
                    <w:top w:val="none" w:sz="0" w:space="0" w:color="auto"/>
                    <w:left w:val="none" w:sz="0" w:space="0" w:color="auto"/>
                    <w:bottom w:val="none" w:sz="0" w:space="0" w:color="auto"/>
                    <w:right w:val="none" w:sz="0" w:space="0" w:color="auto"/>
                  </w:divBdr>
                </w:div>
              </w:divsChild>
            </w:div>
            <w:div w:id="1137798497">
              <w:marLeft w:val="0"/>
              <w:marRight w:val="0"/>
              <w:marTop w:val="0"/>
              <w:marBottom w:val="0"/>
              <w:divBdr>
                <w:top w:val="none" w:sz="0" w:space="0" w:color="auto"/>
                <w:left w:val="none" w:sz="0" w:space="0" w:color="auto"/>
                <w:bottom w:val="none" w:sz="0" w:space="0" w:color="auto"/>
                <w:right w:val="none" w:sz="0" w:space="0" w:color="auto"/>
              </w:divBdr>
              <w:divsChild>
                <w:div w:id="176502656">
                  <w:marLeft w:val="0"/>
                  <w:marRight w:val="0"/>
                  <w:marTop w:val="0"/>
                  <w:marBottom w:val="0"/>
                  <w:divBdr>
                    <w:top w:val="none" w:sz="0" w:space="0" w:color="auto"/>
                    <w:left w:val="none" w:sz="0" w:space="0" w:color="auto"/>
                    <w:bottom w:val="none" w:sz="0" w:space="0" w:color="auto"/>
                    <w:right w:val="none" w:sz="0" w:space="0" w:color="auto"/>
                  </w:divBdr>
                </w:div>
              </w:divsChild>
            </w:div>
            <w:div w:id="1825390884">
              <w:marLeft w:val="0"/>
              <w:marRight w:val="0"/>
              <w:marTop w:val="0"/>
              <w:marBottom w:val="0"/>
              <w:divBdr>
                <w:top w:val="none" w:sz="0" w:space="0" w:color="auto"/>
                <w:left w:val="none" w:sz="0" w:space="0" w:color="auto"/>
                <w:bottom w:val="none" w:sz="0" w:space="0" w:color="auto"/>
                <w:right w:val="none" w:sz="0" w:space="0" w:color="auto"/>
              </w:divBdr>
              <w:divsChild>
                <w:div w:id="15026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880">
          <w:marLeft w:val="0"/>
          <w:marRight w:val="0"/>
          <w:marTop w:val="0"/>
          <w:marBottom w:val="600"/>
          <w:divBdr>
            <w:top w:val="none" w:sz="0" w:space="0" w:color="auto"/>
            <w:left w:val="none" w:sz="0" w:space="0" w:color="auto"/>
            <w:bottom w:val="none" w:sz="0" w:space="0" w:color="auto"/>
            <w:right w:val="none" w:sz="0" w:space="0" w:color="auto"/>
          </w:divBdr>
        </w:div>
      </w:divsChild>
    </w:div>
    <w:div w:id="1349871541">
      <w:marLeft w:val="0"/>
      <w:marRight w:val="0"/>
      <w:marTop w:val="0"/>
      <w:marBottom w:val="0"/>
      <w:divBdr>
        <w:top w:val="none" w:sz="0" w:space="0" w:color="auto"/>
        <w:left w:val="none" w:sz="0" w:space="0" w:color="auto"/>
        <w:bottom w:val="none" w:sz="0" w:space="0" w:color="auto"/>
        <w:right w:val="none" w:sz="0" w:space="0" w:color="auto"/>
      </w:divBdr>
      <w:divsChild>
        <w:div w:id="42218713">
          <w:marLeft w:val="0"/>
          <w:marRight w:val="0"/>
          <w:marTop w:val="547"/>
          <w:marBottom w:val="0"/>
          <w:divBdr>
            <w:top w:val="none" w:sz="0" w:space="0" w:color="auto"/>
            <w:left w:val="none" w:sz="0" w:space="0" w:color="auto"/>
            <w:bottom w:val="none" w:sz="0" w:space="0" w:color="auto"/>
            <w:right w:val="none" w:sz="0" w:space="0" w:color="auto"/>
          </w:divBdr>
        </w:div>
        <w:div w:id="1923297693">
          <w:marLeft w:val="0"/>
          <w:marRight w:val="0"/>
          <w:marTop w:val="0"/>
          <w:marBottom w:val="0"/>
          <w:divBdr>
            <w:top w:val="none" w:sz="0" w:space="0" w:color="auto"/>
            <w:left w:val="none" w:sz="0" w:space="0" w:color="auto"/>
            <w:bottom w:val="none" w:sz="0" w:space="0" w:color="auto"/>
            <w:right w:val="none" w:sz="0" w:space="0" w:color="auto"/>
          </w:divBdr>
        </w:div>
        <w:div w:id="1682968049">
          <w:marLeft w:val="0"/>
          <w:marRight w:val="0"/>
          <w:marTop w:val="0"/>
          <w:marBottom w:val="600"/>
          <w:divBdr>
            <w:top w:val="none" w:sz="0" w:space="0" w:color="auto"/>
            <w:left w:val="none" w:sz="0" w:space="0" w:color="auto"/>
            <w:bottom w:val="none" w:sz="0" w:space="0" w:color="auto"/>
            <w:right w:val="none" w:sz="0" w:space="0" w:color="auto"/>
          </w:divBdr>
        </w:div>
      </w:divsChild>
    </w:div>
    <w:div w:id="1350638966">
      <w:marLeft w:val="0"/>
      <w:marRight w:val="0"/>
      <w:marTop w:val="0"/>
      <w:marBottom w:val="0"/>
      <w:divBdr>
        <w:top w:val="none" w:sz="0" w:space="0" w:color="auto"/>
        <w:left w:val="none" w:sz="0" w:space="0" w:color="auto"/>
        <w:bottom w:val="none" w:sz="0" w:space="0" w:color="auto"/>
        <w:right w:val="none" w:sz="0" w:space="0" w:color="auto"/>
      </w:divBdr>
      <w:divsChild>
        <w:div w:id="1182860221">
          <w:marLeft w:val="0"/>
          <w:marRight w:val="0"/>
          <w:marTop w:val="547"/>
          <w:marBottom w:val="0"/>
          <w:divBdr>
            <w:top w:val="none" w:sz="0" w:space="0" w:color="auto"/>
            <w:left w:val="none" w:sz="0" w:space="0" w:color="auto"/>
            <w:bottom w:val="none" w:sz="0" w:space="0" w:color="auto"/>
            <w:right w:val="none" w:sz="0" w:space="0" w:color="auto"/>
          </w:divBdr>
        </w:div>
        <w:div w:id="1611471818">
          <w:marLeft w:val="0"/>
          <w:marRight w:val="0"/>
          <w:marTop w:val="0"/>
          <w:marBottom w:val="0"/>
          <w:divBdr>
            <w:top w:val="none" w:sz="0" w:space="0" w:color="auto"/>
            <w:left w:val="none" w:sz="0" w:space="0" w:color="auto"/>
            <w:bottom w:val="none" w:sz="0" w:space="0" w:color="auto"/>
            <w:right w:val="none" w:sz="0" w:space="0" w:color="auto"/>
          </w:divBdr>
        </w:div>
        <w:div w:id="399138801">
          <w:marLeft w:val="0"/>
          <w:marRight w:val="0"/>
          <w:marTop w:val="0"/>
          <w:marBottom w:val="600"/>
          <w:divBdr>
            <w:top w:val="none" w:sz="0" w:space="0" w:color="auto"/>
            <w:left w:val="none" w:sz="0" w:space="0" w:color="auto"/>
            <w:bottom w:val="none" w:sz="0" w:space="0" w:color="auto"/>
            <w:right w:val="none" w:sz="0" w:space="0" w:color="auto"/>
          </w:divBdr>
        </w:div>
      </w:divsChild>
    </w:div>
    <w:div w:id="1409157199">
      <w:marLeft w:val="0"/>
      <w:marRight w:val="0"/>
      <w:marTop w:val="0"/>
      <w:marBottom w:val="0"/>
      <w:divBdr>
        <w:top w:val="none" w:sz="0" w:space="0" w:color="auto"/>
        <w:left w:val="none" w:sz="0" w:space="0" w:color="auto"/>
        <w:bottom w:val="none" w:sz="0" w:space="0" w:color="auto"/>
        <w:right w:val="none" w:sz="0" w:space="0" w:color="auto"/>
      </w:divBdr>
      <w:divsChild>
        <w:div w:id="2135907716">
          <w:marLeft w:val="0"/>
          <w:marRight w:val="0"/>
          <w:marTop w:val="547"/>
          <w:marBottom w:val="0"/>
          <w:divBdr>
            <w:top w:val="none" w:sz="0" w:space="0" w:color="auto"/>
            <w:left w:val="none" w:sz="0" w:space="0" w:color="auto"/>
            <w:bottom w:val="none" w:sz="0" w:space="0" w:color="auto"/>
            <w:right w:val="none" w:sz="0" w:space="0" w:color="auto"/>
          </w:divBdr>
        </w:div>
        <w:div w:id="1060982423">
          <w:marLeft w:val="0"/>
          <w:marRight w:val="0"/>
          <w:marTop w:val="0"/>
          <w:marBottom w:val="0"/>
          <w:divBdr>
            <w:top w:val="none" w:sz="0" w:space="0" w:color="auto"/>
            <w:left w:val="none" w:sz="0" w:space="0" w:color="auto"/>
            <w:bottom w:val="none" w:sz="0" w:space="0" w:color="auto"/>
            <w:right w:val="none" w:sz="0" w:space="0" w:color="auto"/>
          </w:divBdr>
        </w:div>
        <w:div w:id="664167967">
          <w:marLeft w:val="0"/>
          <w:marRight w:val="0"/>
          <w:marTop w:val="0"/>
          <w:marBottom w:val="600"/>
          <w:divBdr>
            <w:top w:val="none" w:sz="0" w:space="0" w:color="auto"/>
            <w:left w:val="none" w:sz="0" w:space="0" w:color="auto"/>
            <w:bottom w:val="none" w:sz="0" w:space="0" w:color="auto"/>
            <w:right w:val="none" w:sz="0" w:space="0" w:color="auto"/>
          </w:divBdr>
        </w:div>
      </w:divsChild>
    </w:div>
    <w:div w:id="1425803628">
      <w:marLeft w:val="0"/>
      <w:marRight w:val="0"/>
      <w:marTop w:val="0"/>
      <w:marBottom w:val="0"/>
      <w:divBdr>
        <w:top w:val="none" w:sz="0" w:space="0" w:color="auto"/>
        <w:left w:val="none" w:sz="0" w:space="0" w:color="auto"/>
        <w:bottom w:val="none" w:sz="0" w:space="0" w:color="auto"/>
        <w:right w:val="none" w:sz="0" w:space="0" w:color="auto"/>
      </w:divBdr>
      <w:divsChild>
        <w:div w:id="1267737474">
          <w:marLeft w:val="0"/>
          <w:marRight w:val="0"/>
          <w:marTop w:val="547"/>
          <w:marBottom w:val="0"/>
          <w:divBdr>
            <w:top w:val="none" w:sz="0" w:space="0" w:color="auto"/>
            <w:left w:val="none" w:sz="0" w:space="0" w:color="auto"/>
            <w:bottom w:val="none" w:sz="0" w:space="0" w:color="auto"/>
            <w:right w:val="none" w:sz="0" w:space="0" w:color="auto"/>
          </w:divBdr>
        </w:div>
        <w:div w:id="660040605">
          <w:marLeft w:val="0"/>
          <w:marRight w:val="0"/>
          <w:marTop w:val="0"/>
          <w:marBottom w:val="0"/>
          <w:divBdr>
            <w:top w:val="none" w:sz="0" w:space="0" w:color="auto"/>
            <w:left w:val="none" w:sz="0" w:space="0" w:color="auto"/>
            <w:bottom w:val="none" w:sz="0" w:space="0" w:color="auto"/>
            <w:right w:val="none" w:sz="0" w:space="0" w:color="auto"/>
          </w:divBdr>
        </w:div>
        <w:div w:id="329792435">
          <w:marLeft w:val="0"/>
          <w:marRight w:val="0"/>
          <w:marTop w:val="0"/>
          <w:marBottom w:val="600"/>
          <w:divBdr>
            <w:top w:val="none" w:sz="0" w:space="0" w:color="auto"/>
            <w:left w:val="none" w:sz="0" w:space="0" w:color="auto"/>
            <w:bottom w:val="none" w:sz="0" w:space="0" w:color="auto"/>
            <w:right w:val="none" w:sz="0" w:space="0" w:color="auto"/>
          </w:divBdr>
        </w:div>
      </w:divsChild>
    </w:div>
    <w:div w:id="1527213505">
      <w:marLeft w:val="0"/>
      <w:marRight w:val="0"/>
      <w:marTop w:val="0"/>
      <w:marBottom w:val="0"/>
      <w:divBdr>
        <w:top w:val="none" w:sz="0" w:space="0" w:color="auto"/>
        <w:left w:val="none" w:sz="0" w:space="0" w:color="auto"/>
        <w:bottom w:val="none" w:sz="0" w:space="0" w:color="auto"/>
        <w:right w:val="none" w:sz="0" w:space="0" w:color="auto"/>
      </w:divBdr>
      <w:divsChild>
        <w:div w:id="656151374">
          <w:marLeft w:val="0"/>
          <w:marRight w:val="0"/>
          <w:marTop w:val="547"/>
          <w:marBottom w:val="0"/>
          <w:divBdr>
            <w:top w:val="none" w:sz="0" w:space="0" w:color="auto"/>
            <w:left w:val="none" w:sz="0" w:space="0" w:color="auto"/>
            <w:bottom w:val="none" w:sz="0" w:space="0" w:color="auto"/>
            <w:right w:val="none" w:sz="0" w:space="0" w:color="auto"/>
          </w:divBdr>
        </w:div>
        <w:div w:id="365761564">
          <w:marLeft w:val="0"/>
          <w:marRight w:val="0"/>
          <w:marTop w:val="0"/>
          <w:marBottom w:val="0"/>
          <w:divBdr>
            <w:top w:val="none" w:sz="0" w:space="0" w:color="auto"/>
            <w:left w:val="none" w:sz="0" w:space="0" w:color="auto"/>
            <w:bottom w:val="none" w:sz="0" w:space="0" w:color="auto"/>
            <w:right w:val="none" w:sz="0" w:space="0" w:color="auto"/>
          </w:divBdr>
        </w:div>
        <w:div w:id="224950439">
          <w:marLeft w:val="0"/>
          <w:marRight w:val="0"/>
          <w:marTop w:val="0"/>
          <w:marBottom w:val="600"/>
          <w:divBdr>
            <w:top w:val="none" w:sz="0" w:space="0" w:color="auto"/>
            <w:left w:val="none" w:sz="0" w:space="0" w:color="auto"/>
            <w:bottom w:val="none" w:sz="0" w:space="0" w:color="auto"/>
            <w:right w:val="none" w:sz="0" w:space="0" w:color="auto"/>
          </w:divBdr>
        </w:div>
      </w:divsChild>
    </w:div>
    <w:div w:id="1562136039">
      <w:marLeft w:val="0"/>
      <w:marRight w:val="0"/>
      <w:marTop w:val="0"/>
      <w:marBottom w:val="0"/>
      <w:divBdr>
        <w:top w:val="none" w:sz="0" w:space="0" w:color="auto"/>
        <w:left w:val="none" w:sz="0" w:space="0" w:color="auto"/>
        <w:bottom w:val="none" w:sz="0" w:space="0" w:color="auto"/>
        <w:right w:val="none" w:sz="0" w:space="0" w:color="auto"/>
      </w:divBdr>
      <w:divsChild>
        <w:div w:id="1061517611">
          <w:marLeft w:val="0"/>
          <w:marRight w:val="0"/>
          <w:marTop w:val="547"/>
          <w:marBottom w:val="0"/>
          <w:divBdr>
            <w:top w:val="none" w:sz="0" w:space="0" w:color="auto"/>
            <w:left w:val="none" w:sz="0" w:space="0" w:color="auto"/>
            <w:bottom w:val="none" w:sz="0" w:space="0" w:color="auto"/>
            <w:right w:val="none" w:sz="0" w:space="0" w:color="auto"/>
          </w:divBdr>
        </w:div>
        <w:div w:id="1333266362">
          <w:marLeft w:val="0"/>
          <w:marRight w:val="0"/>
          <w:marTop w:val="0"/>
          <w:marBottom w:val="0"/>
          <w:divBdr>
            <w:top w:val="none" w:sz="0" w:space="0" w:color="auto"/>
            <w:left w:val="none" w:sz="0" w:space="0" w:color="auto"/>
            <w:bottom w:val="none" w:sz="0" w:space="0" w:color="auto"/>
            <w:right w:val="none" w:sz="0" w:space="0" w:color="auto"/>
          </w:divBdr>
          <w:divsChild>
            <w:div w:id="1765028135">
              <w:marLeft w:val="0"/>
              <w:marRight w:val="0"/>
              <w:marTop w:val="0"/>
              <w:marBottom w:val="0"/>
              <w:divBdr>
                <w:top w:val="none" w:sz="0" w:space="0" w:color="auto"/>
                <w:left w:val="none" w:sz="0" w:space="0" w:color="auto"/>
                <w:bottom w:val="none" w:sz="0" w:space="0" w:color="auto"/>
                <w:right w:val="none" w:sz="0" w:space="0" w:color="auto"/>
              </w:divBdr>
              <w:divsChild>
                <w:div w:id="318584738">
                  <w:marLeft w:val="0"/>
                  <w:marRight w:val="0"/>
                  <w:marTop w:val="0"/>
                  <w:marBottom w:val="0"/>
                  <w:divBdr>
                    <w:top w:val="none" w:sz="0" w:space="0" w:color="auto"/>
                    <w:left w:val="none" w:sz="0" w:space="0" w:color="auto"/>
                    <w:bottom w:val="none" w:sz="0" w:space="0" w:color="auto"/>
                    <w:right w:val="none" w:sz="0" w:space="0" w:color="auto"/>
                  </w:divBdr>
                </w:div>
              </w:divsChild>
            </w:div>
            <w:div w:id="2048752635">
              <w:marLeft w:val="0"/>
              <w:marRight w:val="0"/>
              <w:marTop w:val="0"/>
              <w:marBottom w:val="0"/>
              <w:divBdr>
                <w:top w:val="none" w:sz="0" w:space="0" w:color="auto"/>
                <w:left w:val="none" w:sz="0" w:space="0" w:color="auto"/>
                <w:bottom w:val="none" w:sz="0" w:space="0" w:color="auto"/>
                <w:right w:val="none" w:sz="0" w:space="0" w:color="auto"/>
              </w:divBdr>
              <w:divsChild>
                <w:div w:id="13087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510">
          <w:marLeft w:val="0"/>
          <w:marRight w:val="0"/>
          <w:marTop w:val="0"/>
          <w:marBottom w:val="600"/>
          <w:divBdr>
            <w:top w:val="none" w:sz="0" w:space="0" w:color="auto"/>
            <w:left w:val="none" w:sz="0" w:space="0" w:color="auto"/>
            <w:bottom w:val="none" w:sz="0" w:space="0" w:color="auto"/>
            <w:right w:val="none" w:sz="0" w:space="0" w:color="auto"/>
          </w:divBdr>
        </w:div>
      </w:divsChild>
    </w:div>
    <w:div w:id="1592002716">
      <w:marLeft w:val="0"/>
      <w:marRight w:val="0"/>
      <w:marTop w:val="0"/>
      <w:marBottom w:val="0"/>
      <w:divBdr>
        <w:top w:val="none" w:sz="0" w:space="0" w:color="auto"/>
        <w:left w:val="none" w:sz="0" w:space="0" w:color="auto"/>
        <w:bottom w:val="none" w:sz="0" w:space="0" w:color="auto"/>
        <w:right w:val="none" w:sz="0" w:space="0" w:color="auto"/>
      </w:divBdr>
      <w:divsChild>
        <w:div w:id="1743529581">
          <w:marLeft w:val="0"/>
          <w:marRight w:val="0"/>
          <w:marTop w:val="547"/>
          <w:marBottom w:val="0"/>
          <w:divBdr>
            <w:top w:val="none" w:sz="0" w:space="0" w:color="auto"/>
            <w:left w:val="none" w:sz="0" w:space="0" w:color="auto"/>
            <w:bottom w:val="none" w:sz="0" w:space="0" w:color="auto"/>
            <w:right w:val="none" w:sz="0" w:space="0" w:color="auto"/>
          </w:divBdr>
        </w:div>
        <w:div w:id="1156844931">
          <w:marLeft w:val="0"/>
          <w:marRight w:val="0"/>
          <w:marTop w:val="0"/>
          <w:marBottom w:val="0"/>
          <w:divBdr>
            <w:top w:val="none" w:sz="0" w:space="0" w:color="auto"/>
            <w:left w:val="none" w:sz="0" w:space="0" w:color="auto"/>
            <w:bottom w:val="none" w:sz="0" w:space="0" w:color="auto"/>
            <w:right w:val="none" w:sz="0" w:space="0" w:color="auto"/>
          </w:divBdr>
        </w:div>
        <w:div w:id="2031370377">
          <w:marLeft w:val="0"/>
          <w:marRight w:val="0"/>
          <w:marTop w:val="0"/>
          <w:marBottom w:val="600"/>
          <w:divBdr>
            <w:top w:val="none" w:sz="0" w:space="0" w:color="auto"/>
            <w:left w:val="none" w:sz="0" w:space="0" w:color="auto"/>
            <w:bottom w:val="none" w:sz="0" w:space="0" w:color="auto"/>
            <w:right w:val="none" w:sz="0" w:space="0" w:color="auto"/>
          </w:divBdr>
        </w:div>
      </w:divsChild>
    </w:div>
    <w:div w:id="1595894678">
      <w:marLeft w:val="0"/>
      <w:marRight w:val="0"/>
      <w:marTop w:val="0"/>
      <w:marBottom w:val="0"/>
      <w:divBdr>
        <w:top w:val="none" w:sz="0" w:space="0" w:color="auto"/>
        <w:left w:val="none" w:sz="0" w:space="0" w:color="auto"/>
        <w:bottom w:val="none" w:sz="0" w:space="0" w:color="auto"/>
        <w:right w:val="none" w:sz="0" w:space="0" w:color="auto"/>
      </w:divBdr>
      <w:divsChild>
        <w:div w:id="740758648">
          <w:marLeft w:val="0"/>
          <w:marRight w:val="0"/>
          <w:marTop w:val="547"/>
          <w:marBottom w:val="0"/>
          <w:divBdr>
            <w:top w:val="none" w:sz="0" w:space="0" w:color="auto"/>
            <w:left w:val="none" w:sz="0" w:space="0" w:color="auto"/>
            <w:bottom w:val="none" w:sz="0" w:space="0" w:color="auto"/>
            <w:right w:val="none" w:sz="0" w:space="0" w:color="auto"/>
          </w:divBdr>
        </w:div>
        <w:div w:id="1767847293">
          <w:marLeft w:val="0"/>
          <w:marRight w:val="0"/>
          <w:marTop w:val="0"/>
          <w:marBottom w:val="0"/>
          <w:divBdr>
            <w:top w:val="none" w:sz="0" w:space="0" w:color="auto"/>
            <w:left w:val="none" w:sz="0" w:space="0" w:color="auto"/>
            <w:bottom w:val="none" w:sz="0" w:space="0" w:color="auto"/>
            <w:right w:val="none" w:sz="0" w:space="0" w:color="auto"/>
          </w:divBdr>
          <w:divsChild>
            <w:div w:id="611397515">
              <w:marLeft w:val="0"/>
              <w:marRight w:val="0"/>
              <w:marTop w:val="0"/>
              <w:marBottom w:val="0"/>
              <w:divBdr>
                <w:top w:val="none" w:sz="0" w:space="0" w:color="auto"/>
                <w:left w:val="none" w:sz="0" w:space="0" w:color="auto"/>
                <w:bottom w:val="none" w:sz="0" w:space="0" w:color="auto"/>
                <w:right w:val="none" w:sz="0" w:space="0" w:color="auto"/>
              </w:divBdr>
              <w:divsChild>
                <w:div w:id="1216237201">
                  <w:marLeft w:val="0"/>
                  <w:marRight w:val="0"/>
                  <w:marTop w:val="0"/>
                  <w:marBottom w:val="0"/>
                  <w:divBdr>
                    <w:top w:val="none" w:sz="0" w:space="0" w:color="auto"/>
                    <w:left w:val="none" w:sz="0" w:space="0" w:color="auto"/>
                    <w:bottom w:val="none" w:sz="0" w:space="0" w:color="auto"/>
                    <w:right w:val="none" w:sz="0" w:space="0" w:color="auto"/>
                  </w:divBdr>
                </w:div>
              </w:divsChild>
            </w:div>
            <w:div w:id="725644951">
              <w:marLeft w:val="0"/>
              <w:marRight w:val="0"/>
              <w:marTop w:val="0"/>
              <w:marBottom w:val="0"/>
              <w:divBdr>
                <w:top w:val="none" w:sz="0" w:space="0" w:color="auto"/>
                <w:left w:val="none" w:sz="0" w:space="0" w:color="auto"/>
                <w:bottom w:val="none" w:sz="0" w:space="0" w:color="auto"/>
                <w:right w:val="none" w:sz="0" w:space="0" w:color="auto"/>
              </w:divBdr>
              <w:divsChild>
                <w:div w:id="548241">
                  <w:marLeft w:val="0"/>
                  <w:marRight w:val="0"/>
                  <w:marTop w:val="0"/>
                  <w:marBottom w:val="0"/>
                  <w:divBdr>
                    <w:top w:val="none" w:sz="0" w:space="0" w:color="auto"/>
                    <w:left w:val="none" w:sz="0" w:space="0" w:color="auto"/>
                    <w:bottom w:val="none" w:sz="0" w:space="0" w:color="auto"/>
                    <w:right w:val="none" w:sz="0" w:space="0" w:color="auto"/>
                  </w:divBdr>
                </w:div>
              </w:divsChild>
            </w:div>
            <w:div w:id="627012452">
              <w:marLeft w:val="0"/>
              <w:marRight w:val="0"/>
              <w:marTop w:val="0"/>
              <w:marBottom w:val="0"/>
              <w:divBdr>
                <w:top w:val="none" w:sz="0" w:space="0" w:color="auto"/>
                <w:left w:val="none" w:sz="0" w:space="0" w:color="auto"/>
                <w:bottom w:val="none" w:sz="0" w:space="0" w:color="auto"/>
                <w:right w:val="none" w:sz="0" w:space="0" w:color="auto"/>
              </w:divBdr>
              <w:divsChild>
                <w:div w:id="481242169">
                  <w:marLeft w:val="0"/>
                  <w:marRight w:val="0"/>
                  <w:marTop w:val="0"/>
                  <w:marBottom w:val="0"/>
                  <w:divBdr>
                    <w:top w:val="none" w:sz="0" w:space="0" w:color="auto"/>
                    <w:left w:val="none" w:sz="0" w:space="0" w:color="auto"/>
                    <w:bottom w:val="none" w:sz="0" w:space="0" w:color="auto"/>
                    <w:right w:val="none" w:sz="0" w:space="0" w:color="auto"/>
                  </w:divBdr>
                </w:div>
              </w:divsChild>
            </w:div>
            <w:div w:id="184104596">
              <w:marLeft w:val="0"/>
              <w:marRight w:val="0"/>
              <w:marTop w:val="0"/>
              <w:marBottom w:val="0"/>
              <w:divBdr>
                <w:top w:val="none" w:sz="0" w:space="0" w:color="auto"/>
                <w:left w:val="none" w:sz="0" w:space="0" w:color="auto"/>
                <w:bottom w:val="none" w:sz="0" w:space="0" w:color="auto"/>
                <w:right w:val="none" w:sz="0" w:space="0" w:color="auto"/>
              </w:divBdr>
              <w:divsChild>
                <w:div w:id="1754087772">
                  <w:marLeft w:val="0"/>
                  <w:marRight w:val="0"/>
                  <w:marTop w:val="0"/>
                  <w:marBottom w:val="0"/>
                  <w:divBdr>
                    <w:top w:val="none" w:sz="0" w:space="0" w:color="auto"/>
                    <w:left w:val="none" w:sz="0" w:space="0" w:color="auto"/>
                    <w:bottom w:val="none" w:sz="0" w:space="0" w:color="auto"/>
                    <w:right w:val="none" w:sz="0" w:space="0" w:color="auto"/>
                  </w:divBdr>
                </w:div>
              </w:divsChild>
            </w:div>
            <w:div w:id="415513226">
              <w:marLeft w:val="0"/>
              <w:marRight w:val="0"/>
              <w:marTop w:val="0"/>
              <w:marBottom w:val="0"/>
              <w:divBdr>
                <w:top w:val="none" w:sz="0" w:space="0" w:color="auto"/>
                <w:left w:val="none" w:sz="0" w:space="0" w:color="auto"/>
                <w:bottom w:val="none" w:sz="0" w:space="0" w:color="auto"/>
                <w:right w:val="none" w:sz="0" w:space="0" w:color="auto"/>
              </w:divBdr>
              <w:divsChild>
                <w:div w:id="1576553801">
                  <w:marLeft w:val="0"/>
                  <w:marRight w:val="0"/>
                  <w:marTop w:val="0"/>
                  <w:marBottom w:val="0"/>
                  <w:divBdr>
                    <w:top w:val="none" w:sz="0" w:space="0" w:color="auto"/>
                    <w:left w:val="none" w:sz="0" w:space="0" w:color="auto"/>
                    <w:bottom w:val="none" w:sz="0" w:space="0" w:color="auto"/>
                    <w:right w:val="none" w:sz="0" w:space="0" w:color="auto"/>
                  </w:divBdr>
                </w:div>
              </w:divsChild>
            </w:div>
            <w:div w:id="1409114289">
              <w:marLeft w:val="0"/>
              <w:marRight w:val="0"/>
              <w:marTop w:val="0"/>
              <w:marBottom w:val="0"/>
              <w:divBdr>
                <w:top w:val="none" w:sz="0" w:space="0" w:color="auto"/>
                <w:left w:val="none" w:sz="0" w:space="0" w:color="auto"/>
                <w:bottom w:val="none" w:sz="0" w:space="0" w:color="auto"/>
                <w:right w:val="none" w:sz="0" w:space="0" w:color="auto"/>
              </w:divBdr>
              <w:divsChild>
                <w:div w:id="1510022358">
                  <w:marLeft w:val="0"/>
                  <w:marRight w:val="0"/>
                  <w:marTop w:val="0"/>
                  <w:marBottom w:val="0"/>
                  <w:divBdr>
                    <w:top w:val="none" w:sz="0" w:space="0" w:color="auto"/>
                    <w:left w:val="none" w:sz="0" w:space="0" w:color="auto"/>
                    <w:bottom w:val="none" w:sz="0" w:space="0" w:color="auto"/>
                    <w:right w:val="none" w:sz="0" w:space="0" w:color="auto"/>
                  </w:divBdr>
                </w:div>
              </w:divsChild>
            </w:div>
            <w:div w:id="1621574717">
              <w:marLeft w:val="0"/>
              <w:marRight w:val="0"/>
              <w:marTop w:val="0"/>
              <w:marBottom w:val="0"/>
              <w:divBdr>
                <w:top w:val="none" w:sz="0" w:space="0" w:color="auto"/>
                <w:left w:val="none" w:sz="0" w:space="0" w:color="auto"/>
                <w:bottom w:val="none" w:sz="0" w:space="0" w:color="auto"/>
                <w:right w:val="none" w:sz="0" w:space="0" w:color="auto"/>
              </w:divBdr>
              <w:divsChild>
                <w:div w:id="2066949475">
                  <w:marLeft w:val="0"/>
                  <w:marRight w:val="0"/>
                  <w:marTop w:val="0"/>
                  <w:marBottom w:val="0"/>
                  <w:divBdr>
                    <w:top w:val="none" w:sz="0" w:space="0" w:color="auto"/>
                    <w:left w:val="none" w:sz="0" w:space="0" w:color="auto"/>
                    <w:bottom w:val="none" w:sz="0" w:space="0" w:color="auto"/>
                    <w:right w:val="none" w:sz="0" w:space="0" w:color="auto"/>
                  </w:divBdr>
                </w:div>
              </w:divsChild>
            </w:div>
            <w:div w:id="278270128">
              <w:marLeft w:val="0"/>
              <w:marRight w:val="0"/>
              <w:marTop w:val="0"/>
              <w:marBottom w:val="0"/>
              <w:divBdr>
                <w:top w:val="none" w:sz="0" w:space="0" w:color="auto"/>
                <w:left w:val="none" w:sz="0" w:space="0" w:color="auto"/>
                <w:bottom w:val="none" w:sz="0" w:space="0" w:color="auto"/>
                <w:right w:val="none" w:sz="0" w:space="0" w:color="auto"/>
              </w:divBdr>
              <w:divsChild>
                <w:div w:id="998460348">
                  <w:marLeft w:val="0"/>
                  <w:marRight w:val="0"/>
                  <w:marTop w:val="0"/>
                  <w:marBottom w:val="0"/>
                  <w:divBdr>
                    <w:top w:val="none" w:sz="0" w:space="0" w:color="auto"/>
                    <w:left w:val="none" w:sz="0" w:space="0" w:color="auto"/>
                    <w:bottom w:val="none" w:sz="0" w:space="0" w:color="auto"/>
                    <w:right w:val="none" w:sz="0" w:space="0" w:color="auto"/>
                  </w:divBdr>
                </w:div>
              </w:divsChild>
            </w:div>
            <w:div w:id="1066414308">
              <w:marLeft w:val="0"/>
              <w:marRight w:val="0"/>
              <w:marTop w:val="0"/>
              <w:marBottom w:val="0"/>
              <w:divBdr>
                <w:top w:val="none" w:sz="0" w:space="0" w:color="auto"/>
                <w:left w:val="none" w:sz="0" w:space="0" w:color="auto"/>
                <w:bottom w:val="none" w:sz="0" w:space="0" w:color="auto"/>
                <w:right w:val="none" w:sz="0" w:space="0" w:color="auto"/>
              </w:divBdr>
              <w:divsChild>
                <w:div w:id="751661115">
                  <w:marLeft w:val="0"/>
                  <w:marRight w:val="0"/>
                  <w:marTop w:val="0"/>
                  <w:marBottom w:val="0"/>
                  <w:divBdr>
                    <w:top w:val="none" w:sz="0" w:space="0" w:color="auto"/>
                    <w:left w:val="none" w:sz="0" w:space="0" w:color="auto"/>
                    <w:bottom w:val="none" w:sz="0" w:space="0" w:color="auto"/>
                    <w:right w:val="none" w:sz="0" w:space="0" w:color="auto"/>
                  </w:divBdr>
                </w:div>
              </w:divsChild>
            </w:div>
            <w:div w:id="771243381">
              <w:marLeft w:val="0"/>
              <w:marRight w:val="0"/>
              <w:marTop w:val="0"/>
              <w:marBottom w:val="0"/>
              <w:divBdr>
                <w:top w:val="none" w:sz="0" w:space="0" w:color="auto"/>
                <w:left w:val="none" w:sz="0" w:space="0" w:color="auto"/>
                <w:bottom w:val="none" w:sz="0" w:space="0" w:color="auto"/>
                <w:right w:val="none" w:sz="0" w:space="0" w:color="auto"/>
              </w:divBdr>
              <w:divsChild>
                <w:div w:id="778573960">
                  <w:marLeft w:val="0"/>
                  <w:marRight w:val="0"/>
                  <w:marTop w:val="0"/>
                  <w:marBottom w:val="0"/>
                  <w:divBdr>
                    <w:top w:val="none" w:sz="0" w:space="0" w:color="auto"/>
                    <w:left w:val="none" w:sz="0" w:space="0" w:color="auto"/>
                    <w:bottom w:val="none" w:sz="0" w:space="0" w:color="auto"/>
                    <w:right w:val="none" w:sz="0" w:space="0" w:color="auto"/>
                  </w:divBdr>
                </w:div>
              </w:divsChild>
            </w:div>
            <w:div w:id="943148637">
              <w:marLeft w:val="0"/>
              <w:marRight w:val="0"/>
              <w:marTop w:val="0"/>
              <w:marBottom w:val="0"/>
              <w:divBdr>
                <w:top w:val="none" w:sz="0" w:space="0" w:color="auto"/>
                <w:left w:val="none" w:sz="0" w:space="0" w:color="auto"/>
                <w:bottom w:val="none" w:sz="0" w:space="0" w:color="auto"/>
                <w:right w:val="none" w:sz="0" w:space="0" w:color="auto"/>
              </w:divBdr>
              <w:divsChild>
                <w:div w:id="1578661467">
                  <w:marLeft w:val="0"/>
                  <w:marRight w:val="0"/>
                  <w:marTop w:val="0"/>
                  <w:marBottom w:val="0"/>
                  <w:divBdr>
                    <w:top w:val="none" w:sz="0" w:space="0" w:color="auto"/>
                    <w:left w:val="none" w:sz="0" w:space="0" w:color="auto"/>
                    <w:bottom w:val="none" w:sz="0" w:space="0" w:color="auto"/>
                    <w:right w:val="none" w:sz="0" w:space="0" w:color="auto"/>
                  </w:divBdr>
                </w:div>
              </w:divsChild>
            </w:div>
            <w:div w:id="511800163">
              <w:marLeft w:val="0"/>
              <w:marRight w:val="0"/>
              <w:marTop w:val="0"/>
              <w:marBottom w:val="0"/>
              <w:divBdr>
                <w:top w:val="none" w:sz="0" w:space="0" w:color="auto"/>
                <w:left w:val="none" w:sz="0" w:space="0" w:color="auto"/>
                <w:bottom w:val="none" w:sz="0" w:space="0" w:color="auto"/>
                <w:right w:val="none" w:sz="0" w:space="0" w:color="auto"/>
              </w:divBdr>
              <w:divsChild>
                <w:div w:id="1387753030">
                  <w:marLeft w:val="0"/>
                  <w:marRight w:val="0"/>
                  <w:marTop w:val="0"/>
                  <w:marBottom w:val="0"/>
                  <w:divBdr>
                    <w:top w:val="none" w:sz="0" w:space="0" w:color="auto"/>
                    <w:left w:val="none" w:sz="0" w:space="0" w:color="auto"/>
                    <w:bottom w:val="none" w:sz="0" w:space="0" w:color="auto"/>
                    <w:right w:val="none" w:sz="0" w:space="0" w:color="auto"/>
                  </w:divBdr>
                </w:div>
              </w:divsChild>
            </w:div>
            <w:div w:id="1910186494">
              <w:marLeft w:val="0"/>
              <w:marRight w:val="0"/>
              <w:marTop w:val="0"/>
              <w:marBottom w:val="0"/>
              <w:divBdr>
                <w:top w:val="none" w:sz="0" w:space="0" w:color="auto"/>
                <w:left w:val="none" w:sz="0" w:space="0" w:color="auto"/>
                <w:bottom w:val="none" w:sz="0" w:space="0" w:color="auto"/>
                <w:right w:val="none" w:sz="0" w:space="0" w:color="auto"/>
              </w:divBdr>
              <w:divsChild>
                <w:div w:id="1697655687">
                  <w:marLeft w:val="0"/>
                  <w:marRight w:val="0"/>
                  <w:marTop w:val="0"/>
                  <w:marBottom w:val="0"/>
                  <w:divBdr>
                    <w:top w:val="none" w:sz="0" w:space="0" w:color="auto"/>
                    <w:left w:val="none" w:sz="0" w:space="0" w:color="auto"/>
                    <w:bottom w:val="none" w:sz="0" w:space="0" w:color="auto"/>
                    <w:right w:val="none" w:sz="0" w:space="0" w:color="auto"/>
                  </w:divBdr>
                </w:div>
              </w:divsChild>
            </w:div>
            <w:div w:id="32852863">
              <w:marLeft w:val="0"/>
              <w:marRight w:val="0"/>
              <w:marTop w:val="0"/>
              <w:marBottom w:val="0"/>
              <w:divBdr>
                <w:top w:val="none" w:sz="0" w:space="0" w:color="auto"/>
                <w:left w:val="none" w:sz="0" w:space="0" w:color="auto"/>
                <w:bottom w:val="none" w:sz="0" w:space="0" w:color="auto"/>
                <w:right w:val="none" w:sz="0" w:space="0" w:color="auto"/>
              </w:divBdr>
              <w:divsChild>
                <w:div w:id="448816729">
                  <w:marLeft w:val="0"/>
                  <w:marRight w:val="0"/>
                  <w:marTop w:val="0"/>
                  <w:marBottom w:val="0"/>
                  <w:divBdr>
                    <w:top w:val="none" w:sz="0" w:space="0" w:color="auto"/>
                    <w:left w:val="none" w:sz="0" w:space="0" w:color="auto"/>
                    <w:bottom w:val="none" w:sz="0" w:space="0" w:color="auto"/>
                    <w:right w:val="none" w:sz="0" w:space="0" w:color="auto"/>
                  </w:divBdr>
                </w:div>
              </w:divsChild>
            </w:div>
            <w:div w:id="1587036222">
              <w:marLeft w:val="0"/>
              <w:marRight w:val="0"/>
              <w:marTop w:val="0"/>
              <w:marBottom w:val="0"/>
              <w:divBdr>
                <w:top w:val="none" w:sz="0" w:space="0" w:color="auto"/>
                <w:left w:val="none" w:sz="0" w:space="0" w:color="auto"/>
                <w:bottom w:val="none" w:sz="0" w:space="0" w:color="auto"/>
                <w:right w:val="none" w:sz="0" w:space="0" w:color="auto"/>
              </w:divBdr>
              <w:divsChild>
                <w:div w:id="1745297322">
                  <w:marLeft w:val="0"/>
                  <w:marRight w:val="0"/>
                  <w:marTop w:val="0"/>
                  <w:marBottom w:val="0"/>
                  <w:divBdr>
                    <w:top w:val="none" w:sz="0" w:space="0" w:color="auto"/>
                    <w:left w:val="none" w:sz="0" w:space="0" w:color="auto"/>
                    <w:bottom w:val="none" w:sz="0" w:space="0" w:color="auto"/>
                    <w:right w:val="none" w:sz="0" w:space="0" w:color="auto"/>
                  </w:divBdr>
                </w:div>
              </w:divsChild>
            </w:div>
            <w:div w:id="599220597">
              <w:marLeft w:val="0"/>
              <w:marRight w:val="0"/>
              <w:marTop w:val="0"/>
              <w:marBottom w:val="0"/>
              <w:divBdr>
                <w:top w:val="none" w:sz="0" w:space="0" w:color="auto"/>
                <w:left w:val="none" w:sz="0" w:space="0" w:color="auto"/>
                <w:bottom w:val="none" w:sz="0" w:space="0" w:color="auto"/>
                <w:right w:val="none" w:sz="0" w:space="0" w:color="auto"/>
              </w:divBdr>
              <w:divsChild>
                <w:div w:id="576136172">
                  <w:marLeft w:val="0"/>
                  <w:marRight w:val="0"/>
                  <w:marTop w:val="0"/>
                  <w:marBottom w:val="0"/>
                  <w:divBdr>
                    <w:top w:val="none" w:sz="0" w:space="0" w:color="auto"/>
                    <w:left w:val="none" w:sz="0" w:space="0" w:color="auto"/>
                    <w:bottom w:val="none" w:sz="0" w:space="0" w:color="auto"/>
                    <w:right w:val="none" w:sz="0" w:space="0" w:color="auto"/>
                  </w:divBdr>
                </w:div>
              </w:divsChild>
            </w:div>
            <w:div w:id="909729581">
              <w:marLeft w:val="0"/>
              <w:marRight w:val="0"/>
              <w:marTop w:val="0"/>
              <w:marBottom w:val="0"/>
              <w:divBdr>
                <w:top w:val="none" w:sz="0" w:space="0" w:color="auto"/>
                <w:left w:val="none" w:sz="0" w:space="0" w:color="auto"/>
                <w:bottom w:val="none" w:sz="0" w:space="0" w:color="auto"/>
                <w:right w:val="none" w:sz="0" w:space="0" w:color="auto"/>
              </w:divBdr>
              <w:divsChild>
                <w:div w:id="2097363116">
                  <w:marLeft w:val="0"/>
                  <w:marRight w:val="0"/>
                  <w:marTop w:val="0"/>
                  <w:marBottom w:val="0"/>
                  <w:divBdr>
                    <w:top w:val="none" w:sz="0" w:space="0" w:color="auto"/>
                    <w:left w:val="none" w:sz="0" w:space="0" w:color="auto"/>
                    <w:bottom w:val="none" w:sz="0" w:space="0" w:color="auto"/>
                    <w:right w:val="none" w:sz="0" w:space="0" w:color="auto"/>
                  </w:divBdr>
                </w:div>
              </w:divsChild>
            </w:div>
            <w:div w:id="1372149068">
              <w:marLeft w:val="0"/>
              <w:marRight w:val="0"/>
              <w:marTop w:val="0"/>
              <w:marBottom w:val="0"/>
              <w:divBdr>
                <w:top w:val="none" w:sz="0" w:space="0" w:color="auto"/>
                <w:left w:val="none" w:sz="0" w:space="0" w:color="auto"/>
                <w:bottom w:val="none" w:sz="0" w:space="0" w:color="auto"/>
                <w:right w:val="none" w:sz="0" w:space="0" w:color="auto"/>
              </w:divBdr>
              <w:divsChild>
                <w:div w:id="1404261157">
                  <w:marLeft w:val="0"/>
                  <w:marRight w:val="0"/>
                  <w:marTop w:val="0"/>
                  <w:marBottom w:val="0"/>
                  <w:divBdr>
                    <w:top w:val="none" w:sz="0" w:space="0" w:color="auto"/>
                    <w:left w:val="none" w:sz="0" w:space="0" w:color="auto"/>
                    <w:bottom w:val="none" w:sz="0" w:space="0" w:color="auto"/>
                    <w:right w:val="none" w:sz="0" w:space="0" w:color="auto"/>
                  </w:divBdr>
                </w:div>
              </w:divsChild>
            </w:div>
            <w:div w:id="276452836">
              <w:marLeft w:val="0"/>
              <w:marRight w:val="0"/>
              <w:marTop w:val="0"/>
              <w:marBottom w:val="0"/>
              <w:divBdr>
                <w:top w:val="none" w:sz="0" w:space="0" w:color="auto"/>
                <w:left w:val="none" w:sz="0" w:space="0" w:color="auto"/>
                <w:bottom w:val="none" w:sz="0" w:space="0" w:color="auto"/>
                <w:right w:val="none" w:sz="0" w:space="0" w:color="auto"/>
              </w:divBdr>
              <w:divsChild>
                <w:div w:id="1549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153">
          <w:marLeft w:val="0"/>
          <w:marRight w:val="0"/>
          <w:marTop w:val="0"/>
          <w:marBottom w:val="600"/>
          <w:divBdr>
            <w:top w:val="none" w:sz="0" w:space="0" w:color="auto"/>
            <w:left w:val="none" w:sz="0" w:space="0" w:color="auto"/>
            <w:bottom w:val="none" w:sz="0" w:space="0" w:color="auto"/>
            <w:right w:val="none" w:sz="0" w:space="0" w:color="auto"/>
          </w:divBdr>
        </w:div>
      </w:divsChild>
    </w:div>
    <w:div w:id="1597589678">
      <w:marLeft w:val="0"/>
      <w:marRight w:val="0"/>
      <w:marTop w:val="0"/>
      <w:marBottom w:val="0"/>
      <w:divBdr>
        <w:top w:val="none" w:sz="0" w:space="0" w:color="auto"/>
        <w:left w:val="none" w:sz="0" w:space="0" w:color="auto"/>
        <w:bottom w:val="none" w:sz="0" w:space="0" w:color="auto"/>
        <w:right w:val="none" w:sz="0" w:space="0" w:color="auto"/>
      </w:divBdr>
      <w:divsChild>
        <w:div w:id="1009409312">
          <w:marLeft w:val="0"/>
          <w:marRight w:val="0"/>
          <w:marTop w:val="547"/>
          <w:marBottom w:val="0"/>
          <w:divBdr>
            <w:top w:val="none" w:sz="0" w:space="0" w:color="auto"/>
            <w:left w:val="none" w:sz="0" w:space="0" w:color="auto"/>
            <w:bottom w:val="none" w:sz="0" w:space="0" w:color="auto"/>
            <w:right w:val="none" w:sz="0" w:space="0" w:color="auto"/>
          </w:divBdr>
        </w:div>
        <w:div w:id="285501208">
          <w:marLeft w:val="0"/>
          <w:marRight w:val="0"/>
          <w:marTop w:val="0"/>
          <w:marBottom w:val="0"/>
          <w:divBdr>
            <w:top w:val="none" w:sz="0" w:space="0" w:color="auto"/>
            <w:left w:val="none" w:sz="0" w:space="0" w:color="auto"/>
            <w:bottom w:val="none" w:sz="0" w:space="0" w:color="auto"/>
            <w:right w:val="none" w:sz="0" w:space="0" w:color="auto"/>
          </w:divBdr>
        </w:div>
        <w:div w:id="1003435735">
          <w:marLeft w:val="0"/>
          <w:marRight w:val="0"/>
          <w:marTop w:val="0"/>
          <w:marBottom w:val="600"/>
          <w:divBdr>
            <w:top w:val="none" w:sz="0" w:space="0" w:color="auto"/>
            <w:left w:val="none" w:sz="0" w:space="0" w:color="auto"/>
            <w:bottom w:val="none" w:sz="0" w:space="0" w:color="auto"/>
            <w:right w:val="none" w:sz="0" w:space="0" w:color="auto"/>
          </w:divBdr>
        </w:div>
      </w:divsChild>
    </w:div>
    <w:div w:id="1626538608">
      <w:marLeft w:val="0"/>
      <w:marRight w:val="0"/>
      <w:marTop w:val="0"/>
      <w:marBottom w:val="0"/>
      <w:divBdr>
        <w:top w:val="none" w:sz="0" w:space="0" w:color="auto"/>
        <w:left w:val="none" w:sz="0" w:space="0" w:color="auto"/>
        <w:bottom w:val="none" w:sz="0" w:space="0" w:color="auto"/>
        <w:right w:val="none" w:sz="0" w:space="0" w:color="auto"/>
      </w:divBdr>
      <w:divsChild>
        <w:div w:id="203710434">
          <w:marLeft w:val="0"/>
          <w:marRight w:val="0"/>
          <w:marTop w:val="547"/>
          <w:marBottom w:val="0"/>
          <w:divBdr>
            <w:top w:val="none" w:sz="0" w:space="0" w:color="auto"/>
            <w:left w:val="none" w:sz="0" w:space="0" w:color="auto"/>
            <w:bottom w:val="none" w:sz="0" w:space="0" w:color="auto"/>
            <w:right w:val="none" w:sz="0" w:space="0" w:color="auto"/>
          </w:divBdr>
        </w:div>
        <w:div w:id="2127771946">
          <w:marLeft w:val="0"/>
          <w:marRight w:val="0"/>
          <w:marTop w:val="0"/>
          <w:marBottom w:val="0"/>
          <w:divBdr>
            <w:top w:val="none" w:sz="0" w:space="0" w:color="auto"/>
            <w:left w:val="none" w:sz="0" w:space="0" w:color="auto"/>
            <w:bottom w:val="none" w:sz="0" w:space="0" w:color="auto"/>
            <w:right w:val="none" w:sz="0" w:space="0" w:color="auto"/>
          </w:divBdr>
        </w:div>
        <w:div w:id="284194777">
          <w:marLeft w:val="0"/>
          <w:marRight w:val="0"/>
          <w:marTop w:val="0"/>
          <w:marBottom w:val="600"/>
          <w:divBdr>
            <w:top w:val="none" w:sz="0" w:space="0" w:color="auto"/>
            <w:left w:val="none" w:sz="0" w:space="0" w:color="auto"/>
            <w:bottom w:val="none" w:sz="0" w:space="0" w:color="auto"/>
            <w:right w:val="none" w:sz="0" w:space="0" w:color="auto"/>
          </w:divBdr>
        </w:div>
      </w:divsChild>
    </w:div>
    <w:div w:id="1644389957">
      <w:marLeft w:val="0"/>
      <w:marRight w:val="0"/>
      <w:marTop w:val="0"/>
      <w:marBottom w:val="0"/>
      <w:divBdr>
        <w:top w:val="none" w:sz="0" w:space="0" w:color="auto"/>
        <w:left w:val="none" w:sz="0" w:space="0" w:color="auto"/>
        <w:bottom w:val="none" w:sz="0" w:space="0" w:color="auto"/>
        <w:right w:val="none" w:sz="0" w:space="0" w:color="auto"/>
      </w:divBdr>
      <w:divsChild>
        <w:div w:id="284387953">
          <w:marLeft w:val="0"/>
          <w:marRight w:val="0"/>
          <w:marTop w:val="547"/>
          <w:marBottom w:val="0"/>
          <w:divBdr>
            <w:top w:val="none" w:sz="0" w:space="0" w:color="auto"/>
            <w:left w:val="none" w:sz="0" w:space="0" w:color="auto"/>
            <w:bottom w:val="none" w:sz="0" w:space="0" w:color="auto"/>
            <w:right w:val="none" w:sz="0" w:space="0" w:color="auto"/>
          </w:divBdr>
        </w:div>
        <w:div w:id="793525187">
          <w:marLeft w:val="0"/>
          <w:marRight w:val="0"/>
          <w:marTop w:val="0"/>
          <w:marBottom w:val="0"/>
          <w:divBdr>
            <w:top w:val="none" w:sz="0" w:space="0" w:color="auto"/>
            <w:left w:val="none" w:sz="0" w:space="0" w:color="auto"/>
            <w:bottom w:val="none" w:sz="0" w:space="0" w:color="auto"/>
            <w:right w:val="none" w:sz="0" w:space="0" w:color="auto"/>
          </w:divBdr>
          <w:divsChild>
            <w:div w:id="238708591">
              <w:marLeft w:val="0"/>
              <w:marRight w:val="0"/>
              <w:marTop w:val="0"/>
              <w:marBottom w:val="0"/>
              <w:divBdr>
                <w:top w:val="none" w:sz="0" w:space="0" w:color="auto"/>
                <w:left w:val="none" w:sz="0" w:space="0" w:color="auto"/>
                <w:bottom w:val="none" w:sz="0" w:space="0" w:color="auto"/>
                <w:right w:val="none" w:sz="0" w:space="0" w:color="auto"/>
              </w:divBdr>
              <w:divsChild>
                <w:div w:id="106125952">
                  <w:marLeft w:val="0"/>
                  <w:marRight w:val="0"/>
                  <w:marTop w:val="0"/>
                  <w:marBottom w:val="0"/>
                  <w:divBdr>
                    <w:top w:val="none" w:sz="0" w:space="0" w:color="auto"/>
                    <w:left w:val="none" w:sz="0" w:space="0" w:color="auto"/>
                    <w:bottom w:val="none" w:sz="0" w:space="0" w:color="auto"/>
                    <w:right w:val="none" w:sz="0" w:space="0" w:color="auto"/>
                  </w:divBdr>
                </w:div>
              </w:divsChild>
            </w:div>
            <w:div w:id="2099595829">
              <w:marLeft w:val="0"/>
              <w:marRight w:val="0"/>
              <w:marTop w:val="0"/>
              <w:marBottom w:val="0"/>
              <w:divBdr>
                <w:top w:val="none" w:sz="0" w:space="0" w:color="auto"/>
                <w:left w:val="none" w:sz="0" w:space="0" w:color="auto"/>
                <w:bottom w:val="none" w:sz="0" w:space="0" w:color="auto"/>
                <w:right w:val="none" w:sz="0" w:space="0" w:color="auto"/>
              </w:divBdr>
              <w:divsChild>
                <w:div w:id="1169759347">
                  <w:marLeft w:val="0"/>
                  <w:marRight w:val="0"/>
                  <w:marTop w:val="0"/>
                  <w:marBottom w:val="0"/>
                  <w:divBdr>
                    <w:top w:val="none" w:sz="0" w:space="0" w:color="auto"/>
                    <w:left w:val="none" w:sz="0" w:space="0" w:color="auto"/>
                    <w:bottom w:val="none" w:sz="0" w:space="0" w:color="auto"/>
                    <w:right w:val="none" w:sz="0" w:space="0" w:color="auto"/>
                  </w:divBdr>
                </w:div>
              </w:divsChild>
            </w:div>
            <w:div w:id="679628065">
              <w:marLeft w:val="0"/>
              <w:marRight w:val="0"/>
              <w:marTop w:val="0"/>
              <w:marBottom w:val="0"/>
              <w:divBdr>
                <w:top w:val="none" w:sz="0" w:space="0" w:color="auto"/>
                <w:left w:val="none" w:sz="0" w:space="0" w:color="auto"/>
                <w:bottom w:val="none" w:sz="0" w:space="0" w:color="auto"/>
                <w:right w:val="none" w:sz="0" w:space="0" w:color="auto"/>
              </w:divBdr>
              <w:divsChild>
                <w:div w:id="1959532924">
                  <w:marLeft w:val="0"/>
                  <w:marRight w:val="0"/>
                  <w:marTop w:val="0"/>
                  <w:marBottom w:val="0"/>
                  <w:divBdr>
                    <w:top w:val="none" w:sz="0" w:space="0" w:color="auto"/>
                    <w:left w:val="none" w:sz="0" w:space="0" w:color="auto"/>
                    <w:bottom w:val="none" w:sz="0" w:space="0" w:color="auto"/>
                    <w:right w:val="none" w:sz="0" w:space="0" w:color="auto"/>
                  </w:divBdr>
                </w:div>
              </w:divsChild>
            </w:div>
            <w:div w:id="423307920">
              <w:marLeft w:val="0"/>
              <w:marRight w:val="0"/>
              <w:marTop w:val="0"/>
              <w:marBottom w:val="0"/>
              <w:divBdr>
                <w:top w:val="none" w:sz="0" w:space="0" w:color="auto"/>
                <w:left w:val="none" w:sz="0" w:space="0" w:color="auto"/>
                <w:bottom w:val="none" w:sz="0" w:space="0" w:color="auto"/>
                <w:right w:val="none" w:sz="0" w:space="0" w:color="auto"/>
              </w:divBdr>
              <w:divsChild>
                <w:div w:id="142935558">
                  <w:marLeft w:val="0"/>
                  <w:marRight w:val="0"/>
                  <w:marTop w:val="0"/>
                  <w:marBottom w:val="0"/>
                  <w:divBdr>
                    <w:top w:val="none" w:sz="0" w:space="0" w:color="auto"/>
                    <w:left w:val="none" w:sz="0" w:space="0" w:color="auto"/>
                    <w:bottom w:val="none" w:sz="0" w:space="0" w:color="auto"/>
                    <w:right w:val="none" w:sz="0" w:space="0" w:color="auto"/>
                  </w:divBdr>
                </w:div>
              </w:divsChild>
            </w:div>
            <w:div w:id="964043109">
              <w:marLeft w:val="0"/>
              <w:marRight w:val="0"/>
              <w:marTop w:val="0"/>
              <w:marBottom w:val="0"/>
              <w:divBdr>
                <w:top w:val="none" w:sz="0" w:space="0" w:color="auto"/>
                <w:left w:val="none" w:sz="0" w:space="0" w:color="auto"/>
                <w:bottom w:val="none" w:sz="0" w:space="0" w:color="auto"/>
                <w:right w:val="none" w:sz="0" w:space="0" w:color="auto"/>
              </w:divBdr>
              <w:divsChild>
                <w:div w:id="1477337937">
                  <w:marLeft w:val="0"/>
                  <w:marRight w:val="0"/>
                  <w:marTop w:val="0"/>
                  <w:marBottom w:val="0"/>
                  <w:divBdr>
                    <w:top w:val="none" w:sz="0" w:space="0" w:color="auto"/>
                    <w:left w:val="none" w:sz="0" w:space="0" w:color="auto"/>
                    <w:bottom w:val="none" w:sz="0" w:space="0" w:color="auto"/>
                    <w:right w:val="none" w:sz="0" w:space="0" w:color="auto"/>
                  </w:divBdr>
                </w:div>
              </w:divsChild>
            </w:div>
            <w:div w:id="1174760892">
              <w:marLeft w:val="0"/>
              <w:marRight w:val="0"/>
              <w:marTop w:val="0"/>
              <w:marBottom w:val="0"/>
              <w:divBdr>
                <w:top w:val="none" w:sz="0" w:space="0" w:color="auto"/>
                <w:left w:val="none" w:sz="0" w:space="0" w:color="auto"/>
                <w:bottom w:val="none" w:sz="0" w:space="0" w:color="auto"/>
                <w:right w:val="none" w:sz="0" w:space="0" w:color="auto"/>
              </w:divBdr>
              <w:divsChild>
                <w:div w:id="693724462">
                  <w:marLeft w:val="0"/>
                  <w:marRight w:val="0"/>
                  <w:marTop w:val="0"/>
                  <w:marBottom w:val="0"/>
                  <w:divBdr>
                    <w:top w:val="none" w:sz="0" w:space="0" w:color="auto"/>
                    <w:left w:val="none" w:sz="0" w:space="0" w:color="auto"/>
                    <w:bottom w:val="none" w:sz="0" w:space="0" w:color="auto"/>
                    <w:right w:val="none" w:sz="0" w:space="0" w:color="auto"/>
                  </w:divBdr>
                </w:div>
              </w:divsChild>
            </w:div>
            <w:div w:id="544877582">
              <w:marLeft w:val="0"/>
              <w:marRight w:val="0"/>
              <w:marTop w:val="0"/>
              <w:marBottom w:val="0"/>
              <w:divBdr>
                <w:top w:val="none" w:sz="0" w:space="0" w:color="auto"/>
                <w:left w:val="none" w:sz="0" w:space="0" w:color="auto"/>
                <w:bottom w:val="none" w:sz="0" w:space="0" w:color="auto"/>
                <w:right w:val="none" w:sz="0" w:space="0" w:color="auto"/>
              </w:divBdr>
              <w:divsChild>
                <w:div w:id="1994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4868">
          <w:marLeft w:val="0"/>
          <w:marRight w:val="0"/>
          <w:marTop w:val="0"/>
          <w:marBottom w:val="600"/>
          <w:divBdr>
            <w:top w:val="none" w:sz="0" w:space="0" w:color="auto"/>
            <w:left w:val="none" w:sz="0" w:space="0" w:color="auto"/>
            <w:bottom w:val="none" w:sz="0" w:space="0" w:color="auto"/>
            <w:right w:val="none" w:sz="0" w:space="0" w:color="auto"/>
          </w:divBdr>
        </w:div>
      </w:divsChild>
    </w:div>
    <w:div w:id="1659067499">
      <w:marLeft w:val="0"/>
      <w:marRight w:val="0"/>
      <w:marTop w:val="0"/>
      <w:marBottom w:val="0"/>
      <w:divBdr>
        <w:top w:val="none" w:sz="0" w:space="0" w:color="auto"/>
        <w:left w:val="none" w:sz="0" w:space="0" w:color="auto"/>
        <w:bottom w:val="none" w:sz="0" w:space="0" w:color="auto"/>
        <w:right w:val="none" w:sz="0" w:space="0" w:color="auto"/>
      </w:divBdr>
      <w:divsChild>
        <w:div w:id="1737390437">
          <w:marLeft w:val="0"/>
          <w:marRight w:val="0"/>
          <w:marTop w:val="547"/>
          <w:marBottom w:val="0"/>
          <w:divBdr>
            <w:top w:val="none" w:sz="0" w:space="0" w:color="auto"/>
            <w:left w:val="none" w:sz="0" w:space="0" w:color="auto"/>
            <w:bottom w:val="none" w:sz="0" w:space="0" w:color="auto"/>
            <w:right w:val="none" w:sz="0" w:space="0" w:color="auto"/>
          </w:divBdr>
        </w:div>
        <w:div w:id="1257710645">
          <w:marLeft w:val="0"/>
          <w:marRight w:val="0"/>
          <w:marTop w:val="0"/>
          <w:marBottom w:val="0"/>
          <w:divBdr>
            <w:top w:val="none" w:sz="0" w:space="0" w:color="auto"/>
            <w:left w:val="none" w:sz="0" w:space="0" w:color="auto"/>
            <w:bottom w:val="none" w:sz="0" w:space="0" w:color="auto"/>
            <w:right w:val="none" w:sz="0" w:space="0" w:color="auto"/>
          </w:divBdr>
        </w:div>
        <w:div w:id="379594300">
          <w:marLeft w:val="0"/>
          <w:marRight w:val="0"/>
          <w:marTop w:val="0"/>
          <w:marBottom w:val="600"/>
          <w:divBdr>
            <w:top w:val="none" w:sz="0" w:space="0" w:color="auto"/>
            <w:left w:val="none" w:sz="0" w:space="0" w:color="auto"/>
            <w:bottom w:val="none" w:sz="0" w:space="0" w:color="auto"/>
            <w:right w:val="none" w:sz="0" w:space="0" w:color="auto"/>
          </w:divBdr>
        </w:div>
      </w:divsChild>
    </w:div>
    <w:div w:id="1721979599">
      <w:marLeft w:val="0"/>
      <w:marRight w:val="0"/>
      <w:marTop w:val="0"/>
      <w:marBottom w:val="0"/>
      <w:divBdr>
        <w:top w:val="none" w:sz="0" w:space="0" w:color="auto"/>
        <w:left w:val="none" w:sz="0" w:space="0" w:color="auto"/>
        <w:bottom w:val="none" w:sz="0" w:space="0" w:color="auto"/>
        <w:right w:val="none" w:sz="0" w:space="0" w:color="auto"/>
      </w:divBdr>
      <w:divsChild>
        <w:div w:id="484395202">
          <w:marLeft w:val="0"/>
          <w:marRight w:val="0"/>
          <w:marTop w:val="547"/>
          <w:marBottom w:val="0"/>
          <w:divBdr>
            <w:top w:val="none" w:sz="0" w:space="0" w:color="auto"/>
            <w:left w:val="none" w:sz="0" w:space="0" w:color="auto"/>
            <w:bottom w:val="none" w:sz="0" w:space="0" w:color="auto"/>
            <w:right w:val="none" w:sz="0" w:space="0" w:color="auto"/>
          </w:divBdr>
        </w:div>
        <w:div w:id="1380932697">
          <w:marLeft w:val="0"/>
          <w:marRight w:val="0"/>
          <w:marTop w:val="0"/>
          <w:marBottom w:val="0"/>
          <w:divBdr>
            <w:top w:val="none" w:sz="0" w:space="0" w:color="auto"/>
            <w:left w:val="none" w:sz="0" w:space="0" w:color="auto"/>
            <w:bottom w:val="none" w:sz="0" w:space="0" w:color="auto"/>
            <w:right w:val="none" w:sz="0" w:space="0" w:color="auto"/>
          </w:divBdr>
        </w:div>
        <w:div w:id="1963337813">
          <w:marLeft w:val="0"/>
          <w:marRight w:val="0"/>
          <w:marTop w:val="0"/>
          <w:marBottom w:val="600"/>
          <w:divBdr>
            <w:top w:val="none" w:sz="0" w:space="0" w:color="auto"/>
            <w:left w:val="none" w:sz="0" w:space="0" w:color="auto"/>
            <w:bottom w:val="none" w:sz="0" w:space="0" w:color="auto"/>
            <w:right w:val="none" w:sz="0" w:space="0" w:color="auto"/>
          </w:divBdr>
        </w:div>
      </w:divsChild>
    </w:div>
    <w:div w:id="1838350948">
      <w:marLeft w:val="0"/>
      <w:marRight w:val="0"/>
      <w:marTop w:val="0"/>
      <w:marBottom w:val="0"/>
      <w:divBdr>
        <w:top w:val="none" w:sz="0" w:space="0" w:color="auto"/>
        <w:left w:val="none" w:sz="0" w:space="0" w:color="auto"/>
        <w:bottom w:val="none" w:sz="0" w:space="0" w:color="auto"/>
        <w:right w:val="none" w:sz="0" w:space="0" w:color="auto"/>
      </w:divBdr>
      <w:divsChild>
        <w:div w:id="1100951582">
          <w:marLeft w:val="0"/>
          <w:marRight w:val="0"/>
          <w:marTop w:val="547"/>
          <w:marBottom w:val="0"/>
          <w:divBdr>
            <w:top w:val="none" w:sz="0" w:space="0" w:color="auto"/>
            <w:left w:val="none" w:sz="0" w:space="0" w:color="auto"/>
            <w:bottom w:val="none" w:sz="0" w:space="0" w:color="auto"/>
            <w:right w:val="none" w:sz="0" w:space="0" w:color="auto"/>
          </w:divBdr>
        </w:div>
        <w:div w:id="2120876425">
          <w:marLeft w:val="0"/>
          <w:marRight w:val="0"/>
          <w:marTop w:val="0"/>
          <w:marBottom w:val="0"/>
          <w:divBdr>
            <w:top w:val="none" w:sz="0" w:space="0" w:color="auto"/>
            <w:left w:val="none" w:sz="0" w:space="0" w:color="auto"/>
            <w:bottom w:val="none" w:sz="0" w:space="0" w:color="auto"/>
            <w:right w:val="none" w:sz="0" w:space="0" w:color="auto"/>
          </w:divBdr>
          <w:divsChild>
            <w:div w:id="143862368">
              <w:marLeft w:val="0"/>
              <w:marRight w:val="0"/>
              <w:marTop w:val="0"/>
              <w:marBottom w:val="0"/>
              <w:divBdr>
                <w:top w:val="none" w:sz="0" w:space="0" w:color="auto"/>
                <w:left w:val="none" w:sz="0" w:space="0" w:color="auto"/>
                <w:bottom w:val="none" w:sz="0" w:space="0" w:color="auto"/>
                <w:right w:val="none" w:sz="0" w:space="0" w:color="auto"/>
              </w:divBdr>
              <w:divsChild>
                <w:div w:id="1938709817">
                  <w:marLeft w:val="0"/>
                  <w:marRight w:val="0"/>
                  <w:marTop w:val="0"/>
                  <w:marBottom w:val="0"/>
                  <w:divBdr>
                    <w:top w:val="none" w:sz="0" w:space="0" w:color="auto"/>
                    <w:left w:val="none" w:sz="0" w:space="0" w:color="auto"/>
                    <w:bottom w:val="none" w:sz="0" w:space="0" w:color="auto"/>
                    <w:right w:val="none" w:sz="0" w:space="0" w:color="auto"/>
                  </w:divBdr>
                </w:div>
              </w:divsChild>
            </w:div>
            <w:div w:id="1201740922">
              <w:marLeft w:val="0"/>
              <w:marRight w:val="0"/>
              <w:marTop w:val="0"/>
              <w:marBottom w:val="0"/>
              <w:divBdr>
                <w:top w:val="none" w:sz="0" w:space="0" w:color="auto"/>
                <w:left w:val="none" w:sz="0" w:space="0" w:color="auto"/>
                <w:bottom w:val="none" w:sz="0" w:space="0" w:color="auto"/>
                <w:right w:val="none" w:sz="0" w:space="0" w:color="auto"/>
              </w:divBdr>
              <w:divsChild>
                <w:div w:id="1119839598">
                  <w:marLeft w:val="0"/>
                  <w:marRight w:val="0"/>
                  <w:marTop w:val="0"/>
                  <w:marBottom w:val="0"/>
                  <w:divBdr>
                    <w:top w:val="none" w:sz="0" w:space="0" w:color="auto"/>
                    <w:left w:val="none" w:sz="0" w:space="0" w:color="auto"/>
                    <w:bottom w:val="none" w:sz="0" w:space="0" w:color="auto"/>
                    <w:right w:val="none" w:sz="0" w:space="0" w:color="auto"/>
                  </w:divBdr>
                </w:div>
              </w:divsChild>
            </w:div>
            <w:div w:id="1659849091">
              <w:marLeft w:val="0"/>
              <w:marRight w:val="0"/>
              <w:marTop w:val="0"/>
              <w:marBottom w:val="0"/>
              <w:divBdr>
                <w:top w:val="none" w:sz="0" w:space="0" w:color="auto"/>
                <w:left w:val="none" w:sz="0" w:space="0" w:color="auto"/>
                <w:bottom w:val="none" w:sz="0" w:space="0" w:color="auto"/>
                <w:right w:val="none" w:sz="0" w:space="0" w:color="auto"/>
              </w:divBdr>
              <w:divsChild>
                <w:div w:id="1937715026">
                  <w:marLeft w:val="0"/>
                  <w:marRight w:val="0"/>
                  <w:marTop w:val="0"/>
                  <w:marBottom w:val="0"/>
                  <w:divBdr>
                    <w:top w:val="none" w:sz="0" w:space="0" w:color="auto"/>
                    <w:left w:val="none" w:sz="0" w:space="0" w:color="auto"/>
                    <w:bottom w:val="none" w:sz="0" w:space="0" w:color="auto"/>
                    <w:right w:val="none" w:sz="0" w:space="0" w:color="auto"/>
                  </w:divBdr>
                </w:div>
              </w:divsChild>
            </w:div>
            <w:div w:id="598216022">
              <w:marLeft w:val="0"/>
              <w:marRight w:val="0"/>
              <w:marTop w:val="0"/>
              <w:marBottom w:val="0"/>
              <w:divBdr>
                <w:top w:val="none" w:sz="0" w:space="0" w:color="auto"/>
                <w:left w:val="none" w:sz="0" w:space="0" w:color="auto"/>
                <w:bottom w:val="none" w:sz="0" w:space="0" w:color="auto"/>
                <w:right w:val="none" w:sz="0" w:space="0" w:color="auto"/>
              </w:divBdr>
              <w:divsChild>
                <w:div w:id="1163475576">
                  <w:marLeft w:val="0"/>
                  <w:marRight w:val="0"/>
                  <w:marTop w:val="0"/>
                  <w:marBottom w:val="0"/>
                  <w:divBdr>
                    <w:top w:val="none" w:sz="0" w:space="0" w:color="auto"/>
                    <w:left w:val="none" w:sz="0" w:space="0" w:color="auto"/>
                    <w:bottom w:val="none" w:sz="0" w:space="0" w:color="auto"/>
                    <w:right w:val="none" w:sz="0" w:space="0" w:color="auto"/>
                  </w:divBdr>
                </w:div>
              </w:divsChild>
            </w:div>
            <w:div w:id="1514759954">
              <w:marLeft w:val="0"/>
              <w:marRight w:val="0"/>
              <w:marTop w:val="0"/>
              <w:marBottom w:val="0"/>
              <w:divBdr>
                <w:top w:val="none" w:sz="0" w:space="0" w:color="auto"/>
                <w:left w:val="none" w:sz="0" w:space="0" w:color="auto"/>
                <w:bottom w:val="none" w:sz="0" w:space="0" w:color="auto"/>
                <w:right w:val="none" w:sz="0" w:space="0" w:color="auto"/>
              </w:divBdr>
              <w:divsChild>
                <w:div w:id="649401691">
                  <w:marLeft w:val="0"/>
                  <w:marRight w:val="0"/>
                  <w:marTop w:val="0"/>
                  <w:marBottom w:val="0"/>
                  <w:divBdr>
                    <w:top w:val="none" w:sz="0" w:space="0" w:color="auto"/>
                    <w:left w:val="none" w:sz="0" w:space="0" w:color="auto"/>
                    <w:bottom w:val="none" w:sz="0" w:space="0" w:color="auto"/>
                    <w:right w:val="none" w:sz="0" w:space="0" w:color="auto"/>
                  </w:divBdr>
                </w:div>
              </w:divsChild>
            </w:div>
            <w:div w:id="1820002767">
              <w:marLeft w:val="0"/>
              <w:marRight w:val="0"/>
              <w:marTop w:val="0"/>
              <w:marBottom w:val="0"/>
              <w:divBdr>
                <w:top w:val="none" w:sz="0" w:space="0" w:color="auto"/>
                <w:left w:val="none" w:sz="0" w:space="0" w:color="auto"/>
                <w:bottom w:val="none" w:sz="0" w:space="0" w:color="auto"/>
                <w:right w:val="none" w:sz="0" w:space="0" w:color="auto"/>
              </w:divBdr>
              <w:divsChild>
                <w:div w:id="1174607219">
                  <w:marLeft w:val="0"/>
                  <w:marRight w:val="0"/>
                  <w:marTop w:val="0"/>
                  <w:marBottom w:val="0"/>
                  <w:divBdr>
                    <w:top w:val="none" w:sz="0" w:space="0" w:color="auto"/>
                    <w:left w:val="none" w:sz="0" w:space="0" w:color="auto"/>
                    <w:bottom w:val="none" w:sz="0" w:space="0" w:color="auto"/>
                    <w:right w:val="none" w:sz="0" w:space="0" w:color="auto"/>
                  </w:divBdr>
                </w:div>
              </w:divsChild>
            </w:div>
            <w:div w:id="721175865">
              <w:marLeft w:val="0"/>
              <w:marRight w:val="0"/>
              <w:marTop w:val="0"/>
              <w:marBottom w:val="0"/>
              <w:divBdr>
                <w:top w:val="none" w:sz="0" w:space="0" w:color="auto"/>
                <w:left w:val="none" w:sz="0" w:space="0" w:color="auto"/>
                <w:bottom w:val="none" w:sz="0" w:space="0" w:color="auto"/>
                <w:right w:val="none" w:sz="0" w:space="0" w:color="auto"/>
              </w:divBdr>
              <w:divsChild>
                <w:div w:id="1741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0987">
          <w:marLeft w:val="0"/>
          <w:marRight w:val="0"/>
          <w:marTop w:val="0"/>
          <w:marBottom w:val="600"/>
          <w:divBdr>
            <w:top w:val="none" w:sz="0" w:space="0" w:color="auto"/>
            <w:left w:val="none" w:sz="0" w:space="0" w:color="auto"/>
            <w:bottom w:val="none" w:sz="0" w:space="0" w:color="auto"/>
            <w:right w:val="none" w:sz="0" w:space="0" w:color="auto"/>
          </w:divBdr>
        </w:div>
      </w:divsChild>
    </w:div>
    <w:div w:id="1848864448">
      <w:marLeft w:val="0"/>
      <w:marRight w:val="0"/>
      <w:marTop w:val="0"/>
      <w:marBottom w:val="0"/>
      <w:divBdr>
        <w:top w:val="none" w:sz="0" w:space="0" w:color="auto"/>
        <w:left w:val="none" w:sz="0" w:space="0" w:color="auto"/>
        <w:bottom w:val="none" w:sz="0" w:space="0" w:color="auto"/>
        <w:right w:val="none" w:sz="0" w:space="0" w:color="auto"/>
      </w:divBdr>
      <w:divsChild>
        <w:div w:id="1613123903">
          <w:marLeft w:val="0"/>
          <w:marRight w:val="0"/>
          <w:marTop w:val="547"/>
          <w:marBottom w:val="0"/>
          <w:divBdr>
            <w:top w:val="none" w:sz="0" w:space="0" w:color="auto"/>
            <w:left w:val="none" w:sz="0" w:space="0" w:color="auto"/>
            <w:bottom w:val="none" w:sz="0" w:space="0" w:color="auto"/>
            <w:right w:val="none" w:sz="0" w:space="0" w:color="auto"/>
          </w:divBdr>
        </w:div>
        <w:div w:id="1703238702">
          <w:marLeft w:val="0"/>
          <w:marRight w:val="0"/>
          <w:marTop w:val="0"/>
          <w:marBottom w:val="0"/>
          <w:divBdr>
            <w:top w:val="none" w:sz="0" w:space="0" w:color="auto"/>
            <w:left w:val="none" w:sz="0" w:space="0" w:color="auto"/>
            <w:bottom w:val="none" w:sz="0" w:space="0" w:color="auto"/>
            <w:right w:val="none" w:sz="0" w:space="0" w:color="auto"/>
          </w:divBdr>
        </w:div>
        <w:div w:id="1815826457">
          <w:marLeft w:val="0"/>
          <w:marRight w:val="0"/>
          <w:marTop w:val="0"/>
          <w:marBottom w:val="600"/>
          <w:divBdr>
            <w:top w:val="none" w:sz="0" w:space="0" w:color="auto"/>
            <w:left w:val="none" w:sz="0" w:space="0" w:color="auto"/>
            <w:bottom w:val="none" w:sz="0" w:space="0" w:color="auto"/>
            <w:right w:val="none" w:sz="0" w:space="0" w:color="auto"/>
          </w:divBdr>
        </w:div>
      </w:divsChild>
    </w:div>
    <w:div w:id="1898273842">
      <w:marLeft w:val="0"/>
      <w:marRight w:val="0"/>
      <w:marTop w:val="0"/>
      <w:marBottom w:val="0"/>
      <w:divBdr>
        <w:top w:val="none" w:sz="0" w:space="0" w:color="auto"/>
        <w:left w:val="none" w:sz="0" w:space="0" w:color="auto"/>
        <w:bottom w:val="none" w:sz="0" w:space="0" w:color="auto"/>
        <w:right w:val="none" w:sz="0" w:space="0" w:color="auto"/>
      </w:divBdr>
      <w:divsChild>
        <w:div w:id="1568882390">
          <w:marLeft w:val="0"/>
          <w:marRight w:val="0"/>
          <w:marTop w:val="547"/>
          <w:marBottom w:val="0"/>
          <w:divBdr>
            <w:top w:val="none" w:sz="0" w:space="0" w:color="auto"/>
            <w:left w:val="none" w:sz="0" w:space="0" w:color="auto"/>
            <w:bottom w:val="none" w:sz="0" w:space="0" w:color="auto"/>
            <w:right w:val="none" w:sz="0" w:space="0" w:color="auto"/>
          </w:divBdr>
        </w:div>
        <w:div w:id="535702655">
          <w:marLeft w:val="0"/>
          <w:marRight w:val="0"/>
          <w:marTop w:val="0"/>
          <w:marBottom w:val="0"/>
          <w:divBdr>
            <w:top w:val="none" w:sz="0" w:space="0" w:color="auto"/>
            <w:left w:val="none" w:sz="0" w:space="0" w:color="auto"/>
            <w:bottom w:val="none" w:sz="0" w:space="0" w:color="auto"/>
            <w:right w:val="none" w:sz="0" w:space="0" w:color="auto"/>
          </w:divBdr>
        </w:div>
        <w:div w:id="491221316">
          <w:marLeft w:val="0"/>
          <w:marRight w:val="0"/>
          <w:marTop w:val="0"/>
          <w:marBottom w:val="600"/>
          <w:divBdr>
            <w:top w:val="none" w:sz="0" w:space="0" w:color="auto"/>
            <w:left w:val="none" w:sz="0" w:space="0" w:color="auto"/>
            <w:bottom w:val="none" w:sz="0" w:space="0" w:color="auto"/>
            <w:right w:val="none" w:sz="0" w:space="0" w:color="auto"/>
          </w:divBdr>
        </w:div>
      </w:divsChild>
    </w:div>
    <w:div w:id="1898936680">
      <w:marLeft w:val="0"/>
      <w:marRight w:val="0"/>
      <w:marTop w:val="0"/>
      <w:marBottom w:val="0"/>
      <w:divBdr>
        <w:top w:val="none" w:sz="0" w:space="0" w:color="auto"/>
        <w:left w:val="none" w:sz="0" w:space="0" w:color="auto"/>
        <w:bottom w:val="none" w:sz="0" w:space="0" w:color="auto"/>
        <w:right w:val="none" w:sz="0" w:space="0" w:color="auto"/>
      </w:divBdr>
      <w:divsChild>
        <w:div w:id="275645260">
          <w:marLeft w:val="0"/>
          <w:marRight w:val="0"/>
          <w:marTop w:val="547"/>
          <w:marBottom w:val="0"/>
          <w:divBdr>
            <w:top w:val="none" w:sz="0" w:space="0" w:color="auto"/>
            <w:left w:val="none" w:sz="0" w:space="0" w:color="auto"/>
            <w:bottom w:val="none" w:sz="0" w:space="0" w:color="auto"/>
            <w:right w:val="none" w:sz="0" w:space="0" w:color="auto"/>
          </w:divBdr>
        </w:div>
        <w:div w:id="368410181">
          <w:marLeft w:val="0"/>
          <w:marRight w:val="0"/>
          <w:marTop w:val="0"/>
          <w:marBottom w:val="0"/>
          <w:divBdr>
            <w:top w:val="none" w:sz="0" w:space="0" w:color="auto"/>
            <w:left w:val="none" w:sz="0" w:space="0" w:color="auto"/>
            <w:bottom w:val="none" w:sz="0" w:space="0" w:color="auto"/>
            <w:right w:val="none" w:sz="0" w:space="0" w:color="auto"/>
          </w:divBdr>
        </w:div>
        <w:div w:id="1380713672">
          <w:marLeft w:val="0"/>
          <w:marRight w:val="0"/>
          <w:marTop w:val="0"/>
          <w:marBottom w:val="600"/>
          <w:divBdr>
            <w:top w:val="none" w:sz="0" w:space="0" w:color="auto"/>
            <w:left w:val="none" w:sz="0" w:space="0" w:color="auto"/>
            <w:bottom w:val="none" w:sz="0" w:space="0" w:color="auto"/>
            <w:right w:val="none" w:sz="0" w:space="0" w:color="auto"/>
          </w:divBdr>
        </w:div>
      </w:divsChild>
    </w:div>
    <w:div w:id="1932548613">
      <w:marLeft w:val="0"/>
      <w:marRight w:val="0"/>
      <w:marTop w:val="0"/>
      <w:marBottom w:val="0"/>
      <w:divBdr>
        <w:top w:val="none" w:sz="0" w:space="0" w:color="auto"/>
        <w:left w:val="none" w:sz="0" w:space="0" w:color="auto"/>
        <w:bottom w:val="none" w:sz="0" w:space="0" w:color="auto"/>
        <w:right w:val="none" w:sz="0" w:space="0" w:color="auto"/>
      </w:divBdr>
      <w:divsChild>
        <w:div w:id="1633364192">
          <w:marLeft w:val="0"/>
          <w:marRight w:val="0"/>
          <w:marTop w:val="547"/>
          <w:marBottom w:val="0"/>
          <w:divBdr>
            <w:top w:val="none" w:sz="0" w:space="0" w:color="auto"/>
            <w:left w:val="none" w:sz="0" w:space="0" w:color="auto"/>
            <w:bottom w:val="none" w:sz="0" w:space="0" w:color="auto"/>
            <w:right w:val="none" w:sz="0" w:space="0" w:color="auto"/>
          </w:divBdr>
        </w:div>
        <w:div w:id="973364270">
          <w:marLeft w:val="0"/>
          <w:marRight w:val="0"/>
          <w:marTop w:val="0"/>
          <w:marBottom w:val="0"/>
          <w:divBdr>
            <w:top w:val="none" w:sz="0" w:space="0" w:color="auto"/>
            <w:left w:val="none" w:sz="0" w:space="0" w:color="auto"/>
            <w:bottom w:val="none" w:sz="0" w:space="0" w:color="auto"/>
            <w:right w:val="none" w:sz="0" w:space="0" w:color="auto"/>
          </w:divBdr>
        </w:div>
        <w:div w:id="2041735752">
          <w:marLeft w:val="0"/>
          <w:marRight w:val="0"/>
          <w:marTop w:val="0"/>
          <w:marBottom w:val="600"/>
          <w:divBdr>
            <w:top w:val="none" w:sz="0" w:space="0" w:color="auto"/>
            <w:left w:val="none" w:sz="0" w:space="0" w:color="auto"/>
            <w:bottom w:val="none" w:sz="0" w:space="0" w:color="auto"/>
            <w:right w:val="none" w:sz="0" w:space="0" w:color="auto"/>
          </w:divBdr>
        </w:div>
      </w:divsChild>
    </w:div>
    <w:div w:id="1934632460">
      <w:marLeft w:val="0"/>
      <w:marRight w:val="0"/>
      <w:marTop w:val="0"/>
      <w:marBottom w:val="0"/>
      <w:divBdr>
        <w:top w:val="none" w:sz="0" w:space="0" w:color="auto"/>
        <w:left w:val="none" w:sz="0" w:space="0" w:color="auto"/>
        <w:bottom w:val="none" w:sz="0" w:space="0" w:color="auto"/>
        <w:right w:val="none" w:sz="0" w:space="0" w:color="auto"/>
      </w:divBdr>
      <w:divsChild>
        <w:div w:id="977689620">
          <w:marLeft w:val="0"/>
          <w:marRight w:val="0"/>
          <w:marTop w:val="547"/>
          <w:marBottom w:val="0"/>
          <w:divBdr>
            <w:top w:val="none" w:sz="0" w:space="0" w:color="auto"/>
            <w:left w:val="none" w:sz="0" w:space="0" w:color="auto"/>
            <w:bottom w:val="none" w:sz="0" w:space="0" w:color="auto"/>
            <w:right w:val="none" w:sz="0" w:space="0" w:color="auto"/>
          </w:divBdr>
        </w:div>
        <w:div w:id="306014809">
          <w:marLeft w:val="0"/>
          <w:marRight w:val="0"/>
          <w:marTop w:val="0"/>
          <w:marBottom w:val="0"/>
          <w:divBdr>
            <w:top w:val="none" w:sz="0" w:space="0" w:color="auto"/>
            <w:left w:val="none" w:sz="0" w:space="0" w:color="auto"/>
            <w:bottom w:val="none" w:sz="0" w:space="0" w:color="auto"/>
            <w:right w:val="none" w:sz="0" w:space="0" w:color="auto"/>
          </w:divBdr>
        </w:div>
        <w:div w:id="276983128">
          <w:marLeft w:val="0"/>
          <w:marRight w:val="0"/>
          <w:marTop w:val="0"/>
          <w:marBottom w:val="600"/>
          <w:divBdr>
            <w:top w:val="none" w:sz="0" w:space="0" w:color="auto"/>
            <w:left w:val="none" w:sz="0" w:space="0" w:color="auto"/>
            <w:bottom w:val="none" w:sz="0" w:space="0" w:color="auto"/>
            <w:right w:val="none" w:sz="0" w:space="0" w:color="auto"/>
          </w:divBdr>
        </w:div>
      </w:divsChild>
    </w:div>
    <w:div w:id="1968899738">
      <w:marLeft w:val="0"/>
      <w:marRight w:val="0"/>
      <w:marTop w:val="0"/>
      <w:marBottom w:val="0"/>
      <w:divBdr>
        <w:top w:val="none" w:sz="0" w:space="0" w:color="auto"/>
        <w:left w:val="none" w:sz="0" w:space="0" w:color="auto"/>
        <w:bottom w:val="none" w:sz="0" w:space="0" w:color="auto"/>
        <w:right w:val="none" w:sz="0" w:space="0" w:color="auto"/>
      </w:divBdr>
      <w:divsChild>
        <w:div w:id="529218655">
          <w:marLeft w:val="0"/>
          <w:marRight w:val="0"/>
          <w:marTop w:val="547"/>
          <w:marBottom w:val="0"/>
          <w:divBdr>
            <w:top w:val="none" w:sz="0" w:space="0" w:color="auto"/>
            <w:left w:val="none" w:sz="0" w:space="0" w:color="auto"/>
            <w:bottom w:val="none" w:sz="0" w:space="0" w:color="auto"/>
            <w:right w:val="none" w:sz="0" w:space="0" w:color="auto"/>
          </w:divBdr>
        </w:div>
        <w:div w:id="95374190">
          <w:marLeft w:val="0"/>
          <w:marRight w:val="0"/>
          <w:marTop w:val="0"/>
          <w:marBottom w:val="0"/>
          <w:divBdr>
            <w:top w:val="none" w:sz="0" w:space="0" w:color="auto"/>
            <w:left w:val="none" w:sz="0" w:space="0" w:color="auto"/>
            <w:bottom w:val="none" w:sz="0" w:space="0" w:color="auto"/>
            <w:right w:val="none" w:sz="0" w:space="0" w:color="auto"/>
          </w:divBdr>
        </w:div>
        <w:div w:id="1527864006">
          <w:marLeft w:val="0"/>
          <w:marRight w:val="0"/>
          <w:marTop w:val="0"/>
          <w:marBottom w:val="600"/>
          <w:divBdr>
            <w:top w:val="none" w:sz="0" w:space="0" w:color="auto"/>
            <w:left w:val="none" w:sz="0" w:space="0" w:color="auto"/>
            <w:bottom w:val="none" w:sz="0" w:space="0" w:color="auto"/>
            <w:right w:val="none" w:sz="0" w:space="0" w:color="auto"/>
          </w:divBdr>
        </w:div>
      </w:divsChild>
    </w:div>
    <w:div w:id="1987542087">
      <w:marLeft w:val="0"/>
      <w:marRight w:val="0"/>
      <w:marTop w:val="0"/>
      <w:marBottom w:val="0"/>
      <w:divBdr>
        <w:top w:val="none" w:sz="0" w:space="0" w:color="auto"/>
        <w:left w:val="none" w:sz="0" w:space="0" w:color="auto"/>
        <w:bottom w:val="none" w:sz="0" w:space="0" w:color="auto"/>
        <w:right w:val="none" w:sz="0" w:space="0" w:color="auto"/>
      </w:divBdr>
      <w:divsChild>
        <w:div w:id="1083648618">
          <w:marLeft w:val="0"/>
          <w:marRight w:val="0"/>
          <w:marTop w:val="547"/>
          <w:marBottom w:val="0"/>
          <w:divBdr>
            <w:top w:val="none" w:sz="0" w:space="0" w:color="auto"/>
            <w:left w:val="none" w:sz="0" w:space="0" w:color="auto"/>
            <w:bottom w:val="none" w:sz="0" w:space="0" w:color="auto"/>
            <w:right w:val="none" w:sz="0" w:space="0" w:color="auto"/>
          </w:divBdr>
        </w:div>
        <w:div w:id="566768407">
          <w:marLeft w:val="0"/>
          <w:marRight w:val="0"/>
          <w:marTop w:val="0"/>
          <w:marBottom w:val="0"/>
          <w:divBdr>
            <w:top w:val="none" w:sz="0" w:space="0" w:color="auto"/>
            <w:left w:val="none" w:sz="0" w:space="0" w:color="auto"/>
            <w:bottom w:val="none" w:sz="0" w:space="0" w:color="auto"/>
            <w:right w:val="none" w:sz="0" w:space="0" w:color="auto"/>
          </w:divBdr>
          <w:divsChild>
            <w:div w:id="49505713">
              <w:marLeft w:val="0"/>
              <w:marRight w:val="0"/>
              <w:marTop w:val="0"/>
              <w:marBottom w:val="0"/>
              <w:divBdr>
                <w:top w:val="none" w:sz="0" w:space="0" w:color="auto"/>
                <w:left w:val="none" w:sz="0" w:space="0" w:color="auto"/>
                <w:bottom w:val="none" w:sz="0" w:space="0" w:color="auto"/>
                <w:right w:val="none" w:sz="0" w:space="0" w:color="auto"/>
              </w:divBdr>
              <w:divsChild>
                <w:div w:id="1250888041">
                  <w:marLeft w:val="0"/>
                  <w:marRight w:val="0"/>
                  <w:marTop w:val="0"/>
                  <w:marBottom w:val="0"/>
                  <w:divBdr>
                    <w:top w:val="none" w:sz="0" w:space="0" w:color="auto"/>
                    <w:left w:val="none" w:sz="0" w:space="0" w:color="auto"/>
                    <w:bottom w:val="none" w:sz="0" w:space="0" w:color="auto"/>
                    <w:right w:val="none" w:sz="0" w:space="0" w:color="auto"/>
                  </w:divBdr>
                </w:div>
              </w:divsChild>
            </w:div>
            <w:div w:id="1953049912">
              <w:marLeft w:val="0"/>
              <w:marRight w:val="0"/>
              <w:marTop w:val="0"/>
              <w:marBottom w:val="0"/>
              <w:divBdr>
                <w:top w:val="none" w:sz="0" w:space="0" w:color="auto"/>
                <w:left w:val="none" w:sz="0" w:space="0" w:color="auto"/>
                <w:bottom w:val="none" w:sz="0" w:space="0" w:color="auto"/>
                <w:right w:val="none" w:sz="0" w:space="0" w:color="auto"/>
              </w:divBdr>
              <w:divsChild>
                <w:div w:id="1539004639">
                  <w:marLeft w:val="0"/>
                  <w:marRight w:val="0"/>
                  <w:marTop w:val="0"/>
                  <w:marBottom w:val="0"/>
                  <w:divBdr>
                    <w:top w:val="none" w:sz="0" w:space="0" w:color="auto"/>
                    <w:left w:val="none" w:sz="0" w:space="0" w:color="auto"/>
                    <w:bottom w:val="none" w:sz="0" w:space="0" w:color="auto"/>
                    <w:right w:val="none" w:sz="0" w:space="0" w:color="auto"/>
                  </w:divBdr>
                </w:div>
              </w:divsChild>
            </w:div>
            <w:div w:id="1030716434">
              <w:marLeft w:val="0"/>
              <w:marRight w:val="0"/>
              <w:marTop w:val="0"/>
              <w:marBottom w:val="0"/>
              <w:divBdr>
                <w:top w:val="none" w:sz="0" w:space="0" w:color="auto"/>
                <w:left w:val="none" w:sz="0" w:space="0" w:color="auto"/>
                <w:bottom w:val="none" w:sz="0" w:space="0" w:color="auto"/>
                <w:right w:val="none" w:sz="0" w:space="0" w:color="auto"/>
              </w:divBdr>
              <w:divsChild>
                <w:div w:id="1593468596">
                  <w:marLeft w:val="0"/>
                  <w:marRight w:val="0"/>
                  <w:marTop w:val="0"/>
                  <w:marBottom w:val="0"/>
                  <w:divBdr>
                    <w:top w:val="none" w:sz="0" w:space="0" w:color="auto"/>
                    <w:left w:val="none" w:sz="0" w:space="0" w:color="auto"/>
                    <w:bottom w:val="none" w:sz="0" w:space="0" w:color="auto"/>
                    <w:right w:val="none" w:sz="0" w:space="0" w:color="auto"/>
                  </w:divBdr>
                </w:div>
              </w:divsChild>
            </w:div>
            <w:div w:id="1239096752">
              <w:marLeft w:val="0"/>
              <w:marRight w:val="0"/>
              <w:marTop w:val="0"/>
              <w:marBottom w:val="0"/>
              <w:divBdr>
                <w:top w:val="none" w:sz="0" w:space="0" w:color="auto"/>
                <w:left w:val="none" w:sz="0" w:space="0" w:color="auto"/>
                <w:bottom w:val="none" w:sz="0" w:space="0" w:color="auto"/>
                <w:right w:val="none" w:sz="0" w:space="0" w:color="auto"/>
              </w:divBdr>
              <w:divsChild>
                <w:div w:id="1669819952">
                  <w:marLeft w:val="0"/>
                  <w:marRight w:val="0"/>
                  <w:marTop w:val="0"/>
                  <w:marBottom w:val="0"/>
                  <w:divBdr>
                    <w:top w:val="none" w:sz="0" w:space="0" w:color="auto"/>
                    <w:left w:val="none" w:sz="0" w:space="0" w:color="auto"/>
                    <w:bottom w:val="none" w:sz="0" w:space="0" w:color="auto"/>
                    <w:right w:val="none" w:sz="0" w:space="0" w:color="auto"/>
                  </w:divBdr>
                </w:div>
              </w:divsChild>
            </w:div>
            <w:div w:id="580262984">
              <w:marLeft w:val="0"/>
              <w:marRight w:val="0"/>
              <w:marTop w:val="0"/>
              <w:marBottom w:val="0"/>
              <w:divBdr>
                <w:top w:val="none" w:sz="0" w:space="0" w:color="auto"/>
                <w:left w:val="none" w:sz="0" w:space="0" w:color="auto"/>
                <w:bottom w:val="none" w:sz="0" w:space="0" w:color="auto"/>
                <w:right w:val="none" w:sz="0" w:space="0" w:color="auto"/>
              </w:divBdr>
              <w:divsChild>
                <w:div w:id="1910726203">
                  <w:marLeft w:val="0"/>
                  <w:marRight w:val="0"/>
                  <w:marTop w:val="0"/>
                  <w:marBottom w:val="0"/>
                  <w:divBdr>
                    <w:top w:val="none" w:sz="0" w:space="0" w:color="auto"/>
                    <w:left w:val="none" w:sz="0" w:space="0" w:color="auto"/>
                    <w:bottom w:val="none" w:sz="0" w:space="0" w:color="auto"/>
                    <w:right w:val="none" w:sz="0" w:space="0" w:color="auto"/>
                  </w:divBdr>
                </w:div>
              </w:divsChild>
            </w:div>
            <w:div w:id="658577511">
              <w:marLeft w:val="0"/>
              <w:marRight w:val="0"/>
              <w:marTop w:val="0"/>
              <w:marBottom w:val="0"/>
              <w:divBdr>
                <w:top w:val="none" w:sz="0" w:space="0" w:color="auto"/>
                <w:left w:val="none" w:sz="0" w:space="0" w:color="auto"/>
                <w:bottom w:val="none" w:sz="0" w:space="0" w:color="auto"/>
                <w:right w:val="none" w:sz="0" w:space="0" w:color="auto"/>
              </w:divBdr>
              <w:divsChild>
                <w:div w:id="2066833739">
                  <w:marLeft w:val="0"/>
                  <w:marRight w:val="0"/>
                  <w:marTop w:val="0"/>
                  <w:marBottom w:val="0"/>
                  <w:divBdr>
                    <w:top w:val="none" w:sz="0" w:space="0" w:color="auto"/>
                    <w:left w:val="none" w:sz="0" w:space="0" w:color="auto"/>
                    <w:bottom w:val="none" w:sz="0" w:space="0" w:color="auto"/>
                    <w:right w:val="none" w:sz="0" w:space="0" w:color="auto"/>
                  </w:divBdr>
                </w:div>
              </w:divsChild>
            </w:div>
            <w:div w:id="1963609948">
              <w:marLeft w:val="0"/>
              <w:marRight w:val="0"/>
              <w:marTop w:val="0"/>
              <w:marBottom w:val="0"/>
              <w:divBdr>
                <w:top w:val="none" w:sz="0" w:space="0" w:color="auto"/>
                <w:left w:val="none" w:sz="0" w:space="0" w:color="auto"/>
                <w:bottom w:val="none" w:sz="0" w:space="0" w:color="auto"/>
                <w:right w:val="none" w:sz="0" w:space="0" w:color="auto"/>
              </w:divBdr>
              <w:divsChild>
                <w:div w:id="973173367">
                  <w:marLeft w:val="0"/>
                  <w:marRight w:val="0"/>
                  <w:marTop w:val="0"/>
                  <w:marBottom w:val="0"/>
                  <w:divBdr>
                    <w:top w:val="none" w:sz="0" w:space="0" w:color="auto"/>
                    <w:left w:val="none" w:sz="0" w:space="0" w:color="auto"/>
                    <w:bottom w:val="none" w:sz="0" w:space="0" w:color="auto"/>
                    <w:right w:val="none" w:sz="0" w:space="0" w:color="auto"/>
                  </w:divBdr>
                </w:div>
              </w:divsChild>
            </w:div>
            <w:div w:id="1572815480">
              <w:marLeft w:val="0"/>
              <w:marRight w:val="0"/>
              <w:marTop w:val="0"/>
              <w:marBottom w:val="0"/>
              <w:divBdr>
                <w:top w:val="none" w:sz="0" w:space="0" w:color="auto"/>
                <w:left w:val="none" w:sz="0" w:space="0" w:color="auto"/>
                <w:bottom w:val="none" w:sz="0" w:space="0" w:color="auto"/>
                <w:right w:val="none" w:sz="0" w:space="0" w:color="auto"/>
              </w:divBdr>
            </w:div>
          </w:divsChild>
        </w:div>
        <w:div w:id="20252335">
          <w:marLeft w:val="0"/>
          <w:marRight w:val="0"/>
          <w:marTop w:val="0"/>
          <w:marBottom w:val="600"/>
          <w:divBdr>
            <w:top w:val="none" w:sz="0" w:space="0" w:color="auto"/>
            <w:left w:val="none" w:sz="0" w:space="0" w:color="auto"/>
            <w:bottom w:val="none" w:sz="0" w:space="0" w:color="auto"/>
            <w:right w:val="none" w:sz="0" w:space="0" w:color="auto"/>
          </w:divBdr>
        </w:div>
      </w:divsChild>
    </w:div>
    <w:div w:id="2009794987">
      <w:marLeft w:val="0"/>
      <w:marRight w:val="0"/>
      <w:marTop w:val="0"/>
      <w:marBottom w:val="0"/>
      <w:divBdr>
        <w:top w:val="none" w:sz="0" w:space="0" w:color="auto"/>
        <w:left w:val="none" w:sz="0" w:space="0" w:color="auto"/>
        <w:bottom w:val="none" w:sz="0" w:space="0" w:color="auto"/>
        <w:right w:val="none" w:sz="0" w:space="0" w:color="auto"/>
      </w:divBdr>
      <w:divsChild>
        <w:div w:id="1400715148">
          <w:marLeft w:val="0"/>
          <w:marRight w:val="0"/>
          <w:marTop w:val="547"/>
          <w:marBottom w:val="0"/>
          <w:divBdr>
            <w:top w:val="none" w:sz="0" w:space="0" w:color="auto"/>
            <w:left w:val="none" w:sz="0" w:space="0" w:color="auto"/>
            <w:bottom w:val="none" w:sz="0" w:space="0" w:color="auto"/>
            <w:right w:val="none" w:sz="0" w:space="0" w:color="auto"/>
          </w:divBdr>
        </w:div>
        <w:div w:id="135755940">
          <w:marLeft w:val="0"/>
          <w:marRight w:val="0"/>
          <w:marTop w:val="0"/>
          <w:marBottom w:val="0"/>
          <w:divBdr>
            <w:top w:val="none" w:sz="0" w:space="0" w:color="auto"/>
            <w:left w:val="none" w:sz="0" w:space="0" w:color="auto"/>
            <w:bottom w:val="none" w:sz="0" w:space="0" w:color="auto"/>
            <w:right w:val="none" w:sz="0" w:space="0" w:color="auto"/>
          </w:divBdr>
        </w:div>
        <w:div w:id="1516187387">
          <w:marLeft w:val="0"/>
          <w:marRight w:val="0"/>
          <w:marTop w:val="0"/>
          <w:marBottom w:val="600"/>
          <w:divBdr>
            <w:top w:val="none" w:sz="0" w:space="0" w:color="auto"/>
            <w:left w:val="none" w:sz="0" w:space="0" w:color="auto"/>
            <w:bottom w:val="none" w:sz="0" w:space="0" w:color="auto"/>
            <w:right w:val="none" w:sz="0" w:space="0" w:color="auto"/>
          </w:divBdr>
        </w:div>
      </w:divsChild>
    </w:div>
    <w:div w:id="2079353435">
      <w:marLeft w:val="0"/>
      <w:marRight w:val="0"/>
      <w:marTop w:val="0"/>
      <w:marBottom w:val="0"/>
      <w:divBdr>
        <w:top w:val="none" w:sz="0" w:space="0" w:color="auto"/>
        <w:left w:val="none" w:sz="0" w:space="0" w:color="auto"/>
        <w:bottom w:val="none" w:sz="0" w:space="0" w:color="auto"/>
        <w:right w:val="none" w:sz="0" w:space="0" w:color="auto"/>
      </w:divBdr>
      <w:divsChild>
        <w:div w:id="42409049">
          <w:marLeft w:val="0"/>
          <w:marRight w:val="0"/>
          <w:marTop w:val="547"/>
          <w:marBottom w:val="0"/>
          <w:divBdr>
            <w:top w:val="none" w:sz="0" w:space="0" w:color="auto"/>
            <w:left w:val="none" w:sz="0" w:space="0" w:color="auto"/>
            <w:bottom w:val="none" w:sz="0" w:space="0" w:color="auto"/>
            <w:right w:val="none" w:sz="0" w:space="0" w:color="auto"/>
          </w:divBdr>
        </w:div>
        <w:div w:id="1106803752">
          <w:marLeft w:val="0"/>
          <w:marRight w:val="0"/>
          <w:marTop w:val="0"/>
          <w:marBottom w:val="0"/>
          <w:divBdr>
            <w:top w:val="none" w:sz="0" w:space="0" w:color="auto"/>
            <w:left w:val="none" w:sz="0" w:space="0" w:color="auto"/>
            <w:bottom w:val="none" w:sz="0" w:space="0" w:color="auto"/>
            <w:right w:val="none" w:sz="0" w:space="0" w:color="auto"/>
          </w:divBdr>
        </w:div>
        <w:div w:id="934292356">
          <w:marLeft w:val="0"/>
          <w:marRight w:val="0"/>
          <w:marTop w:val="0"/>
          <w:marBottom w:val="600"/>
          <w:divBdr>
            <w:top w:val="none" w:sz="0" w:space="0" w:color="auto"/>
            <w:left w:val="none" w:sz="0" w:space="0" w:color="auto"/>
            <w:bottom w:val="none" w:sz="0" w:space="0" w:color="auto"/>
            <w:right w:val="none" w:sz="0" w:space="0" w:color="auto"/>
          </w:divBdr>
        </w:div>
      </w:divsChild>
    </w:div>
    <w:div w:id="2090037537">
      <w:marLeft w:val="0"/>
      <w:marRight w:val="0"/>
      <w:marTop w:val="0"/>
      <w:marBottom w:val="0"/>
      <w:divBdr>
        <w:top w:val="none" w:sz="0" w:space="0" w:color="auto"/>
        <w:left w:val="none" w:sz="0" w:space="0" w:color="auto"/>
        <w:bottom w:val="none" w:sz="0" w:space="0" w:color="auto"/>
        <w:right w:val="none" w:sz="0" w:space="0" w:color="auto"/>
      </w:divBdr>
      <w:divsChild>
        <w:div w:id="912011604">
          <w:marLeft w:val="0"/>
          <w:marRight w:val="0"/>
          <w:marTop w:val="547"/>
          <w:marBottom w:val="0"/>
          <w:divBdr>
            <w:top w:val="none" w:sz="0" w:space="0" w:color="auto"/>
            <w:left w:val="none" w:sz="0" w:space="0" w:color="auto"/>
            <w:bottom w:val="none" w:sz="0" w:space="0" w:color="auto"/>
            <w:right w:val="none" w:sz="0" w:space="0" w:color="auto"/>
          </w:divBdr>
        </w:div>
        <w:div w:id="1858227987">
          <w:marLeft w:val="0"/>
          <w:marRight w:val="0"/>
          <w:marTop w:val="0"/>
          <w:marBottom w:val="0"/>
          <w:divBdr>
            <w:top w:val="none" w:sz="0" w:space="0" w:color="auto"/>
            <w:left w:val="none" w:sz="0" w:space="0" w:color="auto"/>
            <w:bottom w:val="none" w:sz="0" w:space="0" w:color="auto"/>
            <w:right w:val="none" w:sz="0" w:space="0" w:color="auto"/>
          </w:divBdr>
        </w:div>
        <w:div w:id="657809601">
          <w:marLeft w:val="0"/>
          <w:marRight w:val="0"/>
          <w:marTop w:val="0"/>
          <w:marBottom w:val="600"/>
          <w:divBdr>
            <w:top w:val="none" w:sz="0" w:space="0" w:color="auto"/>
            <w:left w:val="none" w:sz="0" w:space="0" w:color="auto"/>
            <w:bottom w:val="none" w:sz="0" w:space="0" w:color="auto"/>
            <w:right w:val="none" w:sz="0" w:space="0" w:color="auto"/>
          </w:divBdr>
        </w:div>
      </w:divsChild>
    </w:div>
    <w:div w:id="2103328861">
      <w:marLeft w:val="0"/>
      <w:marRight w:val="0"/>
      <w:marTop w:val="0"/>
      <w:marBottom w:val="0"/>
      <w:divBdr>
        <w:top w:val="none" w:sz="0" w:space="0" w:color="auto"/>
        <w:left w:val="none" w:sz="0" w:space="0" w:color="auto"/>
        <w:bottom w:val="none" w:sz="0" w:space="0" w:color="auto"/>
        <w:right w:val="none" w:sz="0" w:space="0" w:color="auto"/>
      </w:divBdr>
      <w:divsChild>
        <w:div w:id="615598922">
          <w:marLeft w:val="0"/>
          <w:marRight w:val="0"/>
          <w:marTop w:val="547"/>
          <w:marBottom w:val="0"/>
          <w:divBdr>
            <w:top w:val="none" w:sz="0" w:space="0" w:color="auto"/>
            <w:left w:val="none" w:sz="0" w:space="0" w:color="auto"/>
            <w:bottom w:val="none" w:sz="0" w:space="0" w:color="auto"/>
            <w:right w:val="none" w:sz="0" w:space="0" w:color="auto"/>
          </w:divBdr>
        </w:div>
        <w:div w:id="226496906">
          <w:marLeft w:val="0"/>
          <w:marRight w:val="0"/>
          <w:marTop w:val="0"/>
          <w:marBottom w:val="0"/>
          <w:divBdr>
            <w:top w:val="none" w:sz="0" w:space="0" w:color="auto"/>
            <w:left w:val="none" w:sz="0" w:space="0" w:color="auto"/>
            <w:bottom w:val="none" w:sz="0" w:space="0" w:color="auto"/>
            <w:right w:val="none" w:sz="0" w:space="0" w:color="auto"/>
          </w:divBdr>
          <w:divsChild>
            <w:div w:id="1257863161">
              <w:marLeft w:val="0"/>
              <w:marRight w:val="0"/>
              <w:marTop w:val="0"/>
              <w:marBottom w:val="0"/>
              <w:divBdr>
                <w:top w:val="none" w:sz="0" w:space="0" w:color="auto"/>
                <w:left w:val="none" w:sz="0" w:space="0" w:color="auto"/>
                <w:bottom w:val="none" w:sz="0" w:space="0" w:color="auto"/>
                <w:right w:val="none" w:sz="0" w:space="0" w:color="auto"/>
              </w:divBdr>
              <w:divsChild>
                <w:div w:id="1865634036">
                  <w:marLeft w:val="0"/>
                  <w:marRight w:val="0"/>
                  <w:marTop w:val="0"/>
                  <w:marBottom w:val="0"/>
                  <w:divBdr>
                    <w:top w:val="none" w:sz="0" w:space="0" w:color="auto"/>
                    <w:left w:val="none" w:sz="0" w:space="0" w:color="auto"/>
                    <w:bottom w:val="none" w:sz="0" w:space="0" w:color="auto"/>
                    <w:right w:val="none" w:sz="0" w:space="0" w:color="auto"/>
                  </w:divBdr>
                </w:div>
              </w:divsChild>
            </w:div>
            <w:div w:id="1095203125">
              <w:marLeft w:val="0"/>
              <w:marRight w:val="0"/>
              <w:marTop w:val="0"/>
              <w:marBottom w:val="0"/>
              <w:divBdr>
                <w:top w:val="none" w:sz="0" w:space="0" w:color="auto"/>
                <w:left w:val="none" w:sz="0" w:space="0" w:color="auto"/>
                <w:bottom w:val="none" w:sz="0" w:space="0" w:color="auto"/>
                <w:right w:val="none" w:sz="0" w:space="0" w:color="auto"/>
              </w:divBdr>
              <w:divsChild>
                <w:div w:id="1037701500">
                  <w:marLeft w:val="0"/>
                  <w:marRight w:val="0"/>
                  <w:marTop w:val="0"/>
                  <w:marBottom w:val="0"/>
                  <w:divBdr>
                    <w:top w:val="none" w:sz="0" w:space="0" w:color="auto"/>
                    <w:left w:val="none" w:sz="0" w:space="0" w:color="auto"/>
                    <w:bottom w:val="none" w:sz="0" w:space="0" w:color="auto"/>
                    <w:right w:val="none" w:sz="0" w:space="0" w:color="auto"/>
                  </w:divBdr>
                </w:div>
              </w:divsChild>
            </w:div>
            <w:div w:id="1436948641">
              <w:marLeft w:val="0"/>
              <w:marRight w:val="0"/>
              <w:marTop w:val="0"/>
              <w:marBottom w:val="0"/>
              <w:divBdr>
                <w:top w:val="none" w:sz="0" w:space="0" w:color="auto"/>
                <w:left w:val="none" w:sz="0" w:space="0" w:color="auto"/>
                <w:bottom w:val="none" w:sz="0" w:space="0" w:color="auto"/>
                <w:right w:val="none" w:sz="0" w:space="0" w:color="auto"/>
              </w:divBdr>
              <w:divsChild>
                <w:div w:id="475806269">
                  <w:marLeft w:val="0"/>
                  <w:marRight w:val="0"/>
                  <w:marTop w:val="0"/>
                  <w:marBottom w:val="0"/>
                  <w:divBdr>
                    <w:top w:val="none" w:sz="0" w:space="0" w:color="auto"/>
                    <w:left w:val="none" w:sz="0" w:space="0" w:color="auto"/>
                    <w:bottom w:val="none" w:sz="0" w:space="0" w:color="auto"/>
                    <w:right w:val="none" w:sz="0" w:space="0" w:color="auto"/>
                  </w:divBdr>
                </w:div>
              </w:divsChild>
            </w:div>
            <w:div w:id="433939480">
              <w:marLeft w:val="0"/>
              <w:marRight w:val="0"/>
              <w:marTop w:val="0"/>
              <w:marBottom w:val="0"/>
              <w:divBdr>
                <w:top w:val="none" w:sz="0" w:space="0" w:color="auto"/>
                <w:left w:val="none" w:sz="0" w:space="0" w:color="auto"/>
                <w:bottom w:val="none" w:sz="0" w:space="0" w:color="auto"/>
                <w:right w:val="none" w:sz="0" w:space="0" w:color="auto"/>
              </w:divBdr>
              <w:divsChild>
                <w:div w:id="1485003236">
                  <w:marLeft w:val="0"/>
                  <w:marRight w:val="0"/>
                  <w:marTop w:val="0"/>
                  <w:marBottom w:val="0"/>
                  <w:divBdr>
                    <w:top w:val="none" w:sz="0" w:space="0" w:color="auto"/>
                    <w:left w:val="none" w:sz="0" w:space="0" w:color="auto"/>
                    <w:bottom w:val="none" w:sz="0" w:space="0" w:color="auto"/>
                    <w:right w:val="none" w:sz="0" w:space="0" w:color="auto"/>
                  </w:divBdr>
                </w:div>
              </w:divsChild>
            </w:div>
            <w:div w:id="647369423">
              <w:marLeft w:val="0"/>
              <w:marRight w:val="0"/>
              <w:marTop w:val="0"/>
              <w:marBottom w:val="0"/>
              <w:divBdr>
                <w:top w:val="none" w:sz="0" w:space="0" w:color="auto"/>
                <w:left w:val="none" w:sz="0" w:space="0" w:color="auto"/>
                <w:bottom w:val="none" w:sz="0" w:space="0" w:color="auto"/>
                <w:right w:val="none" w:sz="0" w:space="0" w:color="auto"/>
              </w:divBdr>
              <w:divsChild>
                <w:div w:id="141775739">
                  <w:marLeft w:val="0"/>
                  <w:marRight w:val="0"/>
                  <w:marTop w:val="0"/>
                  <w:marBottom w:val="0"/>
                  <w:divBdr>
                    <w:top w:val="none" w:sz="0" w:space="0" w:color="auto"/>
                    <w:left w:val="none" w:sz="0" w:space="0" w:color="auto"/>
                    <w:bottom w:val="none" w:sz="0" w:space="0" w:color="auto"/>
                    <w:right w:val="none" w:sz="0" w:space="0" w:color="auto"/>
                  </w:divBdr>
                </w:div>
              </w:divsChild>
            </w:div>
            <w:div w:id="1620406154">
              <w:marLeft w:val="0"/>
              <w:marRight w:val="0"/>
              <w:marTop w:val="0"/>
              <w:marBottom w:val="0"/>
              <w:divBdr>
                <w:top w:val="none" w:sz="0" w:space="0" w:color="auto"/>
                <w:left w:val="none" w:sz="0" w:space="0" w:color="auto"/>
                <w:bottom w:val="none" w:sz="0" w:space="0" w:color="auto"/>
                <w:right w:val="none" w:sz="0" w:space="0" w:color="auto"/>
              </w:divBdr>
              <w:divsChild>
                <w:div w:id="546142532">
                  <w:marLeft w:val="0"/>
                  <w:marRight w:val="0"/>
                  <w:marTop w:val="0"/>
                  <w:marBottom w:val="0"/>
                  <w:divBdr>
                    <w:top w:val="none" w:sz="0" w:space="0" w:color="auto"/>
                    <w:left w:val="none" w:sz="0" w:space="0" w:color="auto"/>
                    <w:bottom w:val="none" w:sz="0" w:space="0" w:color="auto"/>
                    <w:right w:val="none" w:sz="0" w:space="0" w:color="auto"/>
                  </w:divBdr>
                </w:div>
              </w:divsChild>
            </w:div>
            <w:div w:id="2032146018">
              <w:marLeft w:val="0"/>
              <w:marRight w:val="0"/>
              <w:marTop w:val="0"/>
              <w:marBottom w:val="0"/>
              <w:divBdr>
                <w:top w:val="none" w:sz="0" w:space="0" w:color="auto"/>
                <w:left w:val="none" w:sz="0" w:space="0" w:color="auto"/>
                <w:bottom w:val="none" w:sz="0" w:space="0" w:color="auto"/>
                <w:right w:val="none" w:sz="0" w:space="0" w:color="auto"/>
              </w:divBdr>
              <w:divsChild>
                <w:div w:id="712661038">
                  <w:marLeft w:val="0"/>
                  <w:marRight w:val="0"/>
                  <w:marTop w:val="0"/>
                  <w:marBottom w:val="0"/>
                  <w:divBdr>
                    <w:top w:val="none" w:sz="0" w:space="0" w:color="auto"/>
                    <w:left w:val="none" w:sz="0" w:space="0" w:color="auto"/>
                    <w:bottom w:val="none" w:sz="0" w:space="0" w:color="auto"/>
                    <w:right w:val="none" w:sz="0" w:space="0" w:color="auto"/>
                  </w:divBdr>
                </w:div>
              </w:divsChild>
            </w:div>
            <w:div w:id="1005937321">
              <w:marLeft w:val="0"/>
              <w:marRight w:val="0"/>
              <w:marTop w:val="0"/>
              <w:marBottom w:val="0"/>
              <w:divBdr>
                <w:top w:val="none" w:sz="0" w:space="0" w:color="auto"/>
                <w:left w:val="none" w:sz="0" w:space="0" w:color="auto"/>
                <w:bottom w:val="none" w:sz="0" w:space="0" w:color="auto"/>
                <w:right w:val="none" w:sz="0" w:space="0" w:color="auto"/>
              </w:divBdr>
              <w:divsChild>
                <w:div w:id="719669708">
                  <w:marLeft w:val="0"/>
                  <w:marRight w:val="0"/>
                  <w:marTop w:val="0"/>
                  <w:marBottom w:val="0"/>
                  <w:divBdr>
                    <w:top w:val="none" w:sz="0" w:space="0" w:color="auto"/>
                    <w:left w:val="none" w:sz="0" w:space="0" w:color="auto"/>
                    <w:bottom w:val="none" w:sz="0" w:space="0" w:color="auto"/>
                    <w:right w:val="none" w:sz="0" w:space="0" w:color="auto"/>
                  </w:divBdr>
                </w:div>
              </w:divsChild>
            </w:div>
            <w:div w:id="179705858">
              <w:marLeft w:val="0"/>
              <w:marRight w:val="0"/>
              <w:marTop w:val="0"/>
              <w:marBottom w:val="0"/>
              <w:divBdr>
                <w:top w:val="none" w:sz="0" w:space="0" w:color="auto"/>
                <w:left w:val="none" w:sz="0" w:space="0" w:color="auto"/>
                <w:bottom w:val="none" w:sz="0" w:space="0" w:color="auto"/>
                <w:right w:val="none" w:sz="0" w:space="0" w:color="auto"/>
              </w:divBdr>
              <w:divsChild>
                <w:div w:id="337737323">
                  <w:marLeft w:val="0"/>
                  <w:marRight w:val="0"/>
                  <w:marTop w:val="0"/>
                  <w:marBottom w:val="0"/>
                  <w:divBdr>
                    <w:top w:val="none" w:sz="0" w:space="0" w:color="auto"/>
                    <w:left w:val="none" w:sz="0" w:space="0" w:color="auto"/>
                    <w:bottom w:val="none" w:sz="0" w:space="0" w:color="auto"/>
                    <w:right w:val="none" w:sz="0" w:space="0" w:color="auto"/>
                  </w:divBdr>
                </w:div>
              </w:divsChild>
            </w:div>
            <w:div w:id="254677038">
              <w:marLeft w:val="0"/>
              <w:marRight w:val="0"/>
              <w:marTop w:val="0"/>
              <w:marBottom w:val="0"/>
              <w:divBdr>
                <w:top w:val="none" w:sz="0" w:space="0" w:color="auto"/>
                <w:left w:val="none" w:sz="0" w:space="0" w:color="auto"/>
                <w:bottom w:val="none" w:sz="0" w:space="0" w:color="auto"/>
                <w:right w:val="none" w:sz="0" w:space="0" w:color="auto"/>
              </w:divBdr>
              <w:divsChild>
                <w:div w:id="331109259">
                  <w:marLeft w:val="0"/>
                  <w:marRight w:val="0"/>
                  <w:marTop w:val="0"/>
                  <w:marBottom w:val="0"/>
                  <w:divBdr>
                    <w:top w:val="none" w:sz="0" w:space="0" w:color="auto"/>
                    <w:left w:val="none" w:sz="0" w:space="0" w:color="auto"/>
                    <w:bottom w:val="none" w:sz="0" w:space="0" w:color="auto"/>
                    <w:right w:val="none" w:sz="0" w:space="0" w:color="auto"/>
                  </w:divBdr>
                </w:div>
              </w:divsChild>
            </w:div>
            <w:div w:id="1244297340">
              <w:marLeft w:val="0"/>
              <w:marRight w:val="0"/>
              <w:marTop w:val="0"/>
              <w:marBottom w:val="0"/>
              <w:divBdr>
                <w:top w:val="none" w:sz="0" w:space="0" w:color="auto"/>
                <w:left w:val="none" w:sz="0" w:space="0" w:color="auto"/>
                <w:bottom w:val="none" w:sz="0" w:space="0" w:color="auto"/>
                <w:right w:val="none" w:sz="0" w:space="0" w:color="auto"/>
              </w:divBdr>
              <w:divsChild>
                <w:div w:id="1268344691">
                  <w:marLeft w:val="0"/>
                  <w:marRight w:val="0"/>
                  <w:marTop w:val="0"/>
                  <w:marBottom w:val="0"/>
                  <w:divBdr>
                    <w:top w:val="none" w:sz="0" w:space="0" w:color="auto"/>
                    <w:left w:val="none" w:sz="0" w:space="0" w:color="auto"/>
                    <w:bottom w:val="none" w:sz="0" w:space="0" w:color="auto"/>
                    <w:right w:val="none" w:sz="0" w:space="0" w:color="auto"/>
                  </w:divBdr>
                </w:div>
              </w:divsChild>
            </w:div>
            <w:div w:id="167868623">
              <w:marLeft w:val="0"/>
              <w:marRight w:val="0"/>
              <w:marTop w:val="0"/>
              <w:marBottom w:val="0"/>
              <w:divBdr>
                <w:top w:val="none" w:sz="0" w:space="0" w:color="auto"/>
                <w:left w:val="none" w:sz="0" w:space="0" w:color="auto"/>
                <w:bottom w:val="none" w:sz="0" w:space="0" w:color="auto"/>
                <w:right w:val="none" w:sz="0" w:space="0" w:color="auto"/>
              </w:divBdr>
              <w:divsChild>
                <w:div w:id="1239437661">
                  <w:marLeft w:val="0"/>
                  <w:marRight w:val="0"/>
                  <w:marTop w:val="0"/>
                  <w:marBottom w:val="0"/>
                  <w:divBdr>
                    <w:top w:val="none" w:sz="0" w:space="0" w:color="auto"/>
                    <w:left w:val="none" w:sz="0" w:space="0" w:color="auto"/>
                    <w:bottom w:val="none" w:sz="0" w:space="0" w:color="auto"/>
                    <w:right w:val="none" w:sz="0" w:space="0" w:color="auto"/>
                  </w:divBdr>
                </w:div>
              </w:divsChild>
            </w:div>
            <w:div w:id="1628664618">
              <w:marLeft w:val="0"/>
              <w:marRight w:val="0"/>
              <w:marTop w:val="0"/>
              <w:marBottom w:val="0"/>
              <w:divBdr>
                <w:top w:val="none" w:sz="0" w:space="0" w:color="auto"/>
                <w:left w:val="none" w:sz="0" w:space="0" w:color="auto"/>
                <w:bottom w:val="none" w:sz="0" w:space="0" w:color="auto"/>
                <w:right w:val="none" w:sz="0" w:space="0" w:color="auto"/>
              </w:divBdr>
              <w:divsChild>
                <w:div w:id="1053775817">
                  <w:marLeft w:val="0"/>
                  <w:marRight w:val="0"/>
                  <w:marTop w:val="0"/>
                  <w:marBottom w:val="0"/>
                  <w:divBdr>
                    <w:top w:val="none" w:sz="0" w:space="0" w:color="auto"/>
                    <w:left w:val="none" w:sz="0" w:space="0" w:color="auto"/>
                    <w:bottom w:val="none" w:sz="0" w:space="0" w:color="auto"/>
                    <w:right w:val="none" w:sz="0" w:space="0" w:color="auto"/>
                  </w:divBdr>
                </w:div>
              </w:divsChild>
            </w:div>
            <w:div w:id="1025598731">
              <w:marLeft w:val="720"/>
              <w:marRight w:val="0"/>
              <w:marTop w:val="0"/>
              <w:marBottom w:val="0"/>
              <w:divBdr>
                <w:top w:val="none" w:sz="0" w:space="0" w:color="auto"/>
                <w:left w:val="none" w:sz="0" w:space="0" w:color="auto"/>
                <w:bottom w:val="none" w:sz="0" w:space="0" w:color="auto"/>
                <w:right w:val="none" w:sz="0" w:space="0" w:color="auto"/>
              </w:divBdr>
            </w:div>
            <w:div w:id="1916085373">
              <w:marLeft w:val="720"/>
              <w:marRight w:val="0"/>
              <w:marTop w:val="0"/>
              <w:marBottom w:val="0"/>
              <w:divBdr>
                <w:top w:val="none" w:sz="0" w:space="0" w:color="auto"/>
                <w:left w:val="none" w:sz="0" w:space="0" w:color="auto"/>
                <w:bottom w:val="none" w:sz="0" w:space="0" w:color="auto"/>
                <w:right w:val="none" w:sz="0" w:space="0" w:color="auto"/>
              </w:divBdr>
            </w:div>
            <w:div w:id="1717972891">
              <w:marLeft w:val="720"/>
              <w:marRight w:val="0"/>
              <w:marTop w:val="0"/>
              <w:marBottom w:val="0"/>
              <w:divBdr>
                <w:top w:val="none" w:sz="0" w:space="0" w:color="auto"/>
                <w:left w:val="none" w:sz="0" w:space="0" w:color="auto"/>
                <w:bottom w:val="none" w:sz="0" w:space="0" w:color="auto"/>
                <w:right w:val="none" w:sz="0" w:space="0" w:color="auto"/>
              </w:divBdr>
            </w:div>
            <w:div w:id="1513378705">
              <w:marLeft w:val="720"/>
              <w:marRight w:val="0"/>
              <w:marTop w:val="0"/>
              <w:marBottom w:val="0"/>
              <w:divBdr>
                <w:top w:val="none" w:sz="0" w:space="0" w:color="auto"/>
                <w:left w:val="none" w:sz="0" w:space="0" w:color="auto"/>
                <w:bottom w:val="none" w:sz="0" w:space="0" w:color="auto"/>
                <w:right w:val="none" w:sz="0" w:space="0" w:color="auto"/>
              </w:divBdr>
            </w:div>
          </w:divsChild>
        </w:div>
        <w:div w:id="183128785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bph-20200331xex31d2.htm" TargetMode="External"/><Relationship Id="rId3" Type="http://schemas.openxmlformats.org/officeDocument/2006/relationships/webSettings" Target="webSettings.xml"/><Relationship Id="rId7" Type="http://schemas.openxmlformats.org/officeDocument/2006/relationships/hyperlink" Target="tbph-20200331xex31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00331xex10d3.htm" TargetMode="External"/><Relationship Id="rId11" Type="http://schemas.openxmlformats.org/officeDocument/2006/relationships/theme" Target="theme/theme1.xml"/><Relationship Id="rId5" Type="http://schemas.openxmlformats.org/officeDocument/2006/relationships/hyperlink" Target="tbph-20200331xex10d2.htm" TargetMode="External"/><Relationship Id="rId10" Type="http://schemas.openxmlformats.org/officeDocument/2006/relationships/fontTable" Target="fontTable.xml"/><Relationship Id="rId4" Type="http://schemas.openxmlformats.org/officeDocument/2006/relationships/hyperlink" Target="tbph-20200331xex10d1.htm" TargetMode="External"/><Relationship Id="rId9" Type="http://schemas.openxmlformats.org/officeDocument/2006/relationships/hyperlink" Target="tbph-20200331x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47928</Words>
  <Characters>273192</Characters>
  <Application>Microsoft Office Word</Application>
  <DocSecurity>0</DocSecurity>
  <Lines>2276</Lines>
  <Paragraphs>640</Paragraphs>
  <ScaleCrop>false</ScaleCrop>
  <Company/>
  <LinksUpToDate>false</LinksUpToDate>
  <CharactersWithSpaces>320480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