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96329">
      <w:pPr>
        <w:divId w:val="1664238942"/>
        <w:rPr>
          <w:rFonts w:eastAsia="Times New Roman"/>
          <w:vanish/>
        </w:rPr>
      </w:pPr>
      <w:r>
        <w:rPr>
          <w:rFonts w:eastAsia="Times New Roman"/>
          <w:vanish/>
        </w:rPr>
        <w:t>000001583107--12-312020Q2false57015000635150000001583107tbph:NonRecourseDebt2033Member2020-02-2800015831072020-02-142020-02-140001583107us-gaap:CommonStockMember2019-04-012019-06-300001583107us-gaap:CommonStockMember2019-01-012019-06-30</w:t>
      </w:r>
      <w:r>
        <w:rPr>
          <w:rFonts w:eastAsia="Times New Roman"/>
          <w:vanish/>
        </w:rPr>
        <w:t>0001583107us-gaap:RetainedEarningsMember2020-06-300001583107us-gaap:AdditionalPaidInCapitalMember2020-06-300001583107us-gaap:AccumulatedOtherComprehensiveIncomeMember2020-06-300001583107us-gaap:RetainedEarningsMember2020-03-310001583107us-gaap:AdditionalPa</w:t>
      </w:r>
      <w:r>
        <w:rPr>
          <w:rFonts w:eastAsia="Times New Roman"/>
          <w:vanish/>
        </w:rPr>
        <w:t>idInCapitalMember2020-03-310001583107us-gaap:AccumulatedOtherComprehensiveIncomeMember2020-03-3100015831072020-03-310001583107us-gaap:RetainedEarningsMember2019-12-310001583107us-gaap:AdditionalPaidInCapitalMember2019-12-310001583107us-gaap:AccumulatedOthe</w:t>
      </w:r>
      <w:r>
        <w:rPr>
          <w:rFonts w:eastAsia="Times New Roman"/>
          <w:vanish/>
        </w:rPr>
        <w:t>rComprehensiveIncomeMember2019-12-310001583107us-gaap:RetainedEarningsMember2019-06-300001583107us-gaap:AdditionalPaidInCapitalMember2019-06-300001583107us-gaap:AccumulatedOtherComprehensiveIncomeMember2019-06-300001583107us-gaap:RetainedEarningsMember2019</w:t>
      </w:r>
      <w:r>
        <w:rPr>
          <w:rFonts w:eastAsia="Times New Roman"/>
          <w:vanish/>
        </w:rPr>
        <w:t>-03-310001583107us-gaap:AdditionalPaidInCapitalMember2019-03-310001583107us-gaap:AccumulatedOtherComprehensiveIncomeMember2019-03-3100015831072019-03-310001583107us-gaap:RetainedEarningsMember2018-12-310001583107us-gaap:AdditionalPaidInCapitalMember2018-12</w:t>
      </w:r>
      <w:r>
        <w:rPr>
          <w:rFonts w:eastAsia="Times New Roman"/>
          <w:vanish/>
        </w:rPr>
        <w:t>-310001583107us-gaap:AccumulatedOtherComprehensiveIncomeMember2018-12-3100015831072018-12-310001583107us-gaap:CommonStockMember2020-04-012020-06-300001583107us-gaap:CommonStockMember2020-01-012020-06-3000015831072020-02-140001583107srt:ManagementMembertbph</w:t>
      </w:r>
      <w:r>
        <w:rPr>
          <w:rFonts w:eastAsia="Times New Roman"/>
          <w:vanish/>
        </w:rPr>
        <w:t>:EmployeePerformanceRestrictedStockUnitsRSUMember2016-12-310001583107tbph:EmployeePerformanceRestrictedStockMember2016-12-310001583107tbph:EmployeePerformanceRestrictedStockUnitsRSUMember2020-06-300001583107tbph:EmployeePerformanceRestrictedStockUnitsRsuAn</w:t>
      </w:r>
      <w:r>
        <w:rPr>
          <w:rFonts w:eastAsia="Times New Roman"/>
          <w:vanish/>
        </w:rPr>
        <w:t>dCashBonusMilestonesMember2020-06-300001583107tbph:EmployeePerformanceRestrictedStockMember2020-06-300001583107tbph:EmployeePerformanceRestrictedStockUnitsRSUMember2019-06-300001583107tbph:EmployeePerformanceRestrictedStockMember2019-06-300001583107tbph:Em</w:t>
      </w:r>
      <w:r>
        <w:rPr>
          <w:rFonts w:eastAsia="Times New Roman"/>
          <w:vanish/>
        </w:rPr>
        <w:t>ployeePerformanceRestrictedStockMember2016-01-012016-12-310001583107tbph:TheravanceRespiratoryCompanyLlcMember2019-04-012019-06-300001583107tbph:TheravanceRespiratoryCompanyLlcMember2019-01-012019-06-300001583107tbph:TheravanceRespiratoryCompanyLlcMember20</w:t>
      </w:r>
      <w:r>
        <w:rPr>
          <w:rFonts w:eastAsia="Times New Roman"/>
          <w:vanish/>
        </w:rPr>
        <w:t>20-04-012020-06-300001583107tbph:CoPromoteAgreementMember2020-04-012020-06-300001583107us-gaap:LicenseMember2020-01-012020-06-300001583107tbph:CoPromoteAgreementMember2020-01-012020-06-300001583107tbph:PfizerInc.Membertbph:SalesMilestonesMember2019-12-0120</w:t>
      </w:r>
      <w:r>
        <w:rPr>
          <w:rFonts w:eastAsia="Times New Roman"/>
          <w:vanish/>
        </w:rPr>
        <w:t>19-12-310001583107us-gaap:LicenseMember2019-04-012019-06-300001583107tbph:CoPromoteAgreementMember2019-04-012019-06-300001583107us-gaap:LicenseMember2019-01-012019-06-300001583107tbph:CoPromoteAgreementMember2019-01-012019-06-300001583107tbph:MylanMembertb</w:t>
      </w:r>
      <w:r>
        <w:rPr>
          <w:rFonts w:eastAsia="Times New Roman"/>
          <w:vanish/>
        </w:rPr>
        <w:t>ph:Milestone50PercentEnrollmentInPhase3Membertbph:DevelopmentAndCommercializationAgreementMember2016-01-012016-12-310001583107us-gaap:AccumulatedOtherComprehensiveIncomeMember2020-04-012020-06-300001583107us-gaap:AccumulatedOtherComprehensiveIncomeMember20</w:t>
      </w:r>
      <w:r>
        <w:rPr>
          <w:rFonts w:eastAsia="Times New Roman"/>
          <w:vanish/>
        </w:rPr>
        <w:t>20-01-012020-06-300001583107us-gaap:AccumulatedOtherComprehensiveIncomeMember2019-04-012019-06-300001583107us-gaap:AccumulatedOtherComprehensiveIncomeMember2019-01-012019-06-300001583107us-gaap:RetainedEarningsMember2020-04-012020-06-300001583107us-gaap:Re</w:t>
      </w:r>
      <w:r>
        <w:rPr>
          <w:rFonts w:eastAsia="Times New Roman"/>
          <w:vanish/>
        </w:rPr>
        <w:t>tainedEarningsMember2020-01-012020-06-300001583107us-gaap:RetainedEarningsMember2019-04-012019-06-300001583107us-gaap:RetainedEarningsMember2019-01-012019-06-300001583107tbph:TheravanceRespiratoryCompanyLlcMember2019-12-310001583107tbph:TheravanceRespirato</w:t>
      </w:r>
      <w:r>
        <w:rPr>
          <w:rFonts w:eastAsia="Times New Roman"/>
          <w:vanish/>
        </w:rPr>
        <w:t>ryCompanyLlcMember2020-06-300001583107tbph:IssuerTwoClassCUnitsMember2020-02-210001583107us-gaap:USTreasuryAndGovernmentMember2020-06-300001583107us-gaap:CommercialPaperMember2020-06-300001583107us-gaap:CorporateNoteSecuritiesMember2019-12-310001583107us-g</w:t>
      </w:r>
      <w:r>
        <w:rPr>
          <w:rFonts w:eastAsia="Times New Roman"/>
          <w:vanish/>
        </w:rPr>
        <w:t>aap:CommercialPaperMember2019-12-310001583107tbph:NonRecourseDebt2033Member2020-06-300001583107tbph:NonRecourseDebt2033Member2018-11-300001583107tbph:TermNotesDue2035Member2020-06-300001583107us-gaap:SeniorNotesMember2020-06-300001583107tbph:PfizerInc.Memb</w:t>
      </w:r>
      <w:r>
        <w:rPr>
          <w:rFonts w:eastAsia="Times New Roman"/>
          <w:vanish/>
        </w:rPr>
        <w:t>er2019-10-012019-12-310001583107tbph:MylanMember2019-06-012019-06-300001583107tbph:MylanMember2020-06-300001583107tbph:JanssenBiotechIncMember2020-06-300001583107us-gaap:CommonStockMember2020-06-300001583107us-gaap:CommonStockMember2020-03-310001583107us-g</w:t>
      </w:r>
      <w:r>
        <w:rPr>
          <w:rFonts w:eastAsia="Times New Roman"/>
          <w:vanish/>
        </w:rPr>
        <w:t>aap:CommonStockMember2019-12-310001583107us-gaap:CommonStockMember2019-06-300001583107us-gaap:CommonStockMember2019-03-310001583107us-gaap:CommonStockMember2018-12-3100015831072017-12-3100015831072019-06-300001583107tbph:MylanMembertbph:YupelriMonotherapyM</w:t>
      </w:r>
      <w:r>
        <w:rPr>
          <w:rFonts w:eastAsia="Times New Roman"/>
          <w:vanish/>
        </w:rPr>
        <w:t>embertbph:SalesMilestonesMember2020-06-300001583107tbph:MylanMembertbph:YupelriMonotherapyMembertbph:EuropeanUnionRegulatoryIssuesMember2020-06-300001583107tbph:MylanMembertbph:YupelriMonotherapyMembertbph:DevelopmentAndSalesMilestonesMember2020-06-3000015</w:t>
      </w:r>
      <w:r>
        <w:rPr>
          <w:rFonts w:eastAsia="Times New Roman"/>
          <w:vanish/>
        </w:rPr>
        <w:t>83107tbph:MylanMembertbph:YupelriMonotherapyMembertbph:DevelopmentAndCommercializationAgreementMember2020-06-300001583107tbph:MylanMembertbph:FuturePotentialCombinationProductsMember2020-06-300001583107tbph:MylanMembertbph:DevelopmentAndSalesMilestonesMemb</w:t>
      </w:r>
      <w:r>
        <w:rPr>
          <w:rFonts w:eastAsia="Times New Roman"/>
          <w:vanish/>
        </w:rPr>
        <w:t>er2020-06-300001583107tbph:MylanMember2020-03-310001583107tbph:MylanMembertbph:FuturePotentialCombinationProductsMembertbph:DevelopmentAndSalesMilestonesMember2019-06-300001583107tbph:MylanMembertbph:YupelriMonotherapyMember2019-06-300001583107tbph:MylanMe</w:t>
      </w:r>
      <w:r>
        <w:rPr>
          <w:rFonts w:eastAsia="Times New Roman"/>
          <w:vanish/>
        </w:rPr>
        <w:t>mbertbph:SalesMilestonesMember2019-06-300001583107tbph:MylanMembertbph:FuturePotentialCombinationProductsMember2019-06-300001583107us-gaap:FairValueInputsLevel1Memberus-gaap:MoneyMarketFundsMember2020-06-300001583107us-gaap:FairValueInputsLevel1Memberus-ga</w:t>
      </w:r>
      <w:r>
        <w:rPr>
          <w:rFonts w:eastAsia="Times New Roman"/>
          <w:vanish/>
        </w:rPr>
        <w:t>ap:MoneyMarketFundsMember2019-12-310001583107us-gaap:FairValueInputsLevel2Memberus-gaap:USGovernmentAgenciesDebtSecuritiesMember2020-06-300001583107us-gaap:FairValueInputsLevel2Memberus-gaap:CorporateNoteSecuritiesMember2020-06-300001583107us-gaap:FairValu</w:t>
      </w:r>
      <w:r>
        <w:rPr>
          <w:rFonts w:eastAsia="Times New Roman"/>
          <w:vanish/>
        </w:rPr>
        <w:t>eInputsLevel2Memberus-gaap:CommercialPaperMember2020-06-300001583107us-gaap:FairValueInputsLevel1Memberus-gaap:USTreasuryAndGovernmentMember2020-06-300001583107tbph:MarketableSecuritiesMember2020-06-300001583107us-gaap:FairValueInputsLevel2Memberus-gaap:Co</w:t>
      </w:r>
      <w:r>
        <w:rPr>
          <w:rFonts w:eastAsia="Times New Roman"/>
          <w:vanish/>
        </w:rPr>
        <w:t>rporateNoteSecuritiesMember2019-12-310001583107us-gaap:FairValueInputsLevel2Memberus-gaap:CommercialPaperMember2019-12-310001583107us-gaap:FairValueInputsLevel1Memberus-gaap:USTreasuryAndGovernmentMember2019-12-310001583107tbph:MarketableSecuritiesMember20</w:t>
      </w:r>
      <w:r>
        <w:rPr>
          <w:rFonts w:eastAsia="Times New Roman"/>
          <w:vanish/>
        </w:rPr>
        <w:t>19-12-310001583107us-gaap:StockCompensationPlanMember2020-04-012020-06-300001583107us-gaap:ConvertibleSubordinatedDebtMember2020-04-012020-06-300001583107us-gaap:StockCompensationPlanMember2020-01-012020-06-300001583107us-gaap:PerformanceSharesMember2020-0</w:t>
      </w:r>
      <w:r>
        <w:rPr>
          <w:rFonts w:eastAsia="Times New Roman"/>
          <w:vanish/>
        </w:rPr>
        <w:t>1-012020-06-300001583107us-gaap:ConvertibleSubordinatedDebtMember2020-01-012020-06-300001583107us-gaap:StockCompensationPlanMember2019-04-012019-06-300001583107us-gaap:ConvertibleSubordinatedDebtMember2019-04-012019-06-300001583107us-gaap:StockCompensation</w:t>
      </w:r>
      <w:r>
        <w:rPr>
          <w:rFonts w:eastAsia="Times New Roman"/>
          <w:vanish/>
        </w:rPr>
        <w:t>PlanMember2019-01-012019-06-300001583107us-gaap:PerformanceSharesMember2019-01-012019-06-300001583107us-gaap:ConvertibleSubordinatedDebtMember2019-01-012019-06-300001583107us-gaap:ShareBasedCompensationAwardTrancheThreeMember2020-04-012020-06-300001583107u</w:t>
      </w:r>
      <w:r>
        <w:rPr>
          <w:rFonts w:eastAsia="Times New Roman"/>
          <w:vanish/>
        </w:rPr>
        <w:t>s-gaap:SellingGeneralAndAdministrativeExpensesMember2020-04-012020-06-300001583107us-gaap:ResearchAndDevelopmentExpenseMember2020-04-012020-06-300001583107tbph:EmployeePerformanceRestrictedStockUnitsRsuAndCashBonusMilestonesMember2020-04-012020-06-30000158</w:t>
      </w:r>
      <w:r>
        <w:rPr>
          <w:rFonts w:eastAsia="Times New Roman"/>
          <w:vanish/>
        </w:rPr>
        <w:t>3107us-gaap:ScenarioPlanMemberus-gaap:SellingGeneralAndAdministrativeExpensesMemberus-gaap:ShareBasedCompensationAwardTrancheThreeMember2020-01-012020-06-300001583107us-gaap:ScenarioPlanMemberus-gaap:ResearchAndDevelopmentExpenseMemberus-gaap:ShareBasedCom</w:t>
      </w:r>
      <w:r>
        <w:rPr>
          <w:rFonts w:eastAsia="Times New Roman"/>
          <w:vanish/>
        </w:rPr>
        <w:t>pensationAwardTrancheThreeMember2020-01-012020-06-300001583107us-gaap:ScenarioPlanMemberus-gaap:ShareBasedCompensationAwardTrancheThreeMember2020-01-012020-06-300001583107us-gaap:ScenarioPlanMembertbph:EmployeePerformanceRestrictedStockUnitsRsuAndCashBonus</w:t>
      </w:r>
      <w:r>
        <w:rPr>
          <w:rFonts w:eastAsia="Times New Roman"/>
          <w:vanish/>
        </w:rPr>
        <w:t>MilestonesMember2020-01-012020-06-300001583107us-gaap:ShareBasedCompensationAwardTrancheTwoMember2020-01-012020-06-300001583107us-gaap:ShareBasedCompensationAwardTrancheThreeMember2020-01-012020-06-300001583107us-gaap:SellingGeneralAndAdministrativeExpense</w:t>
      </w:r>
      <w:r>
        <w:rPr>
          <w:rFonts w:eastAsia="Times New Roman"/>
          <w:vanish/>
        </w:rPr>
        <w:t>sMember2020-01-012020-06-300001583107us-gaap:ResearchAndDevelopmentExpenseMember2020-01-012020-06-300001583107tbph:EmployeePerformanceRestrictedStockUnitsRSUMember2020-01-012020-06-300001583107us-gaap:ShareBasedCompensationAwardTrancheTwoMember2019-04-0120</w:t>
      </w:r>
      <w:r>
        <w:rPr>
          <w:rFonts w:eastAsia="Times New Roman"/>
          <w:vanish/>
        </w:rPr>
        <w:t>19-06-300001583107us-gaap:SellingGeneralAndAdministrativeExpensesMember2019-04-012019-06-300001583107us-gaap:ResearchAndDevelopmentExpenseMember2019-04-012019-06-300001583107us-gaap:ShareBasedCompensationAwardTrancheTwoMember2019-01-012019-06-300001583107u</w:t>
      </w:r>
      <w:r>
        <w:rPr>
          <w:rFonts w:eastAsia="Times New Roman"/>
          <w:vanish/>
        </w:rPr>
        <w:t>s-gaap:SellingGeneralAndAdministrativeExpensesMember2019-01-012019-06-300001583107us-gaap:ResearchAndDevelopmentExpenseMember2019-01-012019-06-300001583107us-gaap:AdditionalPaidInCapitalMember2020-04-012020-06-300001583107us-gaap:AdditionalPaidInCapitalMem</w:t>
      </w:r>
      <w:r>
        <w:rPr>
          <w:rFonts w:eastAsia="Times New Roman"/>
          <w:vanish/>
        </w:rPr>
        <w:t>ber2020-01-012020-06-300001583107us-gaap:AdditionalPaidInCapitalMember2019-04-012019-06-300001583107us-gaap:AdditionalPaidInCapitalMember2019-01-012019-06-300001583107tbph:MylanMembertbph:OrdinarySharePurchaseAgreementMember2015-01-012015-12-310001583107tb</w:t>
      </w:r>
      <w:r>
        <w:rPr>
          <w:rFonts w:eastAsia="Times New Roman"/>
          <w:vanish/>
        </w:rPr>
        <w:t>ph:PfizerInc.Member2019-12-012019-12-310001583107tbph:MylanMember2015-01-012015-01-3100015831072018-02-012018-02-280001583107srt:MinimumMembertbph:TheravanceRespiratoryCompanyLlcMember2020-02-212020-02-210001583107srt:MaximumMembertbph:TheravanceRespirator</w:t>
      </w:r>
      <w:r>
        <w:rPr>
          <w:rFonts w:eastAsia="Times New Roman"/>
          <w:vanish/>
        </w:rPr>
        <w:t>yCompanyLlcMember2020-02-212020-02-210001583107tbph:GlaxoSmithKlinePlcSeniorNotesMember2020-06-222020-06-220001583107tbph:TermNotesDue2035Member2020-02-210001583107tbph:TermNotesDue2035Member2020-04-012020-06-300001583107tbph:MylanMembertbph:DevelopmentAnd</w:t>
      </w:r>
      <w:r>
        <w:rPr>
          <w:rFonts w:eastAsia="Times New Roman"/>
          <w:vanish/>
        </w:rPr>
        <w:t>CommercializationAgreementMember2015-01-012016-12-310001583107tbph:MylanMembertbph:DevelopmentAndCommercializationAgreementMember2015-01-012015-12-310001583107tbph:TheravanceRespiratoryCompanyLlcMembertbph:IssuerTwoClassCUnitsMember2020-02-212020-02-210001</w:t>
      </w:r>
      <w:r>
        <w:rPr>
          <w:rFonts w:eastAsia="Times New Roman"/>
          <w:vanish/>
        </w:rPr>
        <w:t>583107tbph:TheravanceRespiratoryCompanyLlcMember2020-02-212020-02-210001583107tbph:IssuerTwoClassCUnitsMember2020-02-212020-02-210001583107tbph:TheravanceRespiratoryCompanyLlcMember2020-01-012020-06-300001583107tbph:GlaxoSmithKlinePlcSeniorNotesMember2020-</w:t>
      </w:r>
      <w:r>
        <w:rPr>
          <w:rFonts w:eastAsia="Times New Roman"/>
          <w:vanish/>
        </w:rPr>
        <w:t>06-220001583107tbph:NonRecourseDebt2033Member2020-01-012020-06-300001583107tbph:NonRecourseDebt2033Member2018-11-012018-11-300001583107tbph:OthersMember2020-04-012020-06-300001583107tbph:CoPromoteAgreementMember2020-04-012020-06-300001583107tbph:Collaborat</w:t>
      </w:r>
      <w:r>
        <w:rPr>
          <w:rFonts w:eastAsia="Times New Roman"/>
          <w:vanish/>
        </w:rPr>
        <w:t>iveArrangementRevenueMember2020-04-012020-06-300001583107tbph:OthersMember2020-01-012020-06-300001583107tbph:CoPromoteAgreementMember2020-01-012020-06-300001583107tbph:CollaborativeArrangementRevenueMember2020-01-012020-06-300001583107tbph:OthersMember2019</w:t>
      </w:r>
      <w:r>
        <w:rPr>
          <w:rFonts w:eastAsia="Times New Roman"/>
          <w:vanish/>
        </w:rPr>
        <w:t>-04-012019-06-300001583107tbph:CollaborativeArrangementRevenueMember2019-04-012019-06-300001583107tbph:OthersMember2019-01-012019-06-300001583107tbph:CollaborativeArrangementRevenueMember2019-01-012019-06-300001583107tbph:MylanMember2020-04-012020-06-30000</w:t>
      </w:r>
      <w:r>
        <w:rPr>
          <w:rFonts w:eastAsia="Times New Roman"/>
          <w:vanish/>
        </w:rPr>
        <w:t>1583107tbph:JanssenBiotechIncMember2020-04-012020-06-3000015831072020-04-012020-06-300001583107tbph:MylanMember2020-01-012020-06-300001583107tbph:JanssenBiotechIncMember2020-01-012020-06-300001583107tbph:MylanMember2019-04-012019-06-300001583107tbph:Jansse</w:t>
      </w:r>
      <w:r>
        <w:rPr>
          <w:rFonts w:eastAsia="Times New Roman"/>
          <w:vanish/>
        </w:rPr>
        <w:t>nBiotechIncMember2019-04-012019-06-3000015831072019-04-012019-06-300001583107tbph:MylanMember2019-01-012019-06-300001583107tbph:JanssenBiotechIncMember2019-01-012019-06-300001583107tbph:JanssenBiotechIncMembertbph:Td1473Memberus-gaap:CollaborativeArrangeme</w:t>
      </w:r>
      <w:r>
        <w:rPr>
          <w:rFonts w:eastAsia="Times New Roman"/>
          <w:vanish/>
        </w:rPr>
        <w:t>ntMember2018-02-012018-02-280001583107tbph:JanssenBiotechIncMemberus-gaap:CollaborativeArrangementMember2018-02-012018-02-280001583107tbph:CoPromoteAgreementMember2019-04-012019-06-300001583107tbph:CoPromoteAgreementMember2019-01-012019-06-300001583107tbph</w:t>
      </w:r>
      <w:r>
        <w:rPr>
          <w:rFonts w:eastAsia="Times New Roman"/>
          <w:vanish/>
        </w:rPr>
        <w:t>:JanssenBiotechIncMember2018-02-012018-02-2800015831072019-01-012019-06-3000015831072020-06-3000015831072019-12-3100015831072020-07-3100015831072020-01-012020-06-30xbrli:sharesiso4217:USDxbrli:puretbph:plantbph:itemiso4217:USDxbrli:shares</w:t>
      </w:r>
    </w:p>
    <w:p w:rsidR="00000000" w:rsidRDefault="00C96329">
      <w:pPr>
        <w:pStyle w:val="a3"/>
        <w:spacing w:before="0" w:beforeAutospacing="0" w:after="120" w:afterAutospacing="0"/>
        <w:divId w:val="1228489930"/>
        <w:rPr>
          <w:sz w:val="20"/>
          <w:szCs w:val="20"/>
        </w:rPr>
      </w:pPr>
      <w:hyperlink w:anchor="TOC" w:history="1">
        <w:r>
          <w:rPr>
            <w:rStyle w:val="a4"/>
            <w:sz w:val="20"/>
            <w:szCs w:val="20"/>
          </w:rPr>
          <w:t>Table of Contents</w:t>
        </w:r>
      </w:hyperlink>
    </w:p>
    <w:p w:rsidR="00000000" w:rsidRDefault="00C96329">
      <w:pPr>
        <w:pStyle w:val="a3"/>
        <w:pBdr>
          <w:top w:val="single" w:sz="24" w:space="1" w:color="000000"/>
          <w:bottom w:val="single" w:sz="8" w:space="1" w:color="000000"/>
        </w:pBdr>
        <w:spacing w:before="0" w:beforeAutospacing="0" w:after="0" w:afterAutospacing="0"/>
        <w:divId w:val="1509785596"/>
        <w:rPr>
          <w:sz w:val="20"/>
          <w:szCs w:val="20"/>
        </w:rPr>
      </w:pPr>
      <w:r>
        <w:rPr>
          <w:sz w:val="2"/>
          <w:szCs w:val="2"/>
        </w:rPr>
        <w:t>​</w:t>
      </w:r>
    </w:p>
    <w:p w:rsidR="00000000" w:rsidRDefault="00C96329">
      <w:pPr>
        <w:pStyle w:val="a3"/>
        <w:spacing w:before="0" w:beforeAutospacing="0" w:after="0" w:afterAutospacing="0"/>
        <w:divId w:val="1509785596"/>
        <w:rPr>
          <w:sz w:val="20"/>
          <w:szCs w:val="20"/>
        </w:rPr>
      </w:pPr>
      <w:r>
        <w:rPr>
          <w:sz w:val="10"/>
          <w:szCs w:val="10"/>
        </w:rPr>
        <w:t>​</w:t>
      </w:r>
    </w:p>
    <w:p w:rsidR="00000000" w:rsidRDefault="00C96329">
      <w:pPr>
        <w:pStyle w:val="a3"/>
        <w:spacing w:before="0" w:beforeAutospacing="0" w:after="0" w:afterAutospacing="0"/>
        <w:jc w:val="center"/>
        <w:divId w:val="1509785596"/>
        <w:rPr>
          <w:sz w:val="20"/>
          <w:szCs w:val="20"/>
        </w:rPr>
      </w:pPr>
      <w:r>
        <w:rPr>
          <w:b/>
          <w:bCs/>
          <w:sz w:val="34"/>
          <w:szCs w:val="34"/>
        </w:rPr>
        <w:t>UNITED STATES</w:t>
      </w:r>
    </w:p>
    <w:p w:rsidR="00000000" w:rsidRDefault="00C96329">
      <w:pPr>
        <w:pStyle w:val="a3"/>
        <w:spacing w:before="0" w:beforeAutospacing="0" w:after="0" w:afterAutospacing="0"/>
        <w:jc w:val="center"/>
        <w:divId w:val="1509785596"/>
        <w:rPr>
          <w:sz w:val="20"/>
          <w:szCs w:val="20"/>
        </w:rPr>
      </w:pPr>
      <w:r>
        <w:rPr>
          <w:b/>
          <w:bCs/>
          <w:sz w:val="34"/>
          <w:szCs w:val="34"/>
        </w:rPr>
        <w:t>SECURITIES AND EXCHANGE COMMISSION</w:t>
      </w:r>
    </w:p>
    <w:p w:rsidR="00000000" w:rsidRDefault="00C96329">
      <w:pPr>
        <w:pStyle w:val="a3"/>
        <w:spacing w:before="0" w:beforeAutospacing="0" w:after="0" w:afterAutospacing="0"/>
        <w:jc w:val="center"/>
        <w:divId w:val="1509785596"/>
        <w:rPr>
          <w:sz w:val="18"/>
          <w:szCs w:val="18"/>
        </w:rPr>
      </w:pPr>
      <w:r>
        <w:rPr>
          <w:b/>
          <w:bCs/>
          <w:sz w:val="18"/>
          <w:szCs w:val="18"/>
        </w:rPr>
        <w:t>Washington, D.C. 20549</w:t>
      </w:r>
    </w:p>
    <w:p w:rsidR="00000000" w:rsidRDefault="00C96329">
      <w:pPr>
        <w:pStyle w:val="a3"/>
        <w:spacing w:before="0" w:beforeAutospacing="0" w:after="0" w:afterAutospacing="0"/>
        <w:jc w:val="center"/>
        <w:divId w:val="1509785596"/>
        <w:rPr>
          <w:sz w:val="20"/>
          <w:szCs w:val="20"/>
        </w:rPr>
      </w:pPr>
      <w:r>
        <w:rPr>
          <w:b/>
          <w:bCs/>
          <w:sz w:val="10"/>
          <w:szCs w:val="10"/>
        </w:rPr>
        <w:t>​</w:t>
      </w:r>
    </w:p>
    <w:p w:rsidR="00000000" w:rsidRDefault="00C96329">
      <w:pPr>
        <w:pStyle w:val="a3"/>
        <w:spacing w:before="0" w:beforeAutospacing="0" w:after="0" w:afterAutospacing="0"/>
        <w:jc w:val="center"/>
        <w:divId w:val="1509785596"/>
        <w:rPr>
          <w:sz w:val="34"/>
          <w:szCs w:val="34"/>
        </w:rPr>
      </w:pPr>
      <w:r>
        <w:rPr>
          <w:b/>
          <w:bCs/>
          <w:sz w:val="34"/>
          <w:szCs w:val="34"/>
        </w:rPr>
        <w:t>Form 10-Q</w:t>
      </w:r>
    </w:p>
    <w:p w:rsidR="00000000" w:rsidRDefault="00C96329">
      <w:pPr>
        <w:pStyle w:val="a3"/>
        <w:spacing w:before="0" w:beforeAutospacing="0" w:after="0" w:afterAutospacing="0"/>
        <w:divId w:val="1509785596"/>
        <w:rPr>
          <w:sz w:val="20"/>
          <w:szCs w:val="20"/>
        </w:rPr>
      </w:pPr>
      <w:r>
        <w:rPr>
          <w:b/>
          <w:bCs/>
          <w:sz w:val="10"/>
          <w:szCs w:val="10"/>
        </w:rPr>
        <w:t>​</w:t>
      </w:r>
    </w:p>
    <w:p w:rsidR="00000000" w:rsidRDefault="00C96329">
      <w:pPr>
        <w:pStyle w:val="a3"/>
        <w:spacing w:before="0" w:beforeAutospacing="0" w:after="0" w:afterAutospacing="0"/>
        <w:divId w:val="1509785596"/>
        <w:rPr>
          <w:sz w:val="18"/>
          <w:szCs w:val="18"/>
        </w:rPr>
      </w:pPr>
      <w:r>
        <w:rPr>
          <w:b/>
          <w:bCs/>
          <w:sz w:val="18"/>
          <w:szCs w:val="18"/>
        </w:rPr>
        <w:t>(Mark One)</w:t>
      </w:r>
    </w:p>
    <w:p w:rsidR="00000000" w:rsidRDefault="00C96329">
      <w:pPr>
        <w:pStyle w:val="a3"/>
        <w:spacing w:before="0" w:beforeAutospacing="0" w:after="0" w:afterAutospacing="0"/>
        <w:ind w:left="360" w:hanging="360"/>
        <w:divId w:val="1509785596"/>
        <w:rPr>
          <w:sz w:val="20"/>
          <w:szCs w:val="20"/>
        </w:rPr>
      </w:pPr>
      <w:r>
        <w:rPr>
          <w:b/>
          <w:bCs/>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3"/>
        <w:gridCol w:w="7573"/>
      </w:tblGrid>
      <w:tr w:rsidR="00000000">
        <w:trPr>
          <w:divId w:val="1509785596"/>
        </w:trPr>
        <w:tc>
          <w:tcPr>
            <w:tcW w:w="360" w:type="dxa"/>
            <w:tcMar>
              <w:top w:w="0" w:type="dxa"/>
              <w:left w:w="0" w:type="dxa"/>
              <w:bottom w:w="0" w:type="dxa"/>
              <w:right w:w="0" w:type="dxa"/>
            </w:tcMar>
            <w:vAlign w:val="center"/>
            <w:hideMark/>
          </w:tcPr>
          <w:p w:rsidR="00000000" w:rsidRDefault="00C96329">
            <w:pPr>
              <w:rPr>
                <w:sz w:val="20"/>
                <w:szCs w:val="20"/>
              </w:rPr>
            </w:pPr>
          </w:p>
        </w:tc>
        <w:tc>
          <w:tcPr>
            <w:tcW w:w="357" w:type="dxa"/>
            <w:noWrap/>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rFonts w:ascii="Segoe UI Symbol" w:hAnsi="Segoe UI Symbol"/>
                <w:b/>
                <w:bCs/>
                <w:sz w:val="18"/>
                <w:szCs w:val="18"/>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b/>
                <w:bCs/>
                <w:sz w:val="18"/>
                <w:szCs w:val="18"/>
              </w:rPr>
              <w:t>QUARTERLY REPORT PURSUANT TO SECTION 13 OR 15(d) OF THE SECURITIES EXCHANGE ACT OF 1934</w:t>
            </w:r>
          </w:p>
        </w:tc>
      </w:tr>
    </w:tbl>
    <w:p w:rsidR="00000000" w:rsidRDefault="00C96329">
      <w:pPr>
        <w:pStyle w:val="a3"/>
        <w:spacing w:before="0" w:beforeAutospacing="0" w:after="0" w:afterAutospacing="0"/>
        <w:jc w:val="center"/>
        <w:divId w:val="1509785596"/>
        <w:rPr>
          <w:sz w:val="20"/>
          <w:szCs w:val="20"/>
        </w:rPr>
      </w:pPr>
      <w:r>
        <w:rPr>
          <w:sz w:val="10"/>
          <w:szCs w:val="10"/>
        </w:rPr>
        <w:t>​</w:t>
      </w:r>
    </w:p>
    <w:p w:rsidR="00000000" w:rsidRDefault="00C96329">
      <w:pPr>
        <w:pStyle w:val="a3"/>
        <w:spacing w:before="0" w:beforeAutospacing="0" w:after="0" w:afterAutospacing="0"/>
        <w:jc w:val="center"/>
        <w:divId w:val="1509785596"/>
        <w:rPr>
          <w:sz w:val="20"/>
          <w:szCs w:val="20"/>
        </w:rPr>
      </w:pPr>
      <w:r>
        <w:rPr>
          <w:b/>
          <w:bCs/>
          <w:sz w:val="18"/>
          <w:szCs w:val="18"/>
        </w:rPr>
        <w:t>For the quarterly period ended June 30, 2020</w:t>
      </w:r>
    </w:p>
    <w:p w:rsidR="00000000" w:rsidRDefault="00C96329">
      <w:pPr>
        <w:pStyle w:val="a3"/>
        <w:spacing w:before="0" w:beforeAutospacing="0" w:after="0" w:afterAutospacing="0"/>
        <w:jc w:val="center"/>
        <w:divId w:val="1509785596"/>
        <w:rPr>
          <w:sz w:val="20"/>
          <w:szCs w:val="20"/>
        </w:rPr>
      </w:pPr>
      <w:r>
        <w:rPr>
          <w:sz w:val="10"/>
          <w:szCs w:val="10"/>
        </w:rPr>
        <w:t>​</w:t>
      </w:r>
    </w:p>
    <w:p w:rsidR="00000000" w:rsidRDefault="00C96329">
      <w:pPr>
        <w:pStyle w:val="a3"/>
        <w:spacing w:before="0" w:beforeAutospacing="0" w:after="0" w:afterAutospacing="0"/>
        <w:jc w:val="center"/>
        <w:divId w:val="1509785596"/>
        <w:rPr>
          <w:sz w:val="18"/>
          <w:szCs w:val="18"/>
        </w:rPr>
      </w:pPr>
      <w:r>
        <w:rPr>
          <w:b/>
          <w:bCs/>
          <w:sz w:val="18"/>
          <w:szCs w:val="18"/>
        </w:rPr>
        <w:t>OR</w:t>
      </w:r>
    </w:p>
    <w:p w:rsidR="00000000" w:rsidRDefault="00C96329">
      <w:pPr>
        <w:pStyle w:val="a3"/>
        <w:spacing w:before="0" w:beforeAutospacing="0" w:after="0" w:afterAutospacing="0"/>
        <w:jc w:val="center"/>
        <w:divId w:val="1509785596"/>
        <w:rPr>
          <w:sz w:val="20"/>
          <w:szCs w:val="20"/>
        </w:rPr>
      </w:pPr>
      <w:r>
        <w:rPr>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5"/>
        <w:gridCol w:w="7571"/>
      </w:tblGrid>
      <w:tr w:rsidR="00000000">
        <w:trPr>
          <w:divId w:val="1509785596"/>
        </w:trPr>
        <w:tc>
          <w:tcPr>
            <w:tcW w:w="360" w:type="dxa"/>
            <w:tcMar>
              <w:top w:w="0" w:type="dxa"/>
              <w:left w:w="0" w:type="dxa"/>
              <w:bottom w:w="0" w:type="dxa"/>
              <w:right w:w="0" w:type="dxa"/>
            </w:tcMar>
            <w:vAlign w:val="center"/>
            <w:hideMark/>
          </w:tcPr>
          <w:p w:rsidR="00000000" w:rsidRDefault="00C96329">
            <w:pPr>
              <w:rPr>
                <w:sz w:val="20"/>
                <w:szCs w:val="20"/>
              </w:rPr>
            </w:pPr>
          </w:p>
        </w:tc>
        <w:tc>
          <w:tcPr>
            <w:tcW w:w="359" w:type="dxa"/>
            <w:noWrap/>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rFonts w:ascii="Segoe UI Symbol" w:hAnsi="Segoe UI Symbol"/>
                <w:b/>
                <w:bCs/>
                <w:sz w:val="18"/>
                <w:szCs w:val="18"/>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b/>
                <w:bCs/>
                <w:sz w:val="18"/>
                <w:szCs w:val="18"/>
              </w:rPr>
              <w:t>TRANSITION REPORT PURSUANT TO SECTION 13 OR 15(d) OF THE SECURITIES EXCHANGE ACT OF 1934</w:t>
            </w:r>
          </w:p>
        </w:tc>
      </w:tr>
    </w:tbl>
    <w:p w:rsidR="00000000" w:rsidRDefault="00C96329">
      <w:pPr>
        <w:pStyle w:val="a3"/>
        <w:spacing w:before="0" w:beforeAutospacing="0" w:after="0" w:afterAutospacing="0"/>
        <w:ind w:hanging="490"/>
        <w:jc w:val="center"/>
        <w:divId w:val="1509785596"/>
        <w:rPr>
          <w:sz w:val="20"/>
          <w:szCs w:val="20"/>
        </w:rPr>
      </w:pPr>
      <w:r>
        <w:rPr>
          <w:sz w:val="10"/>
          <w:szCs w:val="10"/>
        </w:rPr>
        <w:t>​</w:t>
      </w:r>
    </w:p>
    <w:p w:rsidR="00000000" w:rsidRDefault="00C96329">
      <w:pPr>
        <w:pStyle w:val="a3"/>
        <w:spacing w:before="0" w:beforeAutospacing="0" w:after="0" w:afterAutospacing="0"/>
        <w:jc w:val="center"/>
        <w:divId w:val="1509785596"/>
        <w:rPr>
          <w:sz w:val="18"/>
          <w:szCs w:val="18"/>
        </w:rPr>
      </w:pPr>
      <w:r>
        <w:rPr>
          <w:b/>
          <w:bCs/>
          <w:sz w:val="18"/>
          <w:szCs w:val="18"/>
        </w:rPr>
        <w:t>For the transition period from                  to</w:t>
      </w:r>
    </w:p>
    <w:p w:rsidR="00000000" w:rsidRDefault="00C96329">
      <w:pPr>
        <w:pStyle w:val="a3"/>
        <w:spacing w:before="0" w:beforeAutospacing="0" w:after="0" w:afterAutospacing="0"/>
        <w:jc w:val="center"/>
        <w:divId w:val="1509785596"/>
        <w:rPr>
          <w:sz w:val="20"/>
          <w:szCs w:val="20"/>
        </w:rPr>
      </w:pPr>
      <w:r>
        <w:rPr>
          <w:sz w:val="10"/>
          <w:szCs w:val="10"/>
        </w:rPr>
        <w:t>​</w:t>
      </w:r>
    </w:p>
    <w:p w:rsidR="00000000" w:rsidRDefault="00C96329">
      <w:pPr>
        <w:pStyle w:val="a3"/>
        <w:spacing w:before="0" w:beforeAutospacing="0" w:after="0" w:afterAutospacing="0"/>
        <w:jc w:val="center"/>
        <w:divId w:val="1509785596"/>
        <w:rPr>
          <w:sz w:val="20"/>
          <w:szCs w:val="20"/>
        </w:rPr>
      </w:pPr>
      <w:r>
        <w:rPr>
          <w:b/>
          <w:bCs/>
          <w:sz w:val="18"/>
          <w:szCs w:val="18"/>
        </w:rPr>
        <w:t>Commission file number: 001-36033</w:t>
      </w:r>
    </w:p>
    <w:p w:rsidR="00000000" w:rsidRDefault="00C96329">
      <w:pPr>
        <w:pStyle w:val="a3"/>
        <w:spacing w:before="0" w:beforeAutospacing="0" w:after="0" w:afterAutospacing="0"/>
        <w:jc w:val="center"/>
        <w:divId w:val="1509785596"/>
        <w:rPr>
          <w:sz w:val="20"/>
          <w:szCs w:val="20"/>
        </w:rPr>
      </w:pPr>
      <w:r>
        <w:rPr>
          <w:sz w:val="10"/>
          <w:szCs w:val="10"/>
        </w:rPr>
        <w:t>​</w:t>
      </w:r>
    </w:p>
    <w:p w:rsidR="00000000" w:rsidRDefault="00C96329">
      <w:pPr>
        <w:pStyle w:val="a3"/>
        <w:spacing w:before="0" w:beforeAutospacing="0" w:after="0" w:afterAutospacing="0"/>
        <w:jc w:val="center"/>
        <w:divId w:val="1509785596"/>
        <w:rPr>
          <w:sz w:val="34"/>
          <w:szCs w:val="34"/>
        </w:rPr>
      </w:pPr>
      <w:r>
        <w:rPr>
          <w:b/>
          <w:bCs/>
          <w:sz w:val="34"/>
          <w:szCs w:val="34"/>
        </w:rPr>
        <w:t>THERAVANCE BIOPHARMA</w:t>
      </w:r>
      <w:r>
        <w:rPr>
          <w:b/>
          <w:bCs/>
          <w:sz w:val="34"/>
          <w:szCs w:val="34"/>
        </w:rPr>
        <w:t>, INC.</w:t>
      </w:r>
    </w:p>
    <w:p w:rsidR="00000000" w:rsidRDefault="00C96329">
      <w:pPr>
        <w:pStyle w:val="a3"/>
        <w:spacing w:before="0" w:beforeAutospacing="0" w:after="0" w:afterAutospacing="0"/>
        <w:jc w:val="center"/>
        <w:divId w:val="1509785596"/>
        <w:rPr>
          <w:sz w:val="18"/>
          <w:szCs w:val="18"/>
        </w:rPr>
      </w:pPr>
      <w:r>
        <w:rPr>
          <w:sz w:val="18"/>
          <w:szCs w:val="18"/>
        </w:rPr>
        <w:t>(Exact Name of Registrant as Specified in its Charter)</w:t>
      </w:r>
    </w:p>
    <w:p w:rsidR="00000000" w:rsidRDefault="00C96329">
      <w:pPr>
        <w:pStyle w:val="a3"/>
        <w:spacing w:before="0" w:beforeAutospacing="0" w:after="0" w:afterAutospacing="0"/>
        <w:jc w:val="center"/>
        <w:divId w:val="1509785596"/>
        <w:rPr>
          <w:sz w:val="20"/>
          <w:szCs w:val="20"/>
        </w:rPr>
      </w:pPr>
      <w:r>
        <w:rPr>
          <w:sz w:val="10"/>
          <w:szCs w:val="10"/>
        </w:rPr>
        <w:t>​</w:t>
      </w:r>
    </w:p>
    <w:p w:rsidR="00000000" w:rsidRDefault="00C96329">
      <w:pPr>
        <w:pStyle w:val="a3"/>
        <w:spacing w:before="0" w:beforeAutospacing="0" w:after="0" w:afterAutospacing="0"/>
        <w:divId w:val="1509785596"/>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4063"/>
        <w:gridCol w:w="180"/>
        <w:gridCol w:w="4063"/>
      </w:tblGrid>
      <w:tr w:rsidR="00000000">
        <w:trPr>
          <w:divId w:val="1509785596"/>
        </w:trPr>
        <w:tc>
          <w:tcPr>
            <w:tcW w:w="2449" w:type="pct"/>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2"/>
                <w:szCs w:val="2"/>
              </w:rPr>
              <w:t>​</w:t>
            </w:r>
          </w:p>
        </w:tc>
        <w:tc>
          <w:tcPr>
            <w:tcW w:w="10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2449" w:type="pct"/>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2"/>
                <w:szCs w:val="2"/>
              </w:rPr>
              <w:t>​</w:t>
            </w:r>
          </w:p>
        </w:tc>
      </w:tr>
      <w:tr w:rsidR="00000000">
        <w:trPr>
          <w:divId w:val="1509785596"/>
        </w:trPr>
        <w:tc>
          <w:tcPr>
            <w:tcW w:w="2449" w:type="pct"/>
            <w:tcMar>
              <w:top w:w="0" w:type="dxa"/>
              <w:left w:w="0" w:type="dxa"/>
              <w:bottom w:w="0" w:type="dxa"/>
              <w:right w:w="0" w:type="dxa"/>
            </w:tcMar>
            <w:hideMark/>
          </w:tcPr>
          <w:p w:rsidR="00000000" w:rsidRDefault="00C96329">
            <w:pPr>
              <w:pStyle w:val="a3"/>
              <w:spacing w:before="0" w:beforeAutospacing="0" w:after="0" w:afterAutospacing="0"/>
              <w:ind w:hanging="200"/>
              <w:jc w:val="center"/>
              <w:rPr>
                <w:sz w:val="20"/>
                <w:szCs w:val="20"/>
              </w:rPr>
            </w:pPr>
            <w:r>
              <w:rPr>
                <w:b/>
                <w:bCs/>
                <w:sz w:val="18"/>
                <w:szCs w:val="18"/>
              </w:rPr>
              <w:t>Cayman Islands</w:t>
            </w:r>
          </w:p>
        </w:tc>
        <w:tc>
          <w:tcPr>
            <w:tcW w:w="100" w:type="pct"/>
            <w:tcMar>
              <w:top w:w="0" w:type="dxa"/>
              <w:left w:w="0" w:type="dxa"/>
              <w:bottom w:w="0" w:type="dxa"/>
              <w:right w:w="0" w:type="dxa"/>
            </w:tcMar>
            <w:vAlign w:val="bottom"/>
            <w:hideMark/>
          </w:tcPr>
          <w:p w:rsidR="00000000" w:rsidRDefault="00C96329">
            <w:pPr>
              <w:pStyle w:val="a3"/>
              <w:spacing w:before="0" w:beforeAutospacing="0" w:after="0" w:afterAutospacing="0"/>
              <w:rPr>
                <w:sz w:val="18"/>
                <w:szCs w:val="18"/>
              </w:rPr>
            </w:pPr>
            <w:r>
              <w:rPr>
                <w:b/>
                <w:bCs/>
                <w:sz w:val="18"/>
                <w:szCs w:val="18"/>
              </w:rPr>
              <w:t>    </w:t>
            </w:r>
          </w:p>
        </w:tc>
        <w:tc>
          <w:tcPr>
            <w:tcW w:w="2449"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b/>
                <w:bCs/>
                <w:sz w:val="18"/>
                <w:szCs w:val="18"/>
              </w:rPr>
              <w:t>98-1226628</w:t>
            </w:r>
          </w:p>
        </w:tc>
      </w:tr>
      <w:tr w:rsidR="00000000">
        <w:trPr>
          <w:divId w:val="1509785596"/>
        </w:trPr>
        <w:tc>
          <w:tcPr>
            <w:tcW w:w="2449" w:type="pct"/>
            <w:tcMar>
              <w:top w:w="0" w:type="dxa"/>
              <w:left w:w="0" w:type="dxa"/>
              <w:bottom w:w="0" w:type="dxa"/>
              <w:right w:w="0" w:type="dxa"/>
            </w:tcMar>
            <w:hideMark/>
          </w:tcPr>
          <w:p w:rsidR="00000000" w:rsidRDefault="00C96329">
            <w:pPr>
              <w:pStyle w:val="a3"/>
              <w:spacing w:before="0" w:beforeAutospacing="0" w:after="0" w:afterAutospacing="0"/>
              <w:ind w:hanging="200"/>
              <w:jc w:val="center"/>
              <w:rPr>
                <w:sz w:val="18"/>
                <w:szCs w:val="18"/>
              </w:rPr>
            </w:pPr>
            <w:r>
              <w:rPr>
                <w:sz w:val="18"/>
                <w:szCs w:val="18"/>
              </w:rPr>
              <w:t>(State or Other Jurisdiction of</w:t>
            </w:r>
          </w:p>
        </w:tc>
        <w:tc>
          <w:tcPr>
            <w:tcW w:w="10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C96329">
            <w:pPr>
              <w:pStyle w:val="a3"/>
              <w:spacing w:before="0" w:beforeAutospacing="0" w:after="0" w:afterAutospacing="0"/>
              <w:jc w:val="center"/>
              <w:rPr>
                <w:sz w:val="18"/>
                <w:szCs w:val="18"/>
              </w:rPr>
            </w:pPr>
            <w:r>
              <w:rPr>
                <w:sz w:val="18"/>
                <w:szCs w:val="18"/>
              </w:rPr>
              <w:t>(I.R.S. Employer</w:t>
            </w:r>
          </w:p>
        </w:tc>
      </w:tr>
      <w:tr w:rsidR="00000000">
        <w:trPr>
          <w:divId w:val="1509785596"/>
        </w:trPr>
        <w:tc>
          <w:tcPr>
            <w:tcW w:w="2449" w:type="pct"/>
            <w:tcMar>
              <w:top w:w="0" w:type="dxa"/>
              <w:left w:w="0" w:type="dxa"/>
              <w:bottom w:w="0" w:type="dxa"/>
              <w:right w:w="0" w:type="dxa"/>
            </w:tcMar>
            <w:hideMark/>
          </w:tcPr>
          <w:p w:rsidR="00000000" w:rsidRDefault="00C96329">
            <w:pPr>
              <w:pStyle w:val="a3"/>
              <w:spacing w:before="0" w:beforeAutospacing="0" w:after="0" w:afterAutospacing="0"/>
              <w:ind w:hanging="200"/>
              <w:jc w:val="center"/>
              <w:rPr>
                <w:sz w:val="18"/>
                <w:szCs w:val="18"/>
              </w:rPr>
            </w:pPr>
            <w:r>
              <w:rPr>
                <w:sz w:val="18"/>
                <w:szCs w:val="18"/>
              </w:rPr>
              <w:t>Incorporation or Organization)</w:t>
            </w:r>
          </w:p>
        </w:tc>
        <w:tc>
          <w:tcPr>
            <w:tcW w:w="10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C96329">
            <w:pPr>
              <w:pStyle w:val="a3"/>
              <w:spacing w:before="0" w:beforeAutospacing="0" w:after="0" w:afterAutospacing="0"/>
              <w:jc w:val="center"/>
              <w:rPr>
                <w:sz w:val="18"/>
                <w:szCs w:val="18"/>
              </w:rPr>
            </w:pPr>
            <w:r>
              <w:rPr>
                <w:sz w:val="18"/>
                <w:szCs w:val="18"/>
              </w:rPr>
              <w:t>Identification No.)</w:t>
            </w:r>
          </w:p>
        </w:tc>
      </w:tr>
      <w:tr w:rsidR="00000000">
        <w:trPr>
          <w:divId w:val="1509785596"/>
        </w:trPr>
        <w:tc>
          <w:tcPr>
            <w:tcW w:w="2449" w:type="pct"/>
            <w:tcMar>
              <w:top w:w="0" w:type="dxa"/>
              <w:left w:w="0" w:type="dxa"/>
              <w:bottom w:w="0" w:type="dxa"/>
              <w:right w:w="0" w:type="dxa"/>
            </w:tcMar>
            <w:hideMark/>
          </w:tcPr>
          <w:p w:rsidR="00000000" w:rsidRDefault="00C96329">
            <w:pPr>
              <w:pStyle w:val="a3"/>
              <w:spacing w:before="0" w:beforeAutospacing="0" w:after="0" w:afterAutospacing="0"/>
              <w:ind w:hanging="200"/>
              <w:jc w:val="center"/>
              <w:rPr>
                <w:sz w:val="20"/>
                <w:szCs w:val="20"/>
              </w:rPr>
            </w:pPr>
            <w:r>
              <w:rPr>
                <w:sz w:val="10"/>
                <w:szCs w:val="10"/>
              </w:rPr>
              <w:t>​</w:t>
            </w:r>
          </w:p>
        </w:tc>
        <w:tc>
          <w:tcPr>
            <w:tcW w:w="10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0"/>
                <w:szCs w:val="10"/>
              </w:rPr>
              <w:t>​</w:t>
            </w:r>
          </w:p>
        </w:tc>
        <w:tc>
          <w:tcPr>
            <w:tcW w:w="2449"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10"/>
                <w:szCs w:val="10"/>
              </w:rPr>
              <w:t>​</w:t>
            </w:r>
          </w:p>
        </w:tc>
      </w:tr>
      <w:tr w:rsidR="00000000">
        <w:trPr>
          <w:divId w:val="1509785596"/>
        </w:trPr>
        <w:tc>
          <w:tcPr>
            <w:tcW w:w="2449" w:type="pct"/>
            <w:tcMar>
              <w:top w:w="0" w:type="dxa"/>
              <w:left w:w="0" w:type="dxa"/>
              <w:bottom w:w="0" w:type="dxa"/>
              <w:right w:w="0" w:type="dxa"/>
            </w:tcMar>
            <w:hideMark/>
          </w:tcPr>
          <w:p w:rsidR="00000000" w:rsidRDefault="00C96329">
            <w:pPr>
              <w:pStyle w:val="a3"/>
              <w:spacing w:before="0" w:beforeAutospacing="0" w:after="0" w:afterAutospacing="0"/>
              <w:ind w:hanging="200"/>
              <w:jc w:val="center"/>
              <w:rPr>
                <w:sz w:val="20"/>
                <w:szCs w:val="20"/>
              </w:rPr>
            </w:pPr>
            <w:r>
              <w:rPr>
                <w:b/>
                <w:bCs/>
                <w:sz w:val="18"/>
                <w:szCs w:val="18"/>
              </w:rPr>
              <w:t>PO Box 309</w:t>
            </w:r>
          </w:p>
        </w:tc>
        <w:tc>
          <w:tcPr>
            <w:tcW w:w="10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18"/>
                <w:szCs w:val="18"/>
              </w:rPr>
              <w:t>​</w:t>
            </w:r>
          </w:p>
        </w:tc>
      </w:tr>
      <w:tr w:rsidR="00000000">
        <w:trPr>
          <w:divId w:val="1509785596"/>
        </w:trPr>
        <w:tc>
          <w:tcPr>
            <w:tcW w:w="2449" w:type="pct"/>
            <w:tcMar>
              <w:top w:w="0" w:type="dxa"/>
              <w:left w:w="0" w:type="dxa"/>
              <w:bottom w:w="0" w:type="dxa"/>
              <w:right w:w="0" w:type="dxa"/>
            </w:tcMar>
            <w:hideMark/>
          </w:tcPr>
          <w:p w:rsidR="00000000" w:rsidRDefault="00C96329">
            <w:pPr>
              <w:pStyle w:val="a3"/>
              <w:spacing w:before="0" w:beforeAutospacing="0" w:after="0" w:afterAutospacing="0"/>
              <w:ind w:hanging="200"/>
              <w:jc w:val="center"/>
              <w:rPr>
                <w:sz w:val="20"/>
                <w:szCs w:val="20"/>
              </w:rPr>
            </w:pPr>
            <w:r>
              <w:rPr>
                <w:b/>
                <w:bCs/>
                <w:sz w:val="18"/>
                <w:szCs w:val="18"/>
              </w:rPr>
              <w:t>Ugland House, South Church Street</w:t>
            </w:r>
          </w:p>
        </w:tc>
        <w:tc>
          <w:tcPr>
            <w:tcW w:w="10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8"/>
                <w:szCs w:val="18"/>
              </w:rPr>
              <w:t>​</w:t>
            </w:r>
          </w:p>
        </w:tc>
        <w:tc>
          <w:tcPr>
            <w:tcW w:w="2449"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b/>
                <w:bCs/>
                <w:sz w:val="18"/>
                <w:szCs w:val="18"/>
              </w:rPr>
              <w:t>​</w:t>
            </w:r>
          </w:p>
        </w:tc>
      </w:tr>
      <w:tr w:rsidR="00000000">
        <w:trPr>
          <w:divId w:val="1509785596"/>
        </w:trPr>
        <w:tc>
          <w:tcPr>
            <w:tcW w:w="2449" w:type="pct"/>
            <w:tcMar>
              <w:top w:w="0" w:type="dxa"/>
              <w:left w:w="0" w:type="dxa"/>
              <w:bottom w:w="0" w:type="dxa"/>
              <w:right w:w="0" w:type="dxa"/>
            </w:tcMar>
            <w:hideMark/>
          </w:tcPr>
          <w:p w:rsidR="00000000" w:rsidRDefault="00C96329">
            <w:pPr>
              <w:pStyle w:val="a3"/>
              <w:spacing w:before="0" w:beforeAutospacing="0" w:after="0" w:afterAutospacing="0"/>
              <w:ind w:hanging="200"/>
              <w:jc w:val="center"/>
              <w:rPr>
                <w:sz w:val="20"/>
                <w:szCs w:val="20"/>
              </w:rPr>
            </w:pPr>
            <w:r>
              <w:rPr>
                <w:b/>
                <w:bCs/>
                <w:sz w:val="18"/>
                <w:szCs w:val="18"/>
              </w:rPr>
              <w:t>George Town, Grand Cayman, Cayman Islands</w:t>
            </w:r>
          </w:p>
        </w:tc>
        <w:tc>
          <w:tcPr>
            <w:tcW w:w="10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8"/>
                <w:szCs w:val="18"/>
              </w:rPr>
              <w:t>​</w:t>
            </w:r>
          </w:p>
        </w:tc>
        <w:tc>
          <w:tcPr>
            <w:tcW w:w="2449"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b/>
                <w:bCs/>
                <w:sz w:val="18"/>
                <w:szCs w:val="18"/>
              </w:rPr>
              <w:t>KY1-1104</w:t>
            </w:r>
          </w:p>
        </w:tc>
      </w:tr>
      <w:tr w:rsidR="00000000">
        <w:trPr>
          <w:divId w:val="1509785596"/>
        </w:trPr>
        <w:tc>
          <w:tcPr>
            <w:tcW w:w="2449" w:type="pct"/>
            <w:tcMar>
              <w:top w:w="0" w:type="dxa"/>
              <w:left w:w="0" w:type="dxa"/>
              <w:bottom w:w="0" w:type="dxa"/>
              <w:right w:w="0" w:type="dxa"/>
            </w:tcMar>
            <w:hideMark/>
          </w:tcPr>
          <w:p w:rsidR="00000000" w:rsidRDefault="00C96329">
            <w:pPr>
              <w:pStyle w:val="a3"/>
              <w:spacing w:before="0" w:beforeAutospacing="0" w:after="0" w:afterAutospacing="0"/>
              <w:ind w:hanging="200"/>
              <w:jc w:val="center"/>
              <w:rPr>
                <w:sz w:val="18"/>
                <w:szCs w:val="18"/>
              </w:rPr>
            </w:pPr>
            <w:r>
              <w:rPr>
                <w:sz w:val="18"/>
                <w:szCs w:val="18"/>
              </w:rPr>
              <w:t>(Address of Principal Executive Offices)</w:t>
            </w:r>
          </w:p>
        </w:tc>
        <w:tc>
          <w:tcPr>
            <w:tcW w:w="10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C96329">
            <w:pPr>
              <w:pStyle w:val="a3"/>
              <w:spacing w:before="0" w:beforeAutospacing="0" w:after="0" w:afterAutospacing="0"/>
              <w:jc w:val="center"/>
              <w:rPr>
                <w:sz w:val="18"/>
                <w:szCs w:val="18"/>
              </w:rPr>
            </w:pPr>
            <w:r>
              <w:rPr>
                <w:sz w:val="18"/>
                <w:szCs w:val="18"/>
              </w:rPr>
              <w:t>(Zip Code)</w:t>
            </w:r>
          </w:p>
        </w:tc>
      </w:tr>
    </w:tbl>
    <w:p w:rsidR="00000000" w:rsidRDefault="00C96329">
      <w:pPr>
        <w:pStyle w:val="a3"/>
        <w:spacing w:before="0" w:beforeAutospacing="0" w:after="0" w:afterAutospacing="0"/>
        <w:divId w:val="1509785596"/>
        <w:rPr>
          <w:sz w:val="20"/>
          <w:szCs w:val="20"/>
        </w:rPr>
      </w:pPr>
      <w:r>
        <w:rPr>
          <w:sz w:val="10"/>
          <w:szCs w:val="10"/>
        </w:rPr>
        <w:t>​</w:t>
      </w:r>
    </w:p>
    <w:p w:rsidR="00000000" w:rsidRDefault="00C96329">
      <w:pPr>
        <w:pStyle w:val="a3"/>
        <w:spacing w:before="0" w:beforeAutospacing="0" w:after="0" w:afterAutospacing="0"/>
        <w:jc w:val="center"/>
        <w:divId w:val="1509785596"/>
        <w:rPr>
          <w:sz w:val="20"/>
          <w:szCs w:val="20"/>
        </w:rPr>
      </w:pPr>
      <w:r>
        <w:rPr>
          <w:b/>
          <w:bCs/>
          <w:sz w:val="18"/>
          <w:szCs w:val="18"/>
        </w:rPr>
        <w:t>(650) 808-6000</w:t>
      </w:r>
    </w:p>
    <w:p w:rsidR="00000000" w:rsidRDefault="00C96329">
      <w:pPr>
        <w:pStyle w:val="a3"/>
        <w:spacing w:before="0" w:beforeAutospacing="0" w:after="0" w:afterAutospacing="0"/>
        <w:jc w:val="center"/>
        <w:divId w:val="1509785596"/>
        <w:rPr>
          <w:sz w:val="18"/>
          <w:szCs w:val="18"/>
        </w:rPr>
      </w:pPr>
      <w:r>
        <w:rPr>
          <w:sz w:val="18"/>
          <w:szCs w:val="18"/>
        </w:rPr>
        <w:t>(Registrant’s Telephone Number, Including Area Code)</w:t>
      </w:r>
    </w:p>
    <w:p w:rsidR="00000000" w:rsidRDefault="00C96329">
      <w:pPr>
        <w:pStyle w:val="a3"/>
        <w:spacing w:before="0" w:beforeAutospacing="0" w:after="0" w:afterAutospacing="0"/>
        <w:jc w:val="center"/>
        <w:divId w:val="1509785596"/>
        <w:rPr>
          <w:sz w:val="20"/>
          <w:szCs w:val="20"/>
        </w:rPr>
      </w:pPr>
      <w:r>
        <w:rPr>
          <w:sz w:val="18"/>
          <w:szCs w:val="18"/>
        </w:rPr>
        <w:t>​</w:t>
      </w:r>
    </w:p>
    <w:p w:rsidR="00000000" w:rsidRDefault="00C96329">
      <w:pPr>
        <w:pStyle w:val="a3"/>
        <w:spacing w:before="0" w:beforeAutospacing="0" w:after="60" w:afterAutospacing="0"/>
        <w:ind w:firstLine="490"/>
        <w:divId w:val="1509785596"/>
        <w:rPr>
          <w:sz w:val="18"/>
          <w:szCs w:val="18"/>
        </w:rPr>
      </w:pPr>
      <w:r>
        <w:rPr>
          <w:sz w:val="18"/>
          <w:szCs w:val="18"/>
        </w:rPr>
        <w:t>Securities registered pursuant to Section 12(b) of the Act:</w:t>
      </w:r>
    </w:p>
    <w:tbl>
      <w:tblPr>
        <w:tblW w:w="5000" w:type="pct"/>
        <w:tblCellMar>
          <w:top w:w="15" w:type="dxa"/>
          <w:left w:w="0" w:type="dxa"/>
          <w:bottom w:w="15" w:type="dxa"/>
          <w:right w:w="0" w:type="dxa"/>
        </w:tblCellMar>
        <w:tblLook w:val="04A0" w:firstRow="1" w:lastRow="0" w:firstColumn="1" w:lastColumn="0" w:noHBand="0" w:noVBand="1"/>
      </w:tblPr>
      <w:tblGrid>
        <w:gridCol w:w="2740"/>
        <w:gridCol w:w="185"/>
        <w:gridCol w:w="185"/>
        <w:gridCol w:w="1367"/>
        <w:gridCol w:w="183"/>
        <w:gridCol w:w="3646"/>
      </w:tblGrid>
      <w:tr w:rsidR="00000000">
        <w:trPr>
          <w:divId w:val="1509785596"/>
          <w:trHeight w:val="20"/>
        </w:trPr>
        <w:tc>
          <w:tcPr>
            <w:tcW w:w="1648" w:type="pct"/>
            <w:noWrap/>
            <w:tcMar>
              <w:top w:w="0" w:type="dxa"/>
              <w:left w:w="0" w:type="dxa"/>
              <w:bottom w:w="0" w:type="dxa"/>
              <w:right w:w="0" w:type="dxa"/>
            </w:tcMar>
            <w:vAlign w:val="bottom"/>
            <w:hideMark/>
          </w:tcPr>
          <w:p w:rsidR="00000000" w:rsidRDefault="00C96329">
            <w:pPr>
              <w:rPr>
                <w:sz w:val="18"/>
                <w:szCs w:val="18"/>
              </w:rPr>
            </w:pPr>
          </w:p>
        </w:tc>
        <w:tc>
          <w:tcPr>
            <w:tcW w:w="111" w:type="pct"/>
            <w:tcMar>
              <w:top w:w="0" w:type="dxa"/>
              <w:left w:w="0" w:type="dxa"/>
              <w:bottom w:w="0" w:type="dxa"/>
              <w:right w:w="0" w:type="dxa"/>
            </w:tcMar>
            <w:hideMark/>
          </w:tcPr>
          <w:p w:rsidR="00000000" w:rsidRDefault="00C96329">
            <w:pPr>
              <w:pStyle w:val="a3"/>
              <w:spacing w:before="0" w:beforeAutospacing="0" w:after="0" w:afterAutospacing="0"/>
              <w:divId w:val="1699157805"/>
              <w:rPr>
                <w:sz w:val="20"/>
                <w:szCs w:val="20"/>
              </w:rPr>
            </w:pPr>
            <w:r>
              <w:rPr>
                <w:sz w:val="2"/>
                <w:szCs w:val="2"/>
              </w:rPr>
              <w:t>​</w:t>
            </w:r>
          </w:p>
        </w:tc>
        <w:tc>
          <w:tcPr>
            <w:tcW w:w="111" w:type="pct"/>
            <w:tcMar>
              <w:top w:w="0" w:type="dxa"/>
              <w:left w:w="0" w:type="dxa"/>
              <w:bottom w:w="0" w:type="dxa"/>
              <w:right w:w="0" w:type="dxa"/>
            </w:tcMar>
            <w:hideMark/>
          </w:tcPr>
          <w:p w:rsidR="00000000" w:rsidRDefault="00C96329">
            <w:pPr>
              <w:rPr>
                <w:sz w:val="20"/>
                <w:szCs w:val="20"/>
              </w:rPr>
            </w:pPr>
          </w:p>
        </w:tc>
        <w:tc>
          <w:tcPr>
            <w:tcW w:w="823" w:type="pct"/>
            <w:noWrap/>
            <w:tcMar>
              <w:top w:w="0" w:type="dxa"/>
              <w:left w:w="0" w:type="dxa"/>
              <w:bottom w:w="0" w:type="dxa"/>
              <w:right w:w="0" w:type="dxa"/>
            </w:tcMar>
            <w:vAlign w:val="bottom"/>
            <w:hideMark/>
          </w:tcPr>
          <w:p w:rsidR="00000000" w:rsidRDefault="00C96329">
            <w:pPr>
              <w:rPr>
                <w:rFonts w:eastAsia="Times New Roman"/>
                <w:sz w:val="20"/>
                <w:szCs w:val="20"/>
              </w:rPr>
            </w:pPr>
          </w:p>
        </w:tc>
        <w:tc>
          <w:tcPr>
            <w:tcW w:w="110" w:type="pct"/>
            <w:tcMar>
              <w:top w:w="0" w:type="dxa"/>
              <w:left w:w="0" w:type="dxa"/>
              <w:bottom w:w="0" w:type="dxa"/>
              <w:right w:w="0" w:type="dxa"/>
            </w:tcMar>
            <w:hideMark/>
          </w:tcPr>
          <w:p w:rsidR="00000000" w:rsidRDefault="00C96329">
            <w:pPr>
              <w:rPr>
                <w:rFonts w:eastAsia="Times New Roman"/>
                <w:sz w:val="20"/>
                <w:szCs w:val="20"/>
              </w:rPr>
            </w:pPr>
          </w:p>
        </w:tc>
        <w:tc>
          <w:tcPr>
            <w:tcW w:w="2194" w:type="pct"/>
            <w:noWrap/>
            <w:tcMar>
              <w:top w:w="0" w:type="dxa"/>
              <w:left w:w="0" w:type="dxa"/>
              <w:bottom w:w="0" w:type="dxa"/>
              <w:right w:w="0" w:type="dxa"/>
            </w:tcMar>
            <w:vAlign w:val="bottom"/>
            <w:hideMark/>
          </w:tcPr>
          <w:p w:rsidR="00000000" w:rsidRDefault="00C96329">
            <w:pPr>
              <w:rPr>
                <w:rFonts w:eastAsia="Times New Roman"/>
                <w:sz w:val="20"/>
                <w:szCs w:val="20"/>
              </w:rPr>
            </w:pPr>
          </w:p>
        </w:tc>
      </w:tr>
      <w:tr w:rsidR="00000000">
        <w:trPr>
          <w:divId w:val="1509785596"/>
        </w:trPr>
        <w:tc>
          <w:tcPr>
            <w:tcW w:w="164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u w:val="single"/>
              </w:rPr>
              <w:t>Title of each class</w:t>
            </w:r>
          </w:p>
        </w:tc>
        <w:tc>
          <w:tcPr>
            <w:tcW w:w="111"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b/>
                <w:bCs/>
                <w:sz w:val="16"/>
                <w:szCs w:val="16"/>
              </w:rPr>
              <w:t>​</w:t>
            </w:r>
          </w:p>
        </w:tc>
        <w:tc>
          <w:tcPr>
            <w:tcW w:w="111" w:type="pct"/>
            <w:tcMar>
              <w:top w:w="0" w:type="dxa"/>
              <w:left w:w="0" w:type="dxa"/>
              <w:bottom w:w="0" w:type="dxa"/>
              <w:right w:w="0" w:type="dxa"/>
            </w:tcMar>
            <w:hideMark/>
          </w:tcPr>
          <w:p w:rsidR="00000000" w:rsidRDefault="00C96329">
            <w:pPr>
              <w:pStyle w:val="a3"/>
              <w:spacing w:before="0" w:beforeAutospacing="0" w:after="0" w:afterAutospacing="0"/>
              <w:jc w:val="center"/>
              <w:rPr>
                <w:sz w:val="16"/>
                <w:szCs w:val="16"/>
              </w:rPr>
            </w:pPr>
            <w:r>
              <w:rPr>
                <w:b/>
                <w:bCs/>
                <w:sz w:val="16"/>
                <w:szCs w:val="16"/>
              </w:rPr>
              <w:t>    </w:t>
            </w:r>
          </w:p>
        </w:tc>
        <w:tc>
          <w:tcPr>
            <w:tcW w:w="823"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u w:val="single"/>
              </w:rPr>
              <w:t>Trading Symbol</w:t>
            </w:r>
          </w:p>
        </w:tc>
        <w:tc>
          <w:tcPr>
            <w:tcW w:w="110" w:type="pct"/>
            <w:tcMar>
              <w:top w:w="0" w:type="dxa"/>
              <w:left w:w="0" w:type="dxa"/>
              <w:bottom w:w="0" w:type="dxa"/>
              <w:right w:w="0" w:type="dxa"/>
            </w:tcMar>
            <w:hideMark/>
          </w:tcPr>
          <w:p w:rsidR="00000000" w:rsidRDefault="00C96329">
            <w:pPr>
              <w:pStyle w:val="a3"/>
              <w:spacing w:before="0" w:beforeAutospacing="0" w:after="0" w:afterAutospacing="0"/>
              <w:jc w:val="center"/>
              <w:rPr>
                <w:sz w:val="16"/>
                <w:szCs w:val="16"/>
              </w:rPr>
            </w:pPr>
            <w:r>
              <w:rPr>
                <w:b/>
                <w:bCs/>
                <w:sz w:val="16"/>
                <w:szCs w:val="16"/>
              </w:rPr>
              <w:t>    </w:t>
            </w:r>
          </w:p>
        </w:tc>
        <w:tc>
          <w:tcPr>
            <w:tcW w:w="2194"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u w:val="single"/>
              </w:rPr>
              <w:t>Name of each exchange on which registered</w:t>
            </w:r>
          </w:p>
        </w:tc>
      </w:tr>
      <w:tr w:rsidR="00000000">
        <w:trPr>
          <w:divId w:val="1509785596"/>
        </w:trPr>
        <w:tc>
          <w:tcPr>
            <w:tcW w:w="1648"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18"/>
                <w:szCs w:val="18"/>
              </w:rPr>
              <w:t>Ordinary Share $0.00001 Par Value</w:t>
            </w:r>
          </w:p>
        </w:tc>
        <w:tc>
          <w:tcPr>
            <w:tcW w:w="111"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18"/>
                <w:szCs w:val="18"/>
              </w:rPr>
              <w:t>​</w:t>
            </w:r>
          </w:p>
        </w:tc>
        <w:tc>
          <w:tcPr>
            <w:tcW w:w="111"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18"/>
                <w:szCs w:val="18"/>
              </w:rPr>
              <w:t>​</w:t>
            </w:r>
          </w:p>
        </w:tc>
        <w:tc>
          <w:tcPr>
            <w:tcW w:w="823"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18"/>
                <w:szCs w:val="18"/>
              </w:rPr>
              <w:t>TBPH</w:t>
            </w:r>
          </w:p>
        </w:tc>
        <w:tc>
          <w:tcPr>
            <w:tcW w:w="110"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18"/>
                <w:szCs w:val="18"/>
              </w:rPr>
              <w:t>​</w:t>
            </w:r>
          </w:p>
        </w:tc>
        <w:tc>
          <w:tcPr>
            <w:tcW w:w="2194"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18"/>
                <w:szCs w:val="18"/>
              </w:rPr>
              <w:t>The Nasdaq Global Market</w:t>
            </w:r>
          </w:p>
        </w:tc>
      </w:tr>
    </w:tbl>
    <w:p w:rsidR="00000000" w:rsidRDefault="00C96329">
      <w:pPr>
        <w:pStyle w:val="a3"/>
        <w:spacing w:before="0" w:beforeAutospacing="0" w:after="0" w:afterAutospacing="0"/>
        <w:jc w:val="center"/>
        <w:divId w:val="1509785596"/>
        <w:rPr>
          <w:sz w:val="20"/>
          <w:szCs w:val="20"/>
        </w:rPr>
      </w:pPr>
      <w:r>
        <w:rPr>
          <w:sz w:val="10"/>
          <w:szCs w:val="10"/>
        </w:rPr>
        <w:t>​</w:t>
      </w:r>
    </w:p>
    <w:p w:rsidR="00000000" w:rsidRDefault="00C96329">
      <w:pPr>
        <w:pStyle w:val="a3"/>
        <w:spacing w:before="0" w:beforeAutospacing="0" w:after="0" w:afterAutospacing="0"/>
        <w:ind w:firstLine="490"/>
        <w:divId w:val="1509785596"/>
        <w:rPr>
          <w:sz w:val="20"/>
          <w:szCs w:val="20"/>
        </w:rPr>
      </w:pPr>
      <w:r>
        <w:rPr>
          <w:sz w:val="18"/>
          <w:szCs w:val="18"/>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sz w:val="18"/>
          <w:szCs w:val="18"/>
        </w:rPr>
        <w:t>such reports), and (2) has been subject to such filing requirements for the past 90 days. Yes </w:t>
      </w:r>
      <w:r>
        <w:rPr>
          <w:rFonts w:ascii="Segoe UI Symbol" w:hAnsi="Segoe UI Symbol"/>
          <w:sz w:val="18"/>
          <w:szCs w:val="18"/>
        </w:rPr>
        <w:t>☒</w:t>
      </w:r>
      <w:r>
        <w:rPr>
          <w:sz w:val="18"/>
          <w:szCs w:val="18"/>
        </w:rPr>
        <w:t xml:space="preserve">  No </w:t>
      </w:r>
      <w:r>
        <w:rPr>
          <w:rFonts w:ascii="Segoe UI Symbol" w:hAnsi="Segoe UI Symbol"/>
          <w:sz w:val="18"/>
          <w:szCs w:val="18"/>
        </w:rPr>
        <w:t>☐</w:t>
      </w:r>
      <w:r>
        <w:rPr>
          <w:sz w:val="18"/>
          <w:szCs w:val="18"/>
        </w:rPr>
        <w:t> </w:t>
      </w:r>
    </w:p>
    <w:p w:rsidR="00000000" w:rsidRDefault="00C96329">
      <w:pPr>
        <w:pStyle w:val="a3"/>
        <w:spacing w:before="0" w:beforeAutospacing="0" w:after="0" w:afterAutospacing="0"/>
        <w:ind w:firstLine="490"/>
        <w:divId w:val="1509785596"/>
        <w:rPr>
          <w:sz w:val="20"/>
          <w:szCs w:val="20"/>
        </w:rPr>
      </w:pPr>
      <w:r>
        <w:rPr>
          <w:sz w:val="10"/>
          <w:szCs w:val="10"/>
        </w:rPr>
        <w:t>​</w:t>
      </w:r>
    </w:p>
    <w:p w:rsidR="00000000" w:rsidRDefault="00C96329">
      <w:pPr>
        <w:pStyle w:val="a3"/>
        <w:spacing w:before="0" w:beforeAutospacing="0" w:after="0" w:afterAutospacing="0"/>
        <w:ind w:firstLine="490"/>
        <w:divId w:val="1509785596"/>
        <w:rPr>
          <w:sz w:val="20"/>
          <w:szCs w:val="20"/>
        </w:rPr>
      </w:pPr>
      <w:r>
        <w:rPr>
          <w:sz w:val="18"/>
          <w:szCs w:val="18"/>
        </w:rPr>
        <w:t>Indicate by check mark whether the registrant has submitted electronically every Interactive Data File required to be submitted pursuant to Rule 405 of</w:t>
      </w:r>
      <w:r>
        <w:rPr>
          <w:sz w:val="18"/>
          <w:szCs w:val="18"/>
        </w:rPr>
        <w:t xml:space="preserve"> Regulation S-T (§ 232.405 of this chapter)</w:t>
      </w:r>
      <w:r>
        <w:rPr>
          <w:sz w:val="16"/>
          <w:szCs w:val="16"/>
        </w:rPr>
        <w:t xml:space="preserve"> </w:t>
      </w:r>
      <w:r>
        <w:rPr>
          <w:sz w:val="18"/>
          <w:szCs w:val="18"/>
        </w:rPr>
        <w:t>during the preceding 12 months (or for such shorter period that the registrant was required to submit such files).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C96329">
      <w:pPr>
        <w:pStyle w:val="a3"/>
        <w:spacing w:before="0" w:beforeAutospacing="0" w:after="0" w:afterAutospacing="0"/>
        <w:ind w:firstLine="490"/>
        <w:divId w:val="1509785596"/>
        <w:rPr>
          <w:sz w:val="20"/>
          <w:szCs w:val="20"/>
        </w:rPr>
      </w:pPr>
      <w:r>
        <w:rPr>
          <w:sz w:val="10"/>
          <w:szCs w:val="10"/>
        </w:rPr>
        <w:t>​</w:t>
      </w:r>
    </w:p>
    <w:p w:rsidR="00000000" w:rsidRDefault="00C96329">
      <w:pPr>
        <w:pStyle w:val="a3"/>
        <w:spacing w:before="0" w:beforeAutospacing="0" w:after="0" w:afterAutospacing="0"/>
        <w:ind w:firstLine="490"/>
        <w:divId w:val="1509785596"/>
        <w:rPr>
          <w:sz w:val="18"/>
          <w:szCs w:val="18"/>
        </w:rPr>
      </w:pPr>
      <w:r>
        <w:rPr>
          <w:sz w:val="18"/>
          <w:szCs w:val="18"/>
        </w:rPr>
        <w:t>Indicate by check mark whether the registrant is a large accelerated filer, an acce</w:t>
      </w:r>
      <w:r>
        <w:rPr>
          <w:sz w:val="18"/>
          <w:szCs w:val="18"/>
        </w:rPr>
        <w:t xml:space="preserve">lerated filer, a non-accelerated filer, a smaller reporting company, or emerging growth company. See the definitions of “large </w:t>
      </w:r>
      <w:r>
        <w:rPr>
          <w:sz w:val="18"/>
          <w:szCs w:val="18"/>
        </w:rPr>
        <w:lastRenderedPageBreak/>
        <w:t>accelerated filer,” “accelerated filer,” “smaller reporting company,” and “emerging growth company” in Rule 12b-2 of the Exchange</w:t>
      </w:r>
      <w:r>
        <w:rPr>
          <w:sz w:val="18"/>
          <w:szCs w:val="18"/>
        </w:rPr>
        <w:t xml:space="preserve"> Act. </w:t>
      </w:r>
    </w:p>
    <w:p w:rsidR="00000000" w:rsidRDefault="00C96329">
      <w:pPr>
        <w:pStyle w:val="a3"/>
        <w:spacing w:before="0" w:beforeAutospacing="0" w:after="0" w:afterAutospacing="0"/>
        <w:divId w:val="1509785596"/>
        <w:rPr>
          <w:sz w:val="20"/>
          <w:szCs w:val="20"/>
        </w:rPr>
      </w:pPr>
      <w:r>
        <w:rPr>
          <w:sz w:val="10"/>
          <w:szCs w:val="10"/>
        </w:rPr>
        <w:t>​</w:t>
      </w:r>
    </w:p>
    <w:tbl>
      <w:tblPr>
        <w:tblW w:w="4000" w:type="pct"/>
        <w:tblCellMar>
          <w:top w:w="15" w:type="dxa"/>
          <w:left w:w="0" w:type="dxa"/>
          <w:bottom w:w="15" w:type="dxa"/>
          <w:right w:w="0" w:type="dxa"/>
        </w:tblCellMar>
        <w:tblLook w:val="04A0" w:firstRow="1" w:lastRow="0" w:firstColumn="1" w:lastColumn="0" w:noHBand="0" w:noVBand="1"/>
      </w:tblPr>
      <w:tblGrid>
        <w:gridCol w:w="3025"/>
        <w:gridCol w:w="180"/>
        <w:gridCol w:w="3440"/>
      </w:tblGrid>
      <w:tr w:rsidR="00000000">
        <w:trPr>
          <w:divId w:val="1509785596"/>
          <w:trHeight w:val="20"/>
        </w:trPr>
        <w:tc>
          <w:tcPr>
            <w:tcW w:w="2288" w:type="pct"/>
            <w:tcMar>
              <w:top w:w="0" w:type="dxa"/>
              <w:left w:w="0" w:type="dxa"/>
              <w:bottom w:w="0" w:type="dxa"/>
              <w:right w:w="0" w:type="dxa"/>
            </w:tcMar>
            <w:hideMark/>
          </w:tcPr>
          <w:p w:rsidR="00000000" w:rsidRDefault="00C96329">
            <w:pPr>
              <w:pStyle w:val="a3"/>
              <w:spacing w:before="0" w:beforeAutospacing="0" w:after="0" w:afterAutospacing="0"/>
              <w:divId w:val="574366075"/>
              <w:rPr>
                <w:sz w:val="20"/>
                <w:szCs w:val="20"/>
              </w:rPr>
            </w:pPr>
            <w:r>
              <w:rPr>
                <w:sz w:val="2"/>
                <w:szCs w:val="2"/>
              </w:rPr>
              <w:t>​</w:t>
            </w:r>
          </w:p>
        </w:tc>
        <w:tc>
          <w:tcPr>
            <w:tcW w:w="112" w:type="pct"/>
            <w:tcMar>
              <w:top w:w="0" w:type="dxa"/>
              <w:left w:w="0" w:type="dxa"/>
              <w:bottom w:w="0" w:type="dxa"/>
              <w:right w:w="0" w:type="dxa"/>
            </w:tcMar>
            <w:vAlign w:val="bottom"/>
            <w:hideMark/>
          </w:tcPr>
          <w:p w:rsidR="00000000" w:rsidRDefault="00C96329">
            <w:pPr>
              <w:pStyle w:val="a3"/>
              <w:spacing w:before="0" w:beforeAutospacing="0" w:after="0" w:afterAutospacing="0"/>
              <w:divId w:val="916355949"/>
              <w:rPr>
                <w:sz w:val="20"/>
                <w:szCs w:val="20"/>
              </w:rPr>
            </w:pPr>
            <w:r>
              <w:rPr>
                <w:sz w:val="2"/>
                <w:szCs w:val="2"/>
              </w:rPr>
              <w:t>​</w:t>
            </w:r>
          </w:p>
        </w:tc>
        <w:tc>
          <w:tcPr>
            <w:tcW w:w="2599" w:type="pct"/>
            <w:tcMar>
              <w:top w:w="0" w:type="dxa"/>
              <w:left w:w="0" w:type="dxa"/>
              <w:bottom w:w="0" w:type="dxa"/>
              <w:right w:w="0" w:type="dxa"/>
            </w:tcMar>
            <w:hideMark/>
          </w:tcPr>
          <w:p w:rsidR="00000000" w:rsidRDefault="00C96329">
            <w:pPr>
              <w:pStyle w:val="a3"/>
              <w:spacing w:before="0" w:beforeAutospacing="0" w:after="0" w:afterAutospacing="0"/>
              <w:divId w:val="1245145839"/>
              <w:rPr>
                <w:sz w:val="20"/>
                <w:szCs w:val="20"/>
              </w:rPr>
            </w:pPr>
            <w:r>
              <w:rPr>
                <w:sz w:val="2"/>
                <w:szCs w:val="2"/>
              </w:rPr>
              <w:t>​</w:t>
            </w:r>
          </w:p>
        </w:tc>
      </w:tr>
      <w:tr w:rsidR="00000000">
        <w:trPr>
          <w:divId w:val="1509785596"/>
        </w:trPr>
        <w:tc>
          <w:tcPr>
            <w:tcW w:w="2288"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18"/>
                <w:szCs w:val="18"/>
              </w:rPr>
              <w:t>Large</w:t>
            </w:r>
            <w:r>
              <w:rPr>
                <w:sz w:val="16"/>
                <w:szCs w:val="16"/>
              </w:rPr>
              <w:t xml:space="preserve"> </w:t>
            </w:r>
            <w:r>
              <w:rPr>
                <w:sz w:val="18"/>
                <w:szCs w:val="18"/>
              </w:rPr>
              <w:t>Accelerated</w:t>
            </w:r>
            <w:r>
              <w:rPr>
                <w:sz w:val="16"/>
                <w:szCs w:val="16"/>
              </w:rPr>
              <w:t xml:space="preserve"> </w:t>
            </w:r>
            <w:r>
              <w:rPr>
                <w:sz w:val="18"/>
                <w:szCs w:val="18"/>
              </w:rPr>
              <w:t>Filer</w:t>
            </w:r>
            <w:r>
              <w:rPr>
                <w:sz w:val="16"/>
                <w:szCs w:val="16"/>
              </w:rPr>
              <w:t xml:space="preserve"> </w:t>
            </w:r>
            <w:r>
              <w:rPr>
                <w:rFonts w:ascii="Segoe UI Symbol" w:hAnsi="Segoe UI Symbol"/>
                <w:sz w:val="18"/>
                <w:szCs w:val="18"/>
              </w:rPr>
              <w:t>☒</w:t>
            </w:r>
          </w:p>
        </w:tc>
        <w:tc>
          <w:tcPr>
            <w:tcW w:w="112" w:type="pct"/>
            <w:tcMar>
              <w:top w:w="0" w:type="dxa"/>
              <w:left w:w="0" w:type="dxa"/>
              <w:bottom w:w="0" w:type="dxa"/>
              <w:right w:w="0" w:type="dxa"/>
            </w:tcMar>
            <w:vAlign w:val="bottom"/>
            <w:hideMark/>
          </w:tcPr>
          <w:p w:rsidR="00000000" w:rsidRDefault="00C96329">
            <w:pPr>
              <w:pStyle w:val="a3"/>
              <w:spacing w:before="0" w:beforeAutospacing="0" w:after="0" w:afterAutospacing="0"/>
              <w:rPr>
                <w:sz w:val="18"/>
                <w:szCs w:val="18"/>
              </w:rPr>
            </w:pPr>
            <w:r>
              <w:rPr>
                <w:sz w:val="18"/>
                <w:szCs w:val="18"/>
              </w:rPr>
              <w:t>    </w:t>
            </w:r>
          </w:p>
        </w:tc>
        <w:tc>
          <w:tcPr>
            <w:tcW w:w="2599"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18"/>
                <w:szCs w:val="18"/>
              </w:rPr>
              <w:t>Smaller Reporting Company </w:t>
            </w:r>
            <w:r>
              <w:rPr>
                <w:rFonts w:ascii="Segoe UI Symbol" w:hAnsi="Segoe UI Symbol"/>
                <w:sz w:val="18"/>
                <w:szCs w:val="18"/>
              </w:rPr>
              <w:t>☐</w:t>
            </w:r>
          </w:p>
        </w:tc>
      </w:tr>
      <w:tr w:rsidR="00000000">
        <w:trPr>
          <w:divId w:val="1509785596"/>
        </w:trPr>
        <w:tc>
          <w:tcPr>
            <w:tcW w:w="2288" w:type="pct"/>
            <w:tcMar>
              <w:top w:w="0" w:type="dxa"/>
              <w:left w:w="0" w:type="dxa"/>
              <w:bottom w:w="0" w:type="dxa"/>
              <w:right w:w="0" w:type="dxa"/>
            </w:tcMar>
            <w:hideMark/>
          </w:tcPr>
          <w:p w:rsidR="00000000" w:rsidRDefault="00C96329">
            <w:pPr>
              <w:pStyle w:val="a3"/>
              <w:spacing w:before="0" w:beforeAutospacing="0" w:after="0" w:afterAutospacing="0"/>
              <w:jc w:val="center"/>
              <w:rPr>
                <w:sz w:val="18"/>
                <w:szCs w:val="18"/>
              </w:rPr>
            </w:pPr>
            <w:r>
              <w:rPr>
                <w:sz w:val="18"/>
                <w:szCs w:val="18"/>
              </w:rPr>
              <w:t xml:space="preserve">Non-accelerated Filer </w:t>
            </w:r>
            <w:r>
              <w:rPr>
                <w:rFonts w:ascii="Segoe UI Symbol" w:hAnsi="Segoe UI Symbol"/>
                <w:sz w:val="18"/>
                <w:szCs w:val="18"/>
              </w:rPr>
              <w:t>☐</w:t>
            </w:r>
          </w:p>
        </w:tc>
        <w:tc>
          <w:tcPr>
            <w:tcW w:w="11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0"/>
                <w:szCs w:val="10"/>
              </w:rPr>
              <w:t>​</w:t>
            </w:r>
          </w:p>
        </w:tc>
        <w:tc>
          <w:tcPr>
            <w:tcW w:w="2599"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18"/>
                <w:szCs w:val="18"/>
              </w:rPr>
              <w:t xml:space="preserve">Emerging Growth Company </w:t>
            </w:r>
            <w:r>
              <w:rPr>
                <w:rFonts w:ascii="Segoe UI Symbol" w:hAnsi="Segoe UI Symbol"/>
                <w:sz w:val="18"/>
                <w:szCs w:val="18"/>
              </w:rPr>
              <w:t>☐</w:t>
            </w:r>
          </w:p>
        </w:tc>
      </w:tr>
      <w:tr w:rsidR="00000000">
        <w:trPr>
          <w:divId w:val="1509785596"/>
        </w:trPr>
        <w:tc>
          <w:tcPr>
            <w:tcW w:w="2288" w:type="pct"/>
            <w:tcMar>
              <w:top w:w="0" w:type="dxa"/>
              <w:left w:w="0" w:type="dxa"/>
              <w:bottom w:w="0" w:type="dxa"/>
              <w:right w:w="0" w:type="dxa"/>
            </w:tcMar>
            <w:hideMark/>
          </w:tcPr>
          <w:p w:rsidR="00000000" w:rsidRDefault="00C96329">
            <w:pPr>
              <w:pStyle w:val="a3"/>
              <w:spacing w:before="0" w:beforeAutospacing="0" w:after="0" w:afterAutospacing="0"/>
              <w:jc w:val="center"/>
              <w:rPr>
                <w:sz w:val="18"/>
                <w:szCs w:val="18"/>
              </w:rPr>
            </w:pPr>
            <w:r>
              <w:rPr>
                <w:sz w:val="18"/>
                <w:szCs w:val="18"/>
              </w:rPr>
              <w:t>Accelerated Filer </w:t>
            </w:r>
            <w:r>
              <w:rPr>
                <w:rFonts w:ascii="Segoe UI Symbol" w:hAnsi="Segoe UI Symbol"/>
                <w:sz w:val="18"/>
                <w:szCs w:val="18"/>
              </w:rPr>
              <w:t>☐</w:t>
            </w:r>
          </w:p>
        </w:tc>
        <w:tc>
          <w:tcPr>
            <w:tcW w:w="11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2599"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18"/>
                <w:szCs w:val="18"/>
              </w:rPr>
              <w:t>​</w:t>
            </w:r>
          </w:p>
        </w:tc>
      </w:tr>
    </w:tbl>
    <w:p w:rsidR="00000000" w:rsidRDefault="00C96329">
      <w:pPr>
        <w:pStyle w:val="a3"/>
        <w:spacing w:before="0" w:beforeAutospacing="0" w:after="0" w:afterAutospacing="0"/>
        <w:divId w:val="1509785596"/>
        <w:rPr>
          <w:sz w:val="20"/>
          <w:szCs w:val="20"/>
        </w:rPr>
      </w:pPr>
      <w:r>
        <w:rPr>
          <w:sz w:val="10"/>
          <w:szCs w:val="10"/>
        </w:rPr>
        <w:t>​</w:t>
      </w:r>
    </w:p>
    <w:p w:rsidR="00000000" w:rsidRDefault="00C96329">
      <w:pPr>
        <w:pStyle w:val="a3"/>
        <w:spacing w:before="0" w:beforeAutospacing="0" w:after="0" w:afterAutospacing="0"/>
        <w:ind w:firstLine="490"/>
        <w:divId w:val="1509785596"/>
        <w:rPr>
          <w:sz w:val="18"/>
          <w:szCs w:val="18"/>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p>
    <w:p w:rsidR="00000000" w:rsidRDefault="00C96329">
      <w:pPr>
        <w:pStyle w:val="a3"/>
        <w:spacing w:before="0" w:beforeAutospacing="0" w:after="0" w:afterAutospacing="0"/>
        <w:ind w:firstLine="490"/>
        <w:divId w:val="1509785596"/>
        <w:rPr>
          <w:sz w:val="20"/>
          <w:szCs w:val="20"/>
        </w:rPr>
      </w:pPr>
      <w:r>
        <w:rPr>
          <w:sz w:val="10"/>
          <w:szCs w:val="10"/>
        </w:rPr>
        <w:t>​</w:t>
      </w:r>
    </w:p>
    <w:p w:rsidR="00000000" w:rsidRDefault="00C96329">
      <w:pPr>
        <w:pStyle w:val="a3"/>
        <w:spacing w:before="0" w:beforeAutospacing="0" w:after="0" w:afterAutospacing="0"/>
        <w:ind w:firstLine="490"/>
        <w:divId w:val="1509785596"/>
        <w:rPr>
          <w:sz w:val="20"/>
          <w:szCs w:val="20"/>
        </w:rPr>
      </w:pPr>
      <w:r>
        <w:rPr>
          <w:sz w:val="18"/>
          <w:szCs w:val="18"/>
        </w:rPr>
        <w:t>I</w:t>
      </w:r>
      <w:r>
        <w:rPr>
          <w:sz w:val="18"/>
          <w:szCs w:val="18"/>
        </w:rPr>
        <w:t>ndicate by check mark whether the registrant is a shell company (as defined in Rule 12b-2 of the Exchange Act).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C96329">
      <w:pPr>
        <w:pStyle w:val="a3"/>
        <w:spacing w:before="0" w:beforeAutospacing="0" w:after="0" w:afterAutospacing="0"/>
        <w:divId w:val="1509785596"/>
        <w:rPr>
          <w:sz w:val="20"/>
          <w:szCs w:val="20"/>
        </w:rPr>
      </w:pPr>
      <w:r>
        <w:rPr>
          <w:sz w:val="10"/>
          <w:szCs w:val="10"/>
        </w:rPr>
        <w:t>​</w:t>
      </w:r>
    </w:p>
    <w:p w:rsidR="00000000" w:rsidRDefault="00C96329">
      <w:pPr>
        <w:pStyle w:val="a3"/>
        <w:spacing w:before="0" w:beforeAutospacing="0" w:after="0" w:afterAutospacing="0"/>
        <w:ind w:firstLine="490"/>
        <w:divId w:val="1509785596"/>
        <w:rPr>
          <w:sz w:val="18"/>
          <w:szCs w:val="18"/>
        </w:rPr>
      </w:pPr>
      <w:r>
        <w:rPr>
          <w:sz w:val="18"/>
          <w:szCs w:val="18"/>
        </w:rPr>
        <w:t>As of July 31, 2020, the number of the registrant’s outstanding ordinary shares was 63,515,410</w:t>
      </w:r>
      <w:r>
        <w:rPr>
          <w:sz w:val="20"/>
          <w:szCs w:val="20"/>
        </w:rPr>
        <w:t>.</w:t>
      </w:r>
    </w:p>
    <w:p w:rsidR="00000000" w:rsidRDefault="00C96329">
      <w:pPr>
        <w:pStyle w:val="a3"/>
        <w:pBdr>
          <w:top w:val="single" w:sz="8" w:space="1" w:color="000000"/>
          <w:bottom w:val="single" w:sz="24" w:space="1" w:color="000000"/>
        </w:pBdr>
        <w:spacing w:before="0" w:beforeAutospacing="0" w:after="0" w:afterAutospacing="0"/>
        <w:divId w:val="1509785596"/>
        <w:rPr>
          <w:sz w:val="20"/>
          <w:szCs w:val="20"/>
        </w:rPr>
      </w:pPr>
      <w:r>
        <w:rPr>
          <w:sz w:val="2"/>
          <w:szCs w:val="2"/>
        </w:rPr>
        <w:t>​</w:t>
      </w:r>
    </w:p>
    <w:p w:rsidR="00000000" w:rsidRDefault="00C96329">
      <w:pPr>
        <w:pStyle w:val="a3"/>
        <w:spacing w:before="0" w:beforeAutospacing="0" w:after="0" w:afterAutospacing="0" w:line="0" w:lineRule="atLeast"/>
        <w:jc w:val="center"/>
        <w:divId w:val="1509785596"/>
        <w:rPr>
          <w:vanish/>
        </w:rPr>
      </w:pPr>
      <w:r>
        <w:rPr>
          <w:vanish/>
          <w:sz w:val="2"/>
          <w:szCs w:val="2"/>
        </w:rPr>
        <w:t>​</w:t>
      </w:r>
    </w:p>
    <w:p w:rsidR="00000000" w:rsidRDefault="00C96329">
      <w:pPr>
        <w:pStyle w:val="a3"/>
        <w:spacing w:before="0" w:beforeAutospacing="0" w:after="600" w:afterAutospacing="0"/>
        <w:divId w:val="1115055563"/>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jc w:val="center"/>
        <w:divId w:val="643699567"/>
        <w:rPr>
          <w:sz w:val="20"/>
          <w:szCs w:val="20"/>
        </w:rPr>
      </w:pPr>
      <w:r>
        <w:rPr>
          <w:b/>
          <w:bCs/>
          <w:sz w:val="20"/>
          <w:szCs w:val="20"/>
        </w:rPr>
        <w:t>THERAVANCE BIOPHARMA, INC.</w:t>
      </w:r>
    </w:p>
    <w:p w:rsidR="00000000" w:rsidRDefault="00C96329">
      <w:pPr>
        <w:pStyle w:val="a3"/>
        <w:spacing w:before="0" w:beforeAutospacing="0" w:after="0" w:afterAutospacing="0"/>
        <w:jc w:val="center"/>
        <w:divId w:val="643699567"/>
        <w:rPr>
          <w:sz w:val="20"/>
          <w:szCs w:val="20"/>
        </w:rPr>
      </w:pPr>
      <w:r>
        <w:rPr>
          <w:b/>
          <w:bCs/>
          <w:sz w:val="20"/>
          <w:szCs w:val="20"/>
        </w:rPr>
        <w:t>TABLE OF CONTENTS</w:t>
      </w:r>
    </w:p>
    <w:p w:rsidR="00000000" w:rsidRDefault="00C96329">
      <w:pPr>
        <w:pStyle w:val="a3"/>
        <w:spacing w:before="0" w:beforeAutospacing="0" w:after="0" w:afterAutospacing="0"/>
        <w:divId w:val="64369956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701"/>
        <w:gridCol w:w="605"/>
      </w:tblGrid>
      <w:tr w:rsidR="00000000">
        <w:trPr>
          <w:divId w:val="643699567"/>
          <w:trHeight w:val="20"/>
        </w:trPr>
        <w:tc>
          <w:tcPr>
            <w:tcW w:w="4687" w:type="pct"/>
            <w:tcMar>
              <w:top w:w="0" w:type="dxa"/>
              <w:left w:w="0" w:type="dxa"/>
              <w:bottom w:w="0" w:type="dxa"/>
              <w:right w:w="0" w:type="dxa"/>
            </w:tcMar>
            <w:vAlign w:val="bottom"/>
            <w:hideMark/>
          </w:tcPr>
          <w:p w:rsidR="00000000" w:rsidRDefault="00C96329">
            <w:pPr>
              <w:pStyle w:val="a3"/>
              <w:spacing w:before="0" w:beforeAutospacing="0" w:after="0" w:afterAutospacing="0"/>
              <w:divId w:val="834804054"/>
              <w:rPr>
                <w:sz w:val="20"/>
                <w:szCs w:val="20"/>
              </w:rPr>
            </w:pPr>
            <w:r>
              <w:rPr>
                <w:sz w:val="2"/>
                <w:szCs w:val="2"/>
              </w:rPr>
              <w:t>​</w:t>
            </w:r>
          </w:p>
        </w:tc>
        <w:tc>
          <w:tcPr>
            <w:tcW w:w="312" w:type="pct"/>
            <w:tcMar>
              <w:top w:w="0" w:type="dxa"/>
              <w:left w:w="0" w:type="dxa"/>
              <w:bottom w:w="0" w:type="dxa"/>
              <w:right w:w="0" w:type="dxa"/>
            </w:tcMar>
            <w:vAlign w:val="bottom"/>
            <w:hideMark/>
          </w:tcPr>
          <w:p w:rsidR="00000000" w:rsidRDefault="00C96329">
            <w:pPr>
              <w:pStyle w:val="a3"/>
              <w:spacing w:before="0" w:beforeAutospacing="0" w:after="0" w:afterAutospacing="0"/>
              <w:divId w:val="1649168060"/>
              <w:rPr>
                <w:sz w:val="20"/>
                <w:szCs w:val="20"/>
              </w:rPr>
            </w:pPr>
            <w:r>
              <w:rPr>
                <w:sz w:val="2"/>
                <w:szCs w:val="2"/>
              </w:rPr>
              <w:t>​</w:t>
            </w:r>
          </w:p>
        </w:tc>
      </w:tr>
      <w:tr w:rsidR="00000000">
        <w:trPr>
          <w:divId w:val="643699567"/>
        </w:trPr>
        <w:tc>
          <w:tcPr>
            <w:tcW w:w="468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rFonts w:ascii="Times New Roman Bold" w:hAnsi="Times New Roman Bold"/>
                <w:sz w:val="16"/>
                <w:szCs w:val="16"/>
              </w:rPr>
              <w:t>​</w:t>
            </w:r>
          </w:p>
        </w:tc>
        <w:tc>
          <w:tcPr>
            <w:tcW w:w="312"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Page No.</w:t>
            </w:r>
          </w:p>
        </w:tc>
      </w:tr>
      <w:tr w:rsidR="00000000">
        <w:trPr>
          <w:divId w:val="643699567"/>
        </w:trPr>
        <w:tc>
          <w:tcPr>
            <w:tcW w:w="468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hyperlink w:anchor="PARTIFINANCIALINFORMATION_279812" w:history="1">
              <w:r>
                <w:rPr>
                  <w:rStyle w:val="a4"/>
                  <w:b/>
                  <w:bCs/>
                  <w:sz w:val="20"/>
                  <w:szCs w:val="20"/>
                </w:rPr>
                <w:t>PART I. FINANCIAL INFORMATION</w:t>
              </w:r>
            </w:hyperlink>
          </w:p>
        </w:tc>
        <w:tc>
          <w:tcPr>
            <w:tcW w:w="312" w:type="pct"/>
            <w:tcBorders>
              <w:top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r>
      <w:tr w:rsidR="00000000">
        <w:trPr>
          <w:divId w:val="643699567"/>
        </w:trPr>
        <w:tc>
          <w:tcPr>
            <w:tcW w:w="468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hyperlink w:anchor="ITEM1FINANCIALSTATEMENTS_368827" w:history="1">
              <w:r>
                <w:rPr>
                  <w:rStyle w:val="a4"/>
                  <w:sz w:val="20"/>
                  <w:szCs w:val="20"/>
                </w:rPr>
                <w:t>Item 1. Financial Statements</w:t>
              </w:r>
            </w:hyperlink>
          </w:p>
        </w:tc>
        <w:tc>
          <w:tcPr>
            <w:tcW w:w="312"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r>
      <w:tr w:rsidR="00000000">
        <w:trPr>
          <w:divId w:val="643699567"/>
        </w:trPr>
        <w:tc>
          <w:tcPr>
            <w:tcW w:w="4687"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144"/>
              <w:rPr>
                <w:sz w:val="20"/>
                <w:szCs w:val="20"/>
              </w:rPr>
            </w:pPr>
            <w:hyperlink w:anchor="CONSOLIDATEDBALANCESHEETS_45369" w:history="1">
              <w:r>
                <w:rPr>
                  <w:rStyle w:val="a4"/>
                  <w:sz w:val="20"/>
                  <w:szCs w:val="20"/>
                </w:rPr>
                <w:t>Condensed Consolidated Balance Sheets as of June 30, 2020 and December 31, 2019 (unaudited)</w:t>
              </w:r>
            </w:hyperlink>
          </w:p>
        </w:tc>
        <w:tc>
          <w:tcPr>
            <w:tcW w:w="31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3</w:t>
            </w:r>
          </w:p>
        </w:tc>
      </w:tr>
      <w:tr w:rsidR="00000000">
        <w:trPr>
          <w:divId w:val="643699567"/>
        </w:trPr>
        <w:tc>
          <w:tcPr>
            <w:tcW w:w="4687" w:type="pct"/>
            <w:tcMar>
              <w:top w:w="0" w:type="dxa"/>
              <w:left w:w="0" w:type="dxa"/>
              <w:bottom w:w="0" w:type="dxa"/>
              <w:right w:w="0" w:type="dxa"/>
            </w:tcMar>
            <w:vAlign w:val="bottom"/>
            <w:hideMark/>
          </w:tcPr>
          <w:p w:rsidR="00000000" w:rsidRDefault="00C96329">
            <w:pPr>
              <w:pStyle w:val="a3"/>
              <w:spacing w:before="0" w:beforeAutospacing="0" w:after="0" w:afterAutospacing="0"/>
              <w:ind w:left="144" w:hanging="144"/>
              <w:rPr>
                <w:sz w:val="20"/>
                <w:szCs w:val="20"/>
              </w:rPr>
            </w:pPr>
            <w:hyperlink w:anchor="CONSOLIDATEDSTATEMENTSOFOPERATIONS_3228" w:history="1">
              <w:r>
                <w:rPr>
                  <w:rStyle w:val="a4"/>
                  <w:sz w:val="20"/>
                  <w:szCs w:val="20"/>
                </w:rPr>
                <w:t>Condensed Consolidated Statements of Operations and Comprehensive Loss for the three and six months ended June 30, 2020 and 2019 (unaudited)</w:t>
              </w:r>
            </w:hyperlink>
          </w:p>
        </w:tc>
        <w:tc>
          <w:tcPr>
            <w:tcW w:w="312"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4</w:t>
            </w:r>
          </w:p>
        </w:tc>
      </w:tr>
      <w:tr w:rsidR="00000000">
        <w:trPr>
          <w:divId w:val="643699567"/>
        </w:trPr>
        <w:tc>
          <w:tcPr>
            <w:tcW w:w="4687"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144" w:hanging="144"/>
              <w:rPr>
                <w:sz w:val="20"/>
                <w:szCs w:val="20"/>
              </w:rPr>
            </w:pPr>
            <w:hyperlink w:anchor="CONSOLIDATEDSTATEMENTSOFSHAREHOLDERS_32" w:history="1">
              <w:r>
                <w:rPr>
                  <w:rStyle w:val="a4"/>
                  <w:sz w:val="20"/>
                  <w:szCs w:val="20"/>
                </w:rPr>
                <w:t>Condensed Consolidated Statements of Shareholders’ Deficit for the three and six months ended June 30, 2020 and 2019 (unaudited)</w:t>
              </w:r>
            </w:hyperlink>
          </w:p>
        </w:tc>
        <w:tc>
          <w:tcPr>
            <w:tcW w:w="31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5</w:t>
            </w:r>
          </w:p>
        </w:tc>
      </w:tr>
      <w:tr w:rsidR="00000000">
        <w:trPr>
          <w:divId w:val="643699567"/>
        </w:trPr>
        <w:tc>
          <w:tcPr>
            <w:tcW w:w="4687" w:type="pct"/>
            <w:tcMar>
              <w:top w:w="0" w:type="dxa"/>
              <w:left w:w="0" w:type="dxa"/>
              <w:bottom w:w="0" w:type="dxa"/>
              <w:right w:w="0" w:type="dxa"/>
            </w:tcMar>
            <w:vAlign w:val="bottom"/>
            <w:hideMark/>
          </w:tcPr>
          <w:p w:rsidR="00000000" w:rsidRDefault="00C96329">
            <w:pPr>
              <w:pStyle w:val="a3"/>
              <w:spacing w:before="0" w:beforeAutospacing="0" w:after="0" w:afterAutospacing="0"/>
              <w:ind w:left="144" w:hanging="144"/>
              <w:rPr>
                <w:sz w:val="20"/>
                <w:szCs w:val="20"/>
              </w:rPr>
            </w:pPr>
            <w:hyperlink w:anchor="CONSOLIDATEDSTATEMENTSOFCASHFLOWS_69820" w:history="1">
              <w:r>
                <w:rPr>
                  <w:rStyle w:val="a4"/>
                  <w:sz w:val="20"/>
                  <w:szCs w:val="20"/>
                </w:rPr>
                <w:t>Condensed Consolidated Statements of Cash Flows for the six mo</w:t>
              </w:r>
              <w:r>
                <w:rPr>
                  <w:rStyle w:val="a4"/>
                  <w:sz w:val="20"/>
                  <w:szCs w:val="20"/>
                </w:rPr>
                <w:t>nths ended June 30, 2020 and 2019 (unaudited)</w:t>
              </w:r>
            </w:hyperlink>
          </w:p>
        </w:tc>
        <w:tc>
          <w:tcPr>
            <w:tcW w:w="312"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6</w:t>
            </w:r>
          </w:p>
        </w:tc>
      </w:tr>
      <w:tr w:rsidR="00000000">
        <w:trPr>
          <w:divId w:val="643699567"/>
        </w:trPr>
        <w:tc>
          <w:tcPr>
            <w:tcW w:w="4687"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144"/>
              <w:rPr>
                <w:sz w:val="20"/>
                <w:szCs w:val="20"/>
              </w:rPr>
            </w:pPr>
            <w:hyperlink w:anchor="NOTESTOCONDENSEDCONSOLIDATEDFINANCIAL_8" w:history="1">
              <w:r>
                <w:rPr>
                  <w:rStyle w:val="a4"/>
                  <w:sz w:val="20"/>
                  <w:szCs w:val="20"/>
                </w:rPr>
                <w:t>Notes to Condensed Consolidated Financial Statements (unaudited)</w:t>
              </w:r>
            </w:hyperlink>
          </w:p>
        </w:tc>
        <w:tc>
          <w:tcPr>
            <w:tcW w:w="31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7</w:t>
            </w:r>
          </w:p>
        </w:tc>
      </w:tr>
      <w:tr w:rsidR="00000000">
        <w:trPr>
          <w:divId w:val="643699567"/>
        </w:trPr>
        <w:tc>
          <w:tcPr>
            <w:tcW w:w="468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hyperlink w:anchor="MANAGEMENTSDISCUSSIONANDANALYSIS_237225" w:history="1">
              <w:r>
                <w:rPr>
                  <w:rStyle w:val="a4"/>
                  <w:sz w:val="20"/>
                  <w:szCs w:val="20"/>
                </w:rPr>
                <w:t>Item 2. Management’s Discussion and Analysis of Financial Condition and Results of Operations</w:t>
              </w:r>
            </w:hyperlink>
          </w:p>
        </w:tc>
        <w:tc>
          <w:tcPr>
            <w:tcW w:w="312"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20</w:t>
            </w:r>
          </w:p>
        </w:tc>
      </w:tr>
      <w:tr w:rsidR="00000000">
        <w:trPr>
          <w:divId w:val="643699567"/>
        </w:trPr>
        <w:tc>
          <w:tcPr>
            <w:tcW w:w="4687"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hyperlink w:anchor="QUANTITATIVEANDQUALITATIVEDISCLOSURES_5" w:history="1">
              <w:r>
                <w:rPr>
                  <w:rStyle w:val="a4"/>
                  <w:sz w:val="20"/>
                  <w:szCs w:val="20"/>
                </w:rPr>
                <w:t>Item 3. Quantitative and Qualitati</w:t>
              </w:r>
              <w:r>
                <w:rPr>
                  <w:rStyle w:val="a4"/>
                  <w:sz w:val="20"/>
                  <w:szCs w:val="20"/>
                </w:rPr>
                <w:t>ve Disclosures About Market Risk</w:t>
              </w:r>
            </w:hyperlink>
          </w:p>
        </w:tc>
        <w:tc>
          <w:tcPr>
            <w:tcW w:w="31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36</w:t>
            </w:r>
          </w:p>
        </w:tc>
      </w:tr>
      <w:tr w:rsidR="00000000">
        <w:trPr>
          <w:divId w:val="643699567"/>
        </w:trPr>
        <w:tc>
          <w:tcPr>
            <w:tcW w:w="468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hyperlink w:anchor="CONTROLSANDPROCEDURES_651619" w:history="1">
              <w:r>
                <w:rPr>
                  <w:rStyle w:val="a4"/>
                  <w:sz w:val="20"/>
                  <w:szCs w:val="20"/>
                </w:rPr>
                <w:t>Item 4. Controls and Procedures</w:t>
              </w:r>
            </w:hyperlink>
          </w:p>
        </w:tc>
        <w:tc>
          <w:tcPr>
            <w:tcW w:w="312"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36</w:t>
            </w:r>
          </w:p>
        </w:tc>
      </w:tr>
      <w:tr w:rsidR="00000000">
        <w:trPr>
          <w:divId w:val="643699567"/>
        </w:trPr>
        <w:tc>
          <w:tcPr>
            <w:tcW w:w="4687"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1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r>
      <w:tr w:rsidR="00000000">
        <w:trPr>
          <w:divId w:val="643699567"/>
        </w:trPr>
        <w:tc>
          <w:tcPr>
            <w:tcW w:w="468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hyperlink w:anchor="PARTIIOTHERINFORMATION_797321" w:history="1">
              <w:r>
                <w:rPr>
                  <w:rStyle w:val="a4"/>
                  <w:b/>
                  <w:bCs/>
                  <w:sz w:val="20"/>
                  <w:szCs w:val="20"/>
                </w:rPr>
                <w:t>PART II. OTHER INFORMATION</w:t>
              </w:r>
            </w:hyperlink>
          </w:p>
        </w:tc>
        <w:tc>
          <w:tcPr>
            <w:tcW w:w="312"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r>
      <w:tr w:rsidR="00000000">
        <w:trPr>
          <w:divId w:val="643699567"/>
        </w:trPr>
        <w:tc>
          <w:tcPr>
            <w:tcW w:w="4687"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hyperlink w:anchor="ITEM1LEGALPROCEEDINGS_174301" w:history="1">
              <w:r>
                <w:rPr>
                  <w:rStyle w:val="a4"/>
                  <w:sz w:val="20"/>
                  <w:szCs w:val="20"/>
                </w:rPr>
                <w:t>Item 1. Legal Proceedings</w:t>
              </w:r>
            </w:hyperlink>
          </w:p>
        </w:tc>
        <w:tc>
          <w:tcPr>
            <w:tcW w:w="31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37</w:t>
            </w:r>
          </w:p>
        </w:tc>
      </w:tr>
      <w:tr w:rsidR="00000000">
        <w:trPr>
          <w:divId w:val="643699567"/>
        </w:trPr>
        <w:tc>
          <w:tcPr>
            <w:tcW w:w="468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hyperlink w:anchor="ITEM1ARISKFACTORS_513956" w:history="1">
              <w:r>
                <w:rPr>
                  <w:rStyle w:val="a4"/>
                  <w:sz w:val="20"/>
                  <w:szCs w:val="20"/>
                </w:rPr>
                <w:t>Item 1A. Risk Factors</w:t>
              </w:r>
            </w:hyperlink>
          </w:p>
        </w:tc>
        <w:tc>
          <w:tcPr>
            <w:tcW w:w="312"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37</w:t>
            </w:r>
          </w:p>
        </w:tc>
      </w:tr>
      <w:tr w:rsidR="00000000">
        <w:trPr>
          <w:divId w:val="643699567"/>
        </w:trPr>
        <w:tc>
          <w:tcPr>
            <w:tcW w:w="4687"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hyperlink w:anchor="ITEM2UNREGISTEREDSALESOFEQUITYSECURITIE" w:history="1">
              <w:r>
                <w:rPr>
                  <w:rStyle w:val="a4"/>
                  <w:sz w:val="20"/>
                  <w:szCs w:val="20"/>
                </w:rPr>
                <w:t>Item 2. Unregistered Sales of Equity Securities and Use of Proceeds</w:t>
              </w:r>
            </w:hyperlink>
          </w:p>
        </w:tc>
        <w:tc>
          <w:tcPr>
            <w:tcW w:w="31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71</w:t>
            </w:r>
          </w:p>
        </w:tc>
      </w:tr>
      <w:tr w:rsidR="00000000">
        <w:trPr>
          <w:divId w:val="643699567"/>
        </w:trPr>
        <w:tc>
          <w:tcPr>
            <w:tcW w:w="468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hyperlink w:anchor="ITEM6EXHIBITS_250977" w:history="1">
              <w:r>
                <w:rPr>
                  <w:rStyle w:val="a4"/>
                  <w:sz w:val="20"/>
                  <w:szCs w:val="20"/>
                </w:rPr>
                <w:t>Item 6. Exhibits</w:t>
              </w:r>
            </w:hyperlink>
          </w:p>
        </w:tc>
        <w:tc>
          <w:tcPr>
            <w:tcW w:w="312"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72</w:t>
            </w:r>
          </w:p>
        </w:tc>
      </w:tr>
      <w:tr w:rsidR="00000000">
        <w:trPr>
          <w:divId w:val="643699567"/>
        </w:trPr>
        <w:tc>
          <w:tcPr>
            <w:tcW w:w="4687"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hyperlink w:anchor="SIGNATURES_417351" w:history="1">
              <w:r>
                <w:rPr>
                  <w:rStyle w:val="a4"/>
                  <w:sz w:val="20"/>
                  <w:szCs w:val="20"/>
                </w:rPr>
                <w:t>Signatures</w:t>
              </w:r>
            </w:hyperlink>
          </w:p>
        </w:tc>
        <w:tc>
          <w:tcPr>
            <w:tcW w:w="31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73</w:t>
            </w:r>
          </w:p>
        </w:tc>
      </w:tr>
    </w:tbl>
    <w:p w:rsidR="00000000" w:rsidRDefault="00C96329">
      <w:pPr>
        <w:pStyle w:val="a3"/>
        <w:spacing w:before="0" w:beforeAutospacing="0" w:after="0" w:afterAutospacing="0"/>
        <w:divId w:val="643699567"/>
        <w:rPr>
          <w:sz w:val="20"/>
          <w:szCs w:val="20"/>
        </w:rPr>
      </w:pPr>
      <w:r>
        <w:rPr>
          <w:sz w:val="20"/>
          <w:szCs w:val="20"/>
        </w:rPr>
        <w:t>​</w:t>
      </w:r>
    </w:p>
    <w:p w:rsidR="00000000" w:rsidRDefault="00C96329">
      <w:pPr>
        <w:pStyle w:val="a3"/>
        <w:spacing w:before="0" w:beforeAutospacing="0" w:after="0" w:afterAutospacing="0"/>
        <w:divId w:val="643699567"/>
        <w:rPr>
          <w:sz w:val="20"/>
          <w:szCs w:val="20"/>
        </w:rPr>
      </w:pPr>
      <w:r>
        <w:rPr>
          <w:sz w:val="20"/>
          <w:szCs w:val="20"/>
        </w:rPr>
        <w:t>​</w:t>
      </w:r>
    </w:p>
    <w:p w:rsidR="00000000" w:rsidRDefault="00C96329">
      <w:pPr>
        <w:pStyle w:val="a3"/>
        <w:spacing w:before="0" w:beforeAutospacing="0" w:after="0" w:afterAutospacing="0"/>
        <w:divId w:val="643699567"/>
        <w:rPr>
          <w:sz w:val="20"/>
          <w:szCs w:val="20"/>
        </w:rPr>
      </w:pPr>
      <w:r>
        <w:rPr>
          <w:sz w:val="20"/>
          <w:szCs w:val="20"/>
        </w:rPr>
        <w:t>​</w:t>
      </w:r>
    </w:p>
    <w:p w:rsidR="00000000" w:rsidRDefault="00C96329">
      <w:pPr>
        <w:pStyle w:val="a3"/>
        <w:spacing w:before="360" w:beforeAutospacing="0" w:after="0" w:afterAutospacing="0"/>
        <w:jc w:val="center"/>
        <w:divId w:val="202912572"/>
        <w:rPr>
          <w:sz w:val="20"/>
          <w:szCs w:val="20"/>
        </w:rPr>
      </w:pPr>
      <w:r>
        <w:rPr>
          <w:sz w:val="20"/>
          <w:szCs w:val="20"/>
        </w:rPr>
        <w:t>2</w:t>
      </w:r>
    </w:p>
    <w:p w:rsidR="00000000" w:rsidRDefault="00C96329">
      <w:pPr>
        <w:pStyle w:val="a3"/>
        <w:spacing w:before="0" w:beforeAutospacing="0" w:after="600" w:afterAutospacing="0"/>
        <w:divId w:val="2100560194"/>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2143764031"/>
        <w:rPr>
          <w:sz w:val="20"/>
          <w:szCs w:val="20"/>
        </w:rPr>
      </w:pPr>
      <w:r>
        <w:rPr>
          <w:b/>
          <w:bCs/>
          <w:sz w:val="20"/>
          <w:szCs w:val="20"/>
        </w:rPr>
        <w:lastRenderedPageBreak/>
        <w:t>PART I. FINANCIAL INFORMATION</w:t>
      </w:r>
    </w:p>
    <w:p w:rsidR="00000000" w:rsidRDefault="00C96329">
      <w:pPr>
        <w:pStyle w:val="a3"/>
        <w:spacing w:before="0" w:beforeAutospacing="0" w:after="240" w:afterAutospacing="0"/>
        <w:ind w:hanging="1008"/>
        <w:divId w:val="2143764031"/>
        <w:rPr>
          <w:sz w:val="20"/>
          <w:szCs w:val="20"/>
        </w:rPr>
      </w:pPr>
      <w:r>
        <w:rPr>
          <w:b/>
          <w:bCs/>
          <w:sz w:val="20"/>
          <w:szCs w:val="20"/>
        </w:rPr>
        <w:t>ITEM 1.    FINANCIAL STATEMENTS</w:t>
      </w:r>
    </w:p>
    <w:p w:rsidR="00000000" w:rsidRDefault="00C96329">
      <w:pPr>
        <w:pStyle w:val="a3"/>
        <w:spacing w:before="0" w:beforeAutospacing="0" w:after="0" w:afterAutospacing="0"/>
        <w:jc w:val="center"/>
        <w:divId w:val="2143764031"/>
        <w:rPr>
          <w:sz w:val="20"/>
          <w:szCs w:val="20"/>
        </w:rPr>
      </w:pPr>
      <w:r>
        <w:rPr>
          <w:b/>
          <w:bCs/>
          <w:sz w:val="20"/>
          <w:szCs w:val="20"/>
        </w:rPr>
        <w:t>THERAVANCE BIOPHARMA, INC.</w:t>
      </w:r>
    </w:p>
    <w:p w:rsidR="00000000" w:rsidRDefault="00C96329">
      <w:pPr>
        <w:pStyle w:val="a3"/>
        <w:spacing w:before="0" w:beforeAutospacing="0" w:after="0" w:afterAutospacing="0"/>
        <w:jc w:val="center"/>
        <w:divId w:val="2143764031"/>
        <w:rPr>
          <w:sz w:val="20"/>
          <w:szCs w:val="20"/>
        </w:rPr>
      </w:pPr>
      <w:r>
        <w:rPr>
          <w:b/>
          <w:bCs/>
          <w:sz w:val="20"/>
          <w:szCs w:val="20"/>
        </w:rPr>
        <w:t>CONDENSED CONSOLIDATED BALANCE SHEETS</w:t>
      </w:r>
    </w:p>
    <w:p w:rsidR="00000000" w:rsidRDefault="00C96329">
      <w:pPr>
        <w:pStyle w:val="a3"/>
        <w:spacing w:before="0" w:beforeAutospacing="0" w:after="0" w:afterAutospacing="0"/>
        <w:jc w:val="center"/>
        <w:divId w:val="2143764031"/>
        <w:rPr>
          <w:sz w:val="20"/>
          <w:szCs w:val="20"/>
        </w:rPr>
      </w:pPr>
      <w:r>
        <w:rPr>
          <w:b/>
          <w:bCs/>
          <w:sz w:val="20"/>
          <w:szCs w:val="20"/>
        </w:rPr>
        <w:t>(Unaudited)</w:t>
      </w:r>
    </w:p>
    <w:p w:rsidR="00000000" w:rsidRDefault="00C96329">
      <w:pPr>
        <w:pStyle w:val="a3"/>
        <w:spacing w:before="0" w:beforeAutospacing="0" w:after="120" w:afterAutospacing="0"/>
        <w:jc w:val="center"/>
        <w:divId w:val="2143764031"/>
        <w:rPr>
          <w:sz w:val="20"/>
          <w:szCs w:val="20"/>
        </w:rPr>
      </w:pPr>
      <w:r>
        <w:rPr>
          <w:b/>
          <w:bCs/>
          <w:sz w:val="20"/>
          <w:szCs w:val="20"/>
        </w:rPr>
        <w:t>(In thousands, except per share data)</w:t>
      </w:r>
    </w:p>
    <w:tbl>
      <w:tblPr>
        <w:tblW w:w="5000" w:type="pct"/>
        <w:tblCellMar>
          <w:top w:w="15" w:type="dxa"/>
          <w:left w:w="0" w:type="dxa"/>
          <w:bottom w:w="15" w:type="dxa"/>
          <w:right w:w="0" w:type="dxa"/>
        </w:tblCellMar>
        <w:tblLook w:val="04A0" w:firstRow="1" w:lastRow="0" w:firstColumn="1" w:lastColumn="0" w:noHBand="0" w:noVBand="1"/>
      </w:tblPr>
      <w:tblGrid>
        <w:gridCol w:w="5817"/>
        <w:gridCol w:w="202"/>
        <w:gridCol w:w="202"/>
        <w:gridCol w:w="840"/>
        <w:gridCol w:w="202"/>
        <w:gridCol w:w="203"/>
        <w:gridCol w:w="840"/>
      </w:tblGrid>
      <w:tr w:rsidR="00000000">
        <w:trPr>
          <w:divId w:val="2143764031"/>
          <w:trHeight w:val="20"/>
        </w:trPr>
        <w:tc>
          <w:tcPr>
            <w:tcW w:w="3503" w:type="pct"/>
            <w:tcMar>
              <w:top w:w="0" w:type="dxa"/>
              <w:left w:w="0" w:type="dxa"/>
              <w:bottom w:w="0" w:type="dxa"/>
              <w:right w:w="0" w:type="dxa"/>
            </w:tcMar>
            <w:hideMark/>
          </w:tcPr>
          <w:p w:rsidR="00000000" w:rsidRDefault="00C96329">
            <w:pPr>
              <w:pStyle w:val="a3"/>
              <w:spacing w:before="0" w:beforeAutospacing="0" w:after="0" w:afterAutospacing="0"/>
              <w:divId w:val="1410619849"/>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751270252"/>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62206694"/>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31972922"/>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440294354"/>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422067921"/>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9835933"/>
              <w:rPr>
                <w:sz w:val="20"/>
                <w:szCs w:val="20"/>
              </w:rPr>
            </w:pPr>
            <w:r>
              <w:rPr>
                <w:sz w:val="2"/>
                <w:szCs w:val="2"/>
              </w:rPr>
              <w:t>​</w:t>
            </w:r>
          </w:p>
        </w:tc>
      </w:tr>
      <w:tr w:rsidR="00000000">
        <w:trPr>
          <w:divId w:val="2143764031"/>
        </w:trPr>
        <w:tc>
          <w:tcPr>
            <w:tcW w:w="3503"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622"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June 30, </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622"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December 31, </w:t>
            </w:r>
          </w:p>
        </w:tc>
      </w:tr>
      <w:tr w:rsidR="00000000">
        <w:trPr>
          <w:divId w:val="2143764031"/>
        </w:trPr>
        <w:tc>
          <w:tcPr>
            <w:tcW w:w="3503"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62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62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r>
      <w:tr w:rsidR="00000000">
        <w:trPr>
          <w:divId w:val="2143764031"/>
        </w:trPr>
        <w:tc>
          <w:tcPr>
            <w:tcW w:w="3503"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18"/>
                <w:szCs w:val="18"/>
              </w:rPr>
            </w:pPr>
            <w:r>
              <w:rPr>
                <w:b/>
                <w:bCs/>
                <w:sz w:val="18"/>
                <w:szCs w:val="18"/>
              </w:rPr>
              <w:t>Assets</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r>
      <w:tr w:rsidR="00000000">
        <w:trPr>
          <w:divId w:val="2143764031"/>
        </w:trPr>
        <w:tc>
          <w:tcPr>
            <w:tcW w:w="3503" w:type="pct"/>
            <w:tcMar>
              <w:top w:w="0" w:type="dxa"/>
              <w:left w:w="0" w:type="dxa"/>
              <w:bottom w:w="0" w:type="dxa"/>
              <w:right w:w="0" w:type="dxa"/>
            </w:tcMar>
            <w:hideMark/>
          </w:tcPr>
          <w:p w:rsidR="00000000" w:rsidRDefault="00C96329">
            <w:pPr>
              <w:pStyle w:val="a3"/>
              <w:spacing w:before="0" w:beforeAutospacing="0" w:after="0" w:afterAutospacing="0"/>
              <w:rPr>
                <w:sz w:val="18"/>
                <w:szCs w:val="18"/>
              </w:rPr>
            </w:pPr>
            <w:r>
              <w:rPr>
                <w:sz w:val="18"/>
                <w:szCs w:val="18"/>
              </w:rPr>
              <w:t>Current assets:</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r>
      <w:tr w:rsidR="00000000">
        <w:trPr>
          <w:divId w:val="2143764031"/>
        </w:trPr>
        <w:tc>
          <w:tcPr>
            <w:tcW w:w="3503"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ind w:left="240"/>
              <w:rPr>
                <w:sz w:val="18"/>
                <w:szCs w:val="18"/>
              </w:rPr>
            </w:pPr>
            <w:r>
              <w:rPr>
                <w:sz w:val="18"/>
                <w:szCs w:val="18"/>
              </w:rPr>
              <w:t xml:space="preserve">Cash and cash equivalents </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104,735</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58,064</w:t>
            </w:r>
          </w:p>
        </w:tc>
      </w:tr>
      <w:tr w:rsidR="00000000">
        <w:trPr>
          <w:divId w:val="2143764031"/>
        </w:trPr>
        <w:tc>
          <w:tcPr>
            <w:tcW w:w="3503" w:type="pct"/>
            <w:tcMar>
              <w:top w:w="0" w:type="dxa"/>
              <w:left w:w="0" w:type="dxa"/>
              <w:bottom w:w="0" w:type="dxa"/>
              <w:right w:w="0" w:type="dxa"/>
            </w:tcMar>
            <w:hideMark/>
          </w:tcPr>
          <w:p w:rsidR="00000000" w:rsidRDefault="00C96329">
            <w:pPr>
              <w:pStyle w:val="a3"/>
              <w:spacing w:before="0" w:beforeAutospacing="0" w:after="0" w:afterAutospacing="0"/>
              <w:ind w:left="240"/>
              <w:rPr>
                <w:sz w:val="18"/>
                <w:szCs w:val="18"/>
              </w:rPr>
            </w:pPr>
            <w:r>
              <w:rPr>
                <w:sz w:val="18"/>
                <w:szCs w:val="18"/>
              </w:rPr>
              <w:t>Short-term marketable securities</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333,605</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222,767</w:t>
            </w:r>
          </w:p>
        </w:tc>
      </w:tr>
      <w:tr w:rsidR="00000000">
        <w:trPr>
          <w:divId w:val="2143764031"/>
        </w:trPr>
        <w:tc>
          <w:tcPr>
            <w:tcW w:w="3503"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ind w:left="240"/>
              <w:rPr>
                <w:sz w:val="18"/>
                <w:szCs w:val="18"/>
              </w:rPr>
            </w:pPr>
            <w:r>
              <w:rPr>
                <w:sz w:val="18"/>
                <w:szCs w:val="18"/>
              </w:rPr>
              <w:t xml:space="preserve">Receivables from collaborative arrangements </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11,413</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11,996</w:t>
            </w:r>
          </w:p>
        </w:tc>
      </w:tr>
      <w:tr w:rsidR="00000000">
        <w:trPr>
          <w:divId w:val="2143764031"/>
        </w:trPr>
        <w:tc>
          <w:tcPr>
            <w:tcW w:w="3503" w:type="pct"/>
            <w:tcMar>
              <w:top w:w="0" w:type="dxa"/>
              <w:left w:w="0" w:type="dxa"/>
              <w:bottom w:w="0" w:type="dxa"/>
              <w:right w:w="0" w:type="dxa"/>
            </w:tcMar>
            <w:hideMark/>
          </w:tcPr>
          <w:p w:rsidR="00000000" w:rsidRDefault="00C96329">
            <w:pPr>
              <w:pStyle w:val="a3"/>
              <w:spacing w:before="0" w:beforeAutospacing="0" w:after="0" w:afterAutospacing="0"/>
              <w:ind w:left="240"/>
              <w:rPr>
                <w:sz w:val="18"/>
                <w:szCs w:val="18"/>
              </w:rPr>
            </w:pPr>
            <w:r>
              <w:rPr>
                <w:sz w:val="18"/>
                <w:szCs w:val="18"/>
              </w:rPr>
              <w:t xml:space="preserve">Receivables from licensing arrangements </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10,000</w:t>
            </w:r>
          </w:p>
        </w:tc>
      </w:tr>
      <w:tr w:rsidR="00000000">
        <w:trPr>
          <w:divId w:val="2143764031"/>
        </w:trPr>
        <w:tc>
          <w:tcPr>
            <w:tcW w:w="3503"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ind w:left="240"/>
              <w:rPr>
                <w:sz w:val="18"/>
                <w:szCs w:val="18"/>
              </w:rPr>
            </w:pPr>
            <w:r>
              <w:rPr>
                <w:sz w:val="18"/>
                <w:szCs w:val="18"/>
              </w:rPr>
              <w:t>Amounts due from TRC, LLC</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35,509</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28,574</w:t>
            </w:r>
          </w:p>
        </w:tc>
      </w:tr>
      <w:tr w:rsidR="00000000">
        <w:trPr>
          <w:divId w:val="2143764031"/>
        </w:trPr>
        <w:tc>
          <w:tcPr>
            <w:tcW w:w="3503" w:type="pct"/>
            <w:tcMar>
              <w:top w:w="0" w:type="dxa"/>
              <w:left w:w="0" w:type="dxa"/>
              <w:bottom w:w="0" w:type="dxa"/>
              <w:right w:w="0" w:type="dxa"/>
            </w:tcMar>
            <w:hideMark/>
          </w:tcPr>
          <w:p w:rsidR="00000000" w:rsidRDefault="00C96329">
            <w:pPr>
              <w:pStyle w:val="a3"/>
              <w:spacing w:before="0" w:beforeAutospacing="0" w:after="0" w:afterAutospacing="0"/>
              <w:ind w:left="240"/>
              <w:rPr>
                <w:sz w:val="18"/>
                <w:szCs w:val="18"/>
              </w:rPr>
            </w:pPr>
            <w:r>
              <w:rPr>
                <w:sz w:val="18"/>
                <w:szCs w:val="18"/>
              </w:rPr>
              <w:t>Other prepaid and current assets</w:t>
            </w:r>
            <w:r>
              <w:rPr>
                <w:sz w:val="18"/>
                <w:szCs w:val="18"/>
              </w:rPr>
              <w:t xml:space="preserve"> </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13,124</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7,087</w:t>
            </w:r>
          </w:p>
        </w:tc>
      </w:tr>
      <w:tr w:rsidR="00000000">
        <w:trPr>
          <w:divId w:val="2143764031"/>
        </w:trPr>
        <w:tc>
          <w:tcPr>
            <w:tcW w:w="3503"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ind w:left="360"/>
              <w:rPr>
                <w:sz w:val="18"/>
                <w:szCs w:val="18"/>
              </w:rPr>
            </w:pPr>
            <w:r>
              <w:rPr>
                <w:sz w:val="18"/>
                <w:szCs w:val="18"/>
              </w:rPr>
              <w:t xml:space="preserve">Total current assets </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498,386</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338,488</w:t>
            </w:r>
          </w:p>
        </w:tc>
      </w:tr>
      <w:tr w:rsidR="00000000">
        <w:trPr>
          <w:divId w:val="2143764031"/>
        </w:trPr>
        <w:tc>
          <w:tcPr>
            <w:tcW w:w="3503" w:type="pct"/>
            <w:tcMar>
              <w:top w:w="0" w:type="dxa"/>
              <w:left w:w="0" w:type="dxa"/>
              <w:bottom w:w="0" w:type="dxa"/>
              <w:right w:w="0" w:type="dxa"/>
            </w:tcMar>
            <w:hideMark/>
          </w:tcPr>
          <w:p w:rsidR="00000000" w:rsidRDefault="00C96329">
            <w:pPr>
              <w:pStyle w:val="a3"/>
              <w:spacing w:before="0" w:beforeAutospacing="0" w:after="0" w:afterAutospacing="0"/>
              <w:rPr>
                <w:sz w:val="18"/>
                <w:szCs w:val="18"/>
              </w:rPr>
            </w:pPr>
            <w:r>
              <w:rPr>
                <w:sz w:val="18"/>
                <w:szCs w:val="18"/>
              </w:rPr>
              <w:t xml:space="preserve">Property and equipment, net </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14,433</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12,644</w:t>
            </w:r>
          </w:p>
        </w:tc>
      </w:tr>
      <w:tr w:rsidR="00000000">
        <w:trPr>
          <w:divId w:val="2143764031"/>
        </w:trPr>
        <w:tc>
          <w:tcPr>
            <w:tcW w:w="3503"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18"/>
                <w:szCs w:val="18"/>
              </w:rPr>
            </w:pPr>
            <w:r>
              <w:rPr>
                <w:sz w:val="18"/>
                <w:szCs w:val="18"/>
              </w:rPr>
              <w:t>Long-term marketable securities</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4,985</w:t>
            </w:r>
          </w:p>
        </w:tc>
      </w:tr>
      <w:tr w:rsidR="00000000">
        <w:trPr>
          <w:divId w:val="2143764031"/>
        </w:trPr>
        <w:tc>
          <w:tcPr>
            <w:tcW w:w="3503" w:type="pct"/>
            <w:tcMar>
              <w:top w:w="0" w:type="dxa"/>
              <w:left w:w="0" w:type="dxa"/>
              <w:bottom w:w="0" w:type="dxa"/>
              <w:right w:w="0" w:type="dxa"/>
            </w:tcMar>
            <w:hideMark/>
          </w:tcPr>
          <w:p w:rsidR="00000000" w:rsidRDefault="00C96329">
            <w:pPr>
              <w:pStyle w:val="a3"/>
              <w:spacing w:before="0" w:beforeAutospacing="0" w:after="0" w:afterAutospacing="0"/>
              <w:rPr>
                <w:sz w:val="18"/>
                <w:szCs w:val="18"/>
              </w:rPr>
            </w:pPr>
            <w:r>
              <w:rPr>
                <w:sz w:val="18"/>
                <w:szCs w:val="18"/>
              </w:rPr>
              <w:t>Operating lease assets</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45,184</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46,604</w:t>
            </w:r>
          </w:p>
        </w:tc>
      </w:tr>
      <w:tr w:rsidR="00000000">
        <w:trPr>
          <w:divId w:val="2143764031"/>
        </w:trPr>
        <w:tc>
          <w:tcPr>
            <w:tcW w:w="3503"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18"/>
                <w:szCs w:val="18"/>
              </w:rPr>
            </w:pPr>
            <w:r>
              <w:rPr>
                <w:sz w:val="18"/>
                <w:szCs w:val="18"/>
              </w:rPr>
              <w:t>Tax receivable</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3,986</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3,682</w:t>
            </w:r>
          </w:p>
        </w:tc>
      </w:tr>
      <w:tr w:rsidR="00000000">
        <w:trPr>
          <w:divId w:val="2143764031"/>
        </w:trPr>
        <w:tc>
          <w:tcPr>
            <w:tcW w:w="3503" w:type="pct"/>
            <w:tcMar>
              <w:top w:w="0" w:type="dxa"/>
              <w:left w:w="0" w:type="dxa"/>
              <w:bottom w:w="0" w:type="dxa"/>
              <w:right w:w="0" w:type="dxa"/>
            </w:tcMar>
            <w:hideMark/>
          </w:tcPr>
          <w:p w:rsidR="00000000" w:rsidRDefault="00C96329">
            <w:pPr>
              <w:pStyle w:val="a3"/>
              <w:spacing w:before="0" w:beforeAutospacing="0" w:after="0" w:afterAutospacing="0"/>
              <w:rPr>
                <w:sz w:val="18"/>
                <w:szCs w:val="18"/>
              </w:rPr>
            </w:pPr>
            <w:r>
              <w:rPr>
                <w:sz w:val="18"/>
                <w:szCs w:val="18"/>
              </w:rPr>
              <w:t xml:space="preserve">Restricted cash </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833</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833</w:t>
            </w:r>
          </w:p>
        </w:tc>
      </w:tr>
      <w:tr w:rsidR="00000000">
        <w:trPr>
          <w:divId w:val="2143764031"/>
        </w:trPr>
        <w:tc>
          <w:tcPr>
            <w:tcW w:w="3503"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18"/>
                <w:szCs w:val="18"/>
              </w:rPr>
            </w:pPr>
            <w:r>
              <w:rPr>
                <w:sz w:val="18"/>
                <w:szCs w:val="18"/>
              </w:rPr>
              <w:t>Other assets</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1,508</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1,590</w:t>
            </w:r>
          </w:p>
        </w:tc>
      </w:tr>
      <w:tr w:rsidR="00000000">
        <w:trPr>
          <w:divId w:val="2143764031"/>
        </w:trPr>
        <w:tc>
          <w:tcPr>
            <w:tcW w:w="3503" w:type="pct"/>
            <w:tcMar>
              <w:top w:w="0" w:type="dxa"/>
              <w:left w:w="0" w:type="dxa"/>
              <w:bottom w:w="0" w:type="dxa"/>
              <w:right w:w="0" w:type="dxa"/>
            </w:tcMar>
            <w:hideMark/>
          </w:tcPr>
          <w:p w:rsidR="00000000" w:rsidRDefault="00C96329">
            <w:pPr>
              <w:pStyle w:val="a3"/>
              <w:spacing w:before="0" w:beforeAutospacing="0" w:after="0" w:afterAutospacing="0"/>
              <w:ind w:left="360"/>
              <w:rPr>
                <w:sz w:val="18"/>
                <w:szCs w:val="18"/>
              </w:rPr>
            </w:pPr>
            <w:r>
              <w:rPr>
                <w:sz w:val="18"/>
                <w:szCs w:val="18"/>
              </w:rPr>
              <w:t xml:space="preserve">Total assets </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564,330</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408,826</w:t>
            </w:r>
          </w:p>
        </w:tc>
      </w:tr>
      <w:tr w:rsidR="00000000">
        <w:trPr>
          <w:divId w:val="2143764031"/>
        </w:trPr>
        <w:tc>
          <w:tcPr>
            <w:tcW w:w="3503"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r>
      <w:tr w:rsidR="00000000">
        <w:trPr>
          <w:divId w:val="2143764031"/>
        </w:trPr>
        <w:tc>
          <w:tcPr>
            <w:tcW w:w="3503" w:type="pct"/>
            <w:tcMar>
              <w:top w:w="0" w:type="dxa"/>
              <w:left w:w="0" w:type="dxa"/>
              <w:bottom w:w="0" w:type="dxa"/>
              <w:right w:w="0" w:type="dxa"/>
            </w:tcMar>
            <w:hideMark/>
          </w:tcPr>
          <w:p w:rsidR="00000000" w:rsidRDefault="00C96329">
            <w:pPr>
              <w:pStyle w:val="a3"/>
              <w:spacing w:before="0" w:beforeAutospacing="0" w:after="0" w:afterAutospacing="0"/>
              <w:rPr>
                <w:sz w:val="18"/>
                <w:szCs w:val="18"/>
              </w:rPr>
            </w:pPr>
            <w:r>
              <w:rPr>
                <w:b/>
                <w:bCs/>
                <w:sz w:val="18"/>
                <w:szCs w:val="18"/>
              </w:rPr>
              <w:t>Liabilities and Shareholders' Deficit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r>
      <w:tr w:rsidR="00000000">
        <w:trPr>
          <w:divId w:val="2143764031"/>
        </w:trPr>
        <w:tc>
          <w:tcPr>
            <w:tcW w:w="3503"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18"/>
                <w:szCs w:val="18"/>
              </w:rPr>
            </w:pPr>
            <w:r>
              <w:rPr>
                <w:sz w:val="18"/>
                <w:szCs w:val="18"/>
              </w:rPr>
              <w:t>Current liabilities:</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r>
      <w:tr w:rsidR="00000000">
        <w:trPr>
          <w:divId w:val="2143764031"/>
        </w:trPr>
        <w:tc>
          <w:tcPr>
            <w:tcW w:w="3503" w:type="pct"/>
            <w:tcMar>
              <w:top w:w="0" w:type="dxa"/>
              <w:left w:w="0" w:type="dxa"/>
              <w:bottom w:w="0" w:type="dxa"/>
              <w:right w:w="0" w:type="dxa"/>
            </w:tcMar>
            <w:hideMark/>
          </w:tcPr>
          <w:p w:rsidR="00000000" w:rsidRDefault="00C96329">
            <w:pPr>
              <w:pStyle w:val="a3"/>
              <w:spacing w:before="0" w:beforeAutospacing="0" w:after="0" w:afterAutospacing="0"/>
              <w:ind w:left="240"/>
              <w:rPr>
                <w:sz w:val="18"/>
                <w:szCs w:val="18"/>
              </w:rPr>
            </w:pPr>
            <w:r>
              <w:rPr>
                <w:sz w:val="18"/>
                <w:szCs w:val="18"/>
              </w:rPr>
              <w:t xml:space="preserve">Accounts payable </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10,065</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4,758</w:t>
            </w:r>
          </w:p>
        </w:tc>
      </w:tr>
      <w:tr w:rsidR="00000000">
        <w:trPr>
          <w:divId w:val="2143764031"/>
        </w:trPr>
        <w:tc>
          <w:tcPr>
            <w:tcW w:w="3503"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ind w:left="240"/>
              <w:rPr>
                <w:sz w:val="18"/>
                <w:szCs w:val="18"/>
              </w:rPr>
            </w:pPr>
            <w:r>
              <w:rPr>
                <w:sz w:val="18"/>
                <w:szCs w:val="18"/>
              </w:rPr>
              <w:t xml:space="preserve">Accrued personnel-related expenses </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26,757</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28,180</w:t>
            </w:r>
          </w:p>
        </w:tc>
      </w:tr>
      <w:tr w:rsidR="00000000">
        <w:trPr>
          <w:divId w:val="2143764031"/>
        </w:trPr>
        <w:tc>
          <w:tcPr>
            <w:tcW w:w="3503" w:type="pct"/>
            <w:tcMar>
              <w:top w:w="0" w:type="dxa"/>
              <w:left w:w="0" w:type="dxa"/>
              <w:bottom w:w="0" w:type="dxa"/>
              <w:right w:w="0" w:type="dxa"/>
            </w:tcMar>
            <w:hideMark/>
          </w:tcPr>
          <w:p w:rsidR="00000000" w:rsidRDefault="00C96329">
            <w:pPr>
              <w:pStyle w:val="a3"/>
              <w:spacing w:before="0" w:beforeAutospacing="0" w:after="0" w:afterAutospacing="0"/>
              <w:ind w:left="240"/>
              <w:rPr>
                <w:sz w:val="18"/>
                <w:szCs w:val="18"/>
              </w:rPr>
            </w:pPr>
            <w:r>
              <w:rPr>
                <w:sz w:val="18"/>
                <w:szCs w:val="18"/>
              </w:rPr>
              <w:t xml:space="preserve">Accrued clinical and development expenses </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25,229</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17,587</w:t>
            </w:r>
          </w:p>
        </w:tc>
      </w:tr>
      <w:tr w:rsidR="00000000">
        <w:trPr>
          <w:divId w:val="2143764031"/>
        </w:trPr>
        <w:tc>
          <w:tcPr>
            <w:tcW w:w="3503"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ind w:left="240"/>
              <w:rPr>
                <w:sz w:val="18"/>
                <w:szCs w:val="18"/>
              </w:rPr>
            </w:pPr>
            <w:r>
              <w:rPr>
                <w:sz w:val="18"/>
                <w:szCs w:val="18"/>
              </w:rPr>
              <w:t>Accrued interest payable</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3,702</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5,659</w:t>
            </w:r>
          </w:p>
        </w:tc>
      </w:tr>
      <w:tr w:rsidR="00000000">
        <w:trPr>
          <w:divId w:val="2143764031"/>
        </w:trPr>
        <w:tc>
          <w:tcPr>
            <w:tcW w:w="3503" w:type="pct"/>
            <w:tcMar>
              <w:top w:w="0" w:type="dxa"/>
              <w:left w:w="0" w:type="dxa"/>
              <w:bottom w:w="0" w:type="dxa"/>
              <w:right w:w="0" w:type="dxa"/>
            </w:tcMar>
            <w:hideMark/>
          </w:tcPr>
          <w:p w:rsidR="00000000" w:rsidRDefault="00C96329">
            <w:pPr>
              <w:pStyle w:val="a3"/>
              <w:spacing w:before="0" w:beforeAutospacing="0" w:after="0" w:afterAutospacing="0"/>
              <w:ind w:left="240"/>
              <w:rPr>
                <w:sz w:val="18"/>
                <w:szCs w:val="18"/>
              </w:rPr>
            </w:pPr>
            <w:r>
              <w:rPr>
                <w:sz w:val="18"/>
                <w:szCs w:val="18"/>
              </w:rPr>
              <w:t>Non-recourse notes due 2033, net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9,851</w:t>
            </w:r>
          </w:p>
        </w:tc>
      </w:tr>
      <w:tr w:rsidR="00000000">
        <w:trPr>
          <w:divId w:val="2143764031"/>
        </w:trPr>
        <w:tc>
          <w:tcPr>
            <w:tcW w:w="3503"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ind w:left="240"/>
              <w:rPr>
                <w:sz w:val="18"/>
                <w:szCs w:val="18"/>
              </w:rPr>
            </w:pPr>
            <w:r>
              <w:rPr>
                <w:sz w:val="18"/>
                <w:szCs w:val="18"/>
              </w:rPr>
              <w:t>Operating lease liabilities</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8,741</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7,762</w:t>
            </w:r>
          </w:p>
        </w:tc>
      </w:tr>
      <w:tr w:rsidR="00000000">
        <w:trPr>
          <w:divId w:val="2143764031"/>
        </w:trPr>
        <w:tc>
          <w:tcPr>
            <w:tcW w:w="3503" w:type="pct"/>
            <w:tcMar>
              <w:top w:w="0" w:type="dxa"/>
              <w:left w:w="0" w:type="dxa"/>
              <w:bottom w:w="0" w:type="dxa"/>
              <w:right w:w="0" w:type="dxa"/>
            </w:tcMar>
            <w:hideMark/>
          </w:tcPr>
          <w:p w:rsidR="00000000" w:rsidRDefault="00C96329">
            <w:pPr>
              <w:pStyle w:val="a3"/>
              <w:spacing w:before="0" w:beforeAutospacing="0" w:after="0" w:afterAutospacing="0"/>
              <w:ind w:left="240"/>
              <w:rPr>
                <w:sz w:val="18"/>
                <w:szCs w:val="18"/>
              </w:rPr>
            </w:pPr>
            <w:r>
              <w:rPr>
                <w:sz w:val="18"/>
                <w:szCs w:val="18"/>
              </w:rPr>
              <w:t>Deferred revenue</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25,062</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31,575</w:t>
            </w:r>
          </w:p>
        </w:tc>
      </w:tr>
      <w:tr w:rsidR="00000000">
        <w:trPr>
          <w:divId w:val="2143764031"/>
        </w:trPr>
        <w:tc>
          <w:tcPr>
            <w:tcW w:w="3503"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ind w:left="240"/>
              <w:rPr>
                <w:sz w:val="18"/>
                <w:szCs w:val="18"/>
              </w:rPr>
            </w:pPr>
            <w:r>
              <w:rPr>
                <w:sz w:val="18"/>
                <w:szCs w:val="18"/>
              </w:rPr>
              <w:t xml:space="preserve">Other accrued liabilities </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7,018</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6,331</w:t>
            </w:r>
          </w:p>
        </w:tc>
      </w:tr>
      <w:tr w:rsidR="00000000">
        <w:trPr>
          <w:divId w:val="2143764031"/>
        </w:trPr>
        <w:tc>
          <w:tcPr>
            <w:tcW w:w="3503" w:type="pct"/>
            <w:tcMar>
              <w:top w:w="0" w:type="dxa"/>
              <w:left w:w="0" w:type="dxa"/>
              <w:bottom w:w="0" w:type="dxa"/>
              <w:right w:w="0" w:type="dxa"/>
            </w:tcMar>
            <w:hideMark/>
          </w:tcPr>
          <w:p w:rsidR="00000000" w:rsidRDefault="00C96329">
            <w:pPr>
              <w:pStyle w:val="a3"/>
              <w:spacing w:before="0" w:beforeAutospacing="0" w:after="0" w:afterAutospacing="0"/>
              <w:ind w:left="360"/>
              <w:rPr>
                <w:sz w:val="18"/>
                <w:szCs w:val="18"/>
              </w:rPr>
            </w:pPr>
            <w:r>
              <w:rPr>
                <w:sz w:val="18"/>
                <w:szCs w:val="18"/>
              </w:rPr>
              <w:t xml:space="preserve">Total current liabilities </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106,574</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111,703</w:t>
            </w:r>
          </w:p>
        </w:tc>
      </w:tr>
      <w:tr w:rsidR="00000000">
        <w:trPr>
          <w:divId w:val="2143764031"/>
        </w:trPr>
        <w:tc>
          <w:tcPr>
            <w:tcW w:w="3503"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18"/>
                <w:szCs w:val="18"/>
              </w:rPr>
            </w:pPr>
            <w:r>
              <w:rPr>
                <w:sz w:val="18"/>
                <w:szCs w:val="18"/>
              </w:rPr>
              <w:t>Convertible senior notes due 2023, net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226,427</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225,890</w:t>
            </w:r>
          </w:p>
        </w:tc>
      </w:tr>
      <w:tr w:rsidR="00000000">
        <w:trPr>
          <w:divId w:val="2143764031"/>
        </w:trPr>
        <w:tc>
          <w:tcPr>
            <w:tcW w:w="3503" w:type="pct"/>
            <w:tcMar>
              <w:top w:w="0" w:type="dxa"/>
              <w:left w:w="0" w:type="dxa"/>
              <w:bottom w:w="0" w:type="dxa"/>
              <w:right w:w="0" w:type="dxa"/>
            </w:tcMar>
            <w:vAlign w:val="bottom"/>
            <w:hideMark/>
          </w:tcPr>
          <w:p w:rsidR="00000000" w:rsidRDefault="00C96329">
            <w:pPr>
              <w:pStyle w:val="a3"/>
              <w:spacing w:before="0" w:beforeAutospacing="0" w:after="0" w:afterAutospacing="0"/>
              <w:rPr>
                <w:sz w:val="18"/>
                <w:szCs w:val="18"/>
              </w:rPr>
            </w:pPr>
            <w:r>
              <w:rPr>
                <w:sz w:val="18"/>
                <w:szCs w:val="18"/>
              </w:rPr>
              <w:t>Non-recourse notes due 2035, net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375,266</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w:t>
            </w:r>
          </w:p>
        </w:tc>
      </w:tr>
      <w:tr w:rsidR="00000000">
        <w:trPr>
          <w:divId w:val="2143764031"/>
        </w:trPr>
        <w:tc>
          <w:tcPr>
            <w:tcW w:w="3503"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18"/>
                <w:szCs w:val="18"/>
              </w:rPr>
            </w:pPr>
            <w:r>
              <w:rPr>
                <w:sz w:val="18"/>
                <w:szCs w:val="18"/>
              </w:rPr>
              <w:t>Non-recourse notes due 2033, net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219,300</w:t>
            </w:r>
          </w:p>
        </w:tc>
      </w:tr>
      <w:tr w:rsidR="00000000">
        <w:trPr>
          <w:divId w:val="2143764031"/>
        </w:trPr>
        <w:tc>
          <w:tcPr>
            <w:tcW w:w="3503" w:type="pct"/>
            <w:tcMar>
              <w:top w:w="0" w:type="dxa"/>
              <w:left w:w="0" w:type="dxa"/>
              <w:bottom w:w="0" w:type="dxa"/>
              <w:right w:w="0" w:type="dxa"/>
            </w:tcMar>
            <w:hideMark/>
          </w:tcPr>
          <w:p w:rsidR="00000000" w:rsidRDefault="00C96329">
            <w:pPr>
              <w:pStyle w:val="a3"/>
              <w:spacing w:before="0" w:beforeAutospacing="0" w:after="0" w:afterAutospacing="0"/>
              <w:rPr>
                <w:sz w:val="18"/>
                <w:szCs w:val="18"/>
              </w:rPr>
            </w:pPr>
            <w:r>
              <w:rPr>
                <w:sz w:val="18"/>
                <w:szCs w:val="18"/>
              </w:rPr>
              <w:t>Long-term operating lease liabilities</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47,631</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47,725</w:t>
            </w:r>
          </w:p>
        </w:tc>
      </w:tr>
      <w:tr w:rsidR="00000000">
        <w:trPr>
          <w:divId w:val="2143764031"/>
        </w:trPr>
        <w:tc>
          <w:tcPr>
            <w:tcW w:w="3503"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18"/>
                <w:szCs w:val="18"/>
              </w:rPr>
            </w:pPr>
            <w:r>
              <w:rPr>
                <w:sz w:val="18"/>
                <w:szCs w:val="18"/>
              </w:rPr>
              <w:t>Long-term deferred revenue</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1,154</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6,761</w:t>
            </w:r>
          </w:p>
        </w:tc>
      </w:tr>
      <w:tr w:rsidR="00000000">
        <w:trPr>
          <w:divId w:val="2143764031"/>
        </w:trPr>
        <w:tc>
          <w:tcPr>
            <w:tcW w:w="3503" w:type="pct"/>
            <w:tcMar>
              <w:top w:w="0" w:type="dxa"/>
              <w:left w:w="0" w:type="dxa"/>
              <w:bottom w:w="0" w:type="dxa"/>
              <w:right w:w="0" w:type="dxa"/>
            </w:tcMar>
            <w:hideMark/>
          </w:tcPr>
          <w:p w:rsidR="00000000" w:rsidRDefault="00C96329">
            <w:pPr>
              <w:pStyle w:val="a3"/>
              <w:spacing w:before="0" w:beforeAutospacing="0" w:after="0" w:afterAutospacing="0"/>
              <w:rPr>
                <w:sz w:val="18"/>
                <w:szCs w:val="18"/>
              </w:rPr>
            </w:pPr>
            <w:r>
              <w:rPr>
                <w:sz w:val="18"/>
                <w:szCs w:val="18"/>
              </w:rPr>
              <w:t>Other long-term liabilities</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9,614</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21,287</w:t>
            </w:r>
          </w:p>
        </w:tc>
      </w:tr>
      <w:tr w:rsidR="00000000">
        <w:trPr>
          <w:divId w:val="2143764031"/>
        </w:trPr>
        <w:tc>
          <w:tcPr>
            <w:tcW w:w="3503"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18"/>
                <w:szCs w:val="18"/>
              </w:rPr>
            </w:pPr>
            <w:r>
              <w:rPr>
                <w:sz w:val="18"/>
                <w:szCs w:val="18"/>
              </w:rPr>
              <w:t>Commitments and contingencies</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r>
      <w:tr w:rsidR="00000000">
        <w:trPr>
          <w:divId w:val="2143764031"/>
        </w:trPr>
        <w:tc>
          <w:tcPr>
            <w:tcW w:w="3503" w:type="pct"/>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r>
      <w:tr w:rsidR="00000000">
        <w:trPr>
          <w:divId w:val="2143764031"/>
        </w:trPr>
        <w:tc>
          <w:tcPr>
            <w:tcW w:w="3503"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18"/>
                <w:szCs w:val="18"/>
              </w:rPr>
            </w:pPr>
            <w:r>
              <w:rPr>
                <w:b/>
                <w:bCs/>
                <w:sz w:val="18"/>
                <w:szCs w:val="18"/>
              </w:rPr>
              <w:t>Shareholders’ Deficit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r>
      <w:tr w:rsidR="00000000">
        <w:trPr>
          <w:divId w:val="2143764031"/>
        </w:trPr>
        <w:tc>
          <w:tcPr>
            <w:tcW w:w="3503" w:type="pct"/>
            <w:tcMar>
              <w:top w:w="0" w:type="dxa"/>
              <w:left w:w="0" w:type="dxa"/>
              <w:bottom w:w="0" w:type="dxa"/>
              <w:right w:w="0" w:type="dxa"/>
            </w:tcMar>
            <w:hideMark/>
          </w:tcPr>
          <w:p w:rsidR="00000000" w:rsidRDefault="00C96329">
            <w:pPr>
              <w:pStyle w:val="a3"/>
              <w:spacing w:before="0" w:beforeAutospacing="0" w:after="0" w:afterAutospacing="0"/>
              <w:rPr>
                <w:sz w:val="18"/>
                <w:szCs w:val="18"/>
              </w:rPr>
            </w:pPr>
            <w:r>
              <w:rPr>
                <w:sz w:val="18"/>
                <w:szCs w:val="18"/>
              </w:rPr>
              <w:t>Preferred shares, $0.00001 par value: 230 shares authorized, no shares issued or outstanding</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w:t>
            </w:r>
          </w:p>
        </w:tc>
      </w:tr>
      <w:tr w:rsidR="00000000">
        <w:trPr>
          <w:divId w:val="2143764031"/>
        </w:trPr>
        <w:tc>
          <w:tcPr>
            <w:tcW w:w="3503"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ind w:hanging="180"/>
              <w:rPr>
                <w:sz w:val="20"/>
                <w:szCs w:val="20"/>
              </w:rPr>
            </w:pPr>
            <w:r>
              <w:rPr>
                <w:sz w:val="18"/>
                <w:szCs w:val="18"/>
              </w:rPr>
              <w:t xml:space="preserve">Ordinary shares, $0.00001 par value: 200,000 </w:t>
            </w:r>
            <w:r>
              <w:rPr>
                <w:sz w:val="18"/>
                <w:szCs w:val="18"/>
              </w:rPr>
              <w:t>shares authorized; 63,515 and 57,015 shares</w:t>
            </w:r>
            <w:r>
              <w:rPr>
                <w:sz w:val="18"/>
                <w:szCs w:val="18"/>
              </w:rPr>
              <w:t xml:space="preserve"> </w:t>
            </w:r>
            <w:r>
              <w:rPr>
                <w:color w:val="000000"/>
                <w:sz w:val="18"/>
                <w:szCs w:val="18"/>
              </w:rPr>
              <w:t>issue</w:t>
            </w:r>
            <w:r>
              <w:rPr>
                <w:color w:val="000000"/>
                <w:sz w:val="18"/>
                <w:szCs w:val="18"/>
              </w:rPr>
              <w:t>d</w:t>
            </w:r>
            <w:r>
              <w:rPr>
                <w:sz w:val="18"/>
                <w:szCs w:val="18"/>
              </w:rPr>
              <w:t xml:space="preserve"> and</w:t>
            </w:r>
            <w:r>
              <w:rPr>
                <w:sz w:val="18"/>
                <w:szCs w:val="18"/>
              </w:rPr>
              <w:t xml:space="preserve"> </w:t>
            </w:r>
            <w:r>
              <w:rPr>
                <w:color w:val="000000"/>
                <w:sz w:val="18"/>
                <w:szCs w:val="18"/>
              </w:rPr>
              <w:t>outstandin</w:t>
            </w:r>
            <w:r>
              <w:rPr>
                <w:color w:val="000000"/>
                <w:sz w:val="18"/>
                <w:szCs w:val="18"/>
              </w:rPr>
              <w:t>g</w:t>
            </w:r>
            <w:r>
              <w:rPr>
                <w:sz w:val="18"/>
                <w:szCs w:val="18"/>
              </w:rPr>
              <w:t xml:space="preserve"> at June 30, 2020 and December 31, 2019, respectively</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w:t>
            </w:r>
          </w:p>
        </w:tc>
      </w:tr>
      <w:tr w:rsidR="00000000">
        <w:trPr>
          <w:divId w:val="2143764031"/>
        </w:trPr>
        <w:tc>
          <w:tcPr>
            <w:tcW w:w="3503" w:type="pct"/>
            <w:tcMar>
              <w:top w:w="0" w:type="dxa"/>
              <w:left w:w="0" w:type="dxa"/>
              <w:bottom w:w="0" w:type="dxa"/>
              <w:right w:w="0" w:type="dxa"/>
            </w:tcMar>
            <w:hideMark/>
          </w:tcPr>
          <w:p w:rsidR="00000000" w:rsidRDefault="00C96329">
            <w:pPr>
              <w:pStyle w:val="a3"/>
              <w:spacing w:before="0" w:beforeAutospacing="0" w:after="0" w:afterAutospacing="0"/>
              <w:rPr>
                <w:sz w:val="18"/>
                <w:szCs w:val="18"/>
              </w:rPr>
            </w:pPr>
            <w:r>
              <w:rPr>
                <w:sz w:val="18"/>
                <w:szCs w:val="18"/>
              </w:rPr>
              <w:t>Additional paid-in capital</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1,191,923</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1,024,614</w:t>
            </w:r>
          </w:p>
        </w:tc>
      </w:tr>
      <w:tr w:rsidR="00000000">
        <w:trPr>
          <w:divId w:val="2143764031"/>
        </w:trPr>
        <w:tc>
          <w:tcPr>
            <w:tcW w:w="3503"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18"/>
                <w:szCs w:val="18"/>
              </w:rPr>
            </w:pPr>
            <w:r>
              <w:rPr>
                <w:sz w:val="18"/>
                <w:szCs w:val="18"/>
              </w:rPr>
              <w:t>Accumulated other comprehensive income</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280</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145</w:t>
            </w:r>
          </w:p>
        </w:tc>
      </w:tr>
      <w:tr w:rsidR="00000000">
        <w:trPr>
          <w:divId w:val="2143764031"/>
        </w:trPr>
        <w:tc>
          <w:tcPr>
            <w:tcW w:w="3503" w:type="pct"/>
            <w:tcMar>
              <w:top w:w="0" w:type="dxa"/>
              <w:left w:w="0" w:type="dxa"/>
              <w:bottom w:w="0" w:type="dxa"/>
              <w:right w:w="0" w:type="dxa"/>
            </w:tcMar>
            <w:hideMark/>
          </w:tcPr>
          <w:p w:rsidR="00000000" w:rsidRDefault="00C96329">
            <w:pPr>
              <w:pStyle w:val="a3"/>
              <w:spacing w:before="0" w:beforeAutospacing="0" w:after="0" w:afterAutospacing="0"/>
              <w:rPr>
                <w:sz w:val="18"/>
                <w:szCs w:val="18"/>
              </w:rPr>
            </w:pPr>
            <w:r>
              <w:rPr>
                <w:sz w:val="18"/>
                <w:szCs w:val="18"/>
              </w:rPr>
              <w:t xml:space="preserve">Accumulated deficit </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(1,394,540)</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(1,248,600)</w:t>
            </w:r>
          </w:p>
        </w:tc>
      </w:tr>
      <w:tr w:rsidR="00000000">
        <w:trPr>
          <w:divId w:val="2143764031"/>
        </w:trPr>
        <w:tc>
          <w:tcPr>
            <w:tcW w:w="3503"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ind w:left="360"/>
              <w:rPr>
                <w:sz w:val="18"/>
                <w:szCs w:val="18"/>
              </w:rPr>
            </w:pPr>
            <w:r>
              <w:rPr>
                <w:sz w:val="18"/>
                <w:szCs w:val="18"/>
              </w:rPr>
              <w:t>Total shareholders’ deficit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(202,336)</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(223,840)</w:t>
            </w:r>
          </w:p>
        </w:tc>
      </w:tr>
      <w:tr w:rsidR="00000000">
        <w:trPr>
          <w:divId w:val="2143764031"/>
        </w:trPr>
        <w:tc>
          <w:tcPr>
            <w:tcW w:w="3503" w:type="pct"/>
            <w:tcMar>
              <w:top w:w="0" w:type="dxa"/>
              <w:left w:w="0" w:type="dxa"/>
              <w:bottom w:w="0" w:type="dxa"/>
              <w:right w:w="0" w:type="dxa"/>
            </w:tcMar>
            <w:hideMark/>
          </w:tcPr>
          <w:p w:rsidR="00000000" w:rsidRDefault="00C96329">
            <w:pPr>
              <w:pStyle w:val="a3"/>
              <w:spacing w:before="0" w:beforeAutospacing="0" w:after="0" w:afterAutospacing="0"/>
              <w:ind w:left="360"/>
              <w:rPr>
                <w:sz w:val="18"/>
                <w:szCs w:val="18"/>
              </w:rPr>
            </w:pPr>
            <w:r>
              <w:rPr>
                <w:sz w:val="18"/>
                <w:szCs w:val="18"/>
              </w:rPr>
              <w:t>Total liabilities and shareholders’ deficit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564,330</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125"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408,826</w:t>
            </w:r>
          </w:p>
        </w:tc>
      </w:tr>
    </w:tbl>
    <w:p w:rsidR="00000000" w:rsidRDefault="00C96329">
      <w:pPr>
        <w:pStyle w:val="a3"/>
        <w:spacing w:before="240" w:beforeAutospacing="0" w:after="0" w:afterAutospacing="0"/>
        <w:jc w:val="center"/>
        <w:divId w:val="2143764031"/>
        <w:rPr>
          <w:sz w:val="20"/>
          <w:szCs w:val="20"/>
        </w:rPr>
      </w:pPr>
      <w:r>
        <w:rPr>
          <w:i/>
          <w:iCs/>
          <w:sz w:val="20"/>
          <w:szCs w:val="20"/>
        </w:rPr>
        <w:t>See accompanying notes to condensed consolidated financial statements.</w:t>
      </w:r>
    </w:p>
    <w:p w:rsidR="00000000" w:rsidRDefault="00C96329">
      <w:pPr>
        <w:pStyle w:val="a3"/>
        <w:spacing w:before="360" w:beforeAutospacing="0" w:after="0" w:afterAutospacing="0"/>
        <w:jc w:val="center"/>
        <w:divId w:val="251008549"/>
        <w:rPr>
          <w:sz w:val="20"/>
          <w:szCs w:val="20"/>
        </w:rPr>
      </w:pPr>
      <w:r>
        <w:rPr>
          <w:sz w:val="20"/>
          <w:szCs w:val="20"/>
        </w:rPr>
        <w:lastRenderedPageBreak/>
        <w:t>3</w:t>
      </w:r>
    </w:p>
    <w:p w:rsidR="00000000" w:rsidRDefault="00C96329">
      <w:pPr>
        <w:pStyle w:val="a3"/>
        <w:spacing w:before="0" w:beforeAutospacing="0" w:after="600" w:afterAutospacing="0"/>
        <w:divId w:val="1022779409"/>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jc w:val="center"/>
        <w:divId w:val="1490366466"/>
        <w:rPr>
          <w:sz w:val="20"/>
          <w:szCs w:val="20"/>
        </w:rPr>
      </w:pPr>
      <w:r>
        <w:rPr>
          <w:b/>
          <w:bCs/>
          <w:sz w:val="20"/>
          <w:szCs w:val="20"/>
        </w:rPr>
        <w:t>THERAVANCE BIOPHARMA, INC.</w:t>
      </w:r>
    </w:p>
    <w:p w:rsidR="00000000" w:rsidRDefault="00C96329">
      <w:pPr>
        <w:pStyle w:val="a3"/>
        <w:spacing w:before="0" w:beforeAutospacing="0" w:after="0" w:afterAutospacing="0"/>
        <w:jc w:val="center"/>
        <w:divId w:val="1490366466"/>
        <w:rPr>
          <w:sz w:val="20"/>
          <w:szCs w:val="20"/>
        </w:rPr>
      </w:pPr>
      <w:r>
        <w:rPr>
          <w:b/>
          <w:bCs/>
          <w:sz w:val="20"/>
          <w:szCs w:val="20"/>
        </w:rPr>
        <w:t>CONDENSED CONSOLIDATED STATEMENTS OF OPERATIONS AND COMPREHENSIVE LOSS</w:t>
      </w:r>
    </w:p>
    <w:p w:rsidR="00000000" w:rsidRDefault="00C96329">
      <w:pPr>
        <w:pStyle w:val="a3"/>
        <w:spacing w:before="0" w:beforeAutospacing="0" w:after="0" w:afterAutospacing="0"/>
        <w:jc w:val="center"/>
        <w:divId w:val="1490366466"/>
        <w:rPr>
          <w:sz w:val="20"/>
          <w:szCs w:val="20"/>
        </w:rPr>
      </w:pPr>
      <w:r>
        <w:rPr>
          <w:b/>
          <w:bCs/>
          <w:sz w:val="20"/>
          <w:szCs w:val="20"/>
        </w:rPr>
        <w:t>(Unaudited)</w:t>
      </w:r>
    </w:p>
    <w:p w:rsidR="00000000" w:rsidRDefault="00C96329">
      <w:pPr>
        <w:pStyle w:val="a3"/>
        <w:spacing w:before="0" w:beforeAutospacing="0" w:after="0" w:afterAutospacing="0"/>
        <w:jc w:val="center"/>
        <w:divId w:val="1490366466"/>
        <w:rPr>
          <w:sz w:val="20"/>
          <w:szCs w:val="20"/>
        </w:rPr>
      </w:pPr>
      <w:r>
        <w:rPr>
          <w:b/>
          <w:bCs/>
          <w:sz w:val="20"/>
          <w:szCs w:val="20"/>
        </w:rPr>
        <w:t>(In thousands, except per share data)</w:t>
      </w:r>
    </w:p>
    <w:p w:rsidR="00000000" w:rsidRDefault="00C96329">
      <w:pPr>
        <w:pStyle w:val="a3"/>
        <w:spacing w:before="0" w:beforeAutospacing="0" w:after="0" w:afterAutospacing="0"/>
        <w:jc w:val="center"/>
        <w:divId w:val="1490366466"/>
        <w:rPr>
          <w:sz w:val="20"/>
          <w:szCs w:val="20"/>
        </w:rPr>
      </w:pPr>
      <w:r>
        <w:rPr>
          <w:sz w:val="20"/>
          <w:szCs w:val="20"/>
        </w:rPr>
        <w:t>​</w:t>
      </w:r>
    </w:p>
    <w:tbl>
      <w:tblPr>
        <w:tblW w:w="5018" w:type="pct"/>
        <w:tblCellMar>
          <w:top w:w="15" w:type="dxa"/>
          <w:left w:w="0" w:type="dxa"/>
          <w:bottom w:w="15" w:type="dxa"/>
          <w:right w:w="0" w:type="dxa"/>
        </w:tblCellMar>
        <w:tblLook w:val="04A0" w:firstRow="1" w:lastRow="0" w:firstColumn="1" w:lastColumn="0" w:noHBand="0" w:noVBand="1"/>
      </w:tblPr>
      <w:tblGrid>
        <w:gridCol w:w="4503"/>
        <w:gridCol w:w="160"/>
        <w:gridCol w:w="136"/>
        <w:gridCol w:w="615"/>
        <w:gridCol w:w="160"/>
        <w:gridCol w:w="136"/>
        <w:gridCol w:w="620"/>
        <w:gridCol w:w="160"/>
        <w:gridCol w:w="137"/>
        <w:gridCol w:w="705"/>
        <w:gridCol w:w="160"/>
        <w:gridCol w:w="139"/>
        <w:gridCol w:w="705"/>
      </w:tblGrid>
      <w:tr w:rsidR="00000000">
        <w:trPr>
          <w:divId w:val="1490366466"/>
          <w:trHeight w:val="20"/>
        </w:trPr>
        <w:tc>
          <w:tcPr>
            <w:tcW w:w="271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381"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38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381"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371"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r>
      <w:tr w:rsidR="00000000">
        <w:trPr>
          <w:divId w:val="1490366466"/>
        </w:trPr>
        <w:tc>
          <w:tcPr>
            <w:tcW w:w="271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1052" w:type="pct"/>
            <w:gridSpan w:val="5"/>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Three Months Ended June 30, </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1042" w:type="pct"/>
            <w:gridSpan w:val="5"/>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Six Months Ended June 30, </w:t>
            </w:r>
          </w:p>
        </w:tc>
      </w:tr>
      <w:tr w:rsidR="00000000">
        <w:trPr>
          <w:divId w:val="1490366466"/>
        </w:trPr>
        <w:tc>
          <w:tcPr>
            <w:tcW w:w="271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77" w:type="pct"/>
            <w:gridSpan w:val="2"/>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78" w:type="pct"/>
            <w:gridSpan w:val="2"/>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77" w:type="pct"/>
            <w:gridSpan w:val="2"/>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67" w:type="pct"/>
            <w:gridSpan w:val="2"/>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r>
      <w:tr w:rsidR="00000000">
        <w:trPr>
          <w:divId w:val="1490366466"/>
        </w:trPr>
        <w:tc>
          <w:tcPr>
            <w:tcW w:w="271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8"/>
                <w:szCs w:val="18"/>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8"/>
                <w:szCs w:val="18"/>
              </w:rPr>
              <w:t>​</w:t>
            </w:r>
          </w:p>
        </w:tc>
        <w:tc>
          <w:tcPr>
            <w:tcW w:w="38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b/>
                <w:bCs/>
                <w:sz w:val="18"/>
                <w:szCs w:val="18"/>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8"/>
                <w:szCs w:val="18"/>
              </w:rPr>
              <w:t>​</w:t>
            </w:r>
          </w:p>
        </w:tc>
        <w:tc>
          <w:tcPr>
            <w:tcW w:w="478" w:type="pct"/>
            <w:gridSpan w:val="2"/>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8"/>
                <w:szCs w:val="18"/>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20"/>
                <w:szCs w:val="20"/>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w:t>
            </w:r>
          </w:p>
        </w:tc>
        <w:tc>
          <w:tcPr>
            <w:tcW w:w="38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b/>
                <w:bCs/>
                <w:sz w:val="20"/>
                <w:szCs w:val="20"/>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20"/>
                <w:szCs w:val="20"/>
              </w:rPr>
              <w:t>​</w:t>
            </w:r>
          </w:p>
        </w:tc>
        <w:tc>
          <w:tcPr>
            <w:tcW w:w="467" w:type="pct"/>
            <w:gridSpan w:val="2"/>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w:t>
            </w:r>
          </w:p>
        </w:tc>
      </w:tr>
      <w:tr w:rsidR="00000000">
        <w:trPr>
          <w:divId w:val="1490366466"/>
        </w:trPr>
        <w:tc>
          <w:tcPr>
            <w:tcW w:w="271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18"/>
                <w:szCs w:val="18"/>
              </w:rPr>
            </w:pPr>
            <w:r>
              <w:rPr>
                <w:sz w:val="18"/>
                <w:szCs w:val="18"/>
              </w:rPr>
              <w:t>Revenue:</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8"/>
                <w:szCs w:val="18"/>
              </w:rPr>
              <w:t>​</w:t>
            </w:r>
          </w:p>
        </w:tc>
        <w:tc>
          <w:tcPr>
            <w:tcW w:w="38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b/>
                <w:bCs/>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8"/>
                <w:szCs w:val="18"/>
              </w:rPr>
              <w:t>​</w:t>
            </w:r>
          </w:p>
        </w:tc>
        <w:tc>
          <w:tcPr>
            <w:tcW w:w="38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20"/>
                <w:szCs w:val="20"/>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w:t>
            </w:r>
          </w:p>
        </w:tc>
        <w:tc>
          <w:tcPr>
            <w:tcW w:w="38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b/>
                <w:bCs/>
                <w:sz w:val="20"/>
                <w:szCs w:val="20"/>
              </w:rPr>
              <w:t>​</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20"/>
                <w:szCs w:val="20"/>
              </w:rPr>
              <w:t>​</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w:t>
            </w:r>
          </w:p>
        </w:tc>
        <w:tc>
          <w:tcPr>
            <w:tcW w:w="37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w:t>
            </w:r>
          </w:p>
        </w:tc>
      </w:tr>
      <w:tr w:rsidR="00000000">
        <w:trPr>
          <w:divId w:val="1490366466"/>
        </w:trPr>
        <w:tc>
          <w:tcPr>
            <w:tcW w:w="2712" w:type="pct"/>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8"/>
                <w:szCs w:val="18"/>
              </w:rPr>
            </w:pPr>
            <w:r>
              <w:rPr>
                <w:sz w:val="18"/>
                <w:szCs w:val="18"/>
              </w:rPr>
              <w:t>Collaboration revenue</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81" w:type="pct"/>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5,488</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82" w:type="pct"/>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7,493</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81" w:type="pct"/>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12,120</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71" w:type="pct"/>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12,831</w:t>
            </w:r>
          </w:p>
        </w:tc>
      </w:tr>
      <w:tr w:rsidR="00000000">
        <w:trPr>
          <w:divId w:val="1490366466"/>
        </w:trPr>
        <w:tc>
          <w:tcPr>
            <w:tcW w:w="271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8"/>
                <w:szCs w:val="18"/>
              </w:rPr>
            </w:pPr>
            <w:r>
              <w:rPr>
                <w:sz w:val="18"/>
                <w:szCs w:val="18"/>
              </w:rPr>
              <w:t>Licensing revenue</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18,500</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1,500</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7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18,500</w:t>
            </w:r>
          </w:p>
        </w:tc>
      </w:tr>
      <w:tr w:rsidR="00000000">
        <w:trPr>
          <w:divId w:val="1490366466"/>
        </w:trPr>
        <w:tc>
          <w:tcPr>
            <w:tcW w:w="2712" w:type="pct"/>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8"/>
                <w:szCs w:val="18"/>
              </w:rPr>
            </w:pPr>
            <w:r>
              <w:rPr>
                <w:sz w:val="18"/>
                <w:szCs w:val="18"/>
              </w:rPr>
              <w:t>Mylan collaboration agreement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1"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9,520</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2"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157</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1"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21,250</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71"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157</w:t>
            </w:r>
          </w:p>
        </w:tc>
      </w:tr>
      <w:tr w:rsidR="00000000">
        <w:trPr>
          <w:divId w:val="1490366466"/>
        </w:trPr>
        <w:tc>
          <w:tcPr>
            <w:tcW w:w="271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360"/>
              <w:rPr>
                <w:sz w:val="18"/>
                <w:szCs w:val="18"/>
              </w:rPr>
            </w:pPr>
            <w:r>
              <w:rPr>
                <w:sz w:val="18"/>
                <w:szCs w:val="18"/>
              </w:rPr>
              <w:t>Total revenue</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15,008</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26,150</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34,870</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7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31,488</w:t>
            </w:r>
          </w:p>
        </w:tc>
      </w:tr>
      <w:tr w:rsidR="00000000">
        <w:trPr>
          <w:divId w:val="1490366466"/>
        </w:trPr>
        <w:tc>
          <w:tcPr>
            <w:tcW w:w="271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2"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7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r>
      <w:tr w:rsidR="00000000">
        <w:trPr>
          <w:divId w:val="1490366466"/>
        </w:trPr>
        <w:tc>
          <w:tcPr>
            <w:tcW w:w="271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18"/>
                <w:szCs w:val="18"/>
              </w:rPr>
            </w:pPr>
            <w:r>
              <w:rPr>
                <w:sz w:val="18"/>
                <w:szCs w:val="18"/>
              </w:rPr>
              <w:t>Costs and expenses:</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7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r>
      <w:tr w:rsidR="00000000">
        <w:trPr>
          <w:divId w:val="1490366466"/>
        </w:trPr>
        <w:tc>
          <w:tcPr>
            <w:tcW w:w="2712" w:type="pct"/>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8"/>
                <w:szCs w:val="18"/>
              </w:rPr>
            </w:pPr>
            <w:r>
              <w:rPr>
                <w:sz w:val="18"/>
                <w:szCs w:val="18"/>
              </w:rPr>
              <w:t>Research and development (1)</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1" w:type="pct"/>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62,404</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2" w:type="pct"/>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46,399</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1" w:type="pct"/>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128,417</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71" w:type="pct"/>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100,217</w:t>
            </w:r>
          </w:p>
        </w:tc>
      </w:tr>
      <w:tr w:rsidR="00000000">
        <w:trPr>
          <w:divId w:val="1490366466"/>
        </w:trPr>
        <w:tc>
          <w:tcPr>
            <w:tcW w:w="271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8"/>
                <w:szCs w:val="18"/>
              </w:rPr>
            </w:pPr>
            <w:r>
              <w:rPr>
                <w:sz w:val="18"/>
                <w:szCs w:val="18"/>
              </w:rPr>
              <w:t>Selling, general and administrative (1)</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Borders>
              <w:bottom w:val="sing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1" w:type="pct"/>
            <w:tcBorders>
              <w:bottom w:val="sing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24,780</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Borders>
              <w:bottom w:val="sing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2" w:type="pct"/>
            <w:tcBorders>
              <w:bottom w:val="sing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22,227</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tcBorders>
              <w:bottom w:val="sing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1" w:type="pct"/>
            <w:tcBorders>
              <w:bottom w:val="sing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51,105</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Borders>
              <w:bottom w:val="sing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71" w:type="pct"/>
            <w:tcBorders>
              <w:bottom w:val="sing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47,413</w:t>
            </w:r>
          </w:p>
        </w:tc>
      </w:tr>
      <w:tr w:rsidR="00000000">
        <w:trPr>
          <w:divId w:val="1490366466"/>
        </w:trPr>
        <w:tc>
          <w:tcPr>
            <w:tcW w:w="2712" w:type="pct"/>
            <w:tcMar>
              <w:top w:w="0" w:type="dxa"/>
              <w:left w:w="0" w:type="dxa"/>
              <w:bottom w:w="0" w:type="dxa"/>
              <w:right w:w="0" w:type="dxa"/>
            </w:tcMar>
            <w:vAlign w:val="bottom"/>
            <w:hideMark/>
          </w:tcPr>
          <w:p w:rsidR="00000000" w:rsidRDefault="00C96329">
            <w:pPr>
              <w:pStyle w:val="a3"/>
              <w:spacing w:before="0" w:beforeAutospacing="0" w:after="0" w:afterAutospacing="0"/>
              <w:ind w:left="360"/>
              <w:rPr>
                <w:sz w:val="18"/>
                <w:szCs w:val="18"/>
              </w:rPr>
            </w:pPr>
            <w:r>
              <w:rPr>
                <w:sz w:val="18"/>
                <w:szCs w:val="18"/>
              </w:rPr>
              <w:t xml:space="preserve">Total costs and expenses </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1"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87,184</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2"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68,626</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1"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179,522</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71"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147,630</w:t>
            </w:r>
          </w:p>
        </w:tc>
      </w:tr>
      <w:tr w:rsidR="00000000">
        <w:trPr>
          <w:divId w:val="1490366466"/>
        </w:trPr>
        <w:tc>
          <w:tcPr>
            <w:tcW w:w="271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7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r>
      <w:tr w:rsidR="00000000">
        <w:trPr>
          <w:divId w:val="1490366466"/>
        </w:trPr>
        <w:tc>
          <w:tcPr>
            <w:tcW w:w="2712" w:type="pct"/>
            <w:tcMar>
              <w:top w:w="0" w:type="dxa"/>
              <w:left w:w="0" w:type="dxa"/>
              <w:bottom w:w="0" w:type="dxa"/>
              <w:right w:w="0" w:type="dxa"/>
            </w:tcMar>
            <w:vAlign w:val="bottom"/>
            <w:hideMark/>
          </w:tcPr>
          <w:p w:rsidR="00000000" w:rsidRDefault="00C96329">
            <w:pPr>
              <w:pStyle w:val="a3"/>
              <w:spacing w:before="0" w:beforeAutospacing="0" w:after="0" w:afterAutospacing="0"/>
              <w:rPr>
                <w:sz w:val="18"/>
                <w:szCs w:val="18"/>
              </w:rPr>
            </w:pPr>
            <w:r>
              <w:rPr>
                <w:sz w:val="18"/>
                <w:szCs w:val="18"/>
              </w:rPr>
              <w:t xml:space="preserve">Loss from operations </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(72,176)</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2"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w:t>
            </w:r>
            <w:r>
              <w:rPr>
                <w:sz w:val="18"/>
                <w:szCs w:val="18"/>
              </w:rPr>
              <w:t>42,476)</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(144,652)</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7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(116,142)</w:t>
            </w:r>
          </w:p>
        </w:tc>
      </w:tr>
      <w:tr w:rsidR="00000000">
        <w:trPr>
          <w:divId w:val="1490366466"/>
        </w:trPr>
        <w:tc>
          <w:tcPr>
            <w:tcW w:w="271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18"/>
                <w:szCs w:val="18"/>
              </w:rPr>
            </w:pPr>
            <w:r>
              <w:rPr>
                <w:sz w:val="18"/>
                <w:szCs w:val="18"/>
              </w:rPr>
              <w:t>Income from investment in TRC, LLC</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21,381</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8,366</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34,896</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7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14,595</w:t>
            </w:r>
          </w:p>
        </w:tc>
      </w:tr>
      <w:tr w:rsidR="00000000">
        <w:trPr>
          <w:divId w:val="1490366466"/>
        </w:trPr>
        <w:tc>
          <w:tcPr>
            <w:tcW w:w="2712" w:type="pct"/>
            <w:tcMar>
              <w:top w:w="0" w:type="dxa"/>
              <w:left w:w="0" w:type="dxa"/>
              <w:bottom w:w="0" w:type="dxa"/>
              <w:right w:w="0" w:type="dxa"/>
            </w:tcMar>
            <w:vAlign w:val="bottom"/>
            <w:hideMark/>
          </w:tcPr>
          <w:p w:rsidR="00000000" w:rsidRDefault="00C96329">
            <w:pPr>
              <w:pStyle w:val="a3"/>
              <w:spacing w:before="0" w:beforeAutospacing="0" w:after="0" w:afterAutospacing="0"/>
              <w:rPr>
                <w:sz w:val="18"/>
                <w:szCs w:val="18"/>
              </w:rPr>
            </w:pPr>
            <w:r>
              <w:rPr>
                <w:sz w:val="18"/>
                <w:szCs w:val="18"/>
              </w:rPr>
              <w:t>Interest expense</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(11,391)</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2"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(7,901)</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(21,332)</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7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(15,759)</w:t>
            </w:r>
          </w:p>
        </w:tc>
      </w:tr>
      <w:tr w:rsidR="00000000">
        <w:trPr>
          <w:divId w:val="1490366466"/>
        </w:trPr>
        <w:tc>
          <w:tcPr>
            <w:tcW w:w="271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18"/>
                <w:szCs w:val="18"/>
              </w:rPr>
            </w:pPr>
            <w:r>
              <w:rPr>
                <w:sz w:val="18"/>
                <w:szCs w:val="18"/>
              </w:rPr>
              <w:t>Loss on extinguishment of debt</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(15,464)</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7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w:t>
            </w:r>
          </w:p>
        </w:tc>
      </w:tr>
      <w:tr w:rsidR="00000000">
        <w:trPr>
          <w:divId w:val="1490366466"/>
        </w:trPr>
        <w:tc>
          <w:tcPr>
            <w:tcW w:w="2712" w:type="pct"/>
            <w:tcMar>
              <w:top w:w="0" w:type="dxa"/>
              <w:left w:w="0" w:type="dxa"/>
              <w:bottom w:w="0" w:type="dxa"/>
              <w:right w:w="0" w:type="dxa"/>
            </w:tcMar>
            <w:vAlign w:val="bottom"/>
            <w:hideMark/>
          </w:tcPr>
          <w:p w:rsidR="00000000" w:rsidRDefault="00C96329">
            <w:pPr>
              <w:pStyle w:val="a3"/>
              <w:spacing w:before="0" w:beforeAutospacing="0" w:after="0" w:afterAutospacing="0"/>
              <w:rPr>
                <w:sz w:val="18"/>
                <w:szCs w:val="18"/>
              </w:rPr>
            </w:pPr>
            <w:r>
              <w:rPr>
                <w:sz w:val="18"/>
                <w:szCs w:val="18"/>
              </w:rPr>
              <w:t>Interest and other income (expense), net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1"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(662)</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2"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2,374</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1"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798</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71"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5,169</w:t>
            </w:r>
          </w:p>
        </w:tc>
      </w:tr>
      <w:tr w:rsidR="00000000">
        <w:trPr>
          <w:divId w:val="1490366466"/>
        </w:trPr>
        <w:tc>
          <w:tcPr>
            <w:tcW w:w="271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18"/>
                <w:szCs w:val="18"/>
              </w:rPr>
            </w:pPr>
            <w:r>
              <w:rPr>
                <w:sz w:val="18"/>
                <w:szCs w:val="18"/>
              </w:rPr>
              <w:t xml:space="preserve">Loss before income taxes </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(62,848)</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(39,637)</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(145,754)</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7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(112,137)</w:t>
            </w:r>
          </w:p>
        </w:tc>
      </w:tr>
      <w:tr w:rsidR="00000000">
        <w:trPr>
          <w:divId w:val="1490366466"/>
        </w:trPr>
        <w:tc>
          <w:tcPr>
            <w:tcW w:w="2712" w:type="pct"/>
            <w:tcMar>
              <w:top w:w="0" w:type="dxa"/>
              <w:left w:w="0" w:type="dxa"/>
              <w:bottom w:w="0" w:type="dxa"/>
              <w:right w:w="0" w:type="dxa"/>
            </w:tcMar>
            <w:vAlign w:val="bottom"/>
            <w:hideMark/>
          </w:tcPr>
          <w:p w:rsidR="00000000" w:rsidRDefault="00C96329">
            <w:pPr>
              <w:pStyle w:val="a3"/>
              <w:spacing w:before="0" w:beforeAutospacing="0" w:after="0" w:afterAutospacing="0"/>
              <w:rPr>
                <w:sz w:val="18"/>
                <w:szCs w:val="18"/>
              </w:rPr>
            </w:pPr>
            <w:r>
              <w:rPr>
                <w:sz w:val="18"/>
                <w:szCs w:val="18"/>
              </w:rPr>
              <w:t>Provision for income tax expense</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1"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(39)</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2"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(201)</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1"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(186)</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71"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(281)</w:t>
            </w:r>
          </w:p>
        </w:tc>
      </w:tr>
      <w:tr w:rsidR="00000000">
        <w:trPr>
          <w:divId w:val="1490366466"/>
        </w:trPr>
        <w:tc>
          <w:tcPr>
            <w:tcW w:w="271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18"/>
                <w:szCs w:val="18"/>
              </w:rPr>
            </w:pPr>
            <w:r>
              <w:rPr>
                <w:sz w:val="18"/>
                <w:szCs w:val="18"/>
              </w:rPr>
              <w:t xml:space="preserve">Net loss </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Borders>
              <w:bottom w:val="doub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81" w:type="pct"/>
            <w:tcBorders>
              <w:bottom w:val="doub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w:t>
            </w:r>
            <w:r>
              <w:rPr>
                <w:sz w:val="18"/>
                <w:szCs w:val="18"/>
              </w:rPr>
              <w:t>62,887)</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Borders>
              <w:bottom w:val="doub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82" w:type="pct"/>
            <w:tcBorders>
              <w:bottom w:val="doub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(39,838)</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tcBorders>
              <w:bottom w:val="doub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81" w:type="pct"/>
            <w:tcBorders>
              <w:bottom w:val="doub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(145,940)</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Borders>
              <w:bottom w:val="doub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71" w:type="pct"/>
            <w:tcBorders>
              <w:bottom w:val="doub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(112,418)</w:t>
            </w:r>
          </w:p>
        </w:tc>
      </w:tr>
      <w:tr w:rsidR="00000000">
        <w:trPr>
          <w:divId w:val="1490366466"/>
        </w:trPr>
        <w:tc>
          <w:tcPr>
            <w:tcW w:w="271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2"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7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r>
      <w:tr w:rsidR="00000000">
        <w:trPr>
          <w:divId w:val="1490366466"/>
        </w:trPr>
        <w:tc>
          <w:tcPr>
            <w:tcW w:w="271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8"/>
                <w:szCs w:val="18"/>
              </w:rPr>
            </w:pPr>
            <w:r>
              <w:rPr>
                <w:sz w:val="18"/>
                <w:szCs w:val="18"/>
              </w:rPr>
              <w:t>Net unrealized gain (loss) on available-for-sale investments</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Borders>
              <w:bottom w:val="sing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1" w:type="pct"/>
            <w:tcBorders>
              <w:bottom w:val="sing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(232)</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Borders>
              <w:bottom w:val="sing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2" w:type="pct"/>
            <w:tcBorders>
              <w:bottom w:val="sing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165</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tcBorders>
              <w:bottom w:val="sing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1" w:type="pct"/>
            <w:tcBorders>
              <w:bottom w:val="sing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135</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Borders>
              <w:bottom w:val="sing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71" w:type="pct"/>
            <w:tcBorders>
              <w:bottom w:val="sing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295</w:t>
            </w:r>
          </w:p>
        </w:tc>
      </w:tr>
      <w:tr w:rsidR="00000000">
        <w:trPr>
          <w:divId w:val="1490366466"/>
        </w:trPr>
        <w:tc>
          <w:tcPr>
            <w:tcW w:w="2712" w:type="pct"/>
            <w:tcMar>
              <w:top w:w="0" w:type="dxa"/>
              <w:left w:w="0" w:type="dxa"/>
              <w:bottom w:w="0" w:type="dxa"/>
              <w:right w:w="0" w:type="dxa"/>
            </w:tcMar>
            <w:vAlign w:val="bottom"/>
            <w:hideMark/>
          </w:tcPr>
          <w:p w:rsidR="00000000" w:rsidRDefault="00C96329">
            <w:pPr>
              <w:pStyle w:val="a3"/>
              <w:spacing w:before="0" w:beforeAutospacing="0" w:after="0" w:afterAutospacing="0"/>
              <w:rPr>
                <w:sz w:val="18"/>
                <w:szCs w:val="18"/>
              </w:rPr>
            </w:pPr>
            <w:r>
              <w:rPr>
                <w:sz w:val="18"/>
                <w:szCs w:val="18"/>
              </w:rPr>
              <w:t>Total comprehensive loss</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Borders>
              <w:bottom w:val="doub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81" w:type="pct"/>
            <w:tcBorders>
              <w:bottom w:val="doub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(63,119)</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Borders>
              <w:bottom w:val="doub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82" w:type="pct"/>
            <w:tcBorders>
              <w:bottom w:val="doub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(39,673)</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tcBorders>
              <w:bottom w:val="doub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81" w:type="pct"/>
            <w:tcBorders>
              <w:bottom w:val="doub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(145,805)</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Borders>
              <w:bottom w:val="doub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71" w:type="pct"/>
            <w:tcBorders>
              <w:bottom w:val="doub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w:t>
            </w:r>
            <w:r>
              <w:rPr>
                <w:sz w:val="18"/>
                <w:szCs w:val="18"/>
              </w:rPr>
              <w:t>112,123)</w:t>
            </w:r>
          </w:p>
        </w:tc>
      </w:tr>
      <w:tr w:rsidR="00000000">
        <w:trPr>
          <w:divId w:val="1490366466"/>
        </w:trPr>
        <w:tc>
          <w:tcPr>
            <w:tcW w:w="271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7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r>
      <w:tr w:rsidR="00000000">
        <w:trPr>
          <w:divId w:val="1490366466"/>
        </w:trPr>
        <w:tc>
          <w:tcPr>
            <w:tcW w:w="2712" w:type="pct"/>
            <w:tcMar>
              <w:top w:w="0" w:type="dxa"/>
              <w:left w:w="0" w:type="dxa"/>
              <w:bottom w:w="0" w:type="dxa"/>
              <w:right w:w="0" w:type="dxa"/>
            </w:tcMar>
            <w:vAlign w:val="bottom"/>
            <w:hideMark/>
          </w:tcPr>
          <w:p w:rsidR="00000000" w:rsidRDefault="00C96329">
            <w:pPr>
              <w:pStyle w:val="a3"/>
              <w:spacing w:before="0" w:beforeAutospacing="0" w:after="0" w:afterAutospacing="0"/>
              <w:rPr>
                <w:sz w:val="18"/>
                <w:szCs w:val="18"/>
              </w:rPr>
            </w:pPr>
            <w:r>
              <w:rPr>
                <w:sz w:val="18"/>
                <w:szCs w:val="18"/>
              </w:rPr>
              <w:t>Net loss per share:</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2"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8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8"/>
                <w:szCs w:val="18"/>
              </w:rPr>
              <w:t>​</w:t>
            </w:r>
          </w:p>
        </w:tc>
        <w:tc>
          <w:tcPr>
            <w:tcW w:w="37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8"/>
                <w:szCs w:val="18"/>
              </w:rPr>
              <w:t>​</w:t>
            </w:r>
          </w:p>
        </w:tc>
      </w:tr>
      <w:tr w:rsidR="00000000">
        <w:trPr>
          <w:divId w:val="1490366466"/>
        </w:trPr>
        <w:tc>
          <w:tcPr>
            <w:tcW w:w="271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8"/>
                <w:szCs w:val="18"/>
              </w:rPr>
            </w:pPr>
            <w:r>
              <w:rPr>
                <w:sz w:val="18"/>
                <w:szCs w:val="18"/>
              </w:rPr>
              <w:t>Basic and diluted net loss per share</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Borders>
              <w:bottom w:val="doub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81" w:type="pct"/>
            <w:tcBorders>
              <w:bottom w:val="doub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(1.00)</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Borders>
              <w:bottom w:val="doub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82" w:type="pct"/>
            <w:tcBorders>
              <w:bottom w:val="doub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(0.72)</w:t>
            </w:r>
          </w:p>
        </w:tc>
        <w:tc>
          <w:tcPr>
            <w:tcW w:w="9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tcBorders>
              <w:bottom w:val="doub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81" w:type="pct"/>
            <w:tcBorders>
              <w:bottom w:val="doub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(2.39)</w:t>
            </w:r>
          </w:p>
        </w:tc>
        <w:tc>
          <w:tcPr>
            <w:tcW w:w="9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Borders>
              <w:bottom w:val="doub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71" w:type="pct"/>
            <w:tcBorders>
              <w:bottom w:val="doub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8"/>
                <w:szCs w:val="18"/>
              </w:rPr>
            </w:pPr>
            <w:r>
              <w:rPr>
                <w:sz w:val="18"/>
                <w:szCs w:val="18"/>
              </w:rPr>
              <w:t>(2.04)</w:t>
            </w:r>
          </w:p>
        </w:tc>
      </w:tr>
      <w:tr w:rsidR="00000000">
        <w:trPr>
          <w:divId w:val="1490366466"/>
        </w:trPr>
        <w:tc>
          <w:tcPr>
            <w:tcW w:w="2712" w:type="pct"/>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8"/>
                <w:szCs w:val="18"/>
              </w:rPr>
            </w:pPr>
            <w:r>
              <w:rPr>
                <w:sz w:val="18"/>
                <w:szCs w:val="18"/>
              </w:rPr>
              <w:t>Shares used to compute basic and diluted net loss per share</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Borders>
              <w:bottom w:val="doub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1" w:type="pct"/>
            <w:tcBorders>
              <w:bottom w:val="doub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62,861</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5" w:type="pct"/>
            <w:tcBorders>
              <w:bottom w:val="doub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2" w:type="pct"/>
            <w:tcBorders>
              <w:bottom w:val="doub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55,529</w:t>
            </w:r>
          </w:p>
        </w:tc>
        <w:tc>
          <w:tcPr>
            <w:tcW w:w="9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5" w:type="pct"/>
            <w:tcBorders>
              <w:bottom w:val="doub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81" w:type="pct"/>
            <w:tcBorders>
              <w:bottom w:val="doub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61,162</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Borders>
              <w:bottom w:val="doub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71" w:type="pct"/>
            <w:tcBorders>
              <w:bottom w:val="doub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18"/>
                <w:szCs w:val="18"/>
              </w:rPr>
            </w:pPr>
            <w:r>
              <w:rPr>
                <w:sz w:val="18"/>
                <w:szCs w:val="18"/>
              </w:rPr>
              <w:t>55,235</w:t>
            </w:r>
          </w:p>
        </w:tc>
      </w:tr>
    </w:tbl>
    <w:p w:rsidR="00000000" w:rsidRDefault="00C96329">
      <w:pPr>
        <w:divId w:val="14903664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490366466"/>
        </w:trPr>
        <w:tc>
          <w:tcPr>
            <w:tcW w:w="360" w:type="dxa"/>
            <w:noWrap/>
            <w:tcMar>
              <w:top w:w="0" w:type="dxa"/>
              <w:left w:w="0" w:type="dxa"/>
              <w:bottom w:w="0" w:type="dxa"/>
              <w:right w:w="0" w:type="dxa"/>
            </w:tcMar>
            <w:hideMark/>
          </w:tcPr>
          <w:p w:rsidR="00000000" w:rsidRDefault="00C96329">
            <w:pPr>
              <w:rPr>
                <w:rFonts w:eastAsia="Times New Roman"/>
                <w:sz w:val="18"/>
                <w:szCs w:val="18"/>
              </w:rPr>
            </w:pPr>
            <w:r>
              <w:rPr>
                <w:rFonts w:eastAsia="Times New Roman"/>
                <w:sz w:val="18"/>
                <w:szCs w:val="18"/>
              </w:rPr>
              <w:t>(1)</w:t>
            </w:r>
          </w:p>
        </w:tc>
        <w:tc>
          <w:tcPr>
            <w:tcW w:w="0" w:type="auto"/>
            <w:tcMar>
              <w:top w:w="0" w:type="dxa"/>
              <w:left w:w="0" w:type="dxa"/>
              <w:bottom w:w="0" w:type="dxa"/>
              <w:right w:w="0" w:type="dxa"/>
            </w:tcMar>
            <w:vAlign w:val="center"/>
            <w:hideMark/>
          </w:tcPr>
          <w:p w:rsidR="00000000" w:rsidRDefault="00C96329">
            <w:pPr>
              <w:rPr>
                <w:rFonts w:eastAsia="Times New Roman"/>
                <w:sz w:val="20"/>
                <w:szCs w:val="20"/>
              </w:rPr>
            </w:pPr>
            <w:r>
              <w:rPr>
                <w:rFonts w:eastAsia="Times New Roman"/>
                <w:color w:val="000000"/>
                <w:sz w:val="18"/>
                <w:szCs w:val="18"/>
              </w:rPr>
              <w:t>Amounts include share-based compensation expense as follows:</w:t>
            </w:r>
          </w:p>
        </w:tc>
      </w:tr>
    </w:tbl>
    <w:p w:rsidR="00000000" w:rsidRDefault="00C96329">
      <w:pPr>
        <w:pStyle w:val="a3"/>
        <w:spacing w:before="0" w:beforeAutospacing="0" w:after="0" w:afterAutospacing="0"/>
        <w:divId w:val="149036646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21"/>
        <w:gridCol w:w="160"/>
        <w:gridCol w:w="192"/>
        <w:gridCol w:w="750"/>
        <w:gridCol w:w="193"/>
        <w:gridCol w:w="191"/>
        <w:gridCol w:w="781"/>
        <w:gridCol w:w="6"/>
        <w:gridCol w:w="178"/>
        <w:gridCol w:w="706"/>
        <w:gridCol w:w="176"/>
        <w:gridCol w:w="173"/>
        <w:gridCol w:w="679"/>
      </w:tblGrid>
      <w:tr w:rsidR="00000000">
        <w:trPr>
          <w:divId w:val="1490366466"/>
          <w:trHeight w:val="20"/>
        </w:trPr>
        <w:tc>
          <w:tcPr>
            <w:tcW w:w="283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375" w:type="pct"/>
            <w:noWrap/>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390" w:type="pct"/>
            <w:noWrap/>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350" w:type="pct"/>
            <w:noWrap/>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335" w:type="pct"/>
            <w:noWrap/>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
                <w:szCs w:val="2"/>
              </w:rPr>
              <w:t>​</w:t>
            </w:r>
          </w:p>
        </w:tc>
      </w:tr>
      <w:tr w:rsidR="00000000">
        <w:trPr>
          <w:divId w:val="1490366466"/>
        </w:trPr>
        <w:tc>
          <w:tcPr>
            <w:tcW w:w="283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1057"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Three Months Ended June 30, </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48"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Six Months Ended June 30, </w:t>
            </w:r>
          </w:p>
        </w:tc>
      </w:tr>
      <w:tr w:rsidR="00000000">
        <w:trPr>
          <w:divId w:val="1490366466"/>
        </w:trPr>
        <w:tc>
          <w:tcPr>
            <w:tcW w:w="2832"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(In thousands)</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9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87"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38"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2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r>
      <w:tr w:rsidR="00000000">
        <w:trPr>
          <w:divId w:val="1490366466"/>
        </w:trPr>
        <w:tc>
          <w:tcPr>
            <w:tcW w:w="283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18"/>
                <w:szCs w:val="18"/>
              </w:rPr>
            </w:pPr>
            <w:r>
              <w:rPr>
                <w:sz w:val="18"/>
                <w:szCs w:val="18"/>
              </w:rPr>
              <w:t xml:space="preserve">Research and development </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75"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18"/>
                <w:szCs w:val="18"/>
              </w:rPr>
            </w:pPr>
            <w:r>
              <w:rPr>
                <w:sz w:val="18"/>
                <w:szCs w:val="18"/>
              </w:rPr>
              <w:t>8,098</w:t>
            </w:r>
          </w:p>
        </w:tc>
        <w:tc>
          <w:tcPr>
            <w:tcW w:w="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90"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18"/>
                <w:szCs w:val="18"/>
              </w:rPr>
            </w:pPr>
            <w:r>
              <w:rPr>
                <w:sz w:val="18"/>
                <w:szCs w:val="18"/>
              </w:rPr>
              <w:t>5,720</w:t>
            </w:r>
          </w:p>
        </w:tc>
        <w:tc>
          <w:tcPr>
            <w:tcW w:w="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50"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18"/>
                <w:szCs w:val="18"/>
              </w:rPr>
            </w:pPr>
            <w:r>
              <w:rPr>
                <w:sz w:val="18"/>
                <w:szCs w:val="18"/>
              </w:rPr>
              <w:t>15,963</w:t>
            </w:r>
          </w:p>
        </w:tc>
        <w:tc>
          <w:tcPr>
            <w:tcW w:w="8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8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35"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18"/>
                <w:szCs w:val="18"/>
              </w:rPr>
            </w:pPr>
            <w:r>
              <w:rPr>
                <w:sz w:val="18"/>
                <w:szCs w:val="18"/>
              </w:rPr>
              <w:t>11,880</w:t>
            </w:r>
          </w:p>
        </w:tc>
      </w:tr>
      <w:tr w:rsidR="00000000">
        <w:trPr>
          <w:divId w:val="1490366466"/>
        </w:trPr>
        <w:tc>
          <w:tcPr>
            <w:tcW w:w="2832" w:type="pct"/>
            <w:tcMar>
              <w:top w:w="0" w:type="dxa"/>
              <w:left w:w="0" w:type="dxa"/>
              <w:bottom w:w="0" w:type="dxa"/>
              <w:right w:w="0" w:type="dxa"/>
            </w:tcMar>
            <w:vAlign w:val="bottom"/>
            <w:hideMark/>
          </w:tcPr>
          <w:p w:rsidR="00000000" w:rsidRDefault="00C96329">
            <w:pPr>
              <w:pStyle w:val="a3"/>
              <w:spacing w:before="0" w:beforeAutospacing="0" w:after="0" w:afterAutospacing="0"/>
              <w:rPr>
                <w:sz w:val="18"/>
                <w:szCs w:val="18"/>
              </w:rPr>
            </w:pPr>
            <w:r>
              <w:rPr>
                <w:sz w:val="18"/>
                <w:szCs w:val="18"/>
              </w:rPr>
              <w:t xml:space="preserve">Selling, general and administrative </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75"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18"/>
                <w:szCs w:val="18"/>
              </w:rPr>
            </w:pPr>
            <w:r>
              <w:rPr>
                <w:sz w:val="18"/>
                <w:szCs w:val="18"/>
              </w:rPr>
              <w:t>8,487</w:t>
            </w:r>
          </w:p>
        </w:tc>
        <w:tc>
          <w:tcPr>
            <w:tcW w:w="9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90"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18"/>
                <w:szCs w:val="18"/>
              </w:rPr>
            </w:pPr>
            <w:r>
              <w:rPr>
                <w:sz w:val="18"/>
                <w:szCs w:val="18"/>
              </w:rPr>
              <w:t>5,578</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50"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18"/>
                <w:szCs w:val="18"/>
              </w:rPr>
            </w:pPr>
            <w:r>
              <w:rPr>
                <w:sz w:val="18"/>
                <w:szCs w:val="18"/>
              </w:rPr>
              <w:t>15,898</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 </w:t>
            </w:r>
          </w:p>
        </w:tc>
        <w:tc>
          <w:tcPr>
            <w:tcW w:w="335"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18"/>
                <w:szCs w:val="18"/>
              </w:rPr>
            </w:pPr>
            <w:r>
              <w:rPr>
                <w:sz w:val="18"/>
                <w:szCs w:val="18"/>
              </w:rPr>
              <w:t>11,639</w:t>
            </w:r>
          </w:p>
        </w:tc>
      </w:tr>
      <w:tr w:rsidR="00000000">
        <w:trPr>
          <w:divId w:val="1490366466"/>
        </w:trPr>
        <w:tc>
          <w:tcPr>
            <w:tcW w:w="283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8"/>
                <w:szCs w:val="18"/>
              </w:rPr>
            </w:pPr>
            <w:r>
              <w:rPr>
                <w:sz w:val="18"/>
                <w:szCs w:val="18"/>
              </w:rPr>
              <w:t xml:space="preserve">Total share-based compensation expense </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7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18"/>
                <w:szCs w:val="18"/>
              </w:rPr>
            </w:pPr>
            <w:r>
              <w:rPr>
                <w:sz w:val="18"/>
                <w:szCs w:val="18"/>
              </w:rPr>
              <w:t>16,585</w:t>
            </w:r>
          </w:p>
        </w:tc>
        <w:tc>
          <w:tcPr>
            <w:tcW w:w="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9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18"/>
                <w:szCs w:val="18"/>
              </w:rPr>
            </w:pPr>
            <w:r>
              <w:rPr>
                <w:sz w:val="18"/>
                <w:szCs w:val="18"/>
              </w:rPr>
              <w:t>11,298</w:t>
            </w:r>
          </w:p>
        </w:tc>
        <w:tc>
          <w:tcPr>
            <w:tcW w:w="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18"/>
                <w:szCs w:val="18"/>
              </w:rPr>
            </w:pPr>
            <w:r>
              <w:rPr>
                <w:sz w:val="18"/>
                <w:szCs w:val="18"/>
              </w:rPr>
              <w:t>31,861</w:t>
            </w:r>
          </w:p>
        </w:tc>
        <w:tc>
          <w:tcPr>
            <w:tcW w:w="8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8"/>
                <w:szCs w:val="18"/>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8"/>
                <w:szCs w:val="18"/>
              </w:rPr>
            </w:pPr>
            <w:r>
              <w:rPr>
                <w:sz w:val="18"/>
                <w:szCs w:val="18"/>
              </w:rPr>
              <w:t>$</w:t>
            </w:r>
          </w:p>
        </w:tc>
        <w:tc>
          <w:tcPr>
            <w:tcW w:w="33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18"/>
                <w:szCs w:val="18"/>
              </w:rPr>
            </w:pPr>
            <w:r>
              <w:rPr>
                <w:sz w:val="18"/>
                <w:szCs w:val="18"/>
              </w:rPr>
              <w:t>23,519</w:t>
            </w:r>
          </w:p>
        </w:tc>
      </w:tr>
    </w:tbl>
    <w:p w:rsidR="00000000" w:rsidRDefault="00C96329">
      <w:pPr>
        <w:pStyle w:val="a3"/>
        <w:spacing w:before="0" w:beforeAutospacing="0" w:after="0" w:afterAutospacing="0"/>
        <w:divId w:val="1490366466"/>
        <w:rPr>
          <w:sz w:val="20"/>
          <w:szCs w:val="20"/>
        </w:rPr>
      </w:pPr>
      <w:r>
        <w:rPr>
          <w:sz w:val="20"/>
          <w:szCs w:val="20"/>
        </w:rPr>
        <w:t>​</w:t>
      </w:r>
    </w:p>
    <w:p w:rsidR="00000000" w:rsidRDefault="00C96329">
      <w:pPr>
        <w:pStyle w:val="a3"/>
        <w:spacing w:before="0" w:beforeAutospacing="0" w:after="0" w:afterAutospacing="0"/>
        <w:jc w:val="center"/>
        <w:divId w:val="1490366466"/>
        <w:rPr>
          <w:sz w:val="20"/>
          <w:szCs w:val="20"/>
        </w:rPr>
      </w:pPr>
      <w:r>
        <w:rPr>
          <w:i/>
          <w:iCs/>
          <w:sz w:val="20"/>
          <w:szCs w:val="20"/>
        </w:rPr>
        <w:t>See accompanying notes to condensed consolidated financial statements.</w:t>
      </w:r>
    </w:p>
    <w:p w:rsidR="00000000" w:rsidRDefault="00C96329">
      <w:pPr>
        <w:pStyle w:val="a3"/>
        <w:spacing w:before="0" w:beforeAutospacing="0" w:after="0" w:afterAutospacing="0"/>
        <w:divId w:val="1490366466"/>
        <w:rPr>
          <w:sz w:val="20"/>
          <w:szCs w:val="20"/>
        </w:rPr>
      </w:pPr>
      <w:r>
        <w:rPr>
          <w:sz w:val="20"/>
          <w:szCs w:val="20"/>
        </w:rPr>
        <w:t>​</w:t>
      </w:r>
    </w:p>
    <w:p w:rsidR="00000000" w:rsidRDefault="00C96329">
      <w:pPr>
        <w:pStyle w:val="a3"/>
        <w:spacing w:before="360" w:beforeAutospacing="0" w:after="0" w:afterAutospacing="0"/>
        <w:jc w:val="center"/>
        <w:divId w:val="1371295315"/>
        <w:rPr>
          <w:sz w:val="20"/>
          <w:szCs w:val="20"/>
        </w:rPr>
      </w:pPr>
      <w:r>
        <w:rPr>
          <w:sz w:val="20"/>
          <w:szCs w:val="20"/>
        </w:rPr>
        <w:t>4</w:t>
      </w:r>
    </w:p>
    <w:p w:rsidR="00000000" w:rsidRDefault="00C96329">
      <w:pPr>
        <w:pStyle w:val="a3"/>
        <w:spacing w:before="0" w:beforeAutospacing="0" w:after="600" w:afterAutospacing="0"/>
        <w:divId w:val="1613972835"/>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jc w:val="center"/>
        <w:divId w:val="1675762462"/>
        <w:rPr>
          <w:sz w:val="20"/>
          <w:szCs w:val="20"/>
        </w:rPr>
      </w:pPr>
      <w:r>
        <w:rPr>
          <w:b/>
          <w:bCs/>
          <w:sz w:val="20"/>
          <w:szCs w:val="20"/>
        </w:rPr>
        <w:t>THERAVANCE BIOPHARMA, INC.</w:t>
      </w:r>
    </w:p>
    <w:p w:rsidR="00000000" w:rsidRDefault="00C96329">
      <w:pPr>
        <w:pStyle w:val="a3"/>
        <w:spacing w:before="0" w:beforeAutospacing="0" w:after="0" w:afterAutospacing="0"/>
        <w:jc w:val="center"/>
        <w:divId w:val="1675762462"/>
        <w:rPr>
          <w:sz w:val="20"/>
          <w:szCs w:val="20"/>
        </w:rPr>
      </w:pPr>
      <w:r>
        <w:rPr>
          <w:b/>
          <w:bCs/>
          <w:sz w:val="20"/>
          <w:szCs w:val="20"/>
        </w:rPr>
        <w:t>CONDENSED CONSOLIDATED STATEMENTS OF SHAREHOLDERS’ DEFICIT</w:t>
      </w:r>
    </w:p>
    <w:p w:rsidR="00000000" w:rsidRDefault="00C96329">
      <w:pPr>
        <w:pStyle w:val="a3"/>
        <w:spacing w:before="0" w:beforeAutospacing="0" w:after="0" w:afterAutospacing="0"/>
        <w:jc w:val="center"/>
        <w:divId w:val="1675762462"/>
        <w:rPr>
          <w:sz w:val="20"/>
          <w:szCs w:val="20"/>
        </w:rPr>
      </w:pPr>
      <w:r>
        <w:rPr>
          <w:b/>
          <w:bCs/>
          <w:sz w:val="20"/>
          <w:szCs w:val="20"/>
        </w:rPr>
        <w:t>(Unaudited)</w:t>
      </w:r>
    </w:p>
    <w:p w:rsidR="00000000" w:rsidRDefault="00C96329">
      <w:pPr>
        <w:pStyle w:val="a3"/>
        <w:spacing w:before="0" w:beforeAutospacing="0" w:after="0" w:afterAutospacing="0"/>
        <w:jc w:val="center"/>
        <w:divId w:val="1675762462"/>
        <w:rPr>
          <w:sz w:val="20"/>
          <w:szCs w:val="20"/>
        </w:rPr>
      </w:pPr>
      <w:r>
        <w:rPr>
          <w:b/>
          <w:bCs/>
          <w:sz w:val="20"/>
          <w:szCs w:val="20"/>
        </w:rPr>
        <w:t>(In thousands)</w:t>
      </w:r>
    </w:p>
    <w:p w:rsidR="00000000" w:rsidRDefault="00C96329">
      <w:pPr>
        <w:pStyle w:val="a3"/>
        <w:spacing w:before="0" w:beforeAutospacing="0" w:after="0" w:afterAutospacing="0"/>
        <w:jc w:val="center"/>
        <w:divId w:val="1675762462"/>
        <w:rPr>
          <w:sz w:val="20"/>
          <w:szCs w:val="20"/>
        </w:rPr>
      </w:pPr>
      <w:r>
        <w:rPr>
          <w:b/>
          <w:bCs/>
          <w:sz w:val="20"/>
          <w:szCs w:val="20"/>
        </w:rPr>
        <w:t>​</w:t>
      </w:r>
    </w:p>
    <w:p w:rsidR="00000000" w:rsidRDefault="00C96329">
      <w:pPr>
        <w:pStyle w:val="a3"/>
        <w:spacing w:before="0" w:beforeAutospacing="0" w:after="0" w:afterAutospacing="0"/>
        <w:jc w:val="center"/>
        <w:divId w:val="1675762462"/>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810"/>
        <w:gridCol w:w="120"/>
        <w:gridCol w:w="491"/>
        <w:gridCol w:w="120"/>
        <w:gridCol w:w="105"/>
        <w:gridCol w:w="472"/>
        <w:gridCol w:w="120"/>
        <w:gridCol w:w="80"/>
        <w:gridCol w:w="690"/>
        <w:gridCol w:w="120"/>
        <w:gridCol w:w="216"/>
        <w:gridCol w:w="851"/>
        <w:gridCol w:w="120"/>
        <w:gridCol w:w="172"/>
        <w:gridCol w:w="747"/>
        <w:gridCol w:w="120"/>
        <w:gridCol w:w="194"/>
        <w:gridCol w:w="758"/>
      </w:tblGrid>
      <w:tr w:rsidR="00000000">
        <w:trPr>
          <w:divId w:val="1675762462"/>
          <w:trHeight w:val="20"/>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divId w:val="35739640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00884406"/>
              <w:rPr>
                <w:sz w:val="20"/>
                <w:szCs w:val="20"/>
              </w:rPr>
            </w:pPr>
            <w:r>
              <w:rPr>
                <w:sz w:val="2"/>
                <w:szCs w:val="2"/>
              </w:rPr>
              <w:t>​</w:t>
            </w:r>
          </w:p>
        </w:tc>
        <w:tc>
          <w:tcPr>
            <w:tcW w:w="34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05797515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2819380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77736996"/>
              <w:rPr>
                <w:sz w:val="20"/>
                <w:szCs w:val="20"/>
              </w:rPr>
            </w:pPr>
            <w:r>
              <w:rPr>
                <w:sz w:val="2"/>
                <w:szCs w:val="2"/>
              </w:rPr>
              <w:t>​</w:t>
            </w:r>
          </w:p>
        </w:tc>
        <w:tc>
          <w:tcPr>
            <w:tcW w:w="34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439712632"/>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6908003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48732786"/>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8350312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713847889"/>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48356816"/>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912537"/>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97232119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11611360"/>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66509088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70875342"/>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868488835"/>
              <w:rPr>
                <w:sz w:val="20"/>
                <w:szCs w:val="20"/>
              </w:rPr>
            </w:pPr>
            <w:r>
              <w:rPr>
                <w:sz w:val="2"/>
                <w:szCs w:val="2"/>
              </w:rPr>
              <w:t>​</w:t>
            </w:r>
          </w:p>
        </w:tc>
        <w:tc>
          <w:tcPr>
            <w:tcW w:w="375"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105467743"/>
              <w:rPr>
                <w:sz w:val="20"/>
                <w:szCs w:val="20"/>
              </w:rPr>
            </w:pPr>
            <w:r>
              <w:rPr>
                <w:sz w:val="2"/>
                <w:szCs w:val="2"/>
              </w:rPr>
              <w:t>​</w:t>
            </w:r>
          </w:p>
        </w:tc>
      </w:tr>
      <w:tr w:rsidR="00000000">
        <w:trPr>
          <w:divId w:val="1675762462"/>
        </w:trPr>
        <w:tc>
          <w:tcPr>
            <w:tcW w:w="184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color w:val="0563C1"/>
                <w:sz w:val="16"/>
                <w:szCs w:val="16"/>
                <w:u w:val="single"/>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529"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39"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Additional</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529"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Other</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90"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Total</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44" w:type="pct"/>
            <w:gridSpan w:val="4"/>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Ordinary Shares</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39"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Paid-In</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529"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Comprehensive</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82"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Shareholders'</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   </w:t>
            </w:r>
          </w:p>
        </w:tc>
        <w:tc>
          <w:tcPr>
            <w:tcW w:w="344"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Shares</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   </w:t>
            </w:r>
          </w:p>
        </w:tc>
        <w:tc>
          <w:tcPr>
            <w:tcW w:w="42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Amount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Capital</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   </w:t>
            </w:r>
          </w:p>
        </w:tc>
        <w:tc>
          <w:tcPr>
            <w:tcW w:w="529"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Income (Loss)</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   </w:t>
            </w:r>
          </w:p>
        </w:tc>
        <w:tc>
          <w:tcPr>
            <w:tcW w:w="48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Deficit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Deficit</w:t>
            </w:r>
          </w:p>
        </w:tc>
      </w:tr>
      <w:tr w:rsidR="00000000">
        <w:trPr>
          <w:divId w:val="1675762462"/>
        </w:trPr>
        <w:tc>
          <w:tcPr>
            <w:tcW w:w="184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Balances at March 31, 2020</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63,004</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4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1,173,204</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42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512</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9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(1,331,653)</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7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(157,936)</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Proceeds from ESPP purchases</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168</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2,545</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2,545</w:t>
            </w:r>
          </w:p>
        </w:tc>
      </w:tr>
      <w:tr w:rsidR="00000000">
        <w:trPr>
          <w:divId w:val="1675762462"/>
        </w:trPr>
        <w:tc>
          <w:tcPr>
            <w:tcW w:w="184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Employee share-based compensation expense</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16,585</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16,585</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Issuance of restricted shares</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353</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r>
      <w:tr w:rsidR="00000000">
        <w:trPr>
          <w:divId w:val="1675762462"/>
        </w:trPr>
        <w:tc>
          <w:tcPr>
            <w:tcW w:w="184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Option exercises</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33</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733</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733</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Repurchase of shares to satisfy tax withholding</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(43)</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(1,144)</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(1,144)</w:t>
            </w:r>
          </w:p>
        </w:tc>
      </w:tr>
      <w:tr w:rsidR="00000000">
        <w:trPr>
          <w:divId w:val="1675762462"/>
        </w:trPr>
        <w:tc>
          <w:tcPr>
            <w:tcW w:w="184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Net unrealized loss on marketable securities</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(232)</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(232)</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Net loss</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(62,887)</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(62,887)</w:t>
            </w:r>
          </w:p>
        </w:tc>
      </w:tr>
      <w:tr w:rsidR="00000000">
        <w:trPr>
          <w:divId w:val="1675762462"/>
        </w:trPr>
        <w:tc>
          <w:tcPr>
            <w:tcW w:w="184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Balances at June 30, 2020</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63,515</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4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1,191,923</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42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280</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9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(1,394,540)</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7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(202,336)</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r>
      <w:tr w:rsidR="00000000">
        <w:trPr>
          <w:divId w:val="1675762462"/>
        </w:trPr>
        <w:tc>
          <w:tcPr>
            <w:tcW w:w="184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color w:val="0563C1"/>
                <w:sz w:val="16"/>
                <w:szCs w:val="16"/>
                <w:u w:val="single"/>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529"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39"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Additional</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529"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Other</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90"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Total</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44" w:type="pct"/>
            <w:gridSpan w:val="4"/>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Ordinary Shares</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39"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Paid-In</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529"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Comprehensive</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82"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Shareholders'</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   </w:t>
            </w:r>
          </w:p>
        </w:tc>
        <w:tc>
          <w:tcPr>
            <w:tcW w:w="344"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Shares</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   </w:t>
            </w:r>
          </w:p>
        </w:tc>
        <w:tc>
          <w:tcPr>
            <w:tcW w:w="42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Amount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Capital</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   </w:t>
            </w:r>
          </w:p>
        </w:tc>
        <w:tc>
          <w:tcPr>
            <w:tcW w:w="529"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Income (Loss)</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   </w:t>
            </w:r>
          </w:p>
        </w:tc>
        <w:tc>
          <w:tcPr>
            <w:tcW w:w="48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Deficit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Deficit</w:t>
            </w:r>
          </w:p>
        </w:tc>
      </w:tr>
      <w:tr w:rsidR="00000000">
        <w:trPr>
          <w:divId w:val="1675762462"/>
        </w:trPr>
        <w:tc>
          <w:tcPr>
            <w:tcW w:w="184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Balances at December 31, 2019</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57,015</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4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1,024,614</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42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145</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9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(1,248,600)</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7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(223,840)</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Net proceeds from sale of ordinary shares</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5,500</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139,915</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139,915</w:t>
            </w:r>
          </w:p>
        </w:tc>
      </w:tr>
      <w:tr w:rsidR="00000000">
        <w:trPr>
          <w:divId w:val="1675762462"/>
        </w:trPr>
        <w:tc>
          <w:tcPr>
            <w:tcW w:w="184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Proceeds from ESPP purchases</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168</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2,545</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2,545</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Employee share-based compensation expense</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31,861</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31,861</w:t>
            </w:r>
          </w:p>
        </w:tc>
      </w:tr>
      <w:tr w:rsidR="00000000">
        <w:trPr>
          <w:divId w:val="1675762462"/>
        </w:trPr>
        <w:tc>
          <w:tcPr>
            <w:tcW w:w="184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Issuance of restricted shares</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1,097</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Option exercises</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41</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936</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936</w:t>
            </w:r>
          </w:p>
        </w:tc>
      </w:tr>
      <w:tr w:rsidR="00000000">
        <w:trPr>
          <w:divId w:val="1675762462"/>
        </w:trPr>
        <w:tc>
          <w:tcPr>
            <w:tcW w:w="184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Repurchase of shares to satisfy tax withholding</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(306)</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(7,948)</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(7,948)</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Net unrealized gain on marketable securities</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135</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135</w:t>
            </w:r>
          </w:p>
        </w:tc>
      </w:tr>
      <w:tr w:rsidR="00000000">
        <w:trPr>
          <w:divId w:val="1675762462"/>
        </w:trPr>
        <w:tc>
          <w:tcPr>
            <w:tcW w:w="184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Net loss</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tcBorders>
              <w:bottom w:val="sing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tcBorders>
              <w:bottom w:val="sing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tcBorders>
              <w:bottom w:val="sing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tcBorders>
              <w:bottom w:val="sing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tcBorders>
              <w:bottom w:val="sing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(145,940)</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tcBorders>
              <w:bottom w:val="single" w:sz="6" w:space="0" w:color="000000"/>
            </w:tcBorders>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(145,940)</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Balances at June 30, 2020</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63,515</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44"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62"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1,191,923</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421"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280</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90"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(1,394,540)</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75"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(202,336)</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529"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39"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Additional</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529"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Other</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90"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Total</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844" w:type="pct"/>
            <w:gridSpan w:val="4"/>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Ordinary Shares</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39"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Paid-In</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529"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Comprehensive</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82"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Shareholders'</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Shares</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   </w:t>
            </w:r>
          </w:p>
        </w:tc>
        <w:tc>
          <w:tcPr>
            <w:tcW w:w="42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Amount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Capital</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   </w:t>
            </w:r>
          </w:p>
        </w:tc>
        <w:tc>
          <w:tcPr>
            <w:tcW w:w="529"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Income (Loss)</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   </w:t>
            </w:r>
          </w:p>
        </w:tc>
        <w:tc>
          <w:tcPr>
            <w:tcW w:w="48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Deficit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Deficit</w:t>
            </w:r>
          </w:p>
        </w:tc>
      </w:tr>
      <w:tr w:rsidR="00000000">
        <w:trPr>
          <w:divId w:val="1675762462"/>
        </w:trPr>
        <w:tc>
          <w:tcPr>
            <w:tcW w:w="184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Balances at March 31, 2019</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56,122</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4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971,508</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42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(36)</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9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(1,084,725)</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(113,252)</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Proceeds from ESPP purchases</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145</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2,605</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2,605</w:t>
            </w:r>
          </w:p>
        </w:tc>
      </w:tr>
      <w:tr w:rsidR="00000000">
        <w:trPr>
          <w:divId w:val="1675762462"/>
        </w:trPr>
        <w:tc>
          <w:tcPr>
            <w:tcW w:w="184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Employee share-based compensation expense</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11,298</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11,298</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Issuance of restricted shares</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263</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r>
      <w:tr w:rsidR="00000000">
        <w:trPr>
          <w:divId w:val="1675762462"/>
        </w:trPr>
        <w:tc>
          <w:tcPr>
            <w:tcW w:w="184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Option exercises</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107</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2,292</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2,292</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Repurchase of shares to satisfy tax withholding</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(494)</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(494)</w:t>
            </w:r>
          </w:p>
        </w:tc>
      </w:tr>
      <w:tr w:rsidR="00000000">
        <w:trPr>
          <w:divId w:val="1675762462"/>
        </w:trPr>
        <w:tc>
          <w:tcPr>
            <w:tcW w:w="184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Net unrealized gain on marketable securities</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165</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165</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Net loss</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(39,838)</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(39,838)</w:t>
            </w:r>
          </w:p>
        </w:tc>
      </w:tr>
      <w:tr w:rsidR="00000000">
        <w:trPr>
          <w:divId w:val="1675762462"/>
        </w:trPr>
        <w:tc>
          <w:tcPr>
            <w:tcW w:w="184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Balances at June 30, 2019</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56,637</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987,209</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129</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(1,124,563)</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(137,224)</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lastRenderedPageBreak/>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529"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39"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Additional</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529"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Other</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90"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Total</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844" w:type="pct"/>
            <w:gridSpan w:val="4"/>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Ordinary Shares</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39"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Paid-In</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529"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Comprehensive</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82"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Shareholders'</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Shares</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   </w:t>
            </w:r>
          </w:p>
        </w:tc>
        <w:tc>
          <w:tcPr>
            <w:tcW w:w="42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Amount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Capital</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   </w:t>
            </w:r>
          </w:p>
        </w:tc>
        <w:tc>
          <w:tcPr>
            <w:tcW w:w="529"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Income (Loss)</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   </w:t>
            </w:r>
          </w:p>
        </w:tc>
        <w:tc>
          <w:tcPr>
            <w:tcW w:w="48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Deficit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Deficit</w:t>
            </w:r>
          </w:p>
        </w:tc>
      </w:tr>
      <w:tr w:rsidR="00000000">
        <w:trPr>
          <w:divId w:val="1675762462"/>
        </w:trPr>
        <w:tc>
          <w:tcPr>
            <w:tcW w:w="184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Balances at December 31, 2018</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55,681</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4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960,721</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42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(166)</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9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w:t>
            </w:r>
            <w:r>
              <w:rPr>
                <w:sz w:val="16"/>
                <w:szCs w:val="16"/>
              </w:rPr>
              <w:t>1,012,145)</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(51,589)</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Proceeds from ESPP purchases</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145</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2,605</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2,605</w:t>
            </w:r>
          </w:p>
        </w:tc>
      </w:tr>
      <w:tr w:rsidR="00000000">
        <w:trPr>
          <w:divId w:val="1675762462"/>
        </w:trPr>
        <w:tc>
          <w:tcPr>
            <w:tcW w:w="184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Employee share-based compensation expense</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23,519</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23,519</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Issuance of restricted shares</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689</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r>
      <w:tr w:rsidR="00000000">
        <w:trPr>
          <w:divId w:val="1675762462"/>
        </w:trPr>
        <w:tc>
          <w:tcPr>
            <w:tcW w:w="184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Option exercises</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122</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2,545</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2,545</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Repurchase of shares to satisfy tax withholding</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(2,181)</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(2,181)</w:t>
            </w:r>
          </w:p>
        </w:tc>
      </w:tr>
      <w:tr w:rsidR="00000000">
        <w:trPr>
          <w:divId w:val="1675762462"/>
        </w:trPr>
        <w:tc>
          <w:tcPr>
            <w:tcW w:w="184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Net unrealized gain on marketable securities</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295</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295</w:t>
            </w:r>
          </w:p>
        </w:tc>
      </w:tr>
      <w:tr w:rsidR="00000000">
        <w:trPr>
          <w:divId w:val="1675762462"/>
        </w:trPr>
        <w:tc>
          <w:tcPr>
            <w:tcW w:w="1842" w:type="pct"/>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16"/>
                <w:szCs w:val="16"/>
              </w:rPr>
            </w:pPr>
            <w:r>
              <w:rPr>
                <w:sz w:val="16"/>
                <w:szCs w:val="16"/>
              </w:rPr>
              <w:t>Net loss</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44"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2"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21"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0"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(112,418)</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75"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(112,418)</w:t>
            </w:r>
          </w:p>
        </w:tc>
      </w:tr>
      <w:tr w:rsidR="00000000">
        <w:trPr>
          <w:divId w:val="1675762462"/>
        </w:trPr>
        <w:tc>
          <w:tcPr>
            <w:tcW w:w="184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Balances at June 30, 2019</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3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56,637</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987,209</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129</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(1,124,563)</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3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(137,224)</w:t>
            </w:r>
          </w:p>
        </w:tc>
      </w:tr>
    </w:tbl>
    <w:p w:rsidR="00000000" w:rsidRDefault="00C96329">
      <w:pPr>
        <w:pStyle w:val="a3"/>
        <w:spacing w:before="0" w:beforeAutospacing="0" w:after="0" w:afterAutospacing="0"/>
        <w:ind w:firstLine="720"/>
        <w:jc w:val="center"/>
        <w:divId w:val="1675762462"/>
        <w:rPr>
          <w:sz w:val="20"/>
          <w:szCs w:val="20"/>
        </w:rPr>
      </w:pPr>
      <w:r>
        <w:rPr>
          <w:i/>
          <w:iCs/>
          <w:sz w:val="20"/>
          <w:szCs w:val="20"/>
        </w:rPr>
        <w:t>​</w:t>
      </w:r>
    </w:p>
    <w:p w:rsidR="00000000" w:rsidRDefault="00C96329">
      <w:pPr>
        <w:pStyle w:val="a3"/>
        <w:spacing w:before="0" w:beforeAutospacing="0" w:after="0" w:afterAutospacing="0"/>
        <w:ind w:firstLine="720"/>
        <w:jc w:val="center"/>
        <w:divId w:val="1675762462"/>
        <w:rPr>
          <w:sz w:val="20"/>
          <w:szCs w:val="20"/>
        </w:rPr>
      </w:pPr>
      <w:r>
        <w:rPr>
          <w:i/>
          <w:iCs/>
          <w:sz w:val="20"/>
          <w:szCs w:val="20"/>
        </w:rPr>
        <w:t>See accompanying notes to condensed consolidated financial statements.</w:t>
      </w:r>
    </w:p>
    <w:p w:rsidR="00000000" w:rsidRDefault="00C96329">
      <w:pPr>
        <w:pStyle w:val="a3"/>
        <w:spacing w:before="360" w:beforeAutospacing="0" w:after="0" w:afterAutospacing="0"/>
        <w:jc w:val="center"/>
        <w:divId w:val="1584609969"/>
        <w:rPr>
          <w:sz w:val="20"/>
          <w:szCs w:val="20"/>
        </w:rPr>
      </w:pPr>
      <w:r>
        <w:rPr>
          <w:sz w:val="20"/>
          <w:szCs w:val="20"/>
        </w:rPr>
        <w:t>5</w:t>
      </w:r>
    </w:p>
    <w:p w:rsidR="00000000" w:rsidRDefault="00C96329">
      <w:pPr>
        <w:pStyle w:val="a3"/>
        <w:spacing w:before="0" w:beforeAutospacing="0" w:after="600" w:afterAutospacing="0"/>
        <w:divId w:val="16778929"/>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jc w:val="center"/>
        <w:divId w:val="193084893"/>
        <w:rPr>
          <w:sz w:val="20"/>
          <w:szCs w:val="20"/>
        </w:rPr>
      </w:pPr>
      <w:r>
        <w:rPr>
          <w:b/>
          <w:bCs/>
          <w:sz w:val="20"/>
          <w:szCs w:val="20"/>
        </w:rPr>
        <w:t>THERAVANCE BIOPHARMA, INC.</w:t>
      </w:r>
    </w:p>
    <w:p w:rsidR="00000000" w:rsidRDefault="00C96329">
      <w:pPr>
        <w:pStyle w:val="a3"/>
        <w:spacing w:before="0" w:beforeAutospacing="0" w:after="0" w:afterAutospacing="0"/>
        <w:jc w:val="center"/>
        <w:divId w:val="193084893"/>
        <w:rPr>
          <w:sz w:val="20"/>
          <w:szCs w:val="20"/>
        </w:rPr>
      </w:pPr>
      <w:r>
        <w:rPr>
          <w:b/>
          <w:bCs/>
          <w:sz w:val="20"/>
          <w:szCs w:val="20"/>
        </w:rPr>
        <w:t>CONDENSED CONSOLIDATED STATEMENTS OF CASH FLOWS</w:t>
      </w:r>
    </w:p>
    <w:p w:rsidR="00000000" w:rsidRDefault="00C96329">
      <w:pPr>
        <w:pStyle w:val="a3"/>
        <w:spacing w:before="0" w:beforeAutospacing="0" w:after="0" w:afterAutospacing="0"/>
        <w:jc w:val="center"/>
        <w:divId w:val="193084893"/>
        <w:rPr>
          <w:sz w:val="20"/>
          <w:szCs w:val="20"/>
        </w:rPr>
      </w:pPr>
      <w:r>
        <w:rPr>
          <w:b/>
          <w:bCs/>
          <w:sz w:val="20"/>
          <w:szCs w:val="20"/>
        </w:rPr>
        <w:t>(Unaudited)</w:t>
      </w:r>
    </w:p>
    <w:p w:rsidR="00000000" w:rsidRDefault="00C96329">
      <w:pPr>
        <w:pStyle w:val="a3"/>
        <w:spacing w:before="0" w:beforeAutospacing="0" w:after="0" w:afterAutospacing="0"/>
        <w:jc w:val="center"/>
        <w:divId w:val="193084893"/>
        <w:rPr>
          <w:sz w:val="20"/>
          <w:szCs w:val="20"/>
        </w:rPr>
      </w:pPr>
      <w:r>
        <w:rPr>
          <w:b/>
          <w:bCs/>
          <w:sz w:val="20"/>
          <w:szCs w:val="20"/>
        </w:rPr>
        <w:t>(In thousands)</w:t>
      </w:r>
    </w:p>
    <w:p w:rsidR="00000000" w:rsidRDefault="00C96329">
      <w:pPr>
        <w:pStyle w:val="a3"/>
        <w:spacing w:before="0" w:beforeAutospacing="0" w:after="0" w:afterAutospacing="0"/>
        <w:jc w:val="center"/>
        <w:divId w:val="193084893"/>
        <w:rPr>
          <w:sz w:val="20"/>
          <w:szCs w:val="20"/>
        </w:rPr>
      </w:pPr>
      <w:r>
        <w:rPr>
          <w:b/>
          <w:bCs/>
          <w:sz w:val="20"/>
          <w:szCs w:val="20"/>
        </w:rPr>
        <w:t>​</w:t>
      </w:r>
    </w:p>
    <w:p w:rsidR="00000000" w:rsidRDefault="00C96329">
      <w:pPr>
        <w:pStyle w:val="a3"/>
        <w:spacing w:before="0" w:beforeAutospacing="0" w:after="0" w:afterAutospacing="0"/>
        <w:jc w:val="center"/>
        <w:divId w:val="193084893"/>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5819"/>
        <w:gridCol w:w="208"/>
        <w:gridCol w:w="208"/>
        <w:gridCol w:w="826"/>
        <w:gridCol w:w="208"/>
        <w:gridCol w:w="208"/>
        <w:gridCol w:w="829"/>
      </w:tblGrid>
      <w:tr w:rsidR="00000000">
        <w:trPr>
          <w:divId w:val="193084893"/>
          <w:trHeight w:val="20"/>
        </w:trPr>
        <w:tc>
          <w:tcPr>
            <w:tcW w:w="3502" w:type="pct"/>
            <w:tcMar>
              <w:top w:w="0" w:type="dxa"/>
              <w:left w:w="0" w:type="dxa"/>
              <w:bottom w:w="0" w:type="dxa"/>
              <w:right w:w="0" w:type="dxa"/>
            </w:tcMar>
            <w:hideMark/>
          </w:tcPr>
          <w:p w:rsidR="00000000" w:rsidRDefault="00C96329">
            <w:pPr>
              <w:pStyle w:val="a3"/>
              <w:spacing w:before="0" w:beforeAutospacing="0" w:after="0" w:afterAutospacing="0"/>
              <w:divId w:val="1051004458"/>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587471856"/>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29304592"/>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314941888"/>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522521707"/>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898318663"/>
              <w:rPr>
                <w:sz w:val="20"/>
                <w:szCs w:val="20"/>
              </w:rPr>
            </w:pPr>
            <w:r>
              <w:rPr>
                <w:sz w:val="2"/>
                <w:szCs w:val="2"/>
              </w:rPr>
              <w:t>​</w:t>
            </w:r>
          </w:p>
        </w:tc>
        <w:tc>
          <w:tcPr>
            <w:tcW w:w="49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365598164"/>
              <w:rPr>
                <w:sz w:val="20"/>
                <w:szCs w:val="20"/>
              </w:rPr>
            </w:pPr>
            <w:r>
              <w:rPr>
                <w:sz w:val="2"/>
                <w:szCs w:val="2"/>
              </w:rPr>
              <w:t>​</w:t>
            </w:r>
          </w:p>
        </w:tc>
      </w:tr>
      <w:tr w:rsidR="00000000">
        <w:trPr>
          <w:divId w:val="193084893"/>
        </w:trPr>
        <w:tc>
          <w:tcPr>
            <w:tcW w:w="350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1371"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Six Months Ended June 30, </w:t>
            </w:r>
          </w:p>
        </w:tc>
      </w:tr>
      <w:tr w:rsidR="00000000">
        <w:trPr>
          <w:divId w:val="193084893"/>
        </w:trPr>
        <w:tc>
          <w:tcPr>
            <w:tcW w:w="350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62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623"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r>
      <w:tr w:rsidR="00000000">
        <w:trPr>
          <w:divId w:val="193084893"/>
        </w:trPr>
        <w:tc>
          <w:tcPr>
            <w:tcW w:w="3502"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16"/>
                <w:szCs w:val="16"/>
              </w:rPr>
            </w:pPr>
            <w:r>
              <w:rPr>
                <w:b/>
                <w:bCs/>
                <w:sz w:val="16"/>
                <w:szCs w:val="16"/>
              </w:rPr>
              <w:t>Operating activities</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r>
      <w:tr w:rsidR="00000000">
        <w:trPr>
          <w:divId w:val="193084893"/>
        </w:trPr>
        <w:tc>
          <w:tcPr>
            <w:tcW w:w="3502" w:type="pct"/>
            <w:tcMar>
              <w:top w:w="0" w:type="dxa"/>
              <w:left w:w="0" w:type="dxa"/>
              <w:bottom w:w="0" w:type="dxa"/>
              <w:right w:w="0" w:type="dxa"/>
            </w:tcMar>
            <w:hideMark/>
          </w:tcPr>
          <w:p w:rsidR="00000000" w:rsidRDefault="00C96329">
            <w:pPr>
              <w:pStyle w:val="a3"/>
              <w:spacing w:before="0" w:beforeAutospacing="0" w:after="0" w:afterAutospacing="0"/>
              <w:rPr>
                <w:sz w:val="16"/>
                <w:szCs w:val="16"/>
              </w:rPr>
            </w:pPr>
            <w:r>
              <w:rPr>
                <w:sz w:val="16"/>
                <w:szCs w:val="16"/>
              </w:rPr>
              <w:t xml:space="preserve">Net loss </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(145,940)</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497"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(112,418)</w:t>
            </w:r>
          </w:p>
        </w:tc>
      </w:tr>
      <w:tr w:rsidR="00000000">
        <w:trPr>
          <w:divId w:val="193084893"/>
        </w:trPr>
        <w:tc>
          <w:tcPr>
            <w:tcW w:w="3502"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16"/>
                <w:szCs w:val="16"/>
              </w:rPr>
            </w:pPr>
            <w:r>
              <w:rPr>
                <w:sz w:val="16"/>
                <w:szCs w:val="16"/>
              </w:rPr>
              <w:t>Adjustments to reconcile net loss to net cash used in operating activities:</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r>
      <w:tr w:rsidR="00000000">
        <w:trPr>
          <w:divId w:val="193084893"/>
        </w:trPr>
        <w:tc>
          <w:tcPr>
            <w:tcW w:w="3502" w:type="pct"/>
            <w:tcMar>
              <w:top w:w="0" w:type="dxa"/>
              <w:left w:w="0" w:type="dxa"/>
              <w:bottom w:w="0" w:type="dxa"/>
              <w:right w:w="0" w:type="dxa"/>
            </w:tcMar>
            <w:hideMark/>
          </w:tcPr>
          <w:p w:rsidR="00000000" w:rsidRDefault="00C96329">
            <w:pPr>
              <w:pStyle w:val="a3"/>
              <w:spacing w:before="0" w:beforeAutospacing="0" w:after="0" w:afterAutospacing="0"/>
              <w:ind w:left="240"/>
              <w:rPr>
                <w:sz w:val="16"/>
                <w:szCs w:val="16"/>
              </w:rPr>
            </w:pPr>
            <w:r>
              <w:rPr>
                <w:sz w:val="16"/>
                <w:szCs w:val="16"/>
              </w:rPr>
              <w:t>Depreciation and amortization</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4,034</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7"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2,867</w:t>
            </w:r>
          </w:p>
        </w:tc>
      </w:tr>
      <w:tr w:rsidR="00000000">
        <w:trPr>
          <w:divId w:val="193084893"/>
        </w:trPr>
        <w:tc>
          <w:tcPr>
            <w:tcW w:w="3502"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ind w:left="240"/>
              <w:rPr>
                <w:sz w:val="16"/>
                <w:szCs w:val="16"/>
              </w:rPr>
            </w:pPr>
            <w:r>
              <w:rPr>
                <w:sz w:val="16"/>
                <w:szCs w:val="16"/>
              </w:rPr>
              <w:t>Amortization and accretion income, net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(854)</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(1,696)</w:t>
            </w:r>
          </w:p>
        </w:tc>
      </w:tr>
      <w:tr w:rsidR="00000000">
        <w:trPr>
          <w:divId w:val="193084893"/>
        </w:trPr>
        <w:tc>
          <w:tcPr>
            <w:tcW w:w="3502" w:type="pct"/>
            <w:tcMar>
              <w:top w:w="0" w:type="dxa"/>
              <w:left w:w="0" w:type="dxa"/>
              <w:bottom w:w="0" w:type="dxa"/>
              <w:right w:w="0" w:type="dxa"/>
            </w:tcMar>
            <w:hideMark/>
          </w:tcPr>
          <w:p w:rsidR="00000000" w:rsidRDefault="00C96329">
            <w:pPr>
              <w:pStyle w:val="a3"/>
              <w:spacing w:before="0" w:beforeAutospacing="0" w:after="0" w:afterAutospacing="0"/>
              <w:ind w:left="240"/>
              <w:rPr>
                <w:sz w:val="16"/>
                <w:szCs w:val="16"/>
              </w:rPr>
            </w:pPr>
            <w:r>
              <w:rPr>
                <w:sz w:val="16"/>
                <w:szCs w:val="16"/>
              </w:rPr>
              <w:t xml:space="preserve">Share-based compensation </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31,861</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7"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23,519</w:t>
            </w:r>
          </w:p>
        </w:tc>
      </w:tr>
      <w:tr w:rsidR="00000000">
        <w:trPr>
          <w:divId w:val="193084893"/>
        </w:trPr>
        <w:tc>
          <w:tcPr>
            <w:tcW w:w="3502"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ind w:left="240"/>
              <w:rPr>
                <w:sz w:val="16"/>
                <w:szCs w:val="16"/>
              </w:rPr>
            </w:pPr>
            <w:r>
              <w:rPr>
                <w:sz w:val="16"/>
                <w:szCs w:val="16"/>
              </w:rPr>
              <w:t>Amortization of right-of-use assets</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1,420</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2,016</w:t>
            </w:r>
          </w:p>
        </w:tc>
      </w:tr>
      <w:tr w:rsidR="00000000">
        <w:trPr>
          <w:divId w:val="193084893"/>
        </w:trPr>
        <w:tc>
          <w:tcPr>
            <w:tcW w:w="3502" w:type="pct"/>
            <w:tcMar>
              <w:top w:w="0" w:type="dxa"/>
              <w:left w:w="0" w:type="dxa"/>
              <w:bottom w:w="0" w:type="dxa"/>
              <w:right w:w="0" w:type="dxa"/>
            </w:tcMar>
            <w:hideMark/>
          </w:tcPr>
          <w:p w:rsidR="00000000" w:rsidRDefault="00C96329">
            <w:pPr>
              <w:pStyle w:val="a3"/>
              <w:spacing w:before="0" w:beforeAutospacing="0" w:after="0" w:afterAutospacing="0"/>
              <w:ind w:left="240"/>
              <w:rPr>
                <w:sz w:val="16"/>
                <w:szCs w:val="16"/>
              </w:rPr>
            </w:pPr>
            <w:r>
              <w:rPr>
                <w:sz w:val="16"/>
                <w:szCs w:val="16"/>
              </w:rPr>
              <w:t>Amounts due from TRC, LLC</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(6,934)</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(14,595)</w:t>
            </w:r>
          </w:p>
        </w:tc>
      </w:tr>
      <w:tr w:rsidR="00000000">
        <w:trPr>
          <w:divId w:val="193084893"/>
        </w:trPr>
        <w:tc>
          <w:tcPr>
            <w:tcW w:w="3502"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ind w:left="240"/>
              <w:rPr>
                <w:sz w:val="16"/>
                <w:szCs w:val="16"/>
              </w:rPr>
            </w:pPr>
            <w:r>
              <w:rPr>
                <w:sz w:val="16"/>
                <w:szCs w:val="16"/>
              </w:rPr>
              <w:t>Interest shortfall on 2035 notes, net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1,093</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r>
      <w:tr w:rsidR="00000000">
        <w:trPr>
          <w:divId w:val="193084893"/>
        </w:trPr>
        <w:tc>
          <w:tcPr>
            <w:tcW w:w="3502" w:type="pct"/>
            <w:tcMar>
              <w:top w:w="0" w:type="dxa"/>
              <w:left w:w="0" w:type="dxa"/>
              <w:bottom w:w="0" w:type="dxa"/>
              <w:right w:w="0" w:type="dxa"/>
            </w:tcMar>
            <w:hideMark/>
          </w:tcPr>
          <w:p w:rsidR="00000000" w:rsidRDefault="00C96329">
            <w:pPr>
              <w:pStyle w:val="a3"/>
              <w:spacing w:before="0" w:beforeAutospacing="0" w:after="0" w:afterAutospacing="0"/>
              <w:ind w:left="240"/>
              <w:rPr>
                <w:sz w:val="16"/>
                <w:szCs w:val="16"/>
              </w:rPr>
            </w:pPr>
            <w:r>
              <w:rPr>
                <w:sz w:val="16"/>
                <w:szCs w:val="16"/>
              </w:rPr>
              <w:t>Loss on extinguishment of debt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15,464</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r>
      <w:tr w:rsidR="00000000">
        <w:trPr>
          <w:divId w:val="193084893"/>
        </w:trPr>
        <w:tc>
          <w:tcPr>
            <w:tcW w:w="3502"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ind w:left="240"/>
              <w:rPr>
                <w:sz w:val="16"/>
                <w:szCs w:val="16"/>
              </w:rPr>
            </w:pPr>
            <w:r>
              <w:rPr>
                <w:sz w:val="16"/>
                <w:szCs w:val="16"/>
              </w:rPr>
              <w:t>Other</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(4)</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53</w:t>
            </w:r>
          </w:p>
        </w:tc>
      </w:tr>
      <w:tr w:rsidR="00000000">
        <w:trPr>
          <w:divId w:val="193084893"/>
        </w:trPr>
        <w:tc>
          <w:tcPr>
            <w:tcW w:w="3502" w:type="pct"/>
            <w:tcMar>
              <w:top w:w="0" w:type="dxa"/>
              <w:left w:w="0" w:type="dxa"/>
              <w:bottom w:w="0" w:type="dxa"/>
              <w:right w:w="0" w:type="dxa"/>
            </w:tcMar>
            <w:hideMark/>
          </w:tcPr>
          <w:p w:rsidR="00000000" w:rsidRDefault="00C96329">
            <w:pPr>
              <w:pStyle w:val="a3"/>
              <w:spacing w:before="0" w:beforeAutospacing="0" w:after="0" w:afterAutospacing="0"/>
              <w:ind w:left="240"/>
              <w:rPr>
                <w:sz w:val="16"/>
                <w:szCs w:val="16"/>
              </w:rPr>
            </w:pPr>
            <w:r>
              <w:rPr>
                <w:sz w:val="16"/>
                <w:szCs w:val="16"/>
              </w:rPr>
              <w:t>Changes in operating assets and liabilities:</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r>
      <w:tr w:rsidR="00000000">
        <w:trPr>
          <w:divId w:val="193084893"/>
        </w:trPr>
        <w:tc>
          <w:tcPr>
            <w:tcW w:w="3502"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ind w:left="360"/>
              <w:rPr>
                <w:sz w:val="16"/>
                <w:szCs w:val="16"/>
              </w:rPr>
            </w:pPr>
            <w:r>
              <w:rPr>
                <w:sz w:val="16"/>
                <w:szCs w:val="16"/>
              </w:rPr>
              <w:t xml:space="preserve">Accounts receivable </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389</w:t>
            </w:r>
          </w:p>
        </w:tc>
      </w:tr>
      <w:tr w:rsidR="00000000">
        <w:trPr>
          <w:divId w:val="193084893"/>
        </w:trPr>
        <w:tc>
          <w:tcPr>
            <w:tcW w:w="3502" w:type="pct"/>
            <w:tcMar>
              <w:top w:w="0" w:type="dxa"/>
              <w:left w:w="0" w:type="dxa"/>
              <w:bottom w:w="0" w:type="dxa"/>
              <w:right w:w="0" w:type="dxa"/>
            </w:tcMar>
            <w:hideMark/>
          </w:tcPr>
          <w:p w:rsidR="00000000" w:rsidRDefault="00C96329">
            <w:pPr>
              <w:pStyle w:val="a3"/>
              <w:spacing w:before="0" w:beforeAutospacing="0" w:after="0" w:afterAutospacing="0"/>
              <w:ind w:left="360"/>
              <w:rPr>
                <w:sz w:val="16"/>
                <w:szCs w:val="16"/>
              </w:rPr>
            </w:pPr>
            <w:r>
              <w:rPr>
                <w:sz w:val="16"/>
                <w:szCs w:val="16"/>
              </w:rPr>
              <w:t xml:space="preserve">Receivables from collaborative and licensing arrangements </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10,583</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7"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9,074</w:t>
            </w:r>
          </w:p>
        </w:tc>
      </w:tr>
      <w:tr w:rsidR="00000000">
        <w:trPr>
          <w:divId w:val="193084893"/>
        </w:trPr>
        <w:tc>
          <w:tcPr>
            <w:tcW w:w="3502"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ind w:left="360"/>
              <w:rPr>
                <w:sz w:val="16"/>
                <w:szCs w:val="16"/>
              </w:rPr>
            </w:pPr>
            <w:r>
              <w:rPr>
                <w:sz w:val="16"/>
                <w:szCs w:val="16"/>
              </w:rPr>
              <w:t>Other prepaid and current assets</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(6,039)</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(2,407)</w:t>
            </w:r>
          </w:p>
        </w:tc>
      </w:tr>
      <w:tr w:rsidR="00000000">
        <w:trPr>
          <w:divId w:val="193084893"/>
        </w:trPr>
        <w:tc>
          <w:tcPr>
            <w:tcW w:w="3502" w:type="pct"/>
            <w:tcMar>
              <w:top w:w="0" w:type="dxa"/>
              <w:left w:w="0" w:type="dxa"/>
              <w:bottom w:w="0" w:type="dxa"/>
              <w:right w:w="0" w:type="dxa"/>
            </w:tcMar>
            <w:vAlign w:val="bottom"/>
            <w:hideMark/>
          </w:tcPr>
          <w:p w:rsidR="00000000" w:rsidRDefault="00C96329">
            <w:pPr>
              <w:pStyle w:val="a3"/>
              <w:spacing w:before="0" w:beforeAutospacing="0" w:after="0" w:afterAutospacing="0"/>
              <w:ind w:left="360"/>
              <w:rPr>
                <w:sz w:val="16"/>
                <w:szCs w:val="16"/>
              </w:rPr>
            </w:pPr>
            <w:r>
              <w:rPr>
                <w:sz w:val="16"/>
                <w:szCs w:val="16"/>
              </w:rPr>
              <w:t>Tax receivable</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(300)</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(3,700)</w:t>
            </w:r>
          </w:p>
        </w:tc>
      </w:tr>
      <w:tr w:rsidR="00000000">
        <w:trPr>
          <w:divId w:val="193084893"/>
        </w:trPr>
        <w:tc>
          <w:tcPr>
            <w:tcW w:w="350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360"/>
              <w:rPr>
                <w:sz w:val="16"/>
                <w:szCs w:val="16"/>
              </w:rPr>
            </w:pPr>
            <w:r>
              <w:rPr>
                <w:sz w:val="16"/>
                <w:szCs w:val="16"/>
              </w:rPr>
              <w:t>Other assets</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(73)</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w:t>
            </w:r>
          </w:p>
        </w:tc>
      </w:tr>
      <w:tr w:rsidR="00000000">
        <w:trPr>
          <w:divId w:val="193084893"/>
        </w:trPr>
        <w:tc>
          <w:tcPr>
            <w:tcW w:w="3502" w:type="pct"/>
            <w:tcMar>
              <w:top w:w="0" w:type="dxa"/>
              <w:left w:w="0" w:type="dxa"/>
              <w:bottom w:w="0" w:type="dxa"/>
              <w:right w:w="0" w:type="dxa"/>
            </w:tcMar>
            <w:hideMark/>
          </w:tcPr>
          <w:p w:rsidR="00000000" w:rsidRDefault="00C96329">
            <w:pPr>
              <w:pStyle w:val="a3"/>
              <w:spacing w:before="0" w:beforeAutospacing="0" w:after="0" w:afterAutospacing="0"/>
              <w:ind w:left="360"/>
              <w:rPr>
                <w:sz w:val="16"/>
                <w:szCs w:val="16"/>
              </w:rPr>
            </w:pPr>
            <w:r>
              <w:rPr>
                <w:sz w:val="16"/>
                <w:szCs w:val="16"/>
              </w:rPr>
              <w:t xml:space="preserve">Accounts payable </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6,012</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7"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(5,491)</w:t>
            </w:r>
          </w:p>
        </w:tc>
      </w:tr>
      <w:tr w:rsidR="00000000">
        <w:trPr>
          <w:divId w:val="193084893"/>
        </w:trPr>
        <w:tc>
          <w:tcPr>
            <w:tcW w:w="3502"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ind w:left="360" w:hanging="180"/>
              <w:rPr>
                <w:sz w:val="16"/>
                <w:szCs w:val="16"/>
              </w:rPr>
            </w:pPr>
            <w:r>
              <w:rPr>
                <w:sz w:val="16"/>
                <w:szCs w:val="16"/>
              </w:rPr>
              <w:t xml:space="preserve">Accrued personnel-related expenses, accrued clinical and development expenses, and other accrued liabilities </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(5,753)</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(15,580)</w:t>
            </w:r>
          </w:p>
        </w:tc>
      </w:tr>
      <w:tr w:rsidR="00000000">
        <w:trPr>
          <w:divId w:val="193084893"/>
        </w:trPr>
        <w:tc>
          <w:tcPr>
            <w:tcW w:w="3502" w:type="pct"/>
            <w:tcMar>
              <w:top w:w="0" w:type="dxa"/>
              <w:left w:w="0" w:type="dxa"/>
              <w:bottom w:w="0" w:type="dxa"/>
              <w:right w:w="0" w:type="dxa"/>
            </w:tcMar>
            <w:hideMark/>
          </w:tcPr>
          <w:p w:rsidR="00000000" w:rsidRDefault="00C96329">
            <w:pPr>
              <w:pStyle w:val="a3"/>
              <w:spacing w:before="0" w:beforeAutospacing="0" w:after="0" w:afterAutospacing="0"/>
              <w:ind w:left="360"/>
              <w:rPr>
                <w:sz w:val="16"/>
                <w:szCs w:val="16"/>
              </w:rPr>
            </w:pPr>
            <w:r>
              <w:rPr>
                <w:sz w:val="16"/>
                <w:szCs w:val="16"/>
              </w:rPr>
              <w:t>Accrued interest payable</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(1,957)</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2,672</w:t>
            </w:r>
          </w:p>
        </w:tc>
      </w:tr>
      <w:tr w:rsidR="00000000">
        <w:trPr>
          <w:divId w:val="193084893"/>
        </w:trPr>
        <w:tc>
          <w:tcPr>
            <w:tcW w:w="3502"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ind w:left="360"/>
              <w:rPr>
                <w:sz w:val="16"/>
                <w:szCs w:val="16"/>
              </w:rPr>
            </w:pPr>
            <w:r>
              <w:rPr>
                <w:sz w:val="16"/>
                <w:szCs w:val="16"/>
              </w:rPr>
              <w:t xml:space="preserve">Deferred revenue </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(12,120)</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(12,826)</w:t>
            </w:r>
          </w:p>
        </w:tc>
      </w:tr>
      <w:tr w:rsidR="00000000">
        <w:trPr>
          <w:divId w:val="193084893"/>
        </w:trPr>
        <w:tc>
          <w:tcPr>
            <w:tcW w:w="3502" w:type="pct"/>
            <w:tcMar>
              <w:top w:w="0" w:type="dxa"/>
              <w:left w:w="0" w:type="dxa"/>
              <w:bottom w:w="0" w:type="dxa"/>
              <w:right w:w="0" w:type="dxa"/>
            </w:tcMar>
            <w:hideMark/>
          </w:tcPr>
          <w:p w:rsidR="00000000" w:rsidRDefault="00C96329">
            <w:pPr>
              <w:pStyle w:val="a3"/>
              <w:spacing w:before="0" w:beforeAutospacing="0" w:after="0" w:afterAutospacing="0"/>
              <w:ind w:left="360"/>
              <w:rPr>
                <w:sz w:val="16"/>
                <w:szCs w:val="16"/>
              </w:rPr>
            </w:pPr>
            <w:r>
              <w:rPr>
                <w:sz w:val="16"/>
                <w:szCs w:val="16"/>
              </w:rPr>
              <w:t>Operating lease liabilities</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885</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(1,371)</w:t>
            </w:r>
          </w:p>
        </w:tc>
      </w:tr>
      <w:tr w:rsidR="00000000">
        <w:trPr>
          <w:divId w:val="193084893"/>
        </w:trPr>
        <w:tc>
          <w:tcPr>
            <w:tcW w:w="3502"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ind w:left="360"/>
              <w:rPr>
                <w:sz w:val="16"/>
                <w:szCs w:val="16"/>
              </w:rPr>
            </w:pPr>
            <w:r>
              <w:rPr>
                <w:sz w:val="16"/>
                <w:szCs w:val="16"/>
              </w:rPr>
              <w:t>Other long-term liabilities</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175</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269</w:t>
            </w:r>
          </w:p>
        </w:tc>
      </w:tr>
      <w:tr w:rsidR="00000000">
        <w:trPr>
          <w:divId w:val="193084893"/>
        </w:trPr>
        <w:tc>
          <w:tcPr>
            <w:tcW w:w="3502" w:type="pct"/>
            <w:tcMar>
              <w:top w:w="0" w:type="dxa"/>
              <w:left w:w="0" w:type="dxa"/>
              <w:bottom w:w="0" w:type="dxa"/>
              <w:right w:w="0" w:type="dxa"/>
            </w:tcMar>
            <w:hideMark/>
          </w:tcPr>
          <w:p w:rsidR="00000000" w:rsidRDefault="00C96329">
            <w:pPr>
              <w:pStyle w:val="a3"/>
              <w:spacing w:before="0" w:beforeAutospacing="0" w:after="0" w:afterAutospacing="0"/>
              <w:ind w:left="480"/>
              <w:rPr>
                <w:sz w:val="16"/>
                <w:szCs w:val="16"/>
              </w:rPr>
            </w:pPr>
            <w:r>
              <w:rPr>
                <w:sz w:val="16"/>
                <w:szCs w:val="16"/>
              </w:rPr>
              <w:t xml:space="preserve">Net cash used in operating activities </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(108,447)</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7"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(129,223)</w:t>
            </w:r>
          </w:p>
        </w:tc>
      </w:tr>
      <w:tr w:rsidR="00000000">
        <w:trPr>
          <w:divId w:val="193084893"/>
        </w:trPr>
        <w:tc>
          <w:tcPr>
            <w:tcW w:w="3502"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r>
      <w:tr w:rsidR="00000000">
        <w:trPr>
          <w:divId w:val="193084893"/>
        </w:trPr>
        <w:tc>
          <w:tcPr>
            <w:tcW w:w="3502" w:type="pct"/>
            <w:tcMar>
              <w:top w:w="0" w:type="dxa"/>
              <w:left w:w="0" w:type="dxa"/>
              <w:bottom w:w="0" w:type="dxa"/>
              <w:right w:w="0" w:type="dxa"/>
            </w:tcMar>
            <w:hideMark/>
          </w:tcPr>
          <w:p w:rsidR="00000000" w:rsidRDefault="00C96329">
            <w:pPr>
              <w:pStyle w:val="a3"/>
              <w:spacing w:before="0" w:beforeAutospacing="0" w:after="0" w:afterAutospacing="0"/>
              <w:rPr>
                <w:sz w:val="16"/>
                <w:szCs w:val="16"/>
              </w:rPr>
            </w:pPr>
            <w:r>
              <w:rPr>
                <w:b/>
                <w:bCs/>
                <w:sz w:val="16"/>
                <w:szCs w:val="16"/>
              </w:rPr>
              <w:t>Investing activities</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r>
      <w:tr w:rsidR="00000000">
        <w:trPr>
          <w:divId w:val="193084893"/>
        </w:trPr>
        <w:tc>
          <w:tcPr>
            <w:tcW w:w="3502"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16"/>
                <w:szCs w:val="16"/>
              </w:rPr>
            </w:pPr>
            <w:r>
              <w:rPr>
                <w:sz w:val="16"/>
                <w:szCs w:val="16"/>
              </w:rPr>
              <w:t>Purchases of property and equipment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(3,322)</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(1,796)</w:t>
            </w:r>
          </w:p>
        </w:tc>
      </w:tr>
      <w:tr w:rsidR="00000000">
        <w:trPr>
          <w:divId w:val="193084893"/>
        </w:trPr>
        <w:tc>
          <w:tcPr>
            <w:tcW w:w="3502" w:type="pct"/>
            <w:tcMar>
              <w:top w:w="0" w:type="dxa"/>
              <w:left w:w="0" w:type="dxa"/>
              <w:bottom w:w="0" w:type="dxa"/>
              <w:right w:w="0" w:type="dxa"/>
            </w:tcMar>
            <w:hideMark/>
          </w:tcPr>
          <w:p w:rsidR="00000000" w:rsidRDefault="00C96329">
            <w:pPr>
              <w:pStyle w:val="a3"/>
              <w:spacing w:before="0" w:beforeAutospacing="0" w:after="0" w:afterAutospacing="0"/>
              <w:rPr>
                <w:sz w:val="16"/>
                <w:szCs w:val="16"/>
              </w:rPr>
            </w:pPr>
            <w:r>
              <w:rPr>
                <w:sz w:val="16"/>
                <w:szCs w:val="16"/>
              </w:rPr>
              <w:t xml:space="preserve">Purchases of marketable securities </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(280,495)</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7"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(208,028)</w:t>
            </w:r>
          </w:p>
        </w:tc>
      </w:tr>
      <w:tr w:rsidR="00000000">
        <w:trPr>
          <w:divId w:val="193084893"/>
        </w:trPr>
        <w:tc>
          <w:tcPr>
            <w:tcW w:w="3502"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16"/>
                <w:szCs w:val="16"/>
              </w:rPr>
            </w:pPr>
            <w:r>
              <w:rPr>
                <w:sz w:val="16"/>
                <w:szCs w:val="16"/>
              </w:rPr>
              <w:t xml:space="preserve">Maturities of marketable securities </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155,703</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131,368</w:t>
            </w:r>
          </w:p>
        </w:tc>
      </w:tr>
      <w:tr w:rsidR="00000000">
        <w:trPr>
          <w:divId w:val="193084893"/>
        </w:trPr>
        <w:tc>
          <w:tcPr>
            <w:tcW w:w="3502" w:type="pct"/>
            <w:tcMar>
              <w:top w:w="0" w:type="dxa"/>
              <w:left w:w="0" w:type="dxa"/>
              <w:bottom w:w="0" w:type="dxa"/>
              <w:right w:w="0" w:type="dxa"/>
            </w:tcMar>
            <w:hideMark/>
          </w:tcPr>
          <w:p w:rsidR="00000000" w:rsidRDefault="00C96329">
            <w:pPr>
              <w:pStyle w:val="a3"/>
              <w:spacing w:before="0" w:beforeAutospacing="0" w:after="0" w:afterAutospacing="0"/>
              <w:rPr>
                <w:sz w:val="16"/>
                <w:szCs w:val="16"/>
              </w:rPr>
            </w:pPr>
            <w:r>
              <w:rPr>
                <w:sz w:val="16"/>
                <w:szCs w:val="16"/>
              </w:rPr>
              <w:t>Proceeds from the sale of marketable securities</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19,927</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r>
      <w:tr w:rsidR="00000000">
        <w:trPr>
          <w:divId w:val="193084893"/>
        </w:trPr>
        <w:tc>
          <w:tcPr>
            <w:tcW w:w="3502"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16"/>
                <w:szCs w:val="16"/>
              </w:rPr>
            </w:pPr>
            <w:r>
              <w:rPr>
                <w:sz w:val="16"/>
                <w:szCs w:val="16"/>
              </w:rPr>
              <w:t>Proceeds from the sale of property and equipment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r>
      <w:tr w:rsidR="00000000">
        <w:trPr>
          <w:divId w:val="193084893"/>
        </w:trPr>
        <w:tc>
          <w:tcPr>
            <w:tcW w:w="3502" w:type="pct"/>
            <w:tcMar>
              <w:top w:w="0" w:type="dxa"/>
              <w:left w:w="0" w:type="dxa"/>
              <w:bottom w:w="0" w:type="dxa"/>
              <w:right w:w="0" w:type="dxa"/>
            </w:tcMar>
            <w:hideMark/>
          </w:tcPr>
          <w:p w:rsidR="00000000" w:rsidRDefault="00C96329">
            <w:pPr>
              <w:pStyle w:val="a3"/>
              <w:spacing w:before="0" w:beforeAutospacing="0" w:after="0" w:afterAutospacing="0"/>
              <w:rPr>
                <w:sz w:val="16"/>
                <w:szCs w:val="16"/>
              </w:rPr>
            </w:pPr>
            <w:r>
              <w:rPr>
                <w:sz w:val="16"/>
                <w:szCs w:val="16"/>
              </w:rPr>
              <w:t>Proceeds from the sale of VIBATIV business, net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7"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5,000</w:t>
            </w:r>
          </w:p>
        </w:tc>
      </w:tr>
      <w:tr w:rsidR="00000000">
        <w:trPr>
          <w:divId w:val="193084893"/>
        </w:trPr>
        <w:tc>
          <w:tcPr>
            <w:tcW w:w="3502"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ind w:left="480"/>
              <w:rPr>
                <w:sz w:val="16"/>
                <w:szCs w:val="16"/>
              </w:rPr>
            </w:pPr>
            <w:r>
              <w:rPr>
                <w:sz w:val="16"/>
                <w:szCs w:val="16"/>
              </w:rPr>
              <w:t xml:space="preserve">Net cash used in investing activities </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(108,186)</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(73,456)</w:t>
            </w:r>
          </w:p>
        </w:tc>
      </w:tr>
      <w:tr w:rsidR="00000000">
        <w:trPr>
          <w:divId w:val="193084893"/>
        </w:trPr>
        <w:tc>
          <w:tcPr>
            <w:tcW w:w="3502" w:type="pct"/>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r>
      <w:tr w:rsidR="00000000">
        <w:trPr>
          <w:divId w:val="193084893"/>
        </w:trPr>
        <w:tc>
          <w:tcPr>
            <w:tcW w:w="3502"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16"/>
                <w:szCs w:val="16"/>
              </w:rPr>
            </w:pPr>
            <w:r>
              <w:rPr>
                <w:b/>
                <w:bCs/>
                <w:sz w:val="16"/>
                <w:szCs w:val="16"/>
              </w:rPr>
              <w:t>Financing activities</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r>
      <w:tr w:rsidR="00000000">
        <w:trPr>
          <w:divId w:val="193084893"/>
        </w:trPr>
        <w:tc>
          <w:tcPr>
            <w:tcW w:w="350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Proceeds from the sale of ordinary shares, net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139,915</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r>
      <w:tr w:rsidR="00000000">
        <w:trPr>
          <w:divId w:val="193084893"/>
        </w:trPr>
        <w:tc>
          <w:tcPr>
            <w:tcW w:w="350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Proceeds from issuance of 2035 notes, net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380,000</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r>
      <w:tr w:rsidR="00000000">
        <w:trPr>
          <w:divId w:val="193084893"/>
        </w:trPr>
        <w:tc>
          <w:tcPr>
            <w:tcW w:w="350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Payment of issuance costs on 2035 notes</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(5,326)</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r>
      <w:tr w:rsidR="00000000">
        <w:trPr>
          <w:divId w:val="193084893"/>
        </w:trPr>
        <w:tc>
          <w:tcPr>
            <w:tcW w:w="350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Payment of redemption premium on 2033 notes</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(11,470)</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r>
      <w:tr w:rsidR="00000000">
        <w:trPr>
          <w:divId w:val="193084893"/>
        </w:trPr>
        <w:tc>
          <w:tcPr>
            <w:tcW w:w="3502" w:type="pct"/>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Principal payment on 2033 notes</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(235,347)</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r>
      <w:tr w:rsidR="00000000">
        <w:trPr>
          <w:divId w:val="193084893"/>
        </w:trPr>
        <w:tc>
          <w:tcPr>
            <w:tcW w:w="350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sz w:val="16"/>
                <w:szCs w:val="16"/>
              </w:rPr>
              <w:t>Proceeds from ESPP purchases</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2,545</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2,605</w:t>
            </w:r>
          </w:p>
        </w:tc>
      </w:tr>
      <w:tr w:rsidR="00000000">
        <w:trPr>
          <w:divId w:val="193084893"/>
        </w:trPr>
        <w:tc>
          <w:tcPr>
            <w:tcW w:w="3502" w:type="pct"/>
            <w:tcMar>
              <w:top w:w="0" w:type="dxa"/>
              <w:left w:w="0" w:type="dxa"/>
              <w:bottom w:w="0" w:type="dxa"/>
              <w:right w:w="0" w:type="dxa"/>
            </w:tcMar>
            <w:hideMark/>
          </w:tcPr>
          <w:p w:rsidR="00000000" w:rsidRDefault="00C96329">
            <w:pPr>
              <w:pStyle w:val="a3"/>
              <w:spacing w:before="0" w:beforeAutospacing="0" w:after="0" w:afterAutospacing="0"/>
              <w:rPr>
                <w:sz w:val="16"/>
                <w:szCs w:val="16"/>
              </w:rPr>
            </w:pPr>
            <w:r>
              <w:rPr>
                <w:sz w:val="16"/>
                <w:szCs w:val="16"/>
              </w:rPr>
              <w:t>Proceeds from option exercises</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936</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2,545</w:t>
            </w:r>
          </w:p>
        </w:tc>
      </w:tr>
      <w:tr w:rsidR="00000000">
        <w:trPr>
          <w:divId w:val="193084893"/>
        </w:trPr>
        <w:tc>
          <w:tcPr>
            <w:tcW w:w="3502"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16"/>
                <w:szCs w:val="16"/>
              </w:rPr>
            </w:pPr>
            <w:r>
              <w:rPr>
                <w:sz w:val="16"/>
                <w:szCs w:val="16"/>
              </w:rPr>
              <w:t>Repurchase of shares to satisfy tax withholding</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(7,948)</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(2,181)</w:t>
            </w:r>
          </w:p>
        </w:tc>
      </w:tr>
      <w:tr w:rsidR="00000000">
        <w:trPr>
          <w:divId w:val="193084893"/>
        </w:trPr>
        <w:tc>
          <w:tcPr>
            <w:tcW w:w="3502" w:type="pct"/>
            <w:tcMar>
              <w:top w:w="0" w:type="dxa"/>
              <w:left w:w="0" w:type="dxa"/>
              <w:bottom w:w="0" w:type="dxa"/>
              <w:right w:w="0" w:type="dxa"/>
            </w:tcMar>
            <w:hideMark/>
          </w:tcPr>
          <w:p w:rsidR="00000000" w:rsidRDefault="00C96329">
            <w:pPr>
              <w:pStyle w:val="a3"/>
              <w:spacing w:before="0" w:beforeAutospacing="0" w:after="0" w:afterAutospacing="0"/>
              <w:ind w:left="480"/>
              <w:rPr>
                <w:sz w:val="16"/>
                <w:szCs w:val="16"/>
              </w:rPr>
            </w:pPr>
            <w:r>
              <w:rPr>
                <w:sz w:val="16"/>
                <w:szCs w:val="16"/>
              </w:rPr>
              <w:t>Net cash provided by financing activities</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263,305</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7"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2,969</w:t>
            </w:r>
          </w:p>
        </w:tc>
      </w:tr>
      <w:tr w:rsidR="00000000">
        <w:trPr>
          <w:divId w:val="193084893"/>
        </w:trPr>
        <w:tc>
          <w:tcPr>
            <w:tcW w:w="3502"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r>
      <w:tr w:rsidR="00000000">
        <w:trPr>
          <w:divId w:val="193084893"/>
        </w:trPr>
        <w:tc>
          <w:tcPr>
            <w:tcW w:w="3502" w:type="pct"/>
            <w:tcMar>
              <w:top w:w="0" w:type="dxa"/>
              <w:left w:w="0" w:type="dxa"/>
              <w:bottom w:w="0" w:type="dxa"/>
              <w:right w:w="0" w:type="dxa"/>
            </w:tcMar>
            <w:hideMark/>
          </w:tcPr>
          <w:p w:rsidR="00000000" w:rsidRDefault="00C96329">
            <w:pPr>
              <w:pStyle w:val="a3"/>
              <w:spacing w:before="0" w:beforeAutospacing="0" w:after="0" w:afterAutospacing="0"/>
              <w:rPr>
                <w:sz w:val="16"/>
                <w:szCs w:val="16"/>
              </w:rPr>
            </w:pPr>
            <w:r>
              <w:rPr>
                <w:b/>
                <w:bCs/>
                <w:sz w:val="16"/>
                <w:szCs w:val="16"/>
              </w:rPr>
              <w:t>Net increase (decrease) in cash, cash equivalents, and restricted cash</w:t>
            </w:r>
            <w:r>
              <w:rPr>
                <w:sz w:val="16"/>
                <w:szCs w:val="16"/>
              </w:rPr>
              <w:t xml:space="preserve"> </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46,671</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7"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16"/>
                <w:szCs w:val="16"/>
              </w:rPr>
            </w:pPr>
            <w:r>
              <w:rPr>
                <w:sz w:val="16"/>
                <w:szCs w:val="16"/>
              </w:rPr>
              <w:t>(199,710)</w:t>
            </w:r>
          </w:p>
        </w:tc>
      </w:tr>
      <w:tr w:rsidR="00000000">
        <w:trPr>
          <w:divId w:val="193084893"/>
        </w:trPr>
        <w:tc>
          <w:tcPr>
            <w:tcW w:w="3502"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16"/>
                <w:szCs w:val="16"/>
              </w:rPr>
            </w:pPr>
            <w:r>
              <w:rPr>
                <w:b/>
                <w:bCs/>
                <w:sz w:val="16"/>
                <w:szCs w:val="16"/>
              </w:rPr>
              <w:t>Cash, cash equivalents, and restricted cash at beginning of period</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58,897</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 </w:t>
            </w:r>
          </w:p>
        </w:tc>
        <w:tc>
          <w:tcPr>
            <w:tcW w:w="4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378,854</w:t>
            </w:r>
          </w:p>
        </w:tc>
      </w:tr>
      <w:tr w:rsidR="00000000">
        <w:trPr>
          <w:divId w:val="193084893"/>
        </w:trPr>
        <w:tc>
          <w:tcPr>
            <w:tcW w:w="3502" w:type="pct"/>
            <w:tcMar>
              <w:top w:w="0" w:type="dxa"/>
              <w:left w:w="0" w:type="dxa"/>
              <w:bottom w:w="0" w:type="dxa"/>
              <w:right w:w="0" w:type="dxa"/>
            </w:tcMar>
            <w:hideMark/>
          </w:tcPr>
          <w:p w:rsidR="00000000" w:rsidRDefault="00C96329">
            <w:pPr>
              <w:pStyle w:val="a3"/>
              <w:spacing w:before="0" w:beforeAutospacing="0" w:after="0" w:afterAutospacing="0"/>
              <w:rPr>
                <w:sz w:val="16"/>
                <w:szCs w:val="16"/>
              </w:rPr>
            </w:pPr>
            <w:r>
              <w:rPr>
                <w:b/>
                <w:bCs/>
                <w:sz w:val="16"/>
                <w:szCs w:val="16"/>
              </w:rPr>
              <w:t>Cash, cash equivalents, and restricted cash at end of period</w:t>
            </w:r>
            <w:r>
              <w:rPr>
                <w:sz w:val="16"/>
                <w:szCs w:val="16"/>
              </w:rPr>
              <w:t xml:space="preserve"> </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105,568</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497"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179,144</w:t>
            </w:r>
          </w:p>
        </w:tc>
      </w:tr>
      <w:tr w:rsidR="00000000">
        <w:trPr>
          <w:divId w:val="193084893"/>
        </w:trPr>
        <w:tc>
          <w:tcPr>
            <w:tcW w:w="3502"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b/>
                <w:bCs/>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r>
      <w:tr w:rsidR="00000000">
        <w:trPr>
          <w:divId w:val="193084893"/>
        </w:trPr>
        <w:tc>
          <w:tcPr>
            <w:tcW w:w="3502" w:type="pct"/>
            <w:tcMar>
              <w:top w:w="0" w:type="dxa"/>
              <w:left w:w="0" w:type="dxa"/>
              <w:bottom w:w="0" w:type="dxa"/>
              <w:right w:w="0" w:type="dxa"/>
            </w:tcMar>
            <w:hideMark/>
          </w:tcPr>
          <w:p w:rsidR="00000000" w:rsidRDefault="00C96329">
            <w:pPr>
              <w:pStyle w:val="a3"/>
              <w:spacing w:before="0" w:beforeAutospacing="0" w:after="0" w:afterAutospacing="0"/>
              <w:rPr>
                <w:sz w:val="16"/>
                <w:szCs w:val="16"/>
              </w:rPr>
            </w:pPr>
            <w:r>
              <w:rPr>
                <w:b/>
                <w:bCs/>
                <w:sz w:val="16"/>
                <w:szCs w:val="16"/>
              </w:rPr>
              <w:t>Supplemental disclosure of cash flow information</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16"/>
                <w:szCs w:val="16"/>
              </w:rPr>
              <w:t>​</w:t>
            </w:r>
          </w:p>
        </w:tc>
      </w:tr>
      <w:tr w:rsidR="00000000">
        <w:trPr>
          <w:divId w:val="193084893"/>
        </w:trPr>
        <w:tc>
          <w:tcPr>
            <w:tcW w:w="3502"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16"/>
                <w:szCs w:val="16"/>
              </w:rPr>
            </w:pPr>
            <w:r>
              <w:rPr>
                <w:sz w:val="16"/>
                <w:szCs w:val="16"/>
              </w:rPr>
              <w:t>Cash paid for interest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20,287</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11,753</w:t>
            </w:r>
          </w:p>
        </w:tc>
      </w:tr>
      <w:tr w:rsidR="00000000">
        <w:trPr>
          <w:divId w:val="193084893"/>
        </w:trPr>
        <w:tc>
          <w:tcPr>
            <w:tcW w:w="3502" w:type="pct"/>
            <w:tcMar>
              <w:top w:w="0" w:type="dxa"/>
              <w:left w:w="0" w:type="dxa"/>
              <w:bottom w:w="0" w:type="dxa"/>
              <w:right w:w="0" w:type="dxa"/>
            </w:tcMar>
            <w:hideMark/>
          </w:tcPr>
          <w:p w:rsidR="00000000" w:rsidRDefault="00C96329">
            <w:pPr>
              <w:pStyle w:val="a3"/>
              <w:spacing w:before="0" w:beforeAutospacing="0" w:after="0" w:afterAutospacing="0"/>
              <w:rPr>
                <w:sz w:val="16"/>
                <w:szCs w:val="16"/>
              </w:rPr>
            </w:pPr>
            <w:r>
              <w:rPr>
                <w:sz w:val="16"/>
                <w:szCs w:val="16"/>
              </w:rPr>
              <w:t>Cash paid for income taxes, net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496"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14</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497"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21</w:t>
            </w:r>
          </w:p>
        </w:tc>
      </w:tr>
      <w:tr w:rsidR="00000000">
        <w:trPr>
          <w:divId w:val="193084893"/>
        </w:trPr>
        <w:tc>
          <w:tcPr>
            <w:tcW w:w="3502"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16"/>
                <w:szCs w:val="16"/>
              </w:rPr>
            </w:pPr>
            <w:r>
              <w:rPr>
                <w:sz w:val="16"/>
                <w:szCs w:val="16"/>
              </w:rPr>
              <w:t>Right-of-use assets obtained in exchange for lease obligations (1)</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sz w:val="16"/>
                <w:szCs w:val="16"/>
              </w:rPr>
              <w:t>$</w:t>
            </w:r>
          </w:p>
        </w:tc>
        <w:tc>
          <w:tcPr>
            <w:tcW w:w="4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50"/>
              <w:jc w:val="right"/>
              <w:rPr>
                <w:sz w:val="16"/>
                <w:szCs w:val="16"/>
              </w:rPr>
            </w:pPr>
            <w:r>
              <w:rPr>
                <w:sz w:val="16"/>
                <w:szCs w:val="16"/>
              </w:rPr>
              <w:t>49,847</w:t>
            </w:r>
          </w:p>
        </w:tc>
      </w:tr>
    </w:tbl>
    <w:p w:rsidR="00000000" w:rsidRDefault="00C96329">
      <w:pPr>
        <w:divId w:val="185143661"/>
        <w:rPr>
          <w:rFonts w:eastAsia="Times New Roman"/>
          <w:sz w:val="20"/>
          <w:szCs w:val="20"/>
        </w:rPr>
      </w:pPr>
      <w:r>
        <w:rPr>
          <w:rFonts w:eastAsia="Times New Roman"/>
          <w:sz w:val="18"/>
          <w:szCs w:val="18"/>
        </w:rPr>
        <w:t>(1</w:t>
      </w:r>
      <w:r>
        <w:rPr>
          <w:rFonts w:eastAsia="Times New Roman"/>
          <w:sz w:val="18"/>
          <w:szCs w:val="18"/>
        </w:rPr>
        <w:t>)</w:t>
      </w:r>
      <w:r>
        <w:rPr>
          <w:rFonts w:eastAsia="Times New Roman"/>
          <w:sz w:val="18"/>
          <w:szCs w:val="18"/>
        </w:rPr>
        <w:t>Amounts for the six months ended June 30, 2019 include the transition adjustment for the adoption of ASC 842.</w:t>
      </w:r>
    </w:p>
    <w:p w:rsidR="00000000" w:rsidRDefault="00C96329">
      <w:pPr>
        <w:pStyle w:val="a3"/>
        <w:spacing w:before="0" w:beforeAutospacing="0" w:after="0" w:afterAutospacing="0"/>
        <w:jc w:val="center"/>
        <w:divId w:val="193084893"/>
        <w:rPr>
          <w:sz w:val="20"/>
          <w:szCs w:val="20"/>
        </w:rPr>
      </w:pPr>
      <w:r>
        <w:rPr>
          <w:i/>
          <w:iCs/>
          <w:sz w:val="20"/>
          <w:szCs w:val="20"/>
        </w:rPr>
        <w:t>See accompanying notes to condensed consolidated financial statements</w:t>
      </w:r>
      <w:r>
        <w:rPr>
          <w:sz w:val="20"/>
          <w:szCs w:val="20"/>
        </w:rPr>
        <w:t>.</w:t>
      </w:r>
    </w:p>
    <w:p w:rsidR="00000000" w:rsidRDefault="00C96329">
      <w:pPr>
        <w:pStyle w:val="a3"/>
        <w:spacing w:before="360" w:beforeAutospacing="0" w:after="0" w:afterAutospacing="0"/>
        <w:jc w:val="center"/>
        <w:divId w:val="1848639583"/>
        <w:rPr>
          <w:sz w:val="20"/>
          <w:szCs w:val="20"/>
        </w:rPr>
      </w:pPr>
      <w:r>
        <w:rPr>
          <w:sz w:val="20"/>
          <w:szCs w:val="20"/>
        </w:rPr>
        <w:t>6</w:t>
      </w:r>
    </w:p>
    <w:p w:rsidR="00000000" w:rsidRDefault="00C96329">
      <w:pPr>
        <w:pStyle w:val="a3"/>
        <w:spacing w:before="0" w:beforeAutospacing="0" w:after="600" w:afterAutospacing="0"/>
        <w:divId w:val="232158503"/>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jc w:val="center"/>
        <w:divId w:val="1966891004"/>
        <w:rPr>
          <w:sz w:val="20"/>
          <w:szCs w:val="20"/>
        </w:rPr>
      </w:pPr>
      <w:r>
        <w:rPr>
          <w:b/>
          <w:bCs/>
          <w:sz w:val="20"/>
          <w:szCs w:val="20"/>
        </w:rPr>
        <w:t>THERAVANCE BIOPHARMA, INC.</w:t>
      </w:r>
    </w:p>
    <w:p w:rsidR="00000000" w:rsidRDefault="00C96329">
      <w:pPr>
        <w:pStyle w:val="a3"/>
        <w:spacing w:before="0" w:beforeAutospacing="0" w:after="0" w:afterAutospacing="0"/>
        <w:jc w:val="center"/>
        <w:divId w:val="1966891004"/>
        <w:rPr>
          <w:sz w:val="20"/>
          <w:szCs w:val="20"/>
        </w:rPr>
      </w:pPr>
      <w:r>
        <w:rPr>
          <w:b/>
          <w:bCs/>
          <w:sz w:val="20"/>
          <w:szCs w:val="20"/>
        </w:rPr>
        <w:t>NOTES TO CONDENSED CONSOLIDATED FINANCIAL STATEMENTS</w:t>
      </w:r>
    </w:p>
    <w:p w:rsidR="00000000" w:rsidRDefault="00C96329">
      <w:pPr>
        <w:pStyle w:val="a3"/>
        <w:spacing w:before="0" w:beforeAutospacing="0" w:after="0" w:afterAutospacing="0"/>
        <w:jc w:val="center"/>
        <w:divId w:val="1966891004"/>
        <w:rPr>
          <w:sz w:val="20"/>
          <w:szCs w:val="20"/>
        </w:rPr>
      </w:pPr>
      <w:r>
        <w:rPr>
          <w:b/>
          <w:bCs/>
          <w:sz w:val="20"/>
          <w:szCs w:val="20"/>
        </w:rPr>
        <w:t>(Unaudited)</w:t>
      </w:r>
    </w:p>
    <w:p w:rsidR="00000000" w:rsidRDefault="00C96329">
      <w:pPr>
        <w:pStyle w:val="a3"/>
        <w:spacing w:before="0" w:beforeAutospacing="0" w:after="0" w:afterAutospacing="0"/>
        <w:jc w:val="center"/>
        <w:divId w:val="1966891004"/>
        <w:rPr>
          <w:sz w:val="20"/>
          <w:szCs w:val="20"/>
        </w:rPr>
      </w:pPr>
      <w:r>
        <w:rPr>
          <w:sz w:val="20"/>
          <w:szCs w:val="20"/>
        </w:rPr>
        <w:t>​</w:t>
      </w:r>
    </w:p>
    <w:p w:rsidR="00000000" w:rsidRDefault="00C96329">
      <w:pPr>
        <w:pStyle w:val="a3"/>
        <w:spacing w:before="0" w:beforeAutospacing="0" w:after="0" w:afterAutospacing="0"/>
        <w:divId w:val="1966891004"/>
        <w:rPr>
          <w:sz w:val="20"/>
          <w:szCs w:val="20"/>
        </w:rPr>
      </w:pPr>
      <w:r>
        <w:rPr>
          <w:sz w:val="20"/>
          <w:szCs w:val="20"/>
        </w:rPr>
        <w:t>​</w:t>
      </w:r>
    </w:p>
    <w:p w:rsidR="00000000" w:rsidRDefault="00C96329">
      <w:pPr>
        <w:pStyle w:val="a3"/>
        <w:spacing w:before="0" w:beforeAutospacing="0" w:after="0" w:afterAutospacing="0"/>
        <w:divId w:val="1966891004"/>
        <w:rPr>
          <w:sz w:val="20"/>
          <w:szCs w:val="20"/>
        </w:rPr>
      </w:pPr>
      <w:r>
        <w:rPr>
          <w:b/>
          <w:bCs/>
          <w:sz w:val="20"/>
          <w:szCs w:val="20"/>
        </w:rPr>
        <w:t>1. Organization and Summary of Significant Accounting Policies</w:t>
      </w:r>
    </w:p>
    <w:p w:rsidR="00000000" w:rsidRDefault="00C96329">
      <w:pPr>
        <w:pStyle w:val="a3"/>
        <w:spacing w:before="0" w:beforeAutospacing="0" w:after="0" w:afterAutospacing="0"/>
        <w:divId w:val="1966891004"/>
        <w:rPr>
          <w:sz w:val="20"/>
          <w:szCs w:val="20"/>
        </w:rPr>
      </w:pPr>
      <w:r>
        <w:rPr>
          <w:sz w:val="10"/>
          <w:szCs w:val="10"/>
        </w:rPr>
        <w:t>​</w:t>
      </w:r>
    </w:p>
    <w:p w:rsidR="00000000" w:rsidRDefault="00C96329">
      <w:pPr>
        <w:pStyle w:val="a3"/>
        <w:spacing w:before="0" w:beforeAutospacing="0" w:after="0" w:afterAutospacing="0"/>
        <w:ind w:firstLine="720"/>
        <w:divId w:val="1966891004"/>
        <w:rPr>
          <w:sz w:val="20"/>
          <w:szCs w:val="20"/>
        </w:rPr>
      </w:pPr>
      <w:r>
        <w:rPr>
          <w:sz w:val="20"/>
          <w:szCs w:val="20"/>
        </w:rPr>
        <w:t xml:space="preserve">Theravance Biopharma, Inc. (“Theravance Biopharma” or the “Company”) is a diversified biopharmaceutical company primarily </w:t>
      </w:r>
      <w:r>
        <w:rPr>
          <w:sz w:val="20"/>
          <w:szCs w:val="20"/>
        </w:rPr>
        <w:t xml:space="preserve">focused on the discovery, development and commercialization of organ-selective medicines. The Company’s purpose is to create transformational medicines to improve the lives of patients suffering from serious illnesses. The Company’s research is focused in </w:t>
      </w:r>
      <w:r>
        <w:rPr>
          <w:sz w:val="20"/>
          <w:szCs w:val="20"/>
        </w:rPr>
        <w:t>the areas of inflammation and immunology.</w:t>
      </w:r>
    </w:p>
    <w:p w:rsidR="00000000" w:rsidRDefault="00C96329">
      <w:pPr>
        <w:pStyle w:val="a3"/>
        <w:spacing w:before="0" w:beforeAutospacing="0" w:after="0" w:afterAutospacing="0"/>
        <w:divId w:val="1966891004"/>
        <w:rPr>
          <w:sz w:val="20"/>
          <w:szCs w:val="20"/>
        </w:rPr>
      </w:pPr>
      <w:r>
        <w:rPr>
          <w:sz w:val="20"/>
          <w:szCs w:val="20"/>
        </w:rPr>
        <w:t>​</w:t>
      </w:r>
    </w:p>
    <w:p w:rsidR="00000000" w:rsidRDefault="00C96329">
      <w:pPr>
        <w:pStyle w:val="a3"/>
        <w:spacing w:before="0" w:beforeAutospacing="0" w:after="0" w:afterAutospacing="0"/>
        <w:divId w:val="1966891004"/>
        <w:rPr>
          <w:sz w:val="20"/>
          <w:szCs w:val="20"/>
        </w:rPr>
      </w:pPr>
      <w:r>
        <w:rPr>
          <w:b/>
          <w:bCs/>
          <w:i/>
          <w:iCs/>
          <w:sz w:val="20"/>
          <w:szCs w:val="20"/>
        </w:rPr>
        <w:t>Basis of Presentation</w:t>
      </w:r>
    </w:p>
    <w:p w:rsidR="00000000" w:rsidRDefault="00C96329">
      <w:pPr>
        <w:pStyle w:val="a3"/>
        <w:spacing w:before="0" w:beforeAutospacing="0" w:after="0" w:afterAutospacing="0"/>
        <w:divId w:val="1966891004"/>
        <w:rPr>
          <w:sz w:val="20"/>
          <w:szCs w:val="20"/>
        </w:rPr>
      </w:pPr>
      <w:r>
        <w:rPr>
          <w:sz w:val="10"/>
          <w:szCs w:val="10"/>
        </w:rPr>
        <w:t>​</w:t>
      </w:r>
    </w:p>
    <w:p w:rsidR="00000000" w:rsidRDefault="00C96329">
      <w:pPr>
        <w:pStyle w:val="a3"/>
        <w:spacing w:before="0" w:beforeAutospacing="0" w:after="0" w:afterAutospacing="0"/>
        <w:ind w:firstLine="720"/>
        <w:divId w:val="1966891004"/>
        <w:rPr>
          <w:sz w:val="20"/>
          <w:szCs w:val="20"/>
        </w:rPr>
      </w:pPr>
      <w:r>
        <w:rPr>
          <w:sz w:val="20"/>
          <w:szCs w:val="20"/>
        </w:rPr>
        <w:t>The Company’s condensed consolidated financial information as of June 30, 2020, and the three and six months ended June 30, 2020 and 2019 is unaudited but includes all adjustments (consist</w:t>
      </w:r>
      <w:r>
        <w:rPr>
          <w:sz w:val="20"/>
          <w:szCs w:val="20"/>
        </w:rPr>
        <w:t xml:space="preserve">ing only of normal recurring adjustments), which are considered necessary for a fair presentation of the financial position at such date and of the operating results and cash flows for those periods, and have been prepared in accordance with United States </w:t>
      </w:r>
      <w:r>
        <w:rPr>
          <w:sz w:val="20"/>
          <w:szCs w:val="20"/>
        </w:rPr>
        <w:t>(“US”) generally accepted accounting principles (“GAAP”) for interim financial information. Accordingly, they do not include all of the information and notes required by GAAP for complete financial statements. The accompanying unaudited condensed consolida</w:t>
      </w:r>
      <w:r>
        <w:rPr>
          <w:sz w:val="20"/>
          <w:szCs w:val="20"/>
        </w:rPr>
        <w:t>ted financial statements should be read in conjunction with the audited consolidated December 31, 2019 financial statements and notes thereto included in the Company’s Annual Report on Form 10-K for the year ended December 31, 2019, filed with the Securiti</w:t>
      </w:r>
      <w:r>
        <w:rPr>
          <w:sz w:val="20"/>
          <w:szCs w:val="20"/>
        </w:rPr>
        <w:t>es and Exchange Commission (“SEC”) on February 27, 2020.</w:t>
      </w:r>
    </w:p>
    <w:p w:rsidR="00000000" w:rsidRDefault="00C96329">
      <w:pPr>
        <w:pStyle w:val="a3"/>
        <w:spacing w:before="0" w:beforeAutospacing="0" w:after="0" w:afterAutospacing="0"/>
        <w:ind w:firstLine="720"/>
        <w:divId w:val="1966891004"/>
        <w:rPr>
          <w:sz w:val="20"/>
          <w:szCs w:val="20"/>
        </w:rPr>
      </w:pPr>
      <w:r>
        <w:rPr>
          <w:sz w:val="20"/>
          <w:szCs w:val="20"/>
        </w:rPr>
        <w:t>​</w:t>
      </w:r>
    </w:p>
    <w:p w:rsidR="00000000" w:rsidRDefault="00C96329">
      <w:pPr>
        <w:pStyle w:val="a3"/>
        <w:spacing w:before="0" w:beforeAutospacing="0" w:after="0" w:afterAutospacing="0"/>
        <w:ind w:firstLine="720"/>
        <w:divId w:val="1966891004"/>
        <w:rPr>
          <w:sz w:val="20"/>
          <w:szCs w:val="20"/>
        </w:rPr>
      </w:pPr>
      <w:r>
        <w:rPr>
          <w:sz w:val="20"/>
          <w:szCs w:val="20"/>
        </w:rPr>
        <w:t>The results for the three and six months ended June 30, 2020 are not necessarily indicative of the results to be expected for the year ending December 31, 2020, or for any other interim period or f</w:t>
      </w:r>
      <w:r>
        <w:rPr>
          <w:sz w:val="20"/>
          <w:szCs w:val="20"/>
        </w:rPr>
        <w:t>or any future period. These condensed consolidated financial statements include the accounts of the Company and its subsidiaries, and intercompany transactions and balances have been eliminated.</w:t>
      </w:r>
    </w:p>
    <w:p w:rsidR="00000000" w:rsidRDefault="00C96329">
      <w:pPr>
        <w:pStyle w:val="a3"/>
        <w:spacing w:before="0" w:beforeAutospacing="0" w:after="0" w:afterAutospacing="0"/>
        <w:ind w:firstLine="720"/>
        <w:divId w:val="1966891004"/>
        <w:rPr>
          <w:sz w:val="20"/>
          <w:szCs w:val="20"/>
        </w:rPr>
      </w:pPr>
      <w:r>
        <w:rPr>
          <w:sz w:val="20"/>
          <w:szCs w:val="20"/>
        </w:rPr>
        <w:t>​</w:t>
      </w:r>
    </w:p>
    <w:p w:rsidR="00000000" w:rsidRDefault="00C96329">
      <w:pPr>
        <w:pStyle w:val="a3"/>
        <w:spacing w:before="0" w:beforeAutospacing="0" w:after="0" w:afterAutospacing="0"/>
        <w:divId w:val="1966891004"/>
        <w:rPr>
          <w:sz w:val="20"/>
          <w:szCs w:val="20"/>
        </w:rPr>
      </w:pPr>
      <w:r>
        <w:rPr>
          <w:b/>
          <w:bCs/>
          <w:i/>
          <w:iCs/>
          <w:sz w:val="20"/>
          <w:szCs w:val="20"/>
        </w:rPr>
        <w:t>Use of Estimates</w:t>
      </w:r>
    </w:p>
    <w:p w:rsidR="00000000" w:rsidRDefault="00C96329">
      <w:pPr>
        <w:pStyle w:val="a3"/>
        <w:spacing w:before="0" w:beforeAutospacing="0" w:after="0" w:afterAutospacing="0"/>
        <w:divId w:val="1966891004"/>
        <w:rPr>
          <w:sz w:val="20"/>
          <w:szCs w:val="20"/>
        </w:rPr>
      </w:pPr>
      <w:r>
        <w:rPr>
          <w:sz w:val="10"/>
          <w:szCs w:val="10"/>
        </w:rPr>
        <w:t>​</w:t>
      </w:r>
    </w:p>
    <w:p w:rsidR="00000000" w:rsidRDefault="00C96329">
      <w:pPr>
        <w:pStyle w:val="a3"/>
        <w:spacing w:before="0" w:beforeAutospacing="0" w:after="0" w:afterAutospacing="0"/>
        <w:ind w:firstLine="720"/>
        <w:divId w:val="1966891004"/>
        <w:rPr>
          <w:sz w:val="20"/>
          <w:szCs w:val="20"/>
        </w:rPr>
      </w:pPr>
      <w:r>
        <w:rPr>
          <w:sz w:val="20"/>
          <w:szCs w:val="20"/>
        </w:rPr>
        <w:t xml:space="preserve">The preparation of financial statements </w:t>
      </w:r>
      <w:r>
        <w:rPr>
          <w:sz w:val="20"/>
          <w:szCs w:val="20"/>
        </w:rPr>
        <w:t>in conformity with GAAP requires management to make estimates and assumptions that affect the reported amounts of assets, liabilities, revenues and expenses, and related disclosures in the condensed consolidated financial statements and accompanying notes.</w:t>
      </w:r>
      <w:r>
        <w:rPr>
          <w:sz w:val="20"/>
          <w:szCs w:val="20"/>
        </w:rPr>
        <w:t xml:space="preserve"> Management bases its estimates on historical experience and on assumptions believed to be reasonable under the circumstances. Actual results could differ materially from those estimates.</w:t>
      </w:r>
    </w:p>
    <w:p w:rsidR="00000000" w:rsidRDefault="00C96329">
      <w:pPr>
        <w:pStyle w:val="a3"/>
        <w:spacing w:before="0" w:beforeAutospacing="0" w:after="0" w:afterAutospacing="0"/>
        <w:divId w:val="1966891004"/>
        <w:rPr>
          <w:sz w:val="20"/>
          <w:szCs w:val="20"/>
        </w:rPr>
      </w:pPr>
      <w:r>
        <w:rPr>
          <w:b/>
          <w:bCs/>
          <w:color w:val="FF0000"/>
          <w:sz w:val="20"/>
          <w:szCs w:val="20"/>
        </w:rPr>
        <w:t>​</w:t>
      </w:r>
    </w:p>
    <w:p w:rsidR="00000000" w:rsidRDefault="00C96329">
      <w:pPr>
        <w:pStyle w:val="a3"/>
        <w:spacing w:before="0" w:beforeAutospacing="0" w:after="0" w:afterAutospacing="0"/>
        <w:divId w:val="1966891004"/>
        <w:rPr>
          <w:sz w:val="20"/>
          <w:szCs w:val="20"/>
        </w:rPr>
      </w:pPr>
      <w:r>
        <w:rPr>
          <w:sz w:val="20"/>
          <w:szCs w:val="20"/>
        </w:rPr>
        <w:t>Furthermore, the estimates used in the preparation of the Company’</w:t>
      </w:r>
      <w:r>
        <w:rPr>
          <w:sz w:val="20"/>
          <w:szCs w:val="20"/>
        </w:rPr>
        <w:t xml:space="preserve">s condensed consolidated financial statements may change due to the uncertainty and disruption in the global economy and financial markets related to the novel coronavirus (“COVID-19”) pandemic. The full extent to which the COVID-19 pandemic will directly </w:t>
      </w:r>
      <w:r>
        <w:rPr>
          <w:sz w:val="20"/>
          <w:szCs w:val="20"/>
        </w:rPr>
        <w:t>or indirectly impact the Company’s business, results of operations and financial condition, including revenue, expenses, clinical trials, and research and development costs, will depend on future developments that are highly uncertain and may be impacted b</w:t>
      </w:r>
      <w:r>
        <w:rPr>
          <w:sz w:val="20"/>
          <w:szCs w:val="20"/>
        </w:rPr>
        <w:t>y the emergence of new information concerning the COVID-19 pandemic and the actions taken to contain or treat the disease.</w:t>
      </w:r>
    </w:p>
    <w:p w:rsidR="00000000" w:rsidRDefault="00C96329">
      <w:pPr>
        <w:pStyle w:val="a3"/>
        <w:spacing w:before="0" w:beforeAutospacing="0" w:after="0" w:afterAutospacing="0"/>
        <w:divId w:val="1966891004"/>
        <w:rPr>
          <w:sz w:val="20"/>
          <w:szCs w:val="20"/>
        </w:rPr>
      </w:pPr>
      <w:r>
        <w:rPr>
          <w:sz w:val="20"/>
          <w:szCs w:val="20"/>
        </w:rPr>
        <w:t>​</w:t>
      </w:r>
    </w:p>
    <w:p w:rsidR="00000000" w:rsidRDefault="00C96329">
      <w:pPr>
        <w:pStyle w:val="a3"/>
        <w:spacing w:before="0" w:beforeAutospacing="0" w:after="0" w:afterAutospacing="0"/>
        <w:divId w:val="1966891004"/>
        <w:rPr>
          <w:sz w:val="20"/>
          <w:szCs w:val="20"/>
        </w:rPr>
      </w:pPr>
      <w:r>
        <w:rPr>
          <w:b/>
          <w:bCs/>
          <w:i/>
          <w:iCs/>
          <w:sz w:val="20"/>
          <w:szCs w:val="20"/>
        </w:rPr>
        <w:t>Significant Accounting Policies</w:t>
      </w:r>
    </w:p>
    <w:p w:rsidR="00000000" w:rsidRDefault="00C96329">
      <w:pPr>
        <w:pStyle w:val="a3"/>
        <w:spacing w:before="0" w:beforeAutospacing="0" w:after="0" w:afterAutospacing="0"/>
        <w:divId w:val="1966891004"/>
        <w:rPr>
          <w:sz w:val="20"/>
          <w:szCs w:val="20"/>
        </w:rPr>
      </w:pPr>
      <w:r>
        <w:rPr>
          <w:sz w:val="10"/>
          <w:szCs w:val="10"/>
        </w:rPr>
        <w:t>​</w:t>
      </w:r>
    </w:p>
    <w:p w:rsidR="00000000" w:rsidRDefault="00C96329">
      <w:pPr>
        <w:pStyle w:val="a3"/>
        <w:spacing w:before="0" w:beforeAutospacing="0" w:after="0" w:afterAutospacing="0"/>
        <w:ind w:firstLine="720"/>
        <w:divId w:val="1966891004"/>
        <w:rPr>
          <w:sz w:val="20"/>
          <w:szCs w:val="20"/>
        </w:rPr>
      </w:pPr>
      <w:r>
        <w:rPr>
          <w:sz w:val="20"/>
          <w:szCs w:val="20"/>
        </w:rPr>
        <w:t>Other than the recently adopted accounting pronouncements below, there have been no material revi</w:t>
      </w:r>
      <w:r>
        <w:rPr>
          <w:sz w:val="20"/>
          <w:szCs w:val="20"/>
        </w:rPr>
        <w:t>sions in the Company’s significant accounting policies described in Note 1 to the consolidated financial statements included in its Annual Report on Form 10-K for the year ended December 31, 2019.</w:t>
      </w:r>
    </w:p>
    <w:p w:rsidR="00000000" w:rsidRDefault="00C96329">
      <w:pPr>
        <w:pStyle w:val="a3"/>
        <w:spacing w:before="0" w:beforeAutospacing="0" w:after="0" w:afterAutospacing="0"/>
        <w:divId w:val="1966891004"/>
        <w:rPr>
          <w:sz w:val="20"/>
          <w:szCs w:val="20"/>
        </w:rPr>
      </w:pPr>
      <w:r>
        <w:rPr>
          <w:sz w:val="20"/>
          <w:szCs w:val="20"/>
        </w:rPr>
        <w:t>​</w:t>
      </w:r>
    </w:p>
    <w:p w:rsidR="00000000" w:rsidRDefault="00C96329">
      <w:pPr>
        <w:pStyle w:val="a3"/>
        <w:spacing w:before="0" w:beforeAutospacing="0" w:after="0" w:afterAutospacing="0"/>
        <w:divId w:val="1966891004"/>
        <w:rPr>
          <w:sz w:val="20"/>
          <w:szCs w:val="20"/>
        </w:rPr>
      </w:pPr>
      <w:r>
        <w:rPr>
          <w:b/>
          <w:bCs/>
          <w:i/>
          <w:iCs/>
          <w:sz w:val="20"/>
          <w:szCs w:val="20"/>
        </w:rPr>
        <w:t>Recently Adopted Accounting Pronouncements</w:t>
      </w:r>
    </w:p>
    <w:p w:rsidR="00000000" w:rsidRDefault="00C96329">
      <w:pPr>
        <w:pStyle w:val="a3"/>
        <w:spacing w:before="0" w:beforeAutospacing="0" w:after="0" w:afterAutospacing="0"/>
        <w:divId w:val="1966891004"/>
        <w:rPr>
          <w:sz w:val="20"/>
          <w:szCs w:val="20"/>
        </w:rPr>
      </w:pPr>
      <w:r>
        <w:rPr>
          <w:b/>
          <w:bCs/>
          <w:i/>
          <w:iCs/>
          <w:sz w:val="10"/>
          <w:szCs w:val="10"/>
        </w:rPr>
        <w:t>​</w:t>
      </w:r>
    </w:p>
    <w:p w:rsidR="00000000" w:rsidRDefault="00C96329">
      <w:pPr>
        <w:pStyle w:val="a3"/>
        <w:spacing w:before="0" w:beforeAutospacing="0" w:after="0" w:afterAutospacing="0"/>
        <w:ind w:firstLine="720"/>
        <w:divId w:val="1966891004"/>
        <w:rPr>
          <w:sz w:val="20"/>
          <w:szCs w:val="20"/>
        </w:rPr>
      </w:pPr>
      <w:r>
        <w:rPr>
          <w:sz w:val="20"/>
          <w:szCs w:val="20"/>
          <w:shd w:val="clear" w:color="auto" w:fill="FFFFFF"/>
        </w:rPr>
        <w:t>In June 2016, the Financial Accounting Standards Board (“FASB”) issued ASU 2016-13, </w:t>
      </w:r>
      <w:r>
        <w:rPr>
          <w:i/>
          <w:iCs/>
          <w:sz w:val="20"/>
          <w:szCs w:val="20"/>
          <w:shd w:val="clear" w:color="auto" w:fill="FFFFFF"/>
        </w:rPr>
        <w:t>Financial Instruments - Credit Losses (Topic 326): Measurement of Credit Losses on Financial Instruments</w:t>
      </w:r>
      <w:r>
        <w:rPr>
          <w:sz w:val="20"/>
          <w:szCs w:val="20"/>
          <w:shd w:val="clear" w:color="auto" w:fill="FFFFFF"/>
        </w:rPr>
        <w:t> (“ASU 2016-13"</w:t>
      </w:r>
      <w:r>
        <w:rPr>
          <w:sz w:val="20"/>
          <w:szCs w:val="20"/>
          <w:shd w:val="clear" w:color="auto" w:fill="FFFFFF"/>
        </w:rPr>
        <w:t>). This guidance requires that financial assets measured at amortized cost be presented at the net amount expected to be collected. The measurement of expected credit losses is based on historical experience, current conditions, and reasonable and supporta</w:t>
      </w:r>
      <w:r>
        <w:rPr>
          <w:sz w:val="20"/>
          <w:szCs w:val="20"/>
          <w:shd w:val="clear" w:color="auto" w:fill="FFFFFF"/>
        </w:rPr>
        <w:t xml:space="preserve">ble </w:t>
      </w:r>
    </w:p>
    <w:p w:rsidR="00000000" w:rsidRDefault="00C96329">
      <w:pPr>
        <w:pStyle w:val="a3"/>
        <w:spacing w:before="360" w:beforeAutospacing="0" w:after="0" w:afterAutospacing="0"/>
        <w:jc w:val="center"/>
        <w:divId w:val="2087071702"/>
        <w:rPr>
          <w:sz w:val="20"/>
          <w:szCs w:val="20"/>
        </w:rPr>
      </w:pPr>
      <w:r>
        <w:rPr>
          <w:sz w:val="20"/>
          <w:szCs w:val="20"/>
        </w:rPr>
        <w:t>7</w:t>
      </w:r>
    </w:p>
    <w:p w:rsidR="00000000" w:rsidRDefault="00C96329">
      <w:pPr>
        <w:pStyle w:val="a3"/>
        <w:spacing w:before="0" w:beforeAutospacing="0" w:after="600" w:afterAutospacing="0"/>
        <w:divId w:val="443579054"/>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35666492"/>
        <w:rPr>
          <w:sz w:val="20"/>
          <w:szCs w:val="20"/>
        </w:rPr>
      </w:pPr>
      <w:r>
        <w:rPr>
          <w:sz w:val="20"/>
          <w:szCs w:val="20"/>
          <w:shd w:val="clear" w:color="auto" w:fill="FFFFFF"/>
        </w:rPr>
        <w:t xml:space="preserve">forecasts that affect collectability. </w:t>
      </w:r>
      <w:r>
        <w:rPr>
          <w:sz w:val="20"/>
          <w:szCs w:val="20"/>
        </w:rPr>
        <w:t>ASU 2016-13 also eliminates the concept of “other-than-temporary” impairment when evaluating available-for-sale debt securities and instead focuses on determining whet</w:t>
      </w:r>
      <w:r>
        <w:rPr>
          <w:sz w:val="20"/>
          <w:szCs w:val="20"/>
        </w:rPr>
        <w:t xml:space="preserve">her any impairment is a result of a credit loss or other factors. An entity will recognize an allowance for credit losses on available-for-sale debt securities rather than an other-than-temporary impairment that reduces the cost basis of the investment. </w:t>
      </w:r>
      <w:r>
        <w:rPr>
          <w:sz w:val="20"/>
          <w:szCs w:val="20"/>
          <w:shd w:val="clear" w:color="auto" w:fill="FFFFFF"/>
        </w:rPr>
        <w:t>AS</w:t>
      </w:r>
      <w:r>
        <w:rPr>
          <w:sz w:val="20"/>
          <w:szCs w:val="20"/>
          <w:shd w:val="clear" w:color="auto" w:fill="FFFFFF"/>
        </w:rPr>
        <w:t>U 2016-13 became effective on January 1, 2020, and the adoption did not have a material impact on the Company’s condensed consolidated financial statements and related disclosures primarily due to the high credit quality and short-term maturities of the Co</w:t>
      </w:r>
      <w:r>
        <w:rPr>
          <w:sz w:val="20"/>
          <w:szCs w:val="20"/>
          <w:shd w:val="clear" w:color="auto" w:fill="FFFFFF"/>
        </w:rPr>
        <w:t>mpany’s marketable securities.</w:t>
      </w:r>
    </w:p>
    <w:p w:rsidR="00000000" w:rsidRDefault="00C96329">
      <w:pPr>
        <w:pStyle w:val="a3"/>
        <w:spacing w:before="0" w:beforeAutospacing="0" w:after="0" w:afterAutospacing="0"/>
        <w:ind w:firstLine="720"/>
        <w:divId w:val="35666492"/>
        <w:rPr>
          <w:sz w:val="20"/>
          <w:szCs w:val="20"/>
        </w:rPr>
      </w:pPr>
      <w:r>
        <w:rPr>
          <w:sz w:val="20"/>
          <w:szCs w:val="20"/>
          <w:shd w:val="clear" w:color="auto" w:fill="FFFFFF"/>
        </w:rPr>
        <w:t>​</w:t>
      </w:r>
    </w:p>
    <w:p w:rsidR="00000000" w:rsidRDefault="00C96329">
      <w:pPr>
        <w:pStyle w:val="a3"/>
        <w:spacing w:before="0" w:beforeAutospacing="0" w:after="0" w:afterAutospacing="0"/>
        <w:ind w:firstLine="720"/>
        <w:divId w:val="35666492"/>
        <w:rPr>
          <w:sz w:val="20"/>
          <w:szCs w:val="20"/>
        </w:rPr>
      </w:pPr>
      <w:r>
        <w:rPr>
          <w:sz w:val="20"/>
          <w:szCs w:val="20"/>
          <w:shd w:val="clear" w:color="auto" w:fill="FFFFFF"/>
        </w:rPr>
        <w:t>In August 2018, the FASB issued ASU 2018-15, </w:t>
      </w:r>
      <w:r>
        <w:rPr>
          <w:i/>
          <w:iCs/>
          <w:sz w:val="20"/>
          <w:szCs w:val="20"/>
          <w:shd w:val="clear" w:color="auto" w:fill="FFFFFF"/>
        </w:rPr>
        <w:t>Intangibles-Goodwill and Other-Internal-Use Software (Subtopic 350-40): Customer's Accounting for Implementation Costs Incurred in a Cloud Computing Arrangement That Is a Service</w:t>
      </w:r>
      <w:r>
        <w:rPr>
          <w:i/>
          <w:iCs/>
          <w:sz w:val="20"/>
          <w:szCs w:val="20"/>
          <w:shd w:val="clear" w:color="auto" w:fill="FFFFFF"/>
        </w:rPr>
        <w:t xml:space="preserve"> Contract</w:t>
      </w:r>
      <w:r>
        <w:rPr>
          <w:sz w:val="20"/>
          <w:szCs w:val="20"/>
          <w:shd w:val="clear" w:color="auto" w:fill="FFFFFF"/>
        </w:rPr>
        <w:t xml:space="preserve"> (“ASU 2018-15”). ASU 2018-15 aligns the requirements for capitalizing implementation costs incurred in a hosting arrangement that is a service contract with the requirements for capitalizing implementation costs incurred to develop or obtain inte</w:t>
      </w:r>
      <w:r>
        <w:rPr>
          <w:sz w:val="20"/>
          <w:szCs w:val="20"/>
          <w:shd w:val="clear" w:color="auto" w:fill="FFFFFF"/>
        </w:rPr>
        <w:t xml:space="preserve">rnal-use software. Accordingly, ASU 2018-15 requires a customer in a hosting arrangement that is a service contract to follow the guidance in Subtopic 350-40 to determine which implementation costs to capitalize as an asset related to the service contract </w:t>
      </w:r>
      <w:r>
        <w:rPr>
          <w:sz w:val="20"/>
          <w:szCs w:val="20"/>
          <w:shd w:val="clear" w:color="auto" w:fill="FFFFFF"/>
        </w:rPr>
        <w:t>and which costs to expense. ASU 2018-15 became effective on January 1, 2020, and the adoption did not have a material impact on the Company’s condensed consolidated financial statements and related disclosures. However, the adoption of ASU 2018-15 may resu</w:t>
      </w:r>
      <w:r>
        <w:rPr>
          <w:sz w:val="20"/>
          <w:szCs w:val="20"/>
          <w:shd w:val="clear" w:color="auto" w:fill="FFFFFF"/>
        </w:rPr>
        <w:t>lt in an increase in capitalized assets related to qualifying cloud computing arrangement implementation costs in the future.</w:t>
      </w:r>
    </w:p>
    <w:p w:rsidR="00000000" w:rsidRDefault="00C96329">
      <w:pPr>
        <w:pStyle w:val="a3"/>
        <w:spacing w:before="0" w:beforeAutospacing="0" w:after="0" w:afterAutospacing="0"/>
        <w:ind w:firstLine="720"/>
        <w:divId w:val="35666492"/>
        <w:rPr>
          <w:sz w:val="20"/>
          <w:szCs w:val="20"/>
        </w:rPr>
      </w:pPr>
      <w:r>
        <w:rPr>
          <w:color w:val="FF0000"/>
          <w:sz w:val="20"/>
          <w:szCs w:val="20"/>
          <w:shd w:val="clear" w:color="auto" w:fill="FFFFFF"/>
        </w:rPr>
        <w:t>​</w:t>
      </w:r>
    </w:p>
    <w:p w:rsidR="00000000" w:rsidRDefault="00C96329">
      <w:pPr>
        <w:pStyle w:val="a3"/>
        <w:spacing w:before="0" w:beforeAutospacing="0" w:after="0" w:afterAutospacing="0"/>
        <w:ind w:firstLine="720"/>
        <w:divId w:val="35666492"/>
        <w:rPr>
          <w:sz w:val="20"/>
          <w:szCs w:val="20"/>
        </w:rPr>
      </w:pPr>
      <w:r>
        <w:rPr>
          <w:sz w:val="20"/>
          <w:szCs w:val="20"/>
          <w:shd w:val="clear" w:color="auto" w:fill="FFFFFF"/>
        </w:rPr>
        <w:t xml:space="preserve">In November 2018, the FASB issued ASU 2018-18, </w:t>
      </w:r>
      <w:r>
        <w:rPr>
          <w:i/>
          <w:iCs/>
          <w:sz w:val="20"/>
          <w:szCs w:val="20"/>
          <w:shd w:val="clear" w:color="auto" w:fill="FFFFFF"/>
        </w:rPr>
        <w:t>Collaboration Arrangements: Clarifying the Interaction between Topic 808 and Topi</w:t>
      </w:r>
      <w:r>
        <w:rPr>
          <w:i/>
          <w:iCs/>
          <w:sz w:val="20"/>
          <w:szCs w:val="20"/>
          <w:shd w:val="clear" w:color="auto" w:fill="FFFFFF"/>
        </w:rPr>
        <w:t xml:space="preserve">c 606 </w:t>
      </w:r>
      <w:r>
        <w:rPr>
          <w:sz w:val="20"/>
          <w:szCs w:val="20"/>
          <w:shd w:val="clear" w:color="auto" w:fill="FFFFFF"/>
        </w:rPr>
        <w:t>(“ASU 2018-18”). The issuance of Topic 606 raised questions about the interaction between the guidance on collaborative arrangements and revenue recognition. </w:t>
      </w:r>
      <w:r>
        <w:rPr>
          <w:sz w:val="20"/>
          <w:szCs w:val="20"/>
        </w:rPr>
        <w:t>ASU 2018-18 </w:t>
      </w:r>
      <w:r>
        <w:rPr>
          <w:sz w:val="20"/>
          <w:szCs w:val="20"/>
          <w:shd w:val="clear" w:color="auto" w:fill="FFFFFF"/>
        </w:rPr>
        <w:t xml:space="preserve">addresses this uncertainty by: (i) clarifying that certain transactions between </w:t>
      </w:r>
      <w:r>
        <w:rPr>
          <w:sz w:val="20"/>
          <w:szCs w:val="20"/>
          <w:shd w:val="clear" w:color="auto" w:fill="FFFFFF"/>
        </w:rPr>
        <w:t>collaborative arrangement participants should be accounted for as revenue under Topic 606 when the collaboration arrangement participant is a customer; (ii) adding unit of account guidance to assess whether the collaboration arrangement or a part of the ar</w:t>
      </w:r>
      <w:r>
        <w:rPr>
          <w:sz w:val="20"/>
          <w:szCs w:val="20"/>
          <w:shd w:val="clear" w:color="auto" w:fill="FFFFFF"/>
        </w:rPr>
        <w:t>rangement is with a customer; and (iii) precluding a company from presenting transactions with collaboration arrangement participants that are not directly related to sales to third parties together with revenue from contracts with customers. ASU 2018-18 b</w:t>
      </w:r>
      <w:r>
        <w:rPr>
          <w:sz w:val="20"/>
          <w:szCs w:val="20"/>
          <w:shd w:val="clear" w:color="auto" w:fill="FFFFFF"/>
        </w:rPr>
        <w:t>ecame effective on January 1, 2020, and the Company elected to adopt ASU 2018-18, retrospectively, only for contracts that were not completed as of January 1, 2020. The adoption of ASU 2018-18 did not have a material impact on the Company’s condensed conso</w:t>
      </w:r>
      <w:r>
        <w:rPr>
          <w:sz w:val="20"/>
          <w:szCs w:val="20"/>
          <w:shd w:val="clear" w:color="auto" w:fill="FFFFFF"/>
        </w:rPr>
        <w:t>lidated financial statements and related disclosures.</w:t>
      </w:r>
    </w:p>
    <w:p w:rsidR="00000000" w:rsidRDefault="00C96329">
      <w:pPr>
        <w:pStyle w:val="a3"/>
        <w:spacing w:before="0" w:beforeAutospacing="0" w:after="0" w:afterAutospacing="0"/>
        <w:divId w:val="35666492"/>
        <w:rPr>
          <w:sz w:val="20"/>
          <w:szCs w:val="20"/>
        </w:rPr>
      </w:pPr>
      <w:r>
        <w:rPr>
          <w:sz w:val="20"/>
          <w:szCs w:val="20"/>
        </w:rPr>
        <w:t>​</w:t>
      </w:r>
    </w:p>
    <w:p w:rsidR="00000000" w:rsidRDefault="00C96329">
      <w:pPr>
        <w:pStyle w:val="a3"/>
        <w:spacing w:before="0" w:beforeAutospacing="0" w:after="0" w:afterAutospacing="0"/>
        <w:divId w:val="35666492"/>
        <w:rPr>
          <w:sz w:val="20"/>
          <w:szCs w:val="20"/>
        </w:rPr>
      </w:pPr>
      <w:r>
        <w:rPr>
          <w:b/>
          <w:bCs/>
          <w:i/>
          <w:iCs/>
          <w:sz w:val="20"/>
          <w:szCs w:val="20"/>
        </w:rPr>
        <w:t xml:space="preserve">Recently Issued Accounting Pronouncements Not Yet Adopted </w:t>
      </w:r>
    </w:p>
    <w:p w:rsidR="00000000" w:rsidRDefault="00C96329">
      <w:pPr>
        <w:pStyle w:val="a3"/>
        <w:spacing w:before="0" w:beforeAutospacing="0" w:after="0" w:afterAutospacing="0"/>
        <w:divId w:val="35666492"/>
        <w:rPr>
          <w:sz w:val="20"/>
          <w:szCs w:val="20"/>
        </w:rPr>
      </w:pPr>
      <w:r>
        <w:rPr>
          <w:b/>
          <w:bCs/>
          <w:i/>
          <w:iCs/>
          <w:sz w:val="10"/>
          <w:szCs w:val="10"/>
        </w:rPr>
        <w:t>​</w:t>
      </w:r>
    </w:p>
    <w:p w:rsidR="00000000" w:rsidRDefault="00C96329">
      <w:pPr>
        <w:pStyle w:val="a3"/>
        <w:spacing w:before="0" w:beforeAutospacing="0" w:after="0" w:afterAutospacing="0"/>
        <w:ind w:firstLine="720"/>
        <w:divId w:val="35666492"/>
        <w:rPr>
          <w:sz w:val="20"/>
          <w:szCs w:val="20"/>
        </w:rPr>
      </w:pPr>
      <w:r>
        <w:rPr>
          <w:sz w:val="20"/>
          <w:szCs w:val="20"/>
        </w:rPr>
        <w:t xml:space="preserve">On December 18, 2019, the FASB issued ASU 2019-12, </w:t>
      </w:r>
      <w:r>
        <w:rPr>
          <w:i/>
          <w:iCs/>
          <w:sz w:val="20"/>
          <w:szCs w:val="20"/>
        </w:rPr>
        <w:t>Income Taxes (Topic 740): Simplifying the Accounting for Income Taxes</w:t>
      </w:r>
      <w:r>
        <w:rPr>
          <w:sz w:val="20"/>
          <w:szCs w:val="20"/>
        </w:rPr>
        <w:t xml:space="preserve"> (“ASU 2019-12”) as</w:t>
      </w:r>
      <w:r>
        <w:rPr>
          <w:sz w:val="20"/>
          <w:szCs w:val="20"/>
        </w:rPr>
        <w:t xml:space="preserve"> part of its overall simplification initiative to reduce costs and complexity of applying accounting standards. ASU 2019-12 removes certain exceptions from Topic 740, </w:t>
      </w:r>
      <w:r>
        <w:rPr>
          <w:i/>
          <w:iCs/>
          <w:sz w:val="20"/>
          <w:szCs w:val="20"/>
        </w:rPr>
        <w:t>Income Taxes</w:t>
      </w:r>
      <w:r>
        <w:rPr>
          <w:sz w:val="20"/>
          <w:szCs w:val="20"/>
        </w:rPr>
        <w:t>, including (i) the exception to the incremental approach for intra period ta</w:t>
      </w:r>
      <w:r>
        <w:rPr>
          <w:sz w:val="20"/>
          <w:szCs w:val="20"/>
        </w:rPr>
        <w:t>x allocation when there is a loss from continuing operations and income or a gain from other items such as discontinued operations or other comprehensive income; (ii) the exception to accounting for outside basis differences of equity method investments an</w:t>
      </w:r>
      <w:r>
        <w:rPr>
          <w:sz w:val="20"/>
          <w:szCs w:val="20"/>
        </w:rPr>
        <w:t>d foreign subsidiaries; and (iii) the exception to limit tax benefit recognized in interim periods in cases when the year-to-date losses exceed anticipated losses. ASU 2019-12 also simplifies GAAP in several other areas of Topic 740 such as (i) franchise t</w:t>
      </w:r>
      <w:r>
        <w:rPr>
          <w:sz w:val="20"/>
          <w:szCs w:val="20"/>
        </w:rPr>
        <w:t>axes and other taxes partially based on income; (ii) step-up in tax basis goodwill considered part of a business combination in which the book goodwill was originally recognized or should be considered a separate transaction; (iii) separate financial state</w:t>
      </w:r>
      <w:r>
        <w:rPr>
          <w:sz w:val="20"/>
          <w:szCs w:val="20"/>
        </w:rPr>
        <w:t xml:space="preserve">ments of entities not subject to tax; and (iv) interim recognition of enactment of tax laws or rate changes. ASU 2019-12 is effective for annual reporting periods and interim periods within those years beginning after December 15, 2020, and early adoption </w:t>
      </w:r>
      <w:r>
        <w:rPr>
          <w:sz w:val="20"/>
          <w:szCs w:val="20"/>
        </w:rPr>
        <w:t>is permitted. The Company is currently evaluating the impact of adopting ASU 2019-12 on its condensed consolidated financial statements and related disclosures.</w:t>
      </w:r>
    </w:p>
    <w:p w:rsidR="00000000" w:rsidRDefault="00C96329">
      <w:pPr>
        <w:pStyle w:val="a3"/>
        <w:spacing w:before="0" w:beforeAutospacing="0" w:after="0" w:afterAutospacing="0"/>
        <w:divId w:val="35666492"/>
        <w:rPr>
          <w:sz w:val="20"/>
          <w:szCs w:val="20"/>
        </w:rPr>
      </w:pPr>
      <w:r>
        <w:rPr>
          <w:sz w:val="20"/>
          <w:szCs w:val="20"/>
        </w:rPr>
        <w:t>​</w:t>
      </w:r>
    </w:p>
    <w:p w:rsidR="00000000" w:rsidRDefault="00C96329">
      <w:pPr>
        <w:pStyle w:val="a3"/>
        <w:spacing w:before="0" w:beforeAutospacing="0" w:after="0" w:afterAutospacing="0"/>
        <w:ind w:firstLine="720"/>
        <w:jc w:val="both"/>
        <w:divId w:val="35666492"/>
        <w:rPr>
          <w:sz w:val="20"/>
          <w:szCs w:val="20"/>
        </w:rPr>
      </w:pPr>
      <w:r>
        <w:rPr>
          <w:sz w:val="20"/>
          <w:szCs w:val="20"/>
        </w:rPr>
        <w:t>The Company has evaluated other recently issued accounting pronouncements and does not curren</w:t>
      </w:r>
      <w:r>
        <w:rPr>
          <w:sz w:val="20"/>
          <w:szCs w:val="20"/>
        </w:rPr>
        <w:t>tly believe that any of these pronouncements will have a material impact on its condensed consolidated financial statements and related disclosures.</w:t>
      </w:r>
    </w:p>
    <w:p w:rsidR="00000000" w:rsidRDefault="00C96329">
      <w:pPr>
        <w:pStyle w:val="a3"/>
        <w:spacing w:before="0" w:beforeAutospacing="0" w:after="0" w:afterAutospacing="0"/>
        <w:ind w:firstLine="720"/>
        <w:jc w:val="both"/>
        <w:divId w:val="35666492"/>
        <w:rPr>
          <w:sz w:val="20"/>
          <w:szCs w:val="20"/>
        </w:rPr>
      </w:pPr>
      <w:r>
        <w:rPr>
          <w:sz w:val="20"/>
          <w:szCs w:val="20"/>
        </w:rPr>
        <w:t>​</w:t>
      </w:r>
    </w:p>
    <w:p w:rsidR="00000000" w:rsidRDefault="00C96329">
      <w:pPr>
        <w:pStyle w:val="a3"/>
        <w:spacing w:before="0" w:beforeAutospacing="0" w:after="0" w:afterAutospacing="0"/>
        <w:divId w:val="35666492"/>
        <w:rPr>
          <w:sz w:val="20"/>
          <w:szCs w:val="20"/>
        </w:rPr>
      </w:pPr>
      <w:r>
        <w:rPr>
          <w:sz w:val="2"/>
          <w:szCs w:val="2"/>
        </w:rPr>
        <w:t>​</w:t>
      </w:r>
    </w:p>
    <w:p w:rsidR="00000000" w:rsidRDefault="00C96329">
      <w:pPr>
        <w:pStyle w:val="a3"/>
        <w:spacing w:before="0" w:beforeAutospacing="0" w:after="0" w:afterAutospacing="0"/>
        <w:divId w:val="35666492"/>
        <w:rPr>
          <w:sz w:val="20"/>
          <w:szCs w:val="20"/>
        </w:rPr>
      </w:pPr>
      <w:r>
        <w:rPr>
          <w:b/>
          <w:bCs/>
          <w:sz w:val="20"/>
          <w:szCs w:val="20"/>
        </w:rPr>
        <w:t>2. Net Loss per Share</w:t>
      </w:r>
    </w:p>
    <w:p w:rsidR="00000000" w:rsidRDefault="00C96329">
      <w:pPr>
        <w:pStyle w:val="a3"/>
        <w:spacing w:before="0" w:beforeAutospacing="0" w:after="0" w:afterAutospacing="0"/>
        <w:divId w:val="35666492"/>
        <w:rPr>
          <w:sz w:val="20"/>
          <w:szCs w:val="20"/>
        </w:rPr>
      </w:pPr>
      <w:r>
        <w:rPr>
          <w:sz w:val="10"/>
          <w:szCs w:val="10"/>
        </w:rPr>
        <w:t>​</w:t>
      </w:r>
    </w:p>
    <w:p w:rsidR="00000000" w:rsidRDefault="00C96329">
      <w:pPr>
        <w:pStyle w:val="a3"/>
        <w:spacing w:before="0" w:beforeAutospacing="0" w:after="0" w:afterAutospacing="0"/>
        <w:ind w:firstLine="720"/>
        <w:divId w:val="35666492"/>
        <w:rPr>
          <w:sz w:val="20"/>
          <w:szCs w:val="20"/>
        </w:rPr>
      </w:pPr>
      <w:r>
        <w:rPr>
          <w:sz w:val="20"/>
          <w:szCs w:val="20"/>
        </w:rPr>
        <w:t>Basic net loss per share is computed by dividing net loss by the weighted-avera</w:t>
      </w:r>
      <w:r>
        <w:rPr>
          <w:sz w:val="20"/>
          <w:szCs w:val="20"/>
        </w:rPr>
        <w:t xml:space="preserve">ge number of shares outstanding, less ordinary shares subject to forfeiture. Diluted net loss per share is computed by dividing net loss by the weighted-average </w:t>
      </w:r>
    </w:p>
    <w:p w:rsidR="00000000" w:rsidRDefault="00C96329">
      <w:pPr>
        <w:pStyle w:val="a3"/>
        <w:spacing w:before="360" w:beforeAutospacing="0" w:after="0" w:afterAutospacing="0"/>
        <w:jc w:val="center"/>
        <w:divId w:val="824082337"/>
        <w:rPr>
          <w:sz w:val="20"/>
          <w:szCs w:val="20"/>
        </w:rPr>
      </w:pPr>
      <w:r>
        <w:rPr>
          <w:sz w:val="20"/>
          <w:szCs w:val="20"/>
        </w:rPr>
        <w:t>8</w:t>
      </w:r>
    </w:p>
    <w:p w:rsidR="00000000" w:rsidRDefault="00C96329">
      <w:pPr>
        <w:pStyle w:val="a3"/>
        <w:spacing w:before="0" w:beforeAutospacing="0" w:after="600" w:afterAutospacing="0"/>
        <w:divId w:val="1324046707"/>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69470177"/>
        <w:rPr>
          <w:sz w:val="20"/>
          <w:szCs w:val="20"/>
        </w:rPr>
      </w:pPr>
      <w:r>
        <w:rPr>
          <w:sz w:val="20"/>
          <w:szCs w:val="20"/>
        </w:rPr>
        <w:t>number of shares outstanding, less ordinary shares subject to forfeiture, plus all additional ordinary shares that would have been outstanding, assuming dilutive potential ordinary shares had been issued for other dilutive securities.</w:t>
      </w:r>
    </w:p>
    <w:p w:rsidR="00000000" w:rsidRDefault="00C96329">
      <w:pPr>
        <w:pStyle w:val="a3"/>
        <w:spacing w:before="0" w:beforeAutospacing="0" w:after="0" w:afterAutospacing="0"/>
        <w:divId w:val="6947017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105"/>
        <w:gridCol w:w="160"/>
        <w:gridCol w:w="186"/>
        <w:gridCol w:w="779"/>
        <w:gridCol w:w="181"/>
        <w:gridCol w:w="181"/>
        <w:gridCol w:w="780"/>
        <w:gridCol w:w="6"/>
        <w:gridCol w:w="100"/>
        <w:gridCol w:w="784"/>
        <w:gridCol w:w="160"/>
        <w:gridCol w:w="100"/>
        <w:gridCol w:w="784"/>
      </w:tblGrid>
      <w:tr w:rsidR="00000000">
        <w:trPr>
          <w:divId w:val="69470177"/>
          <w:trHeight w:val="20"/>
        </w:trPr>
        <w:tc>
          <w:tcPr>
            <w:tcW w:w="2810" w:type="pct"/>
            <w:tcMar>
              <w:top w:w="0" w:type="dxa"/>
              <w:left w:w="0" w:type="dxa"/>
              <w:bottom w:w="0" w:type="dxa"/>
              <w:right w:w="0" w:type="dxa"/>
            </w:tcMar>
            <w:hideMark/>
          </w:tcPr>
          <w:p w:rsidR="00000000" w:rsidRDefault="00C96329">
            <w:pPr>
              <w:pStyle w:val="a3"/>
              <w:spacing w:before="0" w:beforeAutospacing="0" w:after="0" w:afterAutospacing="0"/>
              <w:divId w:val="692875881"/>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91084194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042241679"/>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347215159"/>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21054619"/>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364401612"/>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64501693"/>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94761683"/>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047795873"/>
              <w:rPr>
                <w:sz w:val="20"/>
                <w:szCs w:val="20"/>
              </w:rPr>
            </w:pPr>
            <w:r>
              <w:rPr>
                <w:sz w:val="2"/>
                <w:szCs w:val="2"/>
              </w:rPr>
              <w:t>​</w:t>
            </w:r>
          </w:p>
        </w:tc>
        <w:tc>
          <w:tcPr>
            <w:tcW w:w="413"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174804979"/>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25151581"/>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78856054"/>
              <w:rPr>
                <w:sz w:val="20"/>
                <w:szCs w:val="20"/>
              </w:rPr>
            </w:pPr>
            <w:r>
              <w:rPr>
                <w:sz w:val="2"/>
                <w:szCs w:val="2"/>
              </w:rPr>
              <w:t>​</w:t>
            </w:r>
          </w:p>
        </w:tc>
        <w:tc>
          <w:tcPr>
            <w:tcW w:w="413"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00944897"/>
              <w:rPr>
                <w:sz w:val="20"/>
                <w:szCs w:val="20"/>
              </w:rPr>
            </w:pPr>
            <w:r>
              <w:rPr>
                <w:sz w:val="2"/>
                <w:szCs w:val="2"/>
              </w:rPr>
              <w:t>​</w:t>
            </w:r>
          </w:p>
        </w:tc>
      </w:tr>
      <w:tr w:rsidR="00000000">
        <w:trPr>
          <w:divId w:val="69470177"/>
        </w:trPr>
        <w:tc>
          <w:tcPr>
            <w:tcW w:w="281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color w:val="FF0000"/>
                <w:sz w:val="20"/>
                <w:szCs w:val="20"/>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8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0"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8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1017" w:type="pct"/>
            <w:gridSpan w:val="5"/>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r>
      <w:tr w:rsidR="00000000">
        <w:trPr>
          <w:divId w:val="69470177"/>
        </w:trPr>
        <w:tc>
          <w:tcPr>
            <w:tcW w:w="281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1045"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Three Months Ended June 30, </w:t>
            </w:r>
          </w:p>
        </w:tc>
        <w:tc>
          <w:tcPr>
            <w:tcW w:w="4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1017"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Six Months Ended June 30, </w:t>
            </w:r>
          </w:p>
        </w:tc>
      </w:tr>
      <w:tr w:rsidR="00000000">
        <w:trPr>
          <w:divId w:val="69470177"/>
        </w:trPr>
        <w:tc>
          <w:tcPr>
            <w:tcW w:w="2810"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(In thousands)</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78"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9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76"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4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74"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63"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r>
      <w:tr w:rsidR="00000000">
        <w:trPr>
          <w:divId w:val="69470177"/>
        </w:trPr>
        <w:tc>
          <w:tcPr>
            <w:tcW w:w="2810"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b/>
                <w:bCs/>
                <w:sz w:val="20"/>
                <w:szCs w:val="20"/>
              </w:rPr>
              <w:t>Numerator:</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r>
      <w:tr w:rsidR="00000000">
        <w:trPr>
          <w:divId w:val="69470177"/>
        </w:trPr>
        <w:tc>
          <w:tcPr>
            <w:tcW w:w="2810" w:type="pct"/>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0"/>
                <w:szCs w:val="20"/>
              </w:rPr>
              <w:t>Net loss</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(62,887)</w:t>
            </w:r>
          </w:p>
        </w:tc>
        <w:tc>
          <w:tcPr>
            <w:tcW w:w="9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(39,838)</w:t>
            </w:r>
          </w:p>
        </w:tc>
        <w:tc>
          <w:tcPr>
            <w:tcW w:w="4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13"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(145,940)</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13"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r>
              <w:rPr>
                <w:sz w:val="20"/>
                <w:szCs w:val="20"/>
              </w:rPr>
              <w:t>112,418)</w:t>
            </w:r>
          </w:p>
        </w:tc>
      </w:tr>
      <w:tr w:rsidR="00000000">
        <w:trPr>
          <w:divId w:val="69470177"/>
        </w:trPr>
        <w:tc>
          <w:tcPr>
            <w:tcW w:w="2810"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b/>
                <w:bCs/>
                <w:sz w:val="20"/>
                <w:szCs w:val="20"/>
              </w:rPr>
              <w:t>Denominator:</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r>
      <w:tr w:rsidR="00000000">
        <w:trPr>
          <w:divId w:val="69470177"/>
        </w:trPr>
        <w:tc>
          <w:tcPr>
            <w:tcW w:w="2810" w:type="pct"/>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0"/>
                <w:szCs w:val="20"/>
              </w:rPr>
              <w:t>Weighted-average common shares outstanding</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63,275</w:t>
            </w:r>
          </w:p>
        </w:tc>
        <w:tc>
          <w:tcPr>
            <w:tcW w:w="9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56,407</w:t>
            </w:r>
          </w:p>
        </w:tc>
        <w:tc>
          <w:tcPr>
            <w:tcW w:w="4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13"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61,676</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13"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56,114</w:t>
            </w:r>
          </w:p>
        </w:tc>
      </w:tr>
      <w:tr w:rsidR="00000000">
        <w:trPr>
          <w:divId w:val="69470177"/>
        </w:trPr>
        <w:tc>
          <w:tcPr>
            <w:tcW w:w="2810" w:type="pct"/>
            <w:shd w:val="clear" w:color="auto" w:fill="CCEEFF"/>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0"/>
                <w:szCs w:val="20"/>
              </w:rPr>
              <w:t>Less: weighted-average common shares subject to forfeiture</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(414)</w:t>
            </w:r>
          </w:p>
        </w:tc>
        <w:tc>
          <w:tcPr>
            <w:tcW w:w="9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(878)</w:t>
            </w:r>
          </w:p>
        </w:tc>
        <w:tc>
          <w:tcPr>
            <w:tcW w:w="4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(514)</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(879)</w:t>
            </w:r>
          </w:p>
        </w:tc>
      </w:tr>
      <w:tr w:rsidR="00000000">
        <w:trPr>
          <w:divId w:val="69470177"/>
        </w:trPr>
        <w:tc>
          <w:tcPr>
            <w:tcW w:w="2810" w:type="pct"/>
            <w:tcMar>
              <w:top w:w="0" w:type="dxa"/>
              <w:left w:w="0" w:type="dxa"/>
              <w:bottom w:w="0" w:type="dxa"/>
              <w:right w:w="0" w:type="dxa"/>
            </w:tcMar>
            <w:vAlign w:val="center"/>
            <w:hideMark/>
          </w:tcPr>
          <w:p w:rsidR="00000000" w:rsidRDefault="00C96329">
            <w:pPr>
              <w:pStyle w:val="a3"/>
              <w:spacing w:before="0" w:beforeAutospacing="0" w:after="0" w:afterAutospacing="0"/>
              <w:ind w:hanging="180"/>
              <w:rPr>
                <w:sz w:val="20"/>
                <w:szCs w:val="20"/>
              </w:rPr>
            </w:pPr>
            <w:r>
              <w:rPr>
                <w:sz w:val="20"/>
                <w:szCs w:val="20"/>
              </w:rPr>
              <w:t>Weighted-average common shares used to compute basic and diluted net loss per share</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2"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62,861</w:t>
            </w:r>
          </w:p>
        </w:tc>
        <w:tc>
          <w:tcPr>
            <w:tcW w:w="9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55,529</w:t>
            </w:r>
          </w:p>
        </w:tc>
        <w:tc>
          <w:tcPr>
            <w:tcW w:w="4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13"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61,162</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13"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55,235</w:t>
            </w:r>
          </w:p>
        </w:tc>
      </w:tr>
      <w:tr w:rsidR="00000000">
        <w:trPr>
          <w:divId w:val="69470177"/>
        </w:trPr>
        <w:tc>
          <w:tcPr>
            <w:tcW w:w="2810"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ind w:left="240"/>
              <w:rPr>
                <w:sz w:val="20"/>
                <w:szCs w:val="20"/>
              </w:rPr>
            </w:pPr>
            <w:r>
              <w:rPr>
                <w:sz w:val="20"/>
                <w:szCs w:val="20"/>
              </w:rPr>
              <w:t>Basic and diluted net loss per share</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(1.00)</w:t>
            </w:r>
          </w:p>
        </w:tc>
        <w:tc>
          <w:tcPr>
            <w:tcW w:w="9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(0.72)</w:t>
            </w:r>
          </w:p>
        </w:tc>
        <w:tc>
          <w:tcPr>
            <w:tcW w:w="4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1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(2.39)</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1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(2.04)</w:t>
            </w:r>
          </w:p>
        </w:tc>
      </w:tr>
    </w:tbl>
    <w:p w:rsidR="00000000" w:rsidRDefault="00C96329">
      <w:pPr>
        <w:pStyle w:val="a3"/>
        <w:spacing w:before="0" w:beforeAutospacing="0" w:after="0" w:afterAutospacing="0"/>
        <w:divId w:val="69470177"/>
        <w:rPr>
          <w:sz w:val="20"/>
          <w:szCs w:val="20"/>
        </w:rPr>
      </w:pPr>
      <w:r>
        <w:rPr>
          <w:sz w:val="20"/>
          <w:szCs w:val="20"/>
        </w:rPr>
        <w:t>​</w:t>
      </w:r>
    </w:p>
    <w:p w:rsidR="00000000" w:rsidRDefault="00C96329">
      <w:pPr>
        <w:pStyle w:val="a3"/>
        <w:spacing w:before="0" w:beforeAutospacing="0" w:after="0" w:afterAutospacing="0"/>
        <w:ind w:firstLine="720"/>
        <w:divId w:val="69470177"/>
        <w:rPr>
          <w:sz w:val="20"/>
          <w:szCs w:val="20"/>
        </w:rPr>
      </w:pPr>
      <w:r>
        <w:rPr>
          <w:sz w:val="20"/>
          <w:szCs w:val="20"/>
        </w:rPr>
        <w:t xml:space="preserve">For the three and six months ended June 30, 2020 and 2019, diluted and basic net loss per share was identical since potential ordinary shares were excluded from the calculation, as their effect was anti-dilutive. </w:t>
      </w:r>
    </w:p>
    <w:p w:rsidR="00000000" w:rsidRDefault="00C96329">
      <w:pPr>
        <w:pStyle w:val="a3"/>
        <w:spacing w:before="0" w:beforeAutospacing="0" w:after="0" w:afterAutospacing="0"/>
        <w:ind w:firstLine="720"/>
        <w:divId w:val="69470177"/>
        <w:rPr>
          <w:sz w:val="20"/>
          <w:szCs w:val="20"/>
        </w:rPr>
      </w:pPr>
      <w:r>
        <w:rPr>
          <w:sz w:val="20"/>
          <w:szCs w:val="20"/>
        </w:rPr>
        <w:t>​</w:t>
      </w:r>
    </w:p>
    <w:p w:rsidR="00000000" w:rsidRDefault="00C96329">
      <w:pPr>
        <w:pStyle w:val="a3"/>
        <w:spacing w:before="0" w:beforeAutospacing="0" w:after="0" w:afterAutospacing="0"/>
        <w:divId w:val="69470177"/>
        <w:rPr>
          <w:sz w:val="20"/>
          <w:szCs w:val="20"/>
        </w:rPr>
      </w:pPr>
      <w:r>
        <w:rPr>
          <w:b/>
          <w:bCs/>
          <w:i/>
          <w:iCs/>
          <w:sz w:val="20"/>
          <w:szCs w:val="20"/>
        </w:rPr>
        <w:t>Anti-dilutive Securities</w:t>
      </w:r>
    </w:p>
    <w:p w:rsidR="00000000" w:rsidRDefault="00C96329">
      <w:pPr>
        <w:pStyle w:val="a3"/>
        <w:spacing w:before="0" w:beforeAutospacing="0" w:after="0" w:afterAutospacing="0"/>
        <w:divId w:val="69470177"/>
        <w:rPr>
          <w:sz w:val="20"/>
          <w:szCs w:val="20"/>
        </w:rPr>
      </w:pPr>
      <w:r>
        <w:rPr>
          <w:sz w:val="10"/>
          <w:szCs w:val="10"/>
        </w:rPr>
        <w:t>​</w:t>
      </w:r>
    </w:p>
    <w:p w:rsidR="00000000" w:rsidRDefault="00C96329">
      <w:pPr>
        <w:pStyle w:val="a3"/>
        <w:spacing w:before="0" w:beforeAutospacing="0" w:after="0" w:afterAutospacing="0"/>
        <w:ind w:firstLine="720"/>
        <w:divId w:val="69470177"/>
        <w:rPr>
          <w:sz w:val="20"/>
          <w:szCs w:val="20"/>
        </w:rPr>
      </w:pPr>
      <w:r>
        <w:rPr>
          <w:sz w:val="20"/>
          <w:szCs w:val="20"/>
        </w:rPr>
        <w:t>The following</w:t>
      </w:r>
      <w:r>
        <w:rPr>
          <w:sz w:val="20"/>
          <w:szCs w:val="20"/>
        </w:rPr>
        <w:t xml:space="preserve"> ordinary equivalent shares were not included in the computation of diluted net loss per share because their effect was anti-dilutive:</w:t>
      </w:r>
    </w:p>
    <w:p w:rsidR="00000000" w:rsidRDefault="00C96329">
      <w:pPr>
        <w:pStyle w:val="a3"/>
        <w:spacing w:before="0" w:beforeAutospacing="0" w:after="0" w:afterAutospacing="0"/>
        <w:divId w:val="69470177"/>
        <w:rPr>
          <w:sz w:val="20"/>
          <w:szCs w:val="20"/>
        </w:rPr>
      </w:pPr>
      <w:r>
        <w:rPr>
          <w:sz w:val="10"/>
          <w:szCs w:val="10"/>
        </w:rPr>
        <w:t>​</w:t>
      </w:r>
    </w:p>
    <w:tbl>
      <w:tblPr>
        <w:tblW w:w="4996" w:type="pct"/>
        <w:tblCellMar>
          <w:top w:w="15" w:type="dxa"/>
          <w:left w:w="0" w:type="dxa"/>
          <w:bottom w:w="15" w:type="dxa"/>
          <w:right w:w="0" w:type="dxa"/>
        </w:tblCellMar>
        <w:tblLook w:val="04A0" w:firstRow="1" w:lastRow="0" w:firstColumn="1" w:lastColumn="0" w:noHBand="0" w:noVBand="1"/>
      </w:tblPr>
      <w:tblGrid>
        <w:gridCol w:w="5110"/>
        <w:gridCol w:w="160"/>
        <w:gridCol w:w="936"/>
        <w:gridCol w:w="236"/>
        <w:gridCol w:w="935"/>
        <w:gridCol w:w="160"/>
        <w:gridCol w:w="850"/>
        <w:gridCol w:w="211"/>
        <w:gridCol w:w="851"/>
      </w:tblGrid>
      <w:tr w:rsidR="00000000">
        <w:trPr>
          <w:divId w:val="69470177"/>
          <w:trHeight w:val="20"/>
        </w:trPr>
        <w:tc>
          <w:tcPr>
            <w:tcW w:w="2846" w:type="pct"/>
            <w:tcMar>
              <w:top w:w="0" w:type="dxa"/>
              <w:left w:w="0" w:type="dxa"/>
              <w:bottom w:w="0" w:type="dxa"/>
              <w:right w:w="0" w:type="dxa"/>
            </w:tcMar>
            <w:vAlign w:val="bottom"/>
            <w:hideMark/>
          </w:tcPr>
          <w:p w:rsidR="00000000" w:rsidRDefault="00C96329">
            <w:pPr>
              <w:pStyle w:val="a3"/>
              <w:spacing w:before="0" w:beforeAutospacing="0" w:after="0" w:afterAutospacing="0"/>
              <w:divId w:val="140587669"/>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553806142"/>
              <w:rPr>
                <w:sz w:val="20"/>
                <w:szCs w:val="20"/>
              </w:rPr>
            </w:pPr>
            <w:r>
              <w:rPr>
                <w:sz w:val="2"/>
                <w:szCs w:val="2"/>
              </w:rPr>
              <w:t>​</w:t>
            </w:r>
          </w:p>
        </w:tc>
        <w:tc>
          <w:tcPr>
            <w:tcW w:w="46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979529525"/>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639383495"/>
              <w:rPr>
                <w:sz w:val="20"/>
                <w:szCs w:val="20"/>
              </w:rPr>
            </w:pPr>
            <w:r>
              <w:rPr>
                <w:sz w:val="2"/>
                <w:szCs w:val="2"/>
              </w:rPr>
              <w:t>​</w:t>
            </w:r>
          </w:p>
        </w:tc>
        <w:tc>
          <w:tcPr>
            <w:tcW w:w="46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09153191"/>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044058777"/>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38295484"/>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883135135"/>
              <w:rPr>
                <w:sz w:val="20"/>
                <w:szCs w:val="20"/>
              </w:rPr>
            </w:pPr>
            <w:r>
              <w:rPr>
                <w:sz w:val="2"/>
                <w:szCs w:val="2"/>
              </w:rPr>
              <w:t>​</w:t>
            </w:r>
          </w:p>
        </w:tc>
        <w:tc>
          <w:tcPr>
            <w:tcW w:w="421"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675812159"/>
              <w:rPr>
                <w:sz w:val="20"/>
                <w:szCs w:val="20"/>
              </w:rPr>
            </w:pPr>
            <w:r>
              <w:rPr>
                <w:sz w:val="2"/>
                <w:szCs w:val="2"/>
              </w:rPr>
              <w:t>​</w:t>
            </w:r>
          </w:p>
        </w:tc>
      </w:tr>
      <w:tr w:rsidR="00000000">
        <w:trPr>
          <w:divId w:val="69470177"/>
        </w:trPr>
        <w:tc>
          <w:tcPr>
            <w:tcW w:w="284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1045" w:type="pct"/>
            <w:gridSpan w:val="3"/>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Three Months Ended June 30, </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48" w:type="pct"/>
            <w:gridSpan w:val="3"/>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Six Months Ended June 30, </w:t>
            </w:r>
          </w:p>
        </w:tc>
      </w:tr>
      <w:tr w:rsidR="00000000">
        <w:trPr>
          <w:divId w:val="69470177"/>
        </w:trPr>
        <w:tc>
          <w:tcPr>
            <w:tcW w:w="2846"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(In thousands)</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64"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64"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21"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10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21"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r>
      <w:tr w:rsidR="00000000">
        <w:trPr>
          <w:divId w:val="69470177"/>
        </w:trPr>
        <w:tc>
          <w:tcPr>
            <w:tcW w:w="2846"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20"/>
                <w:szCs w:val="20"/>
              </w:rPr>
              <w:t>Share issuances under equity incentive plans and ESPP </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20"/>
                <w:szCs w:val="20"/>
              </w:rPr>
              <w:t>​</w:t>
            </w:r>
          </w:p>
        </w:tc>
        <w:tc>
          <w:tcPr>
            <w:tcW w:w="46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20"/>
                <w:szCs w:val="20"/>
              </w:rPr>
            </w:pPr>
            <w:r>
              <w:rPr>
                <w:sz w:val="20"/>
                <w:szCs w:val="20"/>
              </w:rPr>
              <w:t>5,713</w:t>
            </w:r>
          </w:p>
        </w:tc>
        <w:tc>
          <w:tcPr>
            <w:tcW w:w="11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6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20"/>
                <w:szCs w:val="20"/>
              </w:rPr>
            </w:pPr>
            <w:r>
              <w:rPr>
                <w:sz w:val="20"/>
                <w:szCs w:val="20"/>
              </w:rPr>
              <w:t>7,468</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20"/>
                <w:szCs w:val="20"/>
              </w:rPr>
            </w:pPr>
            <w:r>
              <w:rPr>
                <w:sz w:val="20"/>
                <w:szCs w:val="20"/>
              </w:rPr>
              <w:t>5,741</w:t>
            </w:r>
          </w:p>
        </w:tc>
        <w:tc>
          <w:tcPr>
            <w:tcW w:w="10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2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20"/>
                <w:szCs w:val="20"/>
              </w:rPr>
            </w:pPr>
            <w:r>
              <w:rPr>
                <w:sz w:val="20"/>
                <w:szCs w:val="20"/>
              </w:rPr>
              <w:t>6,227</w:t>
            </w:r>
          </w:p>
        </w:tc>
      </w:tr>
      <w:tr w:rsidR="00000000">
        <w:trPr>
          <w:divId w:val="69470177"/>
        </w:trPr>
        <w:tc>
          <w:tcPr>
            <w:tcW w:w="2846" w:type="pct"/>
            <w:noWrap/>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20"/>
                <w:szCs w:val="20"/>
              </w:rPr>
              <w:t xml:space="preserve">Share issuances upon the conversion of convertible senior notes </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20"/>
                <w:szCs w:val="20"/>
              </w:rPr>
              <w:t>​</w:t>
            </w:r>
          </w:p>
        </w:tc>
        <w:tc>
          <w:tcPr>
            <w:tcW w:w="464"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20"/>
                <w:szCs w:val="20"/>
              </w:rPr>
            </w:pPr>
            <w:r>
              <w:rPr>
                <w:sz w:val="20"/>
                <w:szCs w:val="20"/>
              </w:rPr>
              <w:t>6,676</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64"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20"/>
                <w:szCs w:val="20"/>
              </w:rPr>
            </w:pPr>
            <w:r>
              <w:rPr>
                <w:sz w:val="20"/>
                <w:szCs w:val="20"/>
              </w:rPr>
              <w:t>6,676</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20"/>
                <w:szCs w:val="20"/>
              </w:rPr>
              <w:t>​</w:t>
            </w:r>
          </w:p>
        </w:tc>
        <w:tc>
          <w:tcPr>
            <w:tcW w:w="421"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20"/>
                <w:szCs w:val="20"/>
              </w:rPr>
            </w:pPr>
            <w:r>
              <w:rPr>
                <w:sz w:val="20"/>
                <w:szCs w:val="20"/>
              </w:rPr>
              <w:t>6,676</w:t>
            </w:r>
          </w:p>
        </w:tc>
        <w:tc>
          <w:tcPr>
            <w:tcW w:w="10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21"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20"/>
                <w:szCs w:val="20"/>
              </w:rPr>
            </w:pPr>
            <w:r>
              <w:rPr>
                <w:sz w:val="20"/>
                <w:szCs w:val="20"/>
              </w:rPr>
              <w:t>6,676</w:t>
            </w:r>
          </w:p>
        </w:tc>
      </w:tr>
      <w:tr w:rsidR="00000000">
        <w:trPr>
          <w:divId w:val="69470177"/>
        </w:trPr>
        <w:tc>
          <w:tcPr>
            <w:tcW w:w="2846"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ind w:left="120"/>
              <w:rPr>
                <w:sz w:val="20"/>
                <w:szCs w:val="20"/>
              </w:rPr>
            </w:pPr>
            <w:r>
              <w:rPr>
                <w:sz w:val="20"/>
                <w:szCs w:val="20"/>
              </w:rPr>
              <w:t>Total</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 </w:t>
            </w:r>
          </w:p>
        </w:tc>
        <w:tc>
          <w:tcPr>
            <w:tcW w:w="4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20"/>
                <w:szCs w:val="20"/>
              </w:rPr>
            </w:pPr>
            <w:r>
              <w:rPr>
                <w:sz w:val="20"/>
                <w:szCs w:val="20"/>
              </w:rPr>
              <w:t>12,389</w:t>
            </w:r>
          </w:p>
        </w:tc>
        <w:tc>
          <w:tcPr>
            <w:tcW w:w="11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20"/>
                <w:szCs w:val="20"/>
              </w:rPr>
            </w:pPr>
            <w:r>
              <w:rPr>
                <w:sz w:val="20"/>
                <w:szCs w:val="20"/>
              </w:rPr>
              <w:t>14,144</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20"/>
                <w:szCs w:val="20"/>
              </w:rPr>
            </w:pPr>
            <w:r>
              <w:rPr>
                <w:sz w:val="20"/>
                <w:szCs w:val="20"/>
              </w:rPr>
              <w:t>12,417</w:t>
            </w:r>
          </w:p>
        </w:tc>
        <w:tc>
          <w:tcPr>
            <w:tcW w:w="10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60"/>
              <w:jc w:val="right"/>
              <w:rPr>
                <w:sz w:val="20"/>
                <w:szCs w:val="20"/>
              </w:rPr>
            </w:pPr>
            <w:r>
              <w:rPr>
                <w:sz w:val="20"/>
                <w:szCs w:val="20"/>
              </w:rPr>
              <w:t>12,903</w:t>
            </w:r>
          </w:p>
        </w:tc>
      </w:tr>
    </w:tbl>
    <w:p w:rsidR="00000000" w:rsidRDefault="00C96329">
      <w:pPr>
        <w:pStyle w:val="a3"/>
        <w:spacing w:before="0" w:beforeAutospacing="0" w:after="0" w:afterAutospacing="0"/>
        <w:divId w:val="69470177"/>
        <w:rPr>
          <w:sz w:val="20"/>
          <w:szCs w:val="20"/>
        </w:rPr>
      </w:pPr>
      <w:r>
        <w:rPr>
          <w:sz w:val="20"/>
          <w:szCs w:val="20"/>
        </w:rPr>
        <w:t>​</w:t>
      </w:r>
    </w:p>
    <w:p w:rsidR="00000000" w:rsidRDefault="00C96329">
      <w:pPr>
        <w:pStyle w:val="a3"/>
        <w:spacing w:before="0" w:beforeAutospacing="0" w:after="0" w:afterAutospacing="0"/>
        <w:ind w:firstLine="720"/>
        <w:divId w:val="69470177"/>
        <w:rPr>
          <w:sz w:val="20"/>
          <w:szCs w:val="20"/>
        </w:rPr>
      </w:pPr>
      <w:r>
        <w:rPr>
          <w:sz w:val="20"/>
          <w:szCs w:val="20"/>
        </w:rPr>
        <w:t xml:space="preserve">As of June 30, 2019, there were 468,000 </w:t>
      </w:r>
      <w:r>
        <w:rPr>
          <w:sz w:val="20"/>
          <w:szCs w:val="20"/>
        </w:rPr>
        <w:t>shares subject to performance-based vesting criteria which have been excluded from the ordinary equivalent shares table above, and there were no such shares excluded as of June 30, 2020.</w:t>
      </w:r>
    </w:p>
    <w:p w:rsidR="00000000" w:rsidRDefault="00C96329">
      <w:pPr>
        <w:pStyle w:val="a3"/>
        <w:spacing w:before="0" w:beforeAutospacing="0" w:after="0" w:afterAutospacing="0"/>
        <w:ind w:firstLine="720"/>
        <w:divId w:val="69470177"/>
        <w:rPr>
          <w:sz w:val="20"/>
          <w:szCs w:val="20"/>
        </w:rPr>
      </w:pPr>
      <w:r>
        <w:rPr>
          <w:sz w:val="20"/>
          <w:szCs w:val="20"/>
        </w:rPr>
        <w:t>​</w:t>
      </w:r>
    </w:p>
    <w:p w:rsidR="00000000" w:rsidRDefault="00C96329">
      <w:pPr>
        <w:pStyle w:val="a3"/>
        <w:spacing w:before="0" w:beforeAutospacing="0" w:after="0" w:afterAutospacing="0"/>
        <w:divId w:val="69470177"/>
        <w:rPr>
          <w:sz w:val="20"/>
          <w:szCs w:val="20"/>
        </w:rPr>
      </w:pPr>
      <w:r>
        <w:rPr>
          <w:b/>
          <w:bCs/>
          <w:i/>
          <w:iCs/>
          <w:sz w:val="20"/>
          <w:szCs w:val="20"/>
        </w:rPr>
        <w:t>GlaxoSmithKline plc Senior Notes Offering</w:t>
      </w:r>
    </w:p>
    <w:p w:rsidR="00000000" w:rsidRDefault="00C96329">
      <w:pPr>
        <w:pStyle w:val="a3"/>
        <w:spacing w:before="0" w:beforeAutospacing="0" w:after="0" w:afterAutospacing="0"/>
        <w:divId w:val="69470177"/>
        <w:rPr>
          <w:sz w:val="20"/>
          <w:szCs w:val="20"/>
        </w:rPr>
      </w:pPr>
      <w:r>
        <w:rPr>
          <w:b/>
          <w:bCs/>
          <w:i/>
          <w:iCs/>
          <w:sz w:val="20"/>
          <w:szCs w:val="20"/>
        </w:rPr>
        <w:t>​</w:t>
      </w:r>
    </w:p>
    <w:p w:rsidR="00000000" w:rsidRDefault="00C96329">
      <w:pPr>
        <w:pStyle w:val="a3"/>
        <w:spacing w:before="0" w:beforeAutospacing="0" w:after="0" w:afterAutospacing="0"/>
        <w:divId w:val="69470177"/>
        <w:rPr>
          <w:sz w:val="20"/>
          <w:szCs w:val="20"/>
        </w:rPr>
      </w:pPr>
      <w:r>
        <w:rPr>
          <w:sz w:val="20"/>
          <w:szCs w:val="20"/>
        </w:rPr>
        <w:t>On June 22, 2020, GSK Finance (No.3) plc (“GSK Finance”), a wholly-owned subsidiary of GlaxoSmithKline plc (“GSK”), issued $280,336,000 of exchangeable senior notes due 2023 (“the GSK Notes”), initially exchangeable into 9,644,792 ordinary shares of Therav</w:t>
      </w:r>
      <w:r>
        <w:rPr>
          <w:sz w:val="20"/>
          <w:szCs w:val="20"/>
        </w:rPr>
        <w:t>ance Biopharma currently held by GSK and its affiliates. The GSK Notes are guaranteed by GSK and will be exchangeable at the option of noteholders on any business day on or after September 1, 2020. The GSK Notes will mature on June 22, 2023 and do not bear</w:t>
      </w:r>
      <w:r>
        <w:rPr>
          <w:sz w:val="20"/>
          <w:szCs w:val="20"/>
        </w:rPr>
        <w:t xml:space="preserve"> interest. The GSK Notes were offered at an issue price 108.5% of their principal amount. The initial exchange rate is 34.4044 shares of Theravance Biopharma ordinary shares per $1,000 principal amount of GSK Notes, which is equivalent to an initial exchan</w:t>
      </w:r>
      <w:r>
        <w:rPr>
          <w:sz w:val="20"/>
          <w:szCs w:val="20"/>
        </w:rPr>
        <w:t>ge price of approximately $29.066 per share, representing a premium of 3</w:t>
      </w:r>
      <w:r>
        <w:rPr>
          <w:sz w:val="20"/>
          <w:szCs w:val="20"/>
        </w:rPr>
        <w:t>5</w:t>
      </w:r>
      <w:r>
        <w:rPr>
          <w:sz w:val="20"/>
          <w:szCs w:val="20"/>
        </w:rPr>
        <w:t>% over the volume weighted average price of Theravance Biopharma’s ordinary shares on June 17, 2020.</w:t>
      </w:r>
      <w:r>
        <w:rPr>
          <w:sz w:val="20"/>
          <w:szCs w:val="20"/>
        </w:rPr>
        <w:t xml:space="preserve"> </w:t>
      </w:r>
    </w:p>
    <w:p w:rsidR="00000000" w:rsidRDefault="00C96329">
      <w:pPr>
        <w:pStyle w:val="a3"/>
        <w:spacing w:before="0" w:beforeAutospacing="0" w:after="0" w:afterAutospacing="0"/>
        <w:divId w:val="69470177"/>
        <w:rPr>
          <w:sz w:val="20"/>
          <w:szCs w:val="20"/>
        </w:rPr>
      </w:pPr>
      <w:r>
        <w:rPr>
          <w:sz w:val="20"/>
          <w:szCs w:val="20"/>
        </w:rPr>
        <w:t>​</w:t>
      </w:r>
    </w:p>
    <w:p w:rsidR="00000000" w:rsidRDefault="00C96329">
      <w:pPr>
        <w:pStyle w:val="a3"/>
        <w:spacing w:before="0" w:beforeAutospacing="0" w:after="0" w:afterAutospacing="0"/>
        <w:divId w:val="69470177"/>
        <w:rPr>
          <w:sz w:val="20"/>
          <w:szCs w:val="20"/>
        </w:rPr>
      </w:pPr>
      <w:r>
        <w:rPr>
          <w:sz w:val="20"/>
          <w:szCs w:val="20"/>
        </w:rPr>
        <w:t>Upon exchange of the GSK Notes, GSK Finance is expected to deliver its ordinary</w:t>
      </w:r>
      <w:r>
        <w:rPr>
          <w:sz w:val="20"/>
          <w:szCs w:val="20"/>
        </w:rPr>
        <w:t xml:space="preserve"> shares of Theravance Biopharma, but may at its option under certain circumstances, deliver cash or a combination of Theravance Biopharma ordinary shares and cash to noteholders. The GSK Offering involves the expected exchange of substantially all of the e</w:t>
      </w:r>
      <w:r>
        <w:rPr>
          <w:sz w:val="20"/>
          <w:szCs w:val="20"/>
        </w:rPr>
        <w:t>xisting 9,644,807 ordinary shares of Theravance Biopharma held by GSK and its affiliates. Theravance Biopharma will not be issuing any new ordinary shares in connection with the GSK Offering, and Theravance Biopharma did not receive any proceeds from the G</w:t>
      </w:r>
      <w:r>
        <w:rPr>
          <w:sz w:val="20"/>
          <w:szCs w:val="20"/>
        </w:rPr>
        <w:t>SK Offering.</w:t>
      </w:r>
    </w:p>
    <w:p w:rsidR="00000000" w:rsidRDefault="00C96329">
      <w:pPr>
        <w:pStyle w:val="a3"/>
        <w:spacing w:before="0" w:beforeAutospacing="0" w:after="0" w:afterAutospacing="0"/>
        <w:divId w:val="69470177"/>
        <w:rPr>
          <w:sz w:val="20"/>
          <w:szCs w:val="20"/>
        </w:rPr>
      </w:pPr>
      <w:r>
        <w:rPr>
          <w:sz w:val="20"/>
          <w:szCs w:val="20"/>
        </w:rPr>
        <w:t>​</w:t>
      </w:r>
    </w:p>
    <w:p w:rsidR="00000000" w:rsidRDefault="00C96329">
      <w:pPr>
        <w:pStyle w:val="a3"/>
        <w:spacing w:before="360" w:beforeAutospacing="0" w:after="0" w:afterAutospacing="0"/>
        <w:jc w:val="center"/>
        <w:divId w:val="1563298520"/>
        <w:rPr>
          <w:sz w:val="20"/>
          <w:szCs w:val="20"/>
        </w:rPr>
      </w:pPr>
      <w:r>
        <w:rPr>
          <w:sz w:val="20"/>
          <w:szCs w:val="20"/>
        </w:rPr>
        <w:t>9</w:t>
      </w:r>
    </w:p>
    <w:p w:rsidR="00000000" w:rsidRDefault="00C96329">
      <w:pPr>
        <w:pStyle w:val="a3"/>
        <w:spacing w:before="0" w:beforeAutospacing="0" w:after="600" w:afterAutospacing="0"/>
        <w:divId w:val="1840198374"/>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1336687621"/>
        <w:rPr>
          <w:sz w:val="20"/>
          <w:szCs w:val="20"/>
        </w:rPr>
      </w:pPr>
      <w:r>
        <w:rPr>
          <w:b/>
          <w:bCs/>
          <w:sz w:val="20"/>
          <w:szCs w:val="20"/>
        </w:rPr>
        <w:t>3. Revenue</w:t>
      </w:r>
    </w:p>
    <w:p w:rsidR="00000000" w:rsidRDefault="00C96329">
      <w:pPr>
        <w:pStyle w:val="a3"/>
        <w:spacing w:before="0" w:beforeAutospacing="0" w:after="0" w:afterAutospacing="0"/>
        <w:divId w:val="1336687621"/>
        <w:rPr>
          <w:sz w:val="20"/>
          <w:szCs w:val="20"/>
        </w:rPr>
      </w:pPr>
      <w:r>
        <w:rPr>
          <w:b/>
          <w:bCs/>
          <w:sz w:val="10"/>
          <w:szCs w:val="10"/>
        </w:rPr>
        <w:t>​</w:t>
      </w:r>
    </w:p>
    <w:p w:rsidR="00000000" w:rsidRDefault="00C96329">
      <w:pPr>
        <w:pStyle w:val="a3"/>
        <w:spacing w:before="0" w:beforeAutospacing="0" w:after="0" w:afterAutospacing="0"/>
        <w:divId w:val="1336687621"/>
        <w:rPr>
          <w:sz w:val="20"/>
          <w:szCs w:val="20"/>
        </w:rPr>
      </w:pPr>
      <w:r>
        <w:rPr>
          <w:b/>
          <w:bCs/>
          <w:i/>
          <w:iCs/>
          <w:sz w:val="20"/>
          <w:szCs w:val="20"/>
        </w:rPr>
        <w:t>Revenue from Collaborative Arrangements</w:t>
      </w:r>
    </w:p>
    <w:p w:rsidR="00000000" w:rsidRDefault="00C96329">
      <w:pPr>
        <w:pStyle w:val="a3"/>
        <w:spacing w:before="0" w:beforeAutospacing="0" w:after="0" w:afterAutospacing="0"/>
        <w:divId w:val="1336687621"/>
        <w:rPr>
          <w:sz w:val="20"/>
          <w:szCs w:val="20"/>
        </w:rPr>
      </w:pPr>
      <w:r>
        <w:rPr>
          <w:i/>
          <w:iCs/>
          <w:sz w:val="10"/>
          <w:szCs w:val="10"/>
        </w:rPr>
        <w:t>​</w:t>
      </w:r>
    </w:p>
    <w:p w:rsidR="00000000" w:rsidRDefault="00C96329">
      <w:pPr>
        <w:pStyle w:val="a3"/>
        <w:spacing w:before="0" w:beforeAutospacing="0" w:after="0" w:afterAutospacing="0"/>
        <w:ind w:firstLine="720"/>
        <w:divId w:val="1336687621"/>
        <w:rPr>
          <w:sz w:val="20"/>
          <w:szCs w:val="20"/>
        </w:rPr>
      </w:pPr>
      <w:r>
        <w:rPr>
          <w:sz w:val="20"/>
          <w:szCs w:val="20"/>
        </w:rPr>
        <w:t>The Company recognized revenues from its collaborative arrangements as follows:</w:t>
      </w:r>
    </w:p>
    <w:p w:rsidR="00000000" w:rsidRDefault="00C96329">
      <w:pPr>
        <w:pStyle w:val="a3"/>
        <w:spacing w:before="0" w:beforeAutospacing="0" w:after="0" w:afterAutospacing="0"/>
        <w:divId w:val="133668762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121"/>
        <w:gridCol w:w="160"/>
        <w:gridCol w:w="194"/>
        <w:gridCol w:w="763"/>
        <w:gridCol w:w="193"/>
        <w:gridCol w:w="193"/>
        <w:gridCol w:w="764"/>
        <w:gridCol w:w="6"/>
        <w:gridCol w:w="176"/>
        <w:gridCol w:w="694"/>
        <w:gridCol w:w="176"/>
        <w:gridCol w:w="175"/>
        <w:gridCol w:w="691"/>
      </w:tblGrid>
      <w:tr w:rsidR="00000000">
        <w:trPr>
          <w:divId w:val="1336687621"/>
          <w:trHeight w:val="20"/>
        </w:trPr>
        <w:tc>
          <w:tcPr>
            <w:tcW w:w="2840" w:type="pct"/>
            <w:tcMar>
              <w:top w:w="0" w:type="dxa"/>
              <w:left w:w="0" w:type="dxa"/>
              <w:bottom w:w="0" w:type="dxa"/>
              <w:right w:w="0" w:type="dxa"/>
            </w:tcMar>
            <w:hideMark/>
          </w:tcPr>
          <w:p w:rsidR="00000000" w:rsidRDefault="00C96329">
            <w:pPr>
              <w:pStyle w:val="a3"/>
              <w:spacing w:before="0" w:beforeAutospacing="0" w:after="0" w:afterAutospacing="0"/>
              <w:divId w:val="98058048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43926294"/>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466771780"/>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852715610"/>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406996460"/>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690111431"/>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71870503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447390515"/>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601135205"/>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178036389"/>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746344081"/>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38756619"/>
              <w:rPr>
                <w:sz w:val="20"/>
                <w:szCs w:val="20"/>
              </w:rPr>
            </w:pPr>
            <w:r>
              <w:rPr>
                <w:sz w:val="2"/>
                <w:szCs w:val="2"/>
              </w:rPr>
              <w:t>​</w:t>
            </w:r>
          </w:p>
        </w:tc>
        <w:tc>
          <w:tcPr>
            <w:tcW w:w="34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348219313"/>
              <w:rPr>
                <w:sz w:val="20"/>
                <w:szCs w:val="20"/>
              </w:rPr>
            </w:pPr>
            <w:r>
              <w:rPr>
                <w:sz w:val="2"/>
                <w:szCs w:val="2"/>
              </w:rPr>
              <w:t>​</w:t>
            </w:r>
          </w:p>
        </w:tc>
      </w:tr>
      <w:tr w:rsidR="00000000">
        <w:trPr>
          <w:divId w:val="1336687621"/>
        </w:trPr>
        <w:tc>
          <w:tcPr>
            <w:tcW w:w="284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1045" w:type="pct"/>
            <w:gridSpan w:val="5"/>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48" w:type="pct"/>
            <w:gridSpan w:val="5"/>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r>
      <w:tr w:rsidR="00000000">
        <w:trPr>
          <w:divId w:val="1336687621"/>
        </w:trPr>
        <w:tc>
          <w:tcPr>
            <w:tcW w:w="284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1045"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Three Months Ended June 30, </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48"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Six Months Ended June 30, </w:t>
            </w:r>
          </w:p>
        </w:tc>
      </w:tr>
      <w:tr w:rsidR="00000000">
        <w:trPr>
          <w:divId w:val="1336687621"/>
        </w:trPr>
        <w:tc>
          <w:tcPr>
            <w:tcW w:w="2840"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(In thousands)</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74"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73"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31"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30"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r>
      <w:tr w:rsidR="00000000">
        <w:trPr>
          <w:divId w:val="1336687621"/>
        </w:trPr>
        <w:tc>
          <w:tcPr>
            <w:tcW w:w="2840"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20"/>
                <w:szCs w:val="20"/>
              </w:rPr>
              <w:t>Janssen</w:t>
            </w:r>
          </w:p>
        </w:tc>
        <w:tc>
          <w:tcPr>
            <w:tcW w:w="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5,479</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7,392</w:t>
            </w:r>
          </w:p>
        </w:tc>
        <w:tc>
          <w:tcPr>
            <w:tcW w:w="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3"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12,101</w:t>
            </w:r>
          </w:p>
        </w:tc>
        <w:tc>
          <w:tcPr>
            <w:tcW w:w="8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12,715</w:t>
            </w:r>
          </w:p>
        </w:tc>
      </w:tr>
      <w:tr w:rsidR="00000000">
        <w:trPr>
          <w:divId w:val="1336687621"/>
        </w:trPr>
        <w:tc>
          <w:tcPr>
            <w:tcW w:w="2840" w:type="pct"/>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20"/>
                <w:szCs w:val="20"/>
              </w:rPr>
              <w:t>Other</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9</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101</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19</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2"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116</w:t>
            </w:r>
          </w:p>
        </w:tc>
      </w:tr>
      <w:tr w:rsidR="00000000">
        <w:trPr>
          <w:divId w:val="1336687621"/>
        </w:trPr>
        <w:tc>
          <w:tcPr>
            <w:tcW w:w="2840"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ind w:left="240"/>
              <w:rPr>
                <w:sz w:val="20"/>
                <w:szCs w:val="20"/>
              </w:rPr>
            </w:pPr>
            <w:r>
              <w:rPr>
                <w:sz w:val="20"/>
                <w:szCs w:val="20"/>
              </w:rPr>
              <w:t>Total collaboration revenue</w:t>
            </w:r>
          </w:p>
        </w:tc>
        <w:tc>
          <w:tcPr>
            <w:tcW w:w="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5,488</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7,493</w:t>
            </w:r>
          </w:p>
        </w:tc>
        <w:tc>
          <w:tcPr>
            <w:tcW w:w="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12,120</w:t>
            </w:r>
          </w:p>
        </w:tc>
        <w:tc>
          <w:tcPr>
            <w:tcW w:w="8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12,831</w:t>
            </w:r>
          </w:p>
        </w:tc>
      </w:tr>
    </w:tbl>
    <w:p w:rsidR="00000000" w:rsidRDefault="00C96329">
      <w:pPr>
        <w:pStyle w:val="a3"/>
        <w:spacing w:before="0" w:beforeAutospacing="0" w:after="0" w:afterAutospacing="0"/>
        <w:divId w:val="1336687621"/>
        <w:rPr>
          <w:sz w:val="20"/>
          <w:szCs w:val="20"/>
        </w:rPr>
      </w:pPr>
      <w:r>
        <w:rPr>
          <w:sz w:val="20"/>
          <w:szCs w:val="20"/>
        </w:rPr>
        <w:t>​</w:t>
      </w:r>
    </w:p>
    <w:p w:rsidR="00000000" w:rsidRDefault="00C96329">
      <w:pPr>
        <w:pStyle w:val="a3"/>
        <w:spacing w:before="0" w:beforeAutospacing="0" w:after="0" w:afterAutospacing="0"/>
        <w:divId w:val="1336687621"/>
        <w:rPr>
          <w:sz w:val="20"/>
          <w:szCs w:val="20"/>
        </w:rPr>
      </w:pPr>
      <w:r>
        <w:rPr>
          <w:b/>
          <w:bCs/>
          <w:i/>
          <w:iCs/>
          <w:sz w:val="20"/>
          <w:szCs w:val="20"/>
        </w:rPr>
        <w:t>Changes in Deferred Revenue Balances</w:t>
      </w:r>
    </w:p>
    <w:p w:rsidR="00000000" w:rsidRDefault="00C96329">
      <w:pPr>
        <w:pStyle w:val="a3"/>
        <w:spacing w:before="0" w:beforeAutospacing="0" w:after="0" w:afterAutospacing="0"/>
        <w:divId w:val="1336687621"/>
        <w:rPr>
          <w:sz w:val="20"/>
          <w:szCs w:val="20"/>
        </w:rPr>
      </w:pPr>
      <w:r>
        <w:rPr>
          <w:sz w:val="10"/>
          <w:szCs w:val="10"/>
        </w:rPr>
        <w:t>​</w:t>
      </w:r>
    </w:p>
    <w:p w:rsidR="00000000" w:rsidRDefault="00C96329">
      <w:pPr>
        <w:pStyle w:val="a3"/>
        <w:spacing w:before="0" w:beforeAutospacing="0" w:after="0" w:afterAutospacing="0"/>
        <w:ind w:firstLine="720"/>
        <w:divId w:val="1336687621"/>
        <w:rPr>
          <w:sz w:val="20"/>
          <w:szCs w:val="20"/>
        </w:rPr>
      </w:pPr>
      <w:r>
        <w:rPr>
          <w:sz w:val="20"/>
          <w:szCs w:val="20"/>
        </w:rPr>
        <w:t xml:space="preserve">Changes in the deferred revenue balances arose as a result of the Company recognizing the following revenue from collaborative arrangements during the periods below: </w:t>
      </w:r>
    </w:p>
    <w:p w:rsidR="00000000" w:rsidRDefault="00C96329">
      <w:pPr>
        <w:pStyle w:val="a3"/>
        <w:spacing w:before="0" w:beforeAutospacing="0" w:after="0" w:afterAutospacing="0"/>
        <w:divId w:val="133668762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75"/>
        <w:gridCol w:w="6"/>
        <w:gridCol w:w="194"/>
        <w:gridCol w:w="763"/>
        <w:gridCol w:w="193"/>
        <w:gridCol w:w="193"/>
        <w:gridCol w:w="764"/>
        <w:gridCol w:w="6"/>
        <w:gridCol w:w="176"/>
        <w:gridCol w:w="694"/>
        <w:gridCol w:w="176"/>
        <w:gridCol w:w="175"/>
        <w:gridCol w:w="691"/>
      </w:tblGrid>
      <w:tr w:rsidR="00000000">
        <w:trPr>
          <w:divId w:val="1336687621"/>
          <w:trHeight w:val="20"/>
        </w:trPr>
        <w:tc>
          <w:tcPr>
            <w:tcW w:w="2840" w:type="pct"/>
            <w:tcMar>
              <w:top w:w="0" w:type="dxa"/>
              <w:left w:w="0" w:type="dxa"/>
              <w:bottom w:w="0" w:type="dxa"/>
              <w:right w:w="0" w:type="dxa"/>
            </w:tcMar>
            <w:vAlign w:val="bottom"/>
            <w:hideMark/>
          </w:tcPr>
          <w:p w:rsidR="00000000" w:rsidRDefault="00C96329">
            <w:pPr>
              <w:pStyle w:val="a3"/>
              <w:spacing w:before="0" w:beforeAutospacing="0" w:after="0" w:afterAutospacing="0"/>
              <w:divId w:val="220598664"/>
              <w:rPr>
                <w:sz w:val="20"/>
                <w:szCs w:val="20"/>
              </w:rPr>
            </w:pPr>
            <w:r>
              <w:rPr>
                <w:sz w:val="2"/>
                <w:szCs w:val="2"/>
              </w:rPr>
              <w:t>​</w:t>
            </w:r>
          </w:p>
        </w:tc>
        <w:tc>
          <w:tcPr>
            <w:tcW w:w="82" w:type="pct"/>
            <w:tcMar>
              <w:top w:w="0" w:type="dxa"/>
              <w:left w:w="0" w:type="dxa"/>
              <w:bottom w:w="0" w:type="dxa"/>
              <w:right w:w="0" w:type="dxa"/>
            </w:tcMar>
            <w:vAlign w:val="bottom"/>
            <w:hideMark/>
          </w:tcPr>
          <w:p w:rsidR="00000000" w:rsidRDefault="00C96329">
            <w:pPr>
              <w:pStyle w:val="a3"/>
              <w:spacing w:before="0" w:beforeAutospacing="0" w:after="0" w:afterAutospacing="0"/>
              <w:divId w:val="227153311"/>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812166432"/>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414356844"/>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529418787"/>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41587208"/>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15211296"/>
              <w:rPr>
                <w:sz w:val="20"/>
                <w:szCs w:val="20"/>
              </w:rPr>
            </w:pPr>
            <w:r>
              <w:rPr>
                <w:sz w:val="2"/>
                <w:szCs w:val="2"/>
              </w:rPr>
              <w:t>​</w:t>
            </w:r>
          </w:p>
        </w:tc>
        <w:tc>
          <w:tcPr>
            <w:tcW w:w="82" w:type="pct"/>
            <w:tcMar>
              <w:top w:w="0" w:type="dxa"/>
              <w:left w:w="0" w:type="dxa"/>
              <w:bottom w:w="0" w:type="dxa"/>
              <w:right w:w="0" w:type="dxa"/>
            </w:tcMar>
            <w:vAlign w:val="bottom"/>
            <w:hideMark/>
          </w:tcPr>
          <w:p w:rsidR="00000000" w:rsidRDefault="00C96329">
            <w:pPr>
              <w:pStyle w:val="a3"/>
              <w:spacing w:before="0" w:beforeAutospacing="0" w:after="0" w:afterAutospacing="0"/>
              <w:divId w:val="52316033"/>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147038538"/>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650793060"/>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709067401"/>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370450364"/>
              <w:rPr>
                <w:sz w:val="20"/>
                <w:szCs w:val="20"/>
              </w:rPr>
            </w:pPr>
            <w:r>
              <w:rPr>
                <w:sz w:val="2"/>
                <w:szCs w:val="2"/>
              </w:rPr>
              <w:t>​</w:t>
            </w:r>
          </w:p>
        </w:tc>
        <w:tc>
          <w:tcPr>
            <w:tcW w:w="34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983340804"/>
              <w:rPr>
                <w:sz w:val="20"/>
                <w:szCs w:val="20"/>
              </w:rPr>
            </w:pPr>
            <w:r>
              <w:rPr>
                <w:sz w:val="2"/>
                <w:szCs w:val="2"/>
              </w:rPr>
              <w:t>​</w:t>
            </w:r>
          </w:p>
        </w:tc>
      </w:tr>
      <w:tr w:rsidR="00000000">
        <w:trPr>
          <w:divId w:val="1336687621"/>
        </w:trPr>
        <w:tc>
          <w:tcPr>
            <w:tcW w:w="284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2"/>
                <w:szCs w:val="22"/>
              </w:rPr>
              <w:t>​</w:t>
            </w:r>
          </w:p>
        </w:tc>
        <w:tc>
          <w:tcPr>
            <w:tcW w:w="3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2"/>
                <w:szCs w:val="22"/>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2"/>
                <w:szCs w:val="22"/>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2"/>
                <w:szCs w:val="22"/>
              </w:rPr>
              <w:t>​</w:t>
            </w:r>
          </w:p>
        </w:tc>
        <w:tc>
          <w:tcPr>
            <w:tcW w:w="3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2"/>
                <w:szCs w:val="22"/>
              </w:rPr>
              <w:t>​</w:t>
            </w:r>
          </w:p>
        </w:tc>
        <w:tc>
          <w:tcPr>
            <w:tcW w:w="8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2"/>
                <w:szCs w:val="22"/>
              </w:rPr>
              <w:t>​</w:t>
            </w:r>
          </w:p>
        </w:tc>
        <w:tc>
          <w:tcPr>
            <w:tcW w:w="343"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2"/>
                <w:szCs w:val="22"/>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2"/>
                <w:szCs w:val="22"/>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2"/>
                <w:szCs w:val="22"/>
              </w:rPr>
              <w:t>​</w:t>
            </w:r>
          </w:p>
        </w:tc>
        <w:tc>
          <w:tcPr>
            <w:tcW w:w="34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2"/>
                <w:szCs w:val="22"/>
              </w:rPr>
              <w:t>​</w:t>
            </w:r>
          </w:p>
        </w:tc>
      </w:tr>
      <w:tr w:rsidR="00000000">
        <w:trPr>
          <w:divId w:val="1336687621"/>
        </w:trPr>
        <w:tc>
          <w:tcPr>
            <w:tcW w:w="284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1045"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Three Months Ended June 30, </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948"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Six Months Ended June 30, </w:t>
            </w:r>
          </w:p>
        </w:tc>
      </w:tr>
      <w:tr w:rsidR="00000000">
        <w:trPr>
          <w:divId w:val="1336687621"/>
        </w:trPr>
        <w:tc>
          <w:tcPr>
            <w:tcW w:w="2840"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(In thousands)</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474"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73"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431"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30"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r>
      <w:tr w:rsidR="00000000">
        <w:trPr>
          <w:divId w:val="1336687621"/>
        </w:trPr>
        <w:tc>
          <w:tcPr>
            <w:tcW w:w="2840" w:type="pct"/>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b/>
                <w:bCs/>
                <w:sz w:val="20"/>
                <w:szCs w:val="20"/>
              </w:rPr>
              <w:t>Collaboration revenue recognized in the period from:</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w:t>
            </w:r>
          </w:p>
        </w:tc>
        <w:tc>
          <w:tcPr>
            <w:tcW w:w="3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2"/>
                <w:szCs w:val="22"/>
              </w:rPr>
              <w:t>​</w:t>
            </w:r>
          </w:p>
        </w:tc>
        <w:tc>
          <w:tcPr>
            <w:tcW w:w="3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20"/>
                <w:szCs w:val="20"/>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7"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w:t>
            </w:r>
          </w:p>
        </w:tc>
        <w:tc>
          <w:tcPr>
            <w:tcW w:w="343"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2"/>
                <w:szCs w:val="22"/>
              </w:rPr>
              <w:t>​</w:t>
            </w:r>
          </w:p>
        </w:tc>
        <w:tc>
          <w:tcPr>
            <w:tcW w:w="34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20"/>
                <w:szCs w:val="20"/>
              </w:rPr>
              <w:t>​</w:t>
            </w:r>
          </w:p>
        </w:tc>
      </w:tr>
      <w:tr w:rsidR="00000000">
        <w:trPr>
          <w:divId w:val="1336687621"/>
        </w:trPr>
        <w:tc>
          <w:tcPr>
            <w:tcW w:w="2840" w:type="pct"/>
            <w:shd w:val="clear" w:color="auto" w:fill="CCEEFF"/>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20"/>
                <w:szCs w:val="20"/>
              </w:rPr>
              <w:t>Amounts included in deferred revenue at the beginning of the period</w:t>
            </w:r>
          </w:p>
        </w:tc>
        <w:tc>
          <w:tcPr>
            <w:tcW w:w="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5,488</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7,493</w:t>
            </w:r>
          </w:p>
        </w:tc>
        <w:tc>
          <w:tcPr>
            <w:tcW w:w="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3"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12,120</w:t>
            </w:r>
          </w:p>
        </w:tc>
        <w:tc>
          <w:tcPr>
            <w:tcW w:w="8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12,825</w:t>
            </w:r>
          </w:p>
        </w:tc>
      </w:tr>
      <w:tr w:rsidR="00000000">
        <w:trPr>
          <w:divId w:val="1336687621"/>
        </w:trPr>
        <w:tc>
          <w:tcPr>
            <w:tcW w:w="2840" w:type="pct"/>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20"/>
                <w:szCs w:val="20"/>
              </w:rPr>
              <w:t>Performance obligations satisfied in previous period</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2"/>
                <w:szCs w:val="22"/>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3"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2"/>
                <w:szCs w:val="22"/>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2"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w:t>
            </w:r>
          </w:p>
        </w:tc>
      </w:tr>
    </w:tbl>
    <w:p w:rsidR="00000000" w:rsidRDefault="00C96329">
      <w:pPr>
        <w:pStyle w:val="a3"/>
        <w:spacing w:before="0" w:beforeAutospacing="0" w:after="0" w:afterAutospacing="0"/>
        <w:divId w:val="1336687621"/>
        <w:rPr>
          <w:sz w:val="20"/>
          <w:szCs w:val="20"/>
        </w:rPr>
      </w:pPr>
      <w:r>
        <w:rPr>
          <w:sz w:val="2"/>
          <w:szCs w:val="2"/>
        </w:rPr>
        <w:t>​</w:t>
      </w:r>
    </w:p>
    <w:p w:rsidR="00000000" w:rsidRDefault="00C96329">
      <w:pPr>
        <w:pStyle w:val="a3"/>
        <w:spacing w:before="240" w:beforeAutospacing="0" w:after="0" w:afterAutospacing="0"/>
        <w:divId w:val="1336687621"/>
        <w:rPr>
          <w:sz w:val="20"/>
          <w:szCs w:val="20"/>
        </w:rPr>
      </w:pPr>
      <w:r>
        <w:rPr>
          <w:b/>
          <w:bCs/>
          <w:i/>
          <w:iCs/>
          <w:sz w:val="20"/>
          <w:szCs w:val="20"/>
        </w:rPr>
        <w:t>Janssen Biotech</w:t>
      </w:r>
    </w:p>
    <w:p w:rsidR="00000000" w:rsidRDefault="00C96329">
      <w:pPr>
        <w:pStyle w:val="a3"/>
        <w:spacing w:before="0" w:beforeAutospacing="0" w:after="0" w:afterAutospacing="0"/>
        <w:divId w:val="1336687621"/>
        <w:rPr>
          <w:sz w:val="20"/>
          <w:szCs w:val="20"/>
        </w:rPr>
      </w:pPr>
      <w:r>
        <w:rPr>
          <w:sz w:val="10"/>
          <w:szCs w:val="10"/>
        </w:rPr>
        <w:t>​</w:t>
      </w:r>
    </w:p>
    <w:p w:rsidR="00000000" w:rsidRDefault="00C96329">
      <w:pPr>
        <w:pStyle w:val="a3"/>
        <w:spacing w:before="0" w:beforeAutospacing="0" w:after="0" w:afterAutospacing="0"/>
        <w:ind w:firstLine="720"/>
        <w:divId w:val="1336687621"/>
        <w:rPr>
          <w:sz w:val="20"/>
          <w:szCs w:val="20"/>
        </w:rPr>
      </w:pPr>
      <w:r>
        <w:rPr>
          <w:sz w:val="20"/>
          <w:szCs w:val="20"/>
        </w:rPr>
        <w:t>In February 2018, the Company entered into a global co-development and commercialization agreement with Janssen Biotech, Inc. (“Janssen”) for TD-1473 and related back-up compounds for inflammatory intestinal diseases, including ulcerative colitis and Crohn</w:t>
      </w:r>
      <w:r>
        <w:rPr>
          <w:sz w:val="20"/>
          <w:szCs w:val="20"/>
        </w:rPr>
        <w:t>’s disease (the “Janssen Agreement”). Under the terms of the Janssen Agreement, the Company received an upfront payment of $100.0 million. The Company is conducting a Phase 2 (DIONE) study of TD-1473 in Crohn’s disease and a Phase 2b/3 (RHEA) induction and</w:t>
      </w:r>
      <w:r>
        <w:rPr>
          <w:sz w:val="20"/>
          <w:szCs w:val="20"/>
        </w:rPr>
        <w:t xml:space="preserve"> maintenance study of TD-1473 in ulcerative colitis.</w:t>
      </w:r>
      <w:r>
        <w:rPr>
          <w:i/>
          <w:iCs/>
          <w:sz w:val="20"/>
          <w:szCs w:val="20"/>
        </w:rPr>
        <w:t xml:space="preserve"> </w:t>
      </w:r>
      <w:r>
        <w:rPr>
          <w:sz w:val="20"/>
          <w:szCs w:val="20"/>
        </w:rPr>
        <w:t xml:space="preserve">Following the initial Phase 2 development period, including the completion of the Phase 2 Crohn’s study and the Phase 2b induction portion of the ulcerative colitis study, Janssen can elect to obtain an </w:t>
      </w:r>
      <w:r>
        <w:rPr>
          <w:sz w:val="20"/>
          <w:szCs w:val="20"/>
        </w:rPr>
        <w:t>exclusive license to develop and commercialize TD-1473 and certain related back-up compounds by paying the Company a fee of $200.0 million. Upon any such election, the Company and Janssen will jointly develop and commercialize TD-1473 in inflammatory intes</w:t>
      </w:r>
      <w:r>
        <w:rPr>
          <w:sz w:val="20"/>
          <w:szCs w:val="20"/>
        </w:rPr>
        <w:t>tinal diseases and share profits in the US and expenses related to Phase 3 development and registration activities (67% to Janssen; 33% to Theravance Biopharma). The Company would receive royalties on ex-US sales at double-digit tiered percentage royalty r</w:t>
      </w:r>
      <w:r>
        <w:rPr>
          <w:sz w:val="20"/>
          <w:szCs w:val="20"/>
        </w:rPr>
        <w:t>ates, and the Company would be eligible to receive up to an additional $700.0 million in development and commercialization milestone payments from Janssen.</w:t>
      </w:r>
    </w:p>
    <w:p w:rsidR="00000000" w:rsidRDefault="00C96329">
      <w:pPr>
        <w:pStyle w:val="a3"/>
        <w:spacing w:before="0" w:beforeAutospacing="0" w:after="0" w:afterAutospacing="0"/>
        <w:ind w:firstLine="720"/>
        <w:divId w:val="1336687621"/>
        <w:rPr>
          <w:sz w:val="20"/>
          <w:szCs w:val="20"/>
        </w:rPr>
      </w:pPr>
      <w:r>
        <w:rPr>
          <w:sz w:val="20"/>
          <w:szCs w:val="20"/>
        </w:rPr>
        <w:t>​</w:t>
      </w:r>
    </w:p>
    <w:p w:rsidR="00000000" w:rsidRDefault="00C96329">
      <w:pPr>
        <w:pStyle w:val="a3"/>
        <w:spacing w:before="0" w:beforeAutospacing="0" w:after="0" w:afterAutospacing="0"/>
        <w:ind w:firstLine="720"/>
        <w:divId w:val="1336687621"/>
        <w:rPr>
          <w:sz w:val="20"/>
          <w:szCs w:val="20"/>
        </w:rPr>
      </w:pPr>
      <w:r>
        <w:rPr>
          <w:sz w:val="20"/>
          <w:szCs w:val="20"/>
        </w:rPr>
        <w:t>The Janssen Agreement is considered to be within the scope of Accounting Standards Codification, T</w:t>
      </w:r>
      <w:r>
        <w:rPr>
          <w:sz w:val="20"/>
          <w:szCs w:val="20"/>
        </w:rPr>
        <w:t xml:space="preserve">opic 808, </w:t>
      </w:r>
      <w:r>
        <w:rPr>
          <w:i/>
          <w:iCs/>
          <w:sz w:val="20"/>
          <w:szCs w:val="20"/>
        </w:rPr>
        <w:t xml:space="preserve">Collaborative Arrangements </w:t>
      </w:r>
      <w:r>
        <w:rPr>
          <w:sz w:val="20"/>
          <w:szCs w:val="20"/>
        </w:rPr>
        <w:t>(“ASC 808”</w:t>
      </w:r>
      <w:r>
        <w:rPr>
          <w:sz w:val="20"/>
          <w:szCs w:val="20"/>
        </w:rPr>
        <w:t>), as the parties are active participants and exposed to the risks and rewards of the collaborative activity. The Company evaluated the terms of the Janssen Agreement and determined it is partially within the scope of Accounting Standards Codification, Top</w:t>
      </w:r>
      <w:r>
        <w:rPr>
          <w:sz w:val="20"/>
          <w:szCs w:val="20"/>
        </w:rPr>
        <w:t xml:space="preserve">ic 606, </w:t>
      </w:r>
      <w:r>
        <w:rPr>
          <w:i/>
          <w:iCs/>
          <w:sz w:val="20"/>
          <w:szCs w:val="20"/>
        </w:rPr>
        <w:t>Revenue from Contracts with Customers</w:t>
      </w:r>
      <w:r>
        <w:rPr>
          <w:sz w:val="20"/>
          <w:szCs w:val="20"/>
        </w:rPr>
        <w:t xml:space="preserve"> (“ASC 606”) as the research and development activities to be performed through the initial Phase 2 development period of the collaborative arrangement are considered to be part of the Company’s ordinary activit</w:t>
      </w:r>
      <w:r>
        <w:rPr>
          <w:sz w:val="20"/>
          <w:szCs w:val="20"/>
        </w:rPr>
        <w:t>ies. The Company has identified research and development activities as its only performance obligation. The Company further determined that the transaction price under the arrangement was the $100.0 million upfront payment which was allocated to the single</w:t>
      </w:r>
      <w:r>
        <w:rPr>
          <w:sz w:val="20"/>
          <w:szCs w:val="20"/>
        </w:rPr>
        <w:t xml:space="preserve"> performance obligation.</w:t>
      </w:r>
    </w:p>
    <w:p w:rsidR="00000000" w:rsidRDefault="00C96329">
      <w:pPr>
        <w:pStyle w:val="a3"/>
        <w:spacing w:before="0" w:beforeAutospacing="0" w:after="0" w:afterAutospacing="0"/>
        <w:divId w:val="1336687621"/>
        <w:rPr>
          <w:sz w:val="20"/>
          <w:szCs w:val="20"/>
        </w:rPr>
      </w:pPr>
      <w:r>
        <w:rPr>
          <w:sz w:val="20"/>
          <w:szCs w:val="20"/>
        </w:rPr>
        <w:t>​</w:t>
      </w:r>
    </w:p>
    <w:p w:rsidR="00000000" w:rsidRDefault="00C96329">
      <w:pPr>
        <w:pStyle w:val="a3"/>
        <w:spacing w:before="0" w:beforeAutospacing="0" w:after="0" w:afterAutospacing="0"/>
        <w:ind w:firstLine="720"/>
        <w:divId w:val="1336687621"/>
        <w:rPr>
          <w:sz w:val="20"/>
          <w:szCs w:val="20"/>
        </w:rPr>
      </w:pPr>
      <w:r>
        <w:rPr>
          <w:sz w:val="20"/>
          <w:szCs w:val="20"/>
        </w:rPr>
        <w:t xml:space="preserve">The $900.0 million in future potential payments, inclusive of the $200.0 million opt-in fee and $700.0 million future development and commercialization milestones, is considered variable consideration if Janssen elects to remain </w:t>
      </w:r>
      <w:r>
        <w:rPr>
          <w:sz w:val="20"/>
          <w:szCs w:val="20"/>
        </w:rPr>
        <w:t>in the collaboration arrangement following completion of the initial Phase 2 development period, as described above and, as such, was not included in the transaction price, as the potential payments were all determined to be fully constrained under ASC 606</w:t>
      </w:r>
      <w:r>
        <w:rPr>
          <w:sz w:val="20"/>
          <w:szCs w:val="20"/>
        </w:rPr>
        <w:t>. As part of the Company’s evaluation of this variable consideration constraint, it determined that the potential payments are contingent upon developmental and regulatory milestones that are uncertain and are highly susceptible to factors outside of its c</w:t>
      </w:r>
      <w:r>
        <w:rPr>
          <w:sz w:val="20"/>
          <w:szCs w:val="20"/>
        </w:rPr>
        <w:t xml:space="preserve">ontrol. The Company expects that any consideration related to royalties and sales-based milestones will be recognized when the subsequent sales occur. </w:t>
      </w:r>
    </w:p>
    <w:p w:rsidR="00000000" w:rsidRDefault="00C96329">
      <w:pPr>
        <w:pStyle w:val="a3"/>
        <w:spacing w:before="360" w:beforeAutospacing="0" w:after="0" w:afterAutospacing="0"/>
        <w:jc w:val="center"/>
        <w:divId w:val="391583167"/>
        <w:rPr>
          <w:sz w:val="20"/>
          <w:szCs w:val="20"/>
        </w:rPr>
      </w:pPr>
      <w:r>
        <w:rPr>
          <w:sz w:val="20"/>
          <w:szCs w:val="20"/>
        </w:rPr>
        <w:t>10</w:t>
      </w:r>
    </w:p>
    <w:p w:rsidR="00000000" w:rsidRDefault="00C96329">
      <w:pPr>
        <w:pStyle w:val="a3"/>
        <w:spacing w:before="0" w:beforeAutospacing="0" w:after="600" w:afterAutospacing="0"/>
        <w:divId w:val="554781138"/>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625700050"/>
        <w:rPr>
          <w:sz w:val="20"/>
          <w:szCs w:val="20"/>
        </w:rPr>
      </w:pPr>
      <w:r>
        <w:rPr>
          <w:sz w:val="20"/>
          <w:szCs w:val="20"/>
        </w:rPr>
        <w:t>​</w:t>
      </w:r>
    </w:p>
    <w:p w:rsidR="00000000" w:rsidRDefault="00C96329">
      <w:pPr>
        <w:pStyle w:val="a3"/>
        <w:spacing w:before="0" w:beforeAutospacing="0" w:after="0" w:afterAutospacing="0"/>
        <w:ind w:firstLine="720"/>
        <w:divId w:val="625700050"/>
        <w:rPr>
          <w:sz w:val="20"/>
          <w:szCs w:val="20"/>
        </w:rPr>
      </w:pPr>
      <w:r>
        <w:rPr>
          <w:sz w:val="20"/>
          <w:szCs w:val="20"/>
        </w:rPr>
        <w:t>For the three and six months ended June 30, 2020, the Company recognized $5.5 million and $12.1 million, respectively, as revenue from collaboration arrangements related to the Janssen Agreement. The remaining transaction price of $25.7 million, related to</w:t>
      </w:r>
      <w:r>
        <w:rPr>
          <w:sz w:val="20"/>
          <w:szCs w:val="20"/>
        </w:rPr>
        <w:t xml:space="preserve"> the $100.0 million upfront payment, was recorded in deferred revenue on the condensed consolidated balance sheets and is expected to be recognized as collaboration revenue as the research and development services are delivered over the initial Phase 2 dev</w:t>
      </w:r>
      <w:r>
        <w:rPr>
          <w:sz w:val="20"/>
          <w:szCs w:val="20"/>
        </w:rPr>
        <w:t>elopment period. Collaboration revenue is recognized for the research and development services based on a measure of the Company’s efforts toward satisfying the performance obligation relative to the total expected efforts or inputs to satisfy the performa</w:t>
      </w:r>
      <w:r>
        <w:rPr>
          <w:sz w:val="20"/>
          <w:szCs w:val="20"/>
        </w:rPr>
        <w:t>nce obligation (e.g., costs incurred compared to total budget). Consequently, delays in trial activity and/or changes to the total budget will impact the timing and amount of revenue recognized in any given reporting period. For the three and six months en</w:t>
      </w:r>
      <w:r>
        <w:rPr>
          <w:sz w:val="20"/>
          <w:szCs w:val="20"/>
        </w:rPr>
        <w:t>ded June 30, 2020, the Company incurred $9.0 million and $19.2 million, respectively, in research and development costs related to the Janssen Agreement. For the three and six months ended June 30, 2019, the Company incurred $9.0 million and $17.7 million,</w:t>
      </w:r>
      <w:r>
        <w:rPr>
          <w:sz w:val="20"/>
          <w:szCs w:val="20"/>
        </w:rPr>
        <w:t xml:space="preserve"> respectively, in research and development costs related to the Janssen Agreement. In future reporting periods, the Company will reevaluate the estimates related to its efforts towards satisfying the performance obligation and may record a change in estima</w:t>
      </w:r>
      <w:r>
        <w:rPr>
          <w:sz w:val="20"/>
          <w:szCs w:val="20"/>
        </w:rPr>
        <w:t>te if deemed necessary.</w:t>
      </w:r>
    </w:p>
    <w:p w:rsidR="00000000" w:rsidRDefault="00C96329">
      <w:pPr>
        <w:pStyle w:val="a3"/>
        <w:spacing w:before="0" w:beforeAutospacing="0" w:after="0" w:afterAutospacing="0"/>
        <w:divId w:val="625700050"/>
        <w:rPr>
          <w:sz w:val="20"/>
          <w:szCs w:val="20"/>
        </w:rPr>
      </w:pPr>
      <w:r>
        <w:rPr>
          <w:sz w:val="20"/>
          <w:szCs w:val="20"/>
        </w:rPr>
        <w:t>​</w:t>
      </w:r>
    </w:p>
    <w:p w:rsidR="00000000" w:rsidRDefault="00C96329">
      <w:pPr>
        <w:pStyle w:val="a3"/>
        <w:shd w:val="clear" w:color="auto" w:fill="FFFFFF"/>
        <w:spacing w:before="0" w:beforeAutospacing="0" w:after="0" w:afterAutospacing="0"/>
        <w:divId w:val="625700050"/>
        <w:rPr>
          <w:sz w:val="20"/>
          <w:szCs w:val="20"/>
        </w:rPr>
      </w:pPr>
      <w:r>
        <w:rPr>
          <w:b/>
          <w:bCs/>
          <w:i/>
          <w:iCs/>
          <w:sz w:val="20"/>
          <w:szCs w:val="20"/>
        </w:rPr>
        <w:t>Mylan</w:t>
      </w:r>
    </w:p>
    <w:p w:rsidR="00000000" w:rsidRDefault="00C96329">
      <w:pPr>
        <w:pStyle w:val="a3"/>
        <w:shd w:val="clear" w:color="auto" w:fill="FFFFFF"/>
        <w:spacing w:before="0" w:beforeAutospacing="0" w:after="0" w:afterAutospacing="0"/>
        <w:divId w:val="625700050"/>
        <w:rPr>
          <w:sz w:val="20"/>
          <w:szCs w:val="20"/>
        </w:rPr>
      </w:pPr>
      <w:r>
        <w:rPr>
          <w:rFonts w:ascii="Times" w:hAnsi="Times"/>
          <w:b/>
          <w:bCs/>
          <w:i/>
          <w:iCs/>
          <w:sz w:val="10"/>
          <w:szCs w:val="10"/>
        </w:rPr>
        <w:t>​</w:t>
      </w:r>
    </w:p>
    <w:p w:rsidR="00000000" w:rsidRDefault="00C96329">
      <w:pPr>
        <w:pStyle w:val="a3"/>
        <w:spacing w:before="0" w:beforeAutospacing="0" w:after="0" w:afterAutospacing="0"/>
        <w:ind w:firstLine="720"/>
        <w:divId w:val="625700050"/>
        <w:rPr>
          <w:sz w:val="20"/>
          <w:szCs w:val="20"/>
        </w:rPr>
      </w:pPr>
      <w:r>
        <w:rPr>
          <w:sz w:val="20"/>
          <w:szCs w:val="20"/>
        </w:rPr>
        <w:t>In January 2015, the Company and Mylan Ireland Limited (“Mylan”) established a strategic collaboration (the “Mylan Agreement”) for the development and commercialization of revefenacin, including YUPELR</w:t>
      </w:r>
      <w:r>
        <w:rPr>
          <w:sz w:val="20"/>
          <w:szCs w:val="20"/>
        </w:rPr>
        <w:t>I</w:t>
      </w:r>
      <w:r>
        <w:rPr>
          <w:sz w:val="15"/>
          <w:szCs w:val="15"/>
          <w:vertAlign w:val="superscript"/>
        </w:rPr>
        <w:t>®</w:t>
      </w:r>
      <w:r>
        <w:rPr>
          <w:sz w:val="20"/>
          <w:szCs w:val="20"/>
        </w:rPr>
        <w:t xml:space="preserve"> (revefenacin) inha</w:t>
      </w:r>
      <w:r>
        <w:rPr>
          <w:sz w:val="20"/>
          <w:szCs w:val="20"/>
        </w:rPr>
        <w:t>lation solution. The Company entered into the collaboration to expand the breadth of its revefenacin development program and extend its commercial reach beyond the hospital setting.</w:t>
      </w:r>
    </w:p>
    <w:p w:rsidR="00000000" w:rsidRDefault="00C96329">
      <w:pPr>
        <w:pStyle w:val="a3"/>
        <w:spacing w:before="0" w:beforeAutospacing="0" w:after="0" w:afterAutospacing="0"/>
        <w:divId w:val="625700050"/>
        <w:rPr>
          <w:sz w:val="20"/>
          <w:szCs w:val="20"/>
        </w:rPr>
      </w:pPr>
      <w:r>
        <w:rPr>
          <w:sz w:val="20"/>
          <w:szCs w:val="20"/>
        </w:rPr>
        <w:t>​</w:t>
      </w:r>
    </w:p>
    <w:p w:rsidR="00000000" w:rsidRDefault="00C96329">
      <w:pPr>
        <w:pStyle w:val="a3"/>
        <w:spacing w:before="0" w:beforeAutospacing="0" w:after="0" w:afterAutospacing="0"/>
        <w:ind w:firstLine="720"/>
        <w:divId w:val="625700050"/>
        <w:rPr>
          <w:sz w:val="20"/>
          <w:szCs w:val="20"/>
        </w:rPr>
      </w:pPr>
      <w:r>
        <w:rPr>
          <w:sz w:val="20"/>
          <w:szCs w:val="20"/>
        </w:rPr>
        <w:t>Under the Mylan Agreement, Mylan paid the Company an upfront fee of $15.</w:t>
      </w:r>
      <w:r>
        <w:rPr>
          <w:sz w:val="20"/>
          <w:szCs w:val="20"/>
        </w:rPr>
        <w:t xml:space="preserve">0 million for the delivery of the revefenacin license in 2015 and, in 2016, Mylan paid the Company a milestone payment of $15.0 million for the achievement of 50% enrollment in the related Phase 3 twelve-month safety study. </w:t>
      </w:r>
    </w:p>
    <w:p w:rsidR="00000000" w:rsidRDefault="00C96329">
      <w:pPr>
        <w:pStyle w:val="a3"/>
        <w:spacing w:before="0" w:beforeAutospacing="0" w:after="0" w:afterAutospacing="0"/>
        <w:divId w:val="625700050"/>
        <w:rPr>
          <w:sz w:val="20"/>
          <w:szCs w:val="20"/>
        </w:rPr>
      </w:pPr>
      <w:r>
        <w:rPr>
          <w:sz w:val="20"/>
          <w:szCs w:val="20"/>
        </w:rPr>
        <w:t>​</w:t>
      </w:r>
    </w:p>
    <w:p w:rsidR="00000000" w:rsidRDefault="00C96329">
      <w:pPr>
        <w:pStyle w:val="a3"/>
        <w:spacing w:before="0" w:beforeAutospacing="0" w:after="0" w:afterAutospacing="0"/>
        <w:ind w:firstLine="720"/>
        <w:divId w:val="625700050"/>
        <w:rPr>
          <w:sz w:val="20"/>
          <w:szCs w:val="20"/>
        </w:rPr>
      </w:pPr>
      <w:r>
        <w:rPr>
          <w:sz w:val="20"/>
          <w:szCs w:val="20"/>
        </w:rPr>
        <w:t>As of June 30, 2020, excludin</w:t>
      </w:r>
      <w:r>
        <w:rPr>
          <w:sz w:val="20"/>
          <w:szCs w:val="20"/>
        </w:rPr>
        <w:t xml:space="preserve">g the aggregate $30.0 million payment noted above, the Company is eligible to receive from Mylan potential global (ex-China and </w:t>
      </w:r>
      <w:r>
        <w:rPr>
          <w:sz w:val="20"/>
          <w:szCs w:val="20"/>
          <w:shd w:val="clear" w:color="auto" w:fill="FFFFFF"/>
        </w:rPr>
        <w:t>adjacent territories)</w:t>
      </w:r>
      <w:r>
        <w:rPr>
          <w:sz w:val="20"/>
          <w:szCs w:val="20"/>
        </w:rPr>
        <w:t xml:space="preserve"> development, regulatory and sales milestone payments totaling up to $205.0 million in the aggregate, with </w:t>
      </w:r>
      <w:r>
        <w:rPr>
          <w:sz w:val="20"/>
          <w:szCs w:val="20"/>
        </w:rPr>
        <w:t xml:space="preserve">$160.0 million associated with YUPELRI monotherapy, and $45.0 million associated with future potential combination products. Of the $160.0 million associated with monotherapy, $150.0 million relates to sales milestones based on achieving certain levels of </w:t>
      </w:r>
      <w:r>
        <w:rPr>
          <w:sz w:val="20"/>
          <w:szCs w:val="20"/>
        </w:rPr>
        <w:t>net sales and $10.0 million relates to regulatory actions in the European Union (“EU”). The $45.0 million associated with future potential combination products relates solely to development and regulatory actions.</w:t>
      </w:r>
    </w:p>
    <w:p w:rsidR="00000000" w:rsidRDefault="00C96329">
      <w:pPr>
        <w:pStyle w:val="a3"/>
        <w:spacing w:before="0" w:beforeAutospacing="0" w:after="0" w:afterAutospacing="0"/>
        <w:ind w:firstLine="720"/>
        <w:divId w:val="625700050"/>
        <w:rPr>
          <w:sz w:val="20"/>
          <w:szCs w:val="20"/>
        </w:rPr>
      </w:pPr>
      <w:r>
        <w:rPr>
          <w:sz w:val="20"/>
          <w:szCs w:val="20"/>
        </w:rPr>
        <w:t>​</w:t>
      </w:r>
    </w:p>
    <w:p w:rsidR="00000000" w:rsidRDefault="00C96329">
      <w:pPr>
        <w:pStyle w:val="a3"/>
        <w:spacing w:before="0" w:beforeAutospacing="0" w:after="0" w:afterAutospacing="0"/>
        <w:ind w:firstLine="720"/>
        <w:divId w:val="625700050"/>
        <w:rPr>
          <w:sz w:val="20"/>
          <w:szCs w:val="20"/>
        </w:rPr>
      </w:pPr>
      <w:r>
        <w:rPr>
          <w:sz w:val="20"/>
          <w:szCs w:val="20"/>
        </w:rPr>
        <w:t xml:space="preserve">The Mylan Agreement is considered to be </w:t>
      </w:r>
      <w:r>
        <w:rPr>
          <w:sz w:val="20"/>
          <w:szCs w:val="20"/>
        </w:rPr>
        <w:t xml:space="preserve">within the scope of ASC 808 and partially within the scope of ASC 606, as the parties are active participants and exposed to the risks and rewards of the collaborative activity with a unit of account provided to Mylan as a customer. Under the terms of the </w:t>
      </w:r>
      <w:r>
        <w:rPr>
          <w:sz w:val="20"/>
          <w:szCs w:val="20"/>
        </w:rPr>
        <w:t>Mylan Agreement, Mylan was responsible for reimbursement of the Company’s costs related to the registrational program up until the approval of the first new drug application in November 2018, thereafter, R&amp;D expenses are shared. Performing R&amp;D services for</w:t>
      </w:r>
      <w:r>
        <w:rPr>
          <w:sz w:val="20"/>
          <w:szCs w:val="20"/>
        </w:rPr>
        <w:t xml:space="preserve"> reimbursement is considered to be a collaborative activity under the scope of ASC 808. Reimbursable program costs are recognized proportionately with the performance of the underlying services and accounted for as reductions to R&amp;D expense. For this unit </w:t>
      </w:r>
      <w:r>
        <w:rPr>
          <w:sz w:val="20"/>
          <w:szCs w:val="20"/>
        </w:rPr>
        <w:t>of account, the Company did not recognize revenue or analogize to ASC 606 and, as such, the reimbursable program costs are excluded from the transaction price.</w:t>
      </w:r>
    </w:p>
    <w:p w:rsidR="00000000" w:rsidRDefault="00C96329">
      <w:pPr>
        <w:pStyle w:val="a3"/>
        <w:spacing w:before="0" w:beforeAutospacing="0" w:after="0" w:afterAutospacing="0"/>
        <w:divId w:val="625700050"/>
        <w:rPr>
          <w:sz w:val="20"/>
          <w:szCs w:val="20"/>
        </w:rPr>
      </w:pPr>
      <w:r>
        <w:rPr>
          <w:sz w:val="20"/>
          <w:szCs w:val="20"/>
        </w:rPr>
        <w:t>​</w:t>
      </w:r>
    </w:p>
    <w:p w:rsidR="00000000" w:rsidRDefault="00C96329">
      <w:pPr>
        <w:pStyle w:val="a3"/>
        <w:spacing w:before="0" w:beforeAutospacing="0" w:after="0" w:afterAutospacing="0"/>
        <w:ind w:firstLine="720"/>
        <w:divId w:val="625700050"/>
        <w:rPr>
          <w:sz w:val="20"/>
          <w:szCs w:val="20"/>
        </w:rPr>
      </w:pPr>
      <w:r>
        <w:rPr>
          <w:sz w:val="20"/>
          <w:szCs w:val="20"/>
        </w:rPr>
        <w:t>The Company determined the license to develop and commercialize revefenacin to be a unit of ac</w:t>
      </w:r>
      <w:r>
        <w:rPr>
          <w:sz w:val="20"/>
          <w:szCs w:val="20"/>
        </w:rPr>
        <w:t>count for which Mylan is a customer and a separate performance obligation. The joint steering committee participation was also determined to be a performance obligation for which the Company analogized to ASC 606 to recognize revenue. Using the concepts fr</w:t>
      </w:r>
      <w:r>
        <w:rPr>
          <w:sz w:val="20"/>
          <w:szCs w:val="20"/>
        </w:rPr>
        <w:t>om ASC 606, the Company further determined that the transaction price under the arrangement was comprised of the following: (1) $15.0 million upfront license fee received in 2015; (2) $4.2 million premium received in 2015 related to an ordinary share purch</w:t>
      </w:r>
      <w:r>
        <w:rPr>
          <w:sz w:val="20"/>
          <w:szCs w:val="20"/>
        </w:rPr>
        <w:t>ase agreement with Mylan; and (3) $15.0 million milestone for 50% enrollment in the Phase 3 twelve-month safety study received in 2016. The total transaction price of $34.2 million was allocated to the two performance obligations based on the Company’s bes</w:t>
      </w:r>
      <w:r>
        <w:rPr>
          <w:sz w:val="20"/>
          <w:szCs w:val="20"/>
        </w:rPr>
        <w:t>t estimate of the relative stand-alone selling prices. For the delivery of the license, the Company based the stand-alone selling price on a discounted cash flow approach and considered several factors including, but not limited to: discount rate, developm</w:t>
      </w:r>
      <w:r>
        <w:rPr>
          <w:sz w:val="20"/>
          <w:szCs w:val="20"/>
        </w:rPr>
        <w:t>ent timeline, regulatory risks, estimated market demand and future revenue potential. For the committee participation, the Company based the stand-alone selling price on the average</w:t>
      </w:r>
      <w:r>
        <w:rPr>
          <w:sz w:val="20"/>
          <w:szCs w:val="20"/>
        </w:rPr>
        <w:t xml:space="preserve"> </w:t>
      </w:r>
    </w:p>
    <w:p w:rsidR="00000000" w:rsidRDefault="00C96329">
      <w:pPr>
        <w:pStyle w:val="a3"/>
        <w:spacing w:before="360" w:beforeAutospacing="0" w:after="0" w:afterAutospacing="0"/>
        <w:jc w:val="center"/>
        <w:divId w:val="1726291893"/>
        <w:rPr>
          <w:sz w:val="20"/>
          <w:szCs w:val="20"/>
        </w:rPr>
      </w:pPr>
      <w:r>
        <w:rPr>
          <w:sz w:val="20"/>
          <w:szCs w:val="20"/>
        </w:rPr>
        <w:t>11</w:t>
      </w:r>
    </w:p>
    <w:p w:rsidR="00000000" w:rsidRDefault="00C96329">
      <w:pPr>
        <w:pStyle w:val="a3"/>
        <w:spacing w:before="0" w:beforeAutospacing="0" w:after="600" w:afterAutospacing="0"/>
        <w:divId w:val="109201655"/>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1948387022"/>
        <w:rPr>
          <w:sz w:val="20"/>
          <w:szCs w:val="20"/>
        </w:rPr>
      </w:pPr>
      <w:r>
        <w:rPr>
          <w:sz w:val="20"/>
          <w:szCs w:val="20"/>
        </w:rPr>
        <w:t>compensation of its commit</w:t>
      </w:r>
      <w:r>
        <w:rPr>
          <w:sz w:val="20"/>
          <w:szCs w:val="20"/>
        </w:rPr>
        <w:t>tee members estimated to be incurred over the performance period. The Company expects to recognize collaboration revenue from the committee participation ratably over the performance period of approximately</w:t>
      </w:r>
      <w:r>
        <w:rPr>
          <w:sz w:val="20"/>
          <w:szCs w:val="20"/>
        </w:rPr>
        <w:t xml:space="preserve"> </w:t>
      </w:r>
      <w:r>
        <w:rPr>
          <w:sz w:val="20"/>
          <w:szCs w:val="20"/>
        </w:rPr>
        <w:t>seventeen year</w:t>
      </w:r>
      <w:r>
        <w:rPr>
          <w:sz w:val="20"/>
          <w:szCs w:val="20"/>
        </w:rPr>
        <w:t>s</w:t>
      </w:r>
      <w:r>
        <w:rPr>
          <w:sz w:val="20"/>
          <w:szCs w:val="20"/>
        </w:rPr>
        <w:t>.</w:t>
      </w:r>
    </w:p>
    <w:p w:rsidR="00000000" w:rsidRDefault="00C96329">
      <w:pPr>
        <w:pStyle w:val="a3"/>
        <w:spacing w:before="0" w:beforeAutospacing="0" w:after="0" w:afterAutospacing="0"/>
        <w:divId w:val="1948387022"/>
        <w:rPr>
          <w:sz w:val="20"/>
          <w:szCs w:val="20"/>
        </w:rPr>
      </w:pPr>
      <w:r>
        <w:rPr>
          <w:sz w:val="20"/>
          <w:szCs w:val="20"/>
        </w:rPr>
        <w:t>​</w:t>
      </w:r>
    </w:p>
    <w:p w:rsidR="00000000" w:rsidRDefault="00C96329">
      <w:pPr>
        <w:pStyle w:val="a3"/>
        <w:spacing w:before="0" w:beforeAutospacing="0" w:after="0" w:afterAutospacing="0"/>
        <w:ind w:firstLine="720"/>
        <w:divId w:val="1948387022"/>
        <w:rPr>
          <w:sz w:val="20"/>
          <w:szCs w:val="20"/>
        </w:rPr>
      </w:pPr>
      <w:r>
        <w:rPr>
          <w:sz w:val="20"/>
          <w:szCs w:val="20"/>
        </w:rPr>
        <w:t>The future potential milestone</w:t>
      </w:r>
      <w:r>
        <w:rPr>
          <w:sz w:val="20"/>
          <w:szCs w:val="20"/>
        </w:rPr>
        <w:t xml:space="preserve"> amounts for</w:t>
      </w:r>
      <w:r>
        <w:rPr>
          <w:color w:val="FF0000"/>
          <w:sz w:val="20"/>
          <w:szCs w:val="20"/>
        </w:rPr>
        <w:t xml:space="preserve"> </w:t>
      </w:r>
      <w:r>
        <w:rPr>
          <w:sz w:val="20"/>
          <w:szCs w:val="20"/>
        </w:rPr>
        <w:t>the Mylan Agreement were not included in the transaction price, as they were all determined to be fully constrained following the concepts of ASC 606. As part of the Company’s evaluation of the development and regulatory milestones constraint,</w:t>
      </w:r>
      <w:r>
        <w:rPr>
          <w:sz w:val="20"/>
          <w:szCs w:val="20"/>
        </w:rPr>
        <w:t xml:space="preserve"> the Company determined that the achievement of such milestones is contingent upon success in future clinical trials and regulatory approvals which are not within its control and uncertain at this stage. The Company expects that the sales-based milestone p</w:t>
      </w:r>
      <w:r>
        <w:rPr>
          <w:sz w:val="20"/>
          <w:szCs w:val="20"/>
        </w:rPr>
        <w:t xml:space="preserve">ayments and royalty arrangements will be recognized when the sales occur or the milestone is achieved. The Company will re-evaluate the transaction price each quarter and as uncertain events are resolved or other changes in circumstances occur. </w:t>
      </w:r>
    </w:p>
    <w:p w:rsidR="00000000" w:rsidRDefault="00C96329">
      <w:pPr>
        <w:pStyle w:val="a3"/>
        <w:spacing w:before="0" w:beforeAutospacing="0" w:after="0" w:afterAutospacing="0"/>
        <w:ind w:firstLine="720"/>
        <w:divId w:val="1948387022"/>
        <w:rPr>
          <w:sz w:val="20"/>
          <w:szCs w:val="20"/>
        </w:rPr>
      </w:pPr>
      <w:r>
        <w:rPr>
          <w:sz w:val="20"/>
          <w:szCs w:val="20"/>
        </w:rPr>
        <w:t>​</w:t>
      </w:r>
    </w:p>
    <w:p w:rsidR="00000000" w:rsidRDefault="00C96329">
      <w:pPr>
        <w:pStyle w:val="a3"/>
        <w:spacing w:before="0" w:beforeAutospacing="0" w:after="0" w:afterAutospacing="0"/>
        <w:ind w:firstLine="720"/>
        <w:divId w:val="1948387022"/>
        <w:rPr>
          <w:sz w:val="20"/>
          <w:szCs w:val="20"/>
        </w:rPr>
      </w:pPr>
      <w:r>
        <w:rPr>
          <w:sz w:val="20"/>
          <w:szCs w:val="20"/>
        </w:rPr>
        <w:t>As of Ju</w:t>
      </w:r>
      <w:r>
        <w:rPr>
          <w:sz w:val="20"/>
          <w:szCs w:val="20"/>
        </w:rPr>
        <w:t>ne 30, 2020, $0.3 million was recorded in deferred revenue on the condensed consolidated balance sheets under the Mylan Agreement. This amount reflects revenue allocated to joint steering committee participation which will be recognized as collaboration re</w:t>
      </w:r>
      <w:r>
        <w:rPr>
          <w:sz w:val="20"/>
          <w:szCs w:val="20"/>
        </w:rPr>
        <w:t xml:space="preserve">venue over the course of the remaining performance period of approximately twelve years. </w:t>
      </w:r>
    </w:p>
    <w:p w:rsidR="00000000" w:rsidRDefault="00C96329">
      <w:pPr>
        <w:pStyle w:val="a3"/>
        <w:spacing w:before="0" w:beforeAutospacing="0" w:after="0" w:afterAutospacing="0"/>
        <w:divId w:val="1948387022"/>
        <w:rPr>
          <w:sz w:val="20"/>
          <w:szCs w:val="20"/>
        </w:rPr>
      </w:pPr>
      <w:r>
        <w:rPr>
          <w:sz w:val="20"/>
          <w:szCs w:val="20"/>
        </w:rPr>
        <w:t>​</w:t>
      </w:r>
    </w:p>
    <w:p w:rsidR="00000000" w:rsidRDefault="00C96329">
      <w:pPr>
        <w:pStyle w:val="a3"/>
        <w:spacing w:before="0" w:beforeAutospacing="0" w:after="0" w:afterAutospacing="0"/>
        <w:ind w:firstLine="720"/>
        <w:divId w:val="1948387022"/>
        <w:rPr>
          <w:sz w:val="20"/>
          <w:szCs w:val="20"/>
        </w:rPr>
      </w:pPr>
      <w:r>
        <w:rPr>
          <w:sz w:val="20"/>
          <w:szCs w:val="20"/>
        </w:rPr>
        <w:t>The Company is also entitled to a share of US profits and losses (65% to Mylan; 35</w:t>
      </w:r>
      <w:r>
        <w:rPr>
          <w:sz w:val="20"/>
          <w:szCs w:val="20"/>
        </w:rPr>
        <w:t>% to Theravance Biopharma) received in connection with commercialization of YUPELRI, and the Company is entitled to low double-digit tiered royalties on ex-US net sales. Mylan is the principal in the sales transactions, and as a result, the Company does no</w:t>
      </w:r>
      <w:r>
        <w:rPr>
          <w:sz w:val="20"/>
          <w:szCs w:val="20"/>
        </w:rPr>
        <w:t xml:space="preserve">t reflect the product sales in its financial statements. </w:t>
      </w:r>
    </w:p>
    <w:p w:rsidR="00000000" w:rsidRDefault="00C96329">
      <w:pPr>
        <w:pStyle w:val="a3"/>
        <w:spacing w:before="0" w:beforeAutospacing="0" w:after="0" w:afterAutospacing="0"/>
        <w:ind w:firstLine="720"/>
        <w:divId w:val="1948387022"/>
        <w:rPr>
          <w:sz w:val="20"/>
          <w:szCs w:val="20"/>
        </w:rPr>
      </w:pPr>
      <w:r>
        <w:rPr>
          <w:sz w:val="20"/>
          <w:szCs w:val="20"/>
        </w:rPr>
        <w:t>​</w:t>
      </w:r>
    </w:p>
    <w:p w:rsidR="00000000" w:rsidRDefault="00C96329">
      <w:pPr>
        <w:pStyle w:val="a3"/>
        <w:spacing w:before="0" w:beforeAutospacing="0" w:after="0" w:afterAutospacing="0"/>
        <w:ind w:firstLine="720"/>
        <w:divId w:val="1948387022"/>
        <w:rPr>
          <w:sz w:val="20"/>
          <w:szCs w:val="20"/>
        </w:rPr>
      </w:pPr>
      <w:r>
        <w:rPr>
          <w:sz w:val="20"/>
          <w:szCs w:val="20"/>
        </w:rPr>
        <w:t>Following the US Food and Drug Administration (“FDA”) approval of YUPELRI in November 2018, net amounts payable to or receivable from Mylan each quarter under the profit-sharing structure are disa</w:t>
      </w:r>
      <w:r>
        <w:rPr>
          <w:sz w:val="20"/>
          <w:szCs w:val="20"/>
        </w:rPr>
        <w:t xml:space="preserve">ggregated according to their individual components. </w:t>
      </w:r>
      <w:r>
        <w:rPr>
          <w:sz w:val="20"/>
          <w:szCs w:val="20"/>
          <w:shd w:val="clear" w:color="auto" w:fill="FFFFFF"/>
        </w:rPr>
        <w:t>In accordance with the applicable accounting guidance, amounts receivable</w:t>
      </w:r>
      <w:r>
        <w:rPr>
          <w:sz w:val="20"/>
          <w:szCs w:val="20"/>
        </w:rPr>
        <w:t xml:space="preserve"> from Mylan in connection with the commercialization of YUPELRI are recorded within the condensed consolidated statements of operat</w:t>
      </w:r>
      <w:r>
        <w:rPr>
          <w:sz w:val="20"/>
          <w:szCs w:val="20"/>
        </w:rPr>
        <w:t>ions as revenue from “Mylan collaboration agreement” irrespective of whether the overall collaboration is profitable. A</w:t>
      </w:r>
      <w:r>
        <w:rPr>
          <w:sz w:val="20"/>
          <w:szCs w:val="20"/>
          <w:shd w:val="clear" w:color="auto" w:fill="FFFFFF"/>
        </w:rPr>
        <w:t xml:space="preserve">mounts payable to Mylan in connection with the commercialization of YUPELRI are recorded within the condensed consolidated statements of </w:t>
      </w:r>
      <w:r>
        <w:rPr>
          <w:sz w:val="20"/>
          <w:szCs w:val="20"/>
          <w:shd w:val="clear" w:color="auto" w:fill="FFFFFF"/>
        </w:rPr>
        <w:t>operations as a collaboration loss within selling, general and administrative expenses. Any reimbursement from Mylan attributed to the 65% cost-sharing of the Company’s R&amp;D expenses is characterized as a reduction of R&amp;D expense, as the Company does not co</w:t>
      </w:r>
      <w:r>
        <w:rPr>
          <w:sz w:val="20"/>
          <w:szCs w:val="20"/>
          <w:shd w:val="clear" w:color="auto" w:fill="FFFFFF"/>
        </w:rPr>
        <w:t xml:space="preserve">nsider performing research and development services for reimbursement to be a part of its ordinary activities. </w:t>
      </w:r>
    </w:p>
    <w:p w:rsidR="00000000" w:rsidRDefault="00C96329">
      <w:pPr>
        <w:pStyle w:val="a3"/>
        <w:spacing w:before="0" w:beforeAutospacing="0" w:after="0" w:afterAutospacing="0"/>
        <w:ind w:firstLine="720"/>
        <w:divId w:val="1948387022"/>
        <w:rPr>
          <w:sz w:val="20"/>
          <w:szCs w:val="20"/>
        </w:rPr>
      </w:pPr>
      <w:r>
        <w:rPr>
          <w:sz w:val="20"/>
          <w:szCs w:val="20"/>
          <w:shd w:val="clear" w:color="auto" w:fill="FFFFFF"/>
        </w:rPr>
        <w:t>​</w:t>
      </w:r>
    </w:p>
    <w:p w:rsidR="00000000" w:rsidRDefault="00C96329">
      <w:pPr>
        <w:pStyle w:val="a3"/>
        <w:spacing w:before="0" w:beforeAutospacing="0" w:after="0" w:afterAutospacing="0"/>
        <w:ind w:firstLine="720"/>
        <w:divId w:val="1948387022"/>
        <w:rPr>
          <w:sz w:val="20"/>
          <w:szCs w:val="20"/>
        </w:rPr>
      </w:pPr>
      <w:r>
        <w:rPr>
          <w:sz w:val="20"/>
          <w:szCs w:val="20"/>
        </w:rPr>
        <w:t>The following YUPELRI-related amounts were recognized in the Company’s condensed consolidated statements of operations:</w:t>
      </w:r>
    </w:p>
    <w:p w:rsidR="00000000" w:rsidRDefault="00C96329">
      <w:pPr>
        <w:pStyle w:val="a3"/>
        <w:spacing w:before="0" w:beforeAutospacing="0" w:after="0" w:afterAutospacing="0"/>
        <w:divId w:val="194838702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75"/>
        <w:gridCol w:w="6"/>
        <w:gridCol w:w="194"/>
        <w:gridCol w:w="763"/>
        <w:gridCol w:w="193"/>
        <w:gridCol w:w="193"/>
        <w:gridCol w:w="764"/>
        <w:gridCol w:w="6"/>
        <w:gridCol w:w="176"/>
        <w:gridCol w:w="694"/>
        <w:gridCol w:w="176"/>
        <w:gridCol w:w="175"/>
        <w:gridCol w:w="691"/>
      </w:tblGrid>
      <w:tr w:rsidR="00000000">
        <w:trPr>
          <w:divId w:val="1948387022"/>
          <w:trHeight w:val="20"/>
        </w:trPr>
        <w:tc>
          <w:tcPr>
            <w:tcW w:w="2840" w:type="pct"/>
            <w:tcMar>
              <w:top w:w="0" w:type="dxa"/>
              <w:left w:w="0" w:type="dxa"/>
              <w:bottom w:w="0" w:type="dxa"/>
              <w:right w:w="0" w:type="dxa"/>
            </w:tcMar>
            <w:vAlign w:val="bottom"/>
            <w:hideMark/>
          </w:tcPr>
          <w:p w:rsidR="00000000" w:rsidRDefault="00C96329">
            <w:pPr>
              <w:pStyle w:val="a3"/>
              <w:spacing w:before="0" w:beforeAutospacing="0" w:after="0" w:afterAutospacing="0"/>
              <w:divId w:val="1119909530"/>
              <w:rPr>
                <w:sz w:val="20"/>
                <w:szCs w:val="20"/>
              </w:rPr>
            </w:pPr>
            <w:r>
              <w:rPr>
                <w:sz w:val="2"/>
                <w:szCs w:val="2"/>
              </w:rPr>
              <w:t>​</w:t>
            </w:r>
          </w:p>
        </w:tc>
        <w:tc>
          <w:tcPr>
            <w:tcW w:w="82" w:type="pct"/>
            <w:tcMar>
              <w:top w:w="0" w:type="dxa"/>
              <w:left w:w="0" w:type="dxa"/>
              <w:bottom w:w="0" w:type="dxa"/>
              <w:right w:w="0" w:type="dxa"/>
            </w:tcMar>
            <w:vAlign w:val="bottom"/>
            <w:hideMark/>
          </w:tcPr>
          <w:p w:rsidR="00000000" w:rsidRDefault="00C96329">
            <w:pPr>
              <w:pStyle w:val="a3"/>
              <w:spacing w:before="0" w:beforeAutospacing="0" w:after="0" w:afterAutospacing="0"/>
              <w:divId w:val="1776944986"/>
              <w:rPr>
                <w:sz w:val="20"/>
                <w:szCs w:val="20"/>
              </w:rPr>
            </w:pPr>
            <w:r>
              <w:rPr>
                <w:sz w:val="2"/>
                <w:szCs w:val="2"/>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divId w:val="586694309"/>
              <w:rPr>
                <w:sz w:val="20"/>
                <w:szCs w:val="20"/>
              </w:rPr>
            </w:pPr>
            <w:r>
              <w:rPr>
                <w:sz w:val="2"/>
                <w:szCs w:val="2"/>
              </w:rPr>
              <w:t>​</w:t>
            </w:r>
          </w:p>
        </w:tc>
        <w:tc>
          <w:tcPr>
            <w:tcW w:w="377" w:type="pct"/>
            <w:tcMar>
              <w:top w:w="0" w:type="dxa"/>
              <w:left w:w="0" w:type="dxa"/>
              <w:bottom w:w="0" w:type="dxa"/>
              <w:right w:w="0" w:type="dxa"/>
            </w:tcMar>
            <w:vAlign w:val="bottom"/>
            <w:hideMark/>
          </w:tcPr>
          <w:p w:rsidR="00000000" w:rsidRDefault="00C96329">
            <w:pPr>
              <w:pStyle w:val="a3"/>
              <w:spacing w:before="0" w:beforeAutospacing="0" w:after="0" w:afterAutospacing="0"/>
              <w:divId w:val="1614631376"/>
              <w:rPr>
                <w:sz w:val="20"/>
                <w:szCs w:val="20"/>
              </w:rPr>
            </w:pPr>
            <w:r>
              <w:rPr>
                <w:sz w:val="2"/>
                <w:szCs w:val="2"/>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divId w:val="1416973015"/>
              <w:rPr>
                <w:sz w:val="20"/>
                <w:szCs w:val="20"/>
              </w:rPr>
            </w:pPr>
            <w:r>
              <w:rPr>
                <w:sz w:val="2"/>
                <w:szCs w:val="2"/>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divId w:val="95299345"/>
              <w:rPr>
                <w:sz w:val="20"/>
                <w:szCs w:val="20"/>
              </w:rPr>
            </w:pPr>
            <w:r>
              <w:rPr>
                <w:sz w:val="2"/>
                <w:szCs w:val="2"/>
              </w:rPr>
              <w:t>​</w:t>
            </w:r>
          </w:p>
        </w:tc>
        <w:tc>
          <w:tcPr>
            <w:tcW w:w="377" w:type="pct"/>
            <w:tcMar>
              <w:top w:w="0" w:type="dxa"/>
              <w:left w:w="0" w:type="dxa"/>
              <w:bottom w:w="0" w:type="dxa"/>
              <w:right w:w="0" w:type="dxa"/>
            </w:tcMar>
            <w:vAlign w:val="bottom"/>
            <w:hideMark/>
          </w:tcPr>
          <w:p w:rsidR="00000000" w:rsidRDefault="00C96329">
            <w:pPr>
              <w:pStyle w:val="a3"/>
              <w:spacing w:before="0" w:beforeAutospacing="0" w:after="0" w:afterAutospacing="0"/>
              <w:divId w:val="359431908"/>
              <w:rPr>
                <w:sz w:val="20"/>
                <w:szCs w:val="20"/>
              </w:rPr>
            </w:pPr>
            <w:r>
              <w:rPr>
                <w:sz w:val="2"/>
                <w:szCs w:val="2"/>
              </w:rPr>
              <w:t>​</w:t>
            </w:r>
          </w:p>
        </w:tc>
        <w:tc>
          <w:tcPr>
            <w:tcW w:w="82" w:type="pct"/>
            <w:tcMar>
              <w:top w:w="0" w:type="dxa"/>
              <w:left w:w="0" w:type="dxa"/>
              <w:bottom w:w="0" w:type="dxa"/>
              <w:right w:w="0" w:type="dxa"/>
            </w:tcMar>
            <w:vAlign w:val="bottom"/>
            <w:hideMark/>
          </w:tcPr>
          <w:p w:rsidR="00000000" w:rsidRDefault="00C96329">
            <w:pPr>
              <w:pStyle w:val="a3"/>
              <w:spacing w:before="0" w:beforeAutospacing="0" w:after="0" w:afterAutospacing="0"/>
              <w:divId w:val="1663461799"/>
              <w:rPr>
                <w:sz w:val="20"/>
                <w:szCs w:val="20"/>
              </w:rPr>
            </w:pPr>
            <w:r>
              <w:rPr>
                <w:sz w:val="2"/>
                <w:szCs w:val="2"/>
              </w:rPr>
              <w:t>​</w:t>
            </w:r>
          </w:p>
        </w:tc>
        <w:tc>
          <w:tcPr>
            <w:tcW w:w="87" w:type="pct"/>
            <w:tcMar>
              <w:top w:w="0" w:type="dxa"/>
              <w:left w:w="0" w:type="dxa"/>
              <w:bottom w:w="0" w:type="dxa"/>
              <w:right w:w="0" w:type="dxa"/>
            </w:tcMar>
            <w:vAlign w:val="bottom"/>
            <w:hideMark/>
          </w:tcPr>
          <w:p w:rsidR="00000000" w:rsidRDefault="00C96329">
            <w:pPr>
              <w:pStyle w:val="a3"/>
              <w:spacing w:before="0" w:beforeAutospacing="0" w:after="0" w:afterAutospacing="0"/>
              <w:divId w:val="703214942"/>
              <w:rPr>
                <w:sz w:val="20"/>
                <w:szCs w:val="20"/>
              </w:rPr>
            </w:pPr>
            <w:r>
              <w:rPr>
                <w:sz w:val="2"/>
                <w:szCs w:val="2"/>
              </w:rPr>
              <w:t>​</w:t>
            </w:r>
          </w:p>
        </w:tc>
        <w:tc>
          <w:tcPr>
            <w:tcW w:w="343" w:type="pct"/>
            <w:tcMar>
              <w:top w:w="0" w:type="dxa"/>
              <w:left w:w="0" w:type="dxa"/>
              <w:bottom w:w="0" w:type="dxa"/>
              <w:right w:w="0" w:type="dxa"/>
            </w:tcMar>
            <w:vAlign w:val="bottom"/>
            <w:hideMark/>
          </w:tcPr>
          <w:p w:rsidR="00000000" w:rsidRDefault="00C96329">
            <w:pPr>
              <w:pStyle w:val="a3"/>
              <w:spacing w:before="0" w:beforeAutospacing="0" w:after="0" w:afterAutospacing="0"/>
              <w:divId w:val="636837410"/>
              <w:rPr>
                <w:sz w:val="20"/>
                <w:szCs w:val="20"/>
              </w:rPr>
            </w:pPr>
            <w:r>
              <w:rPr>
                <w:sz w:val="2"/>
                <w:szCs w:val="2"/>
              </w:rPr>
              <w:t>​</w:t>
            </w:r>
          </w:p>
        </w:tc>
        <w:tc>
          <w:tcPr>
            <w:tcW w:w="87" w:type="pct"/>
            <w:tcMar>
              <w:top w:w="0" w:type="dxa"/>
              <w:left w:w="0" w:type="dxa"/>
              <w:bottom w:w="0" w:type="dxa"/>
              <w:right w:w="0" w:type="dxa"/>
            </w:tcMar>
            <w:vAlign w:val="bottom"/>
            <w:hideMark/>
          </w:tcPr>
          <w:p w:rsidR="00000000" w:rsidRDefault="00C96329">
            <w:pPr>
              <w:pStyle w:val="a3"/>
              <w:spacing w:before="0" w:beforeAutospacing="0" w:after="0" w:afterAutospacing="0"/>
              <w:divId w:val="1718969252"/>
              <w:rPr>
                <w:sz w:val="20"/>
                <w:szCs w:val="20"/>
              </w:rPr>
            </w:pPr>
            <w:r>
              <w:rPr>
                <w:sz w:val="2"/>
                <w:szCs w:val="2"/>
              </w:rPr>
              <w:t>​</w:t>
            </w:r>
          </w:p>
        </w:tc>
        <w:tc>
          <w:tcPr>
            <w:tcW w:w="87" w:type="pct"/>
            <w:tcMar>
              <w:top w:w="0" w:type="dxa"/>
              <w:left w:w="0" w:type="dxa"/>
              <w:bottom w:w="0" w:type="dxa"/>
              <w:right w:w="0" w:type="dxa"/>
            </w:tcMar>
            <w:vAlign w:val="bottom"/>
            <w:hideMark/>
          </w:tcPr>
          <w:p w:rsidR="00000000" w:rsidRDefault="00C96329">
            <w:pPr>
              <w:pStyle w:val="a3"/>
              <w:spacing w:before="0" w:beforeAutospacing="0" w:after="0" w:afterAutospacing="0"/>
              <w:divId w:val="1976717306"/>
              <w:rPr>
                <w:sz w:val="20"/>
                <w:szCs w:val="20"/>
              </w:rPr>
            </w:pPr>
            <w:r>
              <w:rPr>
                <w:sz w:val="2"/>
                <w:szCs w:val="2"/>
              </w:rPr>
              <w:t>​</w:t>
            </w:r>
          </w:p>
        </w:tc>
        <w:tc>
          <w:tcPr>
            <w:tcW w:w="342" w:type="pct"/>
            <w:tcMar>
              <w:top w:w="0" w:type="dxa"/>
              <w:left w:w="0" w:type="dxa"/>
              <w:bottom w:w="0" w:type="dxa"/>
              <w:right w:w="0" w:type="dxa"/>
            </w:tcMar>
            <w:vAlign w:val="bottom"/>
            <w:hideMark/>
          </w:tcPr>
          <w:p w:rsidR="00000000" w:rsidRDefault="00C96329">
            <w:pPr>
              <w:pStyle w:val="a3"/>
              <w:spacing w:before="0" w:beforeAutospacing="0" w:after="0" w:afterAutospacing="0"/>
              <w:divId w:val="750473370"/>
              <w:rPr>
                <w:sz w:val="20"/>
                <w:szCs w:val="20"/>
              </w:rPr>
            </w:pPr>
            <w:r>
              <w:rPr>
                <w:sz w:val="2"/>
                <w:szCs w:val="2"/>
              </w:rPr>
              <w:t>​</w:t>
            </w:r>
          </w:p>
        </w:tc>
      </w:tr>
      <w:tr w:rsidR="00000000">
        <w:trPr>
          <w:divId w:val="1948387022"/>
        </w:trPr>
        <w:tc>
          <w:tcPr>
            <w:tcW w:w="284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6"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7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7"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43"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7"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4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r>
      <w:tr w:rsidR="00000000">
        <w:trPr>
          <w:divId w:val="1948387022"/>
        </w:trPr>
        <w:tc>
          <w:tcPr>
            <w:tcW w:w="284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1045"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Three Months Ended June 30, </w:t>
            </w:r>
          </w:p>
        </w:tc>
        <w:tc>
          <w:tcPr>
            <w:tcW w:w="8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48"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Six Months Ended June 30, </w:t>
            </w:r>
          </w:p>
        </w:tc>
      </w:tr>
      <w:tr w:rsidR="00000000">
        <w:trPr>
          <w:divId w:val="1948387022"/>
        </w:trPr>
        <w:tc>
          <w:tcPr>
            <w:tcW w:w="2840"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(In thousands)</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474"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473"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431"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16"/>
                <w:szCs w:val="16"/>
              </w:rPr>
              <w:t>​</w:t>
            </w:r>
          </w:p>
        </w:tc>
        <w:tc>
          <w:tcPr>
            <w:tcW w:w="430"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r>
      <w:tr w:rsidR="00000000">
        <w:trPr>
          <w:divId w:val="1948387022"/>
        </w:trPr>
        <w:tc>
          <w:tcPr>
            <w:tcW w:w="2840" w:type="pct"/>
            <w:shd w:val="clear" w:color="auto" w:fill="CCEEFF"/>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0"/>
                <w:szCs w:val="20"/>
              </w:rPr>
              <w:t xml:space="preserve">Mylan collaboration agreement - </w:t>
            </w:r>
            <w:r>
              <w:rPr>
                <w:i/>
                <w:iCs/>
                <w:sz w:val="20"/>
                <w:szCs w:val="20"/>
              </w:rPr>
              <w:t>Amounts receivable from Mylan</w:t>
            </w:r>
          </w:p>
        </w:tc>
        <w:tc>
          <w:tcPr>
            <w:tcW w:w="8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20"/>
                <w:szCs w:val="20"/>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9,520</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157</w:t>
            </w:r>
          </w:p>
        </w:tc>
        <w:tc>
          <w:tcPr>
            <w:tcW w:w="8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21,250</w:t>
            </w:r>
          </w:p>
        </w:tc>
        <w:tc>
          <w:tcPr>
            <w:tcW w:w="8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157</w:t>
            </w:r>
          </w:p>
        </w:tc>
      </w:tr>
      <w:tr w:rsidR="00000000">
        <w:trPr>
          <w:divId w:val="1948387022"/>
        </w:trPr>
        <w:tc>
          <w:tcPr>
            <w:tcW w:w="2840" w:type="pct"/>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0"/>
                <w:szCs w:val="20"/>
              </w:rPr>
              <w:t xml:space="preserve">Collaboration loss - </w:t>
            </w:r>
            <w:r>
              <w:rPr>
                <w:i/>
                <w:iCs/>
                <w:sz w:val="20"/>
                <w:szCs w:val="20"/>
              </w:rPr>
              <w:t>Amounts payable to Mylan</w:t>
            </w:r>
          </w:p>
        </w:tc>
        <w:tc>
          <w:tcPr>
            <w:tcW w:w="8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6"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6"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181</w:t>
            </w:r>
          </w:p>
        </w:tc>
        <w:tc>
          <w:tcPr>
            <w:tcW w:w="82"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3"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2"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1,582</w:t>
            </w:r>
          </w:p>
        </w:tc>
      </w:tr>
    </w:tbl>
    <w:p w:rsidR="00000000" w:rsidRDefault="00C96329">
      <w:pPr>
        <w:pStyle w:val="a3"/>
        <w:spacing w:before="0" w:beforeAutospacing="0" w:after="0" w:afterAutospacing="0"/>
        <w:divId w:val="1948387022"/>
        <w:rPr>
          <w:sz w:val="20"/>
          <w:szCs w:val="20"/>
        </w:rPr>
      </w:pPr>
      <w:r>
        <w:rPr>
          <w:color w:val="FF0000"/>
          <w:sz w:val="20"/>
          <w:szCs w:val="20"/>
        </w:rPr>
        <w:t>​</w:t>
      </w:r>
    </w:p>
    <w:p w:rsidR="00000000" w:rsidRDefault="00C96329">
      <w:pPr>
        <w:pStyle w:val="a3"/>
        <w:spacing w:before="0" w:beforeAutospacing="0" w:after="0" w:afterAutospacing="0"/>
        <w:divId w:val="1948387022"/>
        <w:rPr>
          <w:sz w:val="20"/>
          <w:szCs w:val="20"/>
        </w:rPr>
      </w:pPr>
      <w:r>
        <w:rPr>
          <w:b/>
          <w:bCs/>
          <w:i/>
          <w:iCs/>
          <w:sz w:val="20"/>
          <w:szCs w:val="20"/>
        </w:rPr>
        <w:t>Reimbursement of R&amp;D Expense</w:t>
      </w:r>
    </w:p>
    <w:p w:rsidR="00000000" w:rsidRDefault="00C96329">
      <w:pPr>
        <w:pStyle w:val="a3"/>
        <w:spacing w:before="0" w:beforeAutospacing="0" w:after="0" w:afterAutospacing="0"/>
        <w:divId w:val="1948387022"/>
        <w:rPr>
          <w:sz w:val="20"/>
          <w:szCs w:val="20"/>
        </w:rPr>
      </w:pPr>
      <w:r>
        <w:rPr>
          <w:sz w:val="10"/>
          <w:szCs w:val="10"/>
        </w:rPr>
        <w:t>​</w:t>
      </w:r>
    </w:p>
    <w:p w:rsidR="00000000" w:rsidRDefault="00C96329">
      <w:pPr>
        <w:pStyle w:val="a3"/>
        <w:spacing w:before="0" w:beforeAutospacing="0" w:after="0" w:afterAutospacing="0"/>
        <w:ind w:firstLine="720"/>
        <w:divId w:val="1948387022"/>
        <w:rPr>
          <w:sz w:val="20"/>
          <w:szCs w:val="20"/>
        </w:rPr>
      </w:pPr>
      <w:r>
        <w:rPr>
          <w:sz w:val="20"/>
          <w:szCs w:val="20"/>
        </w:rPr>
        <w:t>As noted above, under certain collaborative arrangements the Company is entitled to reimbursement of certain R&amp;D expenses. Activities under collaborative arrangements for which the Company is entitled to reimbursement are considered to be collaborative act</w:t>
      </w:r>
      <w:r>
        <w:rPr>
          <w:sz w:val="20"/>
          <w:szCs w:val="20"/>
        </w:rPr>
        <w:t>ivities under the scope of ASC 808. For these units of account, the Company does not analogize to ASC 606 or recognize revenue. The Company records reimbursement payments received from its collaboration partners as reductions to R&amp;D expense.</w:t>
      </w:r>
    </w:p>
    <w:p w:rsidR="00000000" w:rsidRDefault="00C96329">
      <w:pPr>
        <w:pStyle w:val="a3"/>
        <w:spacing w:before="0" w:beforeAutospacing="0" w:after="0" w:afterAutospacing="0"/>
        <w:divId w:val="1948387022"/>
        <w:rPr>
          <w:sz w:val="20"/>
          <w:szCs w:val="20"/>
        </w:rPr>
      </w:pPr>
      <w:r>
        <w:rPr>
          <w:sz w:val="20"/>
          <w:szCs w:val="20"/>
        </w:rPr>
        <w:t>​</w:t>
      </w:r>
    </w:p>
    <w:p w:rsidR="00000000" w:rsidRDefault="00C96329">
      <w:pPr>
        <w:pStyle w:val="a3"/>
        <w:spacing w:before="0" w:beforeAutospacing="0" w:after="0" w:afterAutospacing="0"/>
        <w:ind w:firstLine="720"/>
        <w:divId w:val="1948387022"/>
        <w:rPr>
          <w:sz w:val="20"/>
          <w:szCs w:val="20"/>
        </w:rPr>
      </w:pPr>
      <w:r>
        <w:rPr>
          <w:sz w:val="20"/>
          <w:szCs w:val="20"/>
        </w:rPr>
        <w:t>The followin</w:t>
      </w:r>
      <w:r>
        <w:rPr>
          <w:sz w:val="20"/>
          <w:szCs w:val="20"/>
        </w:rPr>
        <w:t>g table summarizes the reductions to R&amp;D expense related to the reimbursement payments:</w:t>
      </w:r>
    </w:p>
    <w:p w:rsidR="00000000" w:rsidRDefault="00C96329">
      <w:pPr>
        <w:pStyle w:val="a3"/>
        <w:spacing w:before="0" w:beforeAutospacing="0" w:after="0" w:afterAutospacing="0"/>
        <w:ind w:firstLine="720"/>
        <w:divId w:val="194838702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121"/>
        <w:gridCol w:w="160"/>
        <w:gridCol w:w="194"/>
        <w:gridCol w:w="763"/>
        <w:gridCol w:w="193"/>
        <w:gridCol w:w="193"/>
        <w:gridCol w:w="764"/>
        <w:gridCol w:w="6"/>
        <w:gridCol w:w="176"/>
        <w:gridCol w:w="694"/>
        <w:gridCol w:w="176"/>
        <w:gridCol w:w="175"/>
        <w:gridCol w:w="691"/>
      </w:tblGrid>
      <w:tr w:rsidR="00000000">
        <w:trPr>
          <w:divId w:val="1948387022"/>
          <w:trHeight w:val="20"/>
        </w:trPr>
        <w:tc>
          <w:tcPr>
            <w:tcW w:w="2840" w:type="pct"/>
            <w:tcMar>
              <w:top w:w="0" w:type="dxa"/>
              <w:left w:w="0" w:type="dxa"/>
              <w:bottom w:w="0" w:type="dxa"/>
              <w:right w:w="0" w:type="dxa"/>
            </w:tcMar>
            <w:vAlign w:val="bottom"/>
            <w:hideMark/>
          </w:tcPr>
          <w:p w:rsidR="00000000" w:rsidRDefault="00C96329">
            <w:pPr>
              <w:pStyle w:val="a3"/>
              <w:spacing w:before="0" w:beforeAutospacing="0" w:after="0" w:afterAutospacing="0"/>
              <w:divId w:val="62351105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491680022"/>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119595572"/>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406419441"/>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250845238"/>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136678499"/>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97887139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13858506"/>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276330176"/>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112747813"/>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695422748"/>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602758723"/>
              <w:rPr>
                <w:sz w:val="20"/>
                <w:szCs w:val="20"/>
              </w:rPr>
            </w:pPr>
            <w:r>
              <w:rPr>
                <w:sz w:val="2"/>
                <w:szCs w:val="2"/>
              </w:rPr>
              <w:t>​</w:t>
            </w:r>
          </w:p>
        </w:tc>
        <w:tc>
          <w:tcPr>
            <w:tcW w:w="34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261571698"/>
              <w:rPr>
                <w:sz w:val="20"/>
                <w:szCs w:val="20"/>
              </w:rPr>
            </w:pPr>
            <w:r>
              <w:rPr>
                <w:sz w:val="2"/>
                <w:szCs w:val="2"/>
              </w:rPr>
              <w:t>​</w:t>
            </w:r>
          </w:p>
        </w:tc>
      </w:tr>
      <w:tr w:rsidR="00000000">
        <w:trPr>
          <w:divId w:val="1948387022"/>
        </w:trPr>
        <w:tc>
          <w:tcPr>
            <w:tcW w:w="284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2"/>
                <w:szCs w:val="22"/>
              </w:rPr>
              <w:t>​</w:t>
            </w:r>
          </w:p>
        </w:tc>
        <w:tc>
          <w:tcPr>
            <w:tcW w:w="3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2"/>
                <w:szCs w:val="22"/>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2"/>
                <w:szCs w:val="22"/>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2"/>
                <w:szCs w:val="22"/>
              </w:rPr>
              <w:t>​</w:t>
            </w:r>
          </w:p>
        </w:tc>
        <w:tc>
          <w:tcPr>
            <w:tcW w:w="3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2"/>
                <w:szCs w:val="22"/>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2"/>
                <w:szCs w:val="22"/>
              </w:rPr>
              <w:t>​</w:t>
            </w:r>
          </w:p>
        </w:tc>
        <w:tc>
          <w:tcPr>
            <w:tcW w:w="343"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2"/>
                <w:szCs w:val="22"/>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2"/>
                <w:szCs w:val="22"/>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2"/>
                <w:szCs w:val="22"/>
              </w:rPr>
              <w:t>​</w:t>
            </w:r>
          </w:p>
        </w:tc>
        <w:tc>
          <w:tcPr>
            <w:tcW w:w="34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2"/>
                <w:szCs w:val="22"/>
              </w:rPr>
              <w:t>​</w:t>
            </w:r>
          </w:p>
        </w:tc>
      </w:tr>
      <w:tr w:rsidR="00000000">
        <w:trPr>
          <w:divId w:val="1948387022"/>
        </w:trPr>
        <w:tc>
          <w:tcPr>
            <w:tcW w:w="284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1045"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Three Months Ended June 30, </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48"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Six Months Ended June 30, </w:t>
            </w:r>
          </w:p>
        </w:tc>
      </w:tr>
      <w:tr w:rsidR="00000000">
        <w:trPr>
          <w:divId w:val="1948387022"/>
        </w:trPr>
        <w:tc>
          <w:tcPr>
            <w:tcW w:w="2840"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(In thousands)</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74"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73"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31"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30"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r>
      <w:tr w:rsidR="00000000">
        <w:trPr>
          <w:divId w:val="1948387022"/>
        </w:trPr>
        <w:tc>
          <w:tcPr>
            <w:tcW w:w="2840"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Janssen</w:t>
            </w:r>
          </w:p>
        </w:tc>
        <w:tc>
          <w:tcPr>
            <w:tcW w:w="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1,563</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784</w:t>
            </w:r>
          </w:p>
        </w:tc>
        <w:tc>
          <w:tcPr>
            <w:tcW w:w="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3"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2,770</w:t>
            </w:r>
          </w:p>
        </w:tc>
        <w:tc>
          <w:tcPr>
            <w:tcW w:w="8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2"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2,195</w:t>
            </w:r>
          </w:p>
        </w:tc>
      </w:tr>
      <w:tr w:rsidR="00000000">
        <w:trPr>
          <w:divId w:val="1948387022"/>
        </w:trPr>
        <w:tc>
          <w:tcPr>
            <w:tcW w:w="284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Mylan</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20"/>
                <w:szCs w:val="20"/>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351</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20"/>
                <w:szCs w:val="20"/>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31</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3"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1,622</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2"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234</w:t>
            </w:r>
          </w:p>
        </w:tc>
      </w:tr>
      <w:tr w:rsidR="00000000">
        <w:trPr>
          <w:divId w:val="1948387022"/>
        </w:trPr>
        <w:tc>
          <w:tcPr>
            <w:tcW w:w="2840"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20"/>
                <w:szCs w:val="20"/>
              </w:rPr>
            </w:pPr>
            <w:r>
              <w:rPr>
                <w:sz w:val="20"/>
                <w:szCs w:val="20"/>
              </w:rPr>
              <w:t>Total reduction to R&amp;D expense</w:t>
            </w:r>
          </w:p>
        </w:tc>
        <w:tc>
          <w:tcPr>
            <w:tcW w:w="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1,914</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815</w:t>
            </w:r>
          </w:p>
        </w:tc>
        <w:tc>
          <w:tcPr>
            <w:tcW w:w="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3"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4,392</w:t>
            </w:r>
          </w:p>
        </w:tc>
        <w:tc>
          <w:tcPr>
            <w:tcW w:w="8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2"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2,429</w:t>
            </w:r>
          </w:p>
        </w:tc>
      </w:tr>
    </w:tbl>
    <w:p w:rsidR="00000000" w:rsidRDefault="00C96329">
      <w:pPr>
        <w:pStyle w:val="a3"/>
        <w:spacing w:before="360" w:beforeAutospacing="0" w:after="0" w:afterAutospacing="0"/>
        <w:jc w:val="center"/>
        <w:divId w:val="530800548"/>
        <w:rPr>
          <w:sz w:val="20"/>
          <w:szCs w:val="20"/>
        </w:rPr>
      </w:pPr>
      <w:r>
        <w:rPr>
          <w:sz w:val="20"/>
          <w:szCs w:val="20"/>
        </w:rPr>
        <w:t>12</w:t>
      </w:r>
    </w:p>
    <w:p w:rsidR="00000000" w:rsidRDefault="00C96329">
      <w:pPr>
        <w:pStyle w:val="a3"/>
        <w:spacing w:before="0" w:beforeAutospacing="0" w:after="600" w:afterAutospacing="0"/>
        <w:divId w:val="1055663578"/>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1052996999"/>
        <w:rPr>
          <w:sz w:val="20"/>
          <w:szCs w:val="20"/>
        </w:rPr>
      </w:pPr>
      <w:r>
        <w:rPr>
          <w:sz w:val="20"/>
          <w:szCs w:val="20"/>
        </w:rPr>
        <w:t>​</w:t>
      </w:r>
    </w:p>
    <w:p w:rsidR="00000000" w:rsidRDefault="00C96329">
      <w:pPr>
        <w:pStyle w:val="a3"/>
        <w:spacing w:before="0" w:beforeAutospacing="0" w:after="0" w:afterAutospacing="0"/>
        <w:divId w:val="1052996999"/>
        <w:rPr>
          <w:sz w:val="20"/>
          <w:szCs w:val="20"/>
        </w:rPr>
      </w:pPr>
      <w:r>
        <w:rPr>
          <w:b/>
          <w:bCs/>
          <w:i/>
          <w:iCs/>
          <w:sz w:val="20"/>
          <w:szCs w:val="20"/>
        </w:rPr>
        <w:t>Revenue from Licensing Arrangements</w:t>
      </w:r>
    </w:p>
    <w:p w:rsidR="00000000" w:rsidRDefault="00C96329">
      <w:pPr>
        <w:pStyle w:val="a3"/>
        <w:spacing w:before="0" w:beforeAutospacing="0" w:after="0" w:afterAutospacing="0"/>
        <w:divId w:val="1052996999"/>
        <w:rPr>
          <w:sz w:val="20"/>
          <w:szCs w:val="20"/>
        </w:rPr>
      </w:pPr>
      <w:r>
        <w:rPr>
          <w:b/>
          <w:bCs/>
          <w:i/>
          <w:iCs/>
          <w:sz w:val="20"/>
          <w:szCs w:val="20"/>
        </w:rPr>
        <w:t>​</w:t>
      </w:r>
    </w:p>
    <w:p w:rsidR="00000000" w:rsidRDefault="00C96329">
      <w:pPr>
        <w:pStyle w:val="a3"/>
        <w:shd w:val="clear" w:color="auto" w:fill="FFFFFF"/>
        <w:spacing w:before="0" w:beforeAutospacing="0" w:after="0" w:afterAutospacing="0"/>
        <w:divId w:val="1052996999"/>
        <w:rPr>
          <w:sz w:val="20"/>
          <w:szCs w:val="20"/>
        </w:rPr>
      </w:pPr>
      <w:r>
        <w:rPr>
          <w:b/>
          <w:bCs/>
          <w:i/>
          <w:iCs/>
          <w:sz w:val="20"/>
          <w:szCs w:val="20"/>
        </w:rPr>
        <w:t>Mylan</w:t>
      </w:r>
    </w:p>
    <w:p w:rsidR="00000000" w:rsidRDefault="00C96329">
      <w:pPr>
        <w:pStyle w:val="a3"/>
        <w:spacing w:before="0" w:beforeAutospacing="0" w:after="0" w:afterAutospacing="0"/>
        <w:divId w:val="1052996999"/>
        <w:rPr>
          <w:sz w:val="20"/>
          <w:szCs w:val="20"/>
        </w:rPr>
      </w:pPr>
      <w:r>
        <w:rPr>
          <w:b/>
          <w:bCs/>
          <w:i/>
          <w:iCs/>
          <w:sz w:val="10"/>
          <w:szCs w:val="10"/>
        </w:rPr>
        <w:t>​</w:t>
      </w:r>
    </w:p>
    <w:p w:rsidR="00000000" w:rsidRDefault="00C96329">
      <w:pPr>
        <w:pStyle w:val="a3"/>
        <w:spacing w:before="0" w:beforeAutospacing="0" w:after="0" w:afterAutospacing="0"/>
        <w:ind w:firstLine="720"/>
        <w:divId w:val="1052996999"/>
        <w:rPr>
          <w:sz w:val="20"/>
          <w:szCs w:val="20"/>
        </w:rPr>
      </w:pPr>
      <w:r>
        <w:rPr>
          <w:sz w:val="20"/>
          <w:szCs w:val="20"/>
          <w:shd w:val="clear" w:color="auto" w:fill="FFFFFF"/>
        </w:rPr>
        <w:t>In June 2019, the Company announced the expansion of the Mylan Agreement (the “Mylan Amendment”</w:t>
      </w:r>
      <w:r>
        <w:rPr>
          <w:sz w:val="20"/>
          <w:szCs w:val="20"/>
          <w:shd w:val="clear" w:color="auto" w:fill="FFFFFF"/>
        </w:rPr>
        <w:t>) to grant Mylan exclusive development and commercialization rights to nebulized revefenacin in China and adjacent territories. In exchange, the Company received an upfront payment of $18.5 million (before a required tax withholding) and will be eligible t</w:t>
      </w:r>
      <w:r>
        <w:rPr>
          <w:sz w:val="20"/>
          <w:szCs w:val="20"/>
          <w:shd w:val="clear" w:color="auto" w:fill="FFFFFF"/>
        </w:rPr>
        <w:t>o receive potential development and sales milestones totaling $54.0 million and low double-digit tiered royalties on net sales of nebulized revefenacin, if approved. Of the $54.0 million in potential milestones, $9.0 million is associated with the developm</w:t>
      </w:r>
      <w:r>
        <w:rPr>
          <w:sz w:val="20"/>
          <w:szCs w:val="20"/>
          <w:shd w:val="clear" w:color="auto" w:fill="FFFFFF"/>
        </w:rPr>
        <w:t xml:space="preserve">ent of </w:t>
      </w:r>
      <w:r>
        <w:rPr>
          <w:sz w:val="20"/>
          <w:szCs w:val="20"/>
        </w:rPr>
        <w:t xml:space="preserve">YUPELRI monotherapy, $7.5 million associated with the development of future potential combination products, and </w:t>
      </w:r>
      <w:r>
        <w:rPr>
          <w:sz w:val="20"/>
          <w:szCs w:val="20"/>
          <w:shd w:val="clear" w:color="auto" w:fill="FFFFFF"/>
        </w:rPr>
        <w:t>$37.5 million is associated with sales milestones. Mylan is responsible for all aspects of development and commercialization in the partn</w:t>
      </w:r>
      <w:r>
        <w:rPr>
          <w:sz w:val="20"/>
          <w:szCs w:val="20"/>
          <w:shd w:val="clear" w:color="auto" w:fill="FFFFFF"/>
        </w:rPr>
        <w:t xml:space="preserve">ered regions, including pre- and post-launch activities and product registration and all associated costs. </w:t>
      </w:r>
    </w:p>
    <w:p w:rsidR="00000000" w:rsidRDefault="00C96329">
      <w:pPr>
        <w:pStyle w:val="a3"/>
        <w:spacing w:before="0" w:beforeAutospacing="0" w:after="0" w:afterAutospacing="0"/>
        <w:divId w:val="1052996999"/>
        <w:rPr>
          <w:sz w:val="20"/>
          <w:szCs w:val="20"/>
        </w:rPr>
      </w:pPr>
      <w:r>
        <w:rPr>
          <w:sz w:val="20"/>
          <w:szCs w:val="20"/>
        </w:rPr>
        <w:t>​</w:t>
      </w:r>
    </w:p>
    <w:p w:rsidR="00000000" w:rsidRDefault="00C96329">
      <w:pPr>
        <w:pStyle w:val="a3"/>
        <w:spacing w:before="0" w:beforeAutospacing="0" w:after="0" w:afterAutospacing="0"/>
        <w:ind w:firstLine="720"/>
        <w:divId w:val="1052996999"/>
        <w:rPr>
          <w:sz w:val="20"/>
          <w:szCs w:val="20"/>
        </w:rPr>
      </w:pPr>
      <w:r>
        <w:rPr>
          <w:sz w:val="20"/>
          <w:szCs w:val="20"/>
          <w:shd w:val="clear" w:color="auto" w:fill="FFFFFF"/>
        </w:rPr>
        <w:t>The Mylan Amendment is accounted for under ASC 606 as a separate contract from the original Mylan Agreement that was entered into in January 2015.</w:t>
      </w:r>
      <w:r>
        <w:rPr>
          <w:sz w:val="20"/>
          <w:szCs w:val="20"/>
          <w:shd w:val="clear" w:color="auto" w:fill="FFFFFF"/>
        </w:rPr>
        <w:t xml:space="preserve"> The Company identified a</w:t>
      </w:r>
      <w:r>
        <w:rPr>
          <w:sz w:val="20"/>
          <w:szCs w:val="20"/>
        </w:rPr>
        <w:t xml:space="preserve"> single performance obligation comprising of the delivery of the license to develop and commercialize revefenacin in China and adjacent territories. The transaction price was determined to be the upfront payment of $18.5 million</w:t>
      </w:r>
      <w:r>
        <w:rPr>
          <w:sz w:val="20"/>
          <w:szCs w:val="20"/>
          <w:shd w:val="clear" w:color="auto" w:fill="FFFFFF"/>
        </w:rPr>
        <w:t xml:space="preserve"> </w:t>
      </w:r>
      <w:r>
        <w:rPr>
          <w:sz w:val="20"/>
          <w:szCs w:val="20"/>
        </w:rPr>
        <w:t>wh</w:t>
      </w:r>
      <w:r>
        <w:rPr>
          <w:sz w:val="20"/>
          <w:szCs w:val="20"/>
        </w:rPr>
        <w:t xml:space="preserve">ich the Company recognized as licensing revenue following the completion of the performance obligation in June 2019. </w:t>
      </w:r>
    </w:p>
    <w:p w:rsidR="00000000" w:rsidRDefault="00C96329">
      <w:pPr>
        <w:pStyle w:val="a3"/>
        <w:spacing w:before="0" w:beforeAutospacing="0" w:after="0" w:afterAutospacing="0"/>
        <w:ind w:firstLine="720"/>
        <w:divId w:val="1052996999"/>
        <w:rPr>
          <w:sz w:val="20"/>
          <w:szCs w:val="20"/>
        </w:rPr>
      </w:pPr>
      <w:r>
        <w:rPr>
          <w:sz w:val="20"/>
          <w:szCs w:val="20"/>
        </w:rPr>
        <w:t>​</w:t>
      </w:r>
    </w:p>
    <w:p w:rsidR="00000000" w:rsidRDefault="00C96329">
      <w:pPr>
        <w:pStyle w:val="a3"/>
        <w:spacing w:before="0" w:beforeAutospacing="0" w:after="0" w:afterAutospacing="0"/>
        <w:ind w:firstLine="720"/>
        <w:divId w:val="1052996999"/>
        <w:rPr>
          <w:sz w:val="20"/>
          <w:szCs w:val="20"/>
        </w:rPr>
      </w:pPr>
      <w:r>
        <w:rPr>
          <w:sz w:val="20"/>
          <w:szCs w:val="20"/>
        </w:rPr>
        <w:t>The future potential milestone amounts for</w:t>
      </w:r>
      <w:r>
        <w:rPr>
          <w:color w:val="FF0000"/>
          <w:sz w:val="20"/>
          <w:szCs w:val="20"/>
        </w:rPr>
        <w:t xml:space="preserve"> </w:t>
      </w:r>
      <w:r>
        <w:rPr>
          <w:sz w:val="20"/>
          <w:szCs w:val="20"/>
        </w:rPr>
        <w:t>the Mylan Amendment were not included in the transaction price, as they were all determined t</w:t>
      </w:r>
      <w:r>
        <w:rPr>
          <w:sz w:val="20"/>
          <w:szCs w:val="20"/>
        </w:rPr>
        <w:t xml:space="preserve">o be fully constrained following the concepts of ASC 606. As part of the Company’s evaluation of the development milestones constraint, the Company determined that the achievement of such milestones is contingent upon success in future clinical trials and </w:t>
      </w:r>
      <w:r>
        <w:rPr>
          <w:sz w:val="20"/>
          <w:szCs w:val="20"/>
        </w:rPr>
        <w:t>regulatory approvals which are not within its control and uncertain at this stage. The Company expects that the sales-based milestone payments and royalty arrangements will be recognized when the sales occur or the milestone is achieved. The Company will r</w:t>
      </w:r>
      <w:r>
        <w:rPr>
          <w:sz w:val="20"/>
          <w:szCs w:val="20"/>
        </w:rPr>
        <w:t xml:space="preserve">e-evaluate the transaction price each quarter and as uncertain events are resolved or other changes in circumstances occur. </w:t>
      </w:r>
    </w:p>
    <w:p w:rsidR="00000000" w:rsidRDefault="00C96329">
      <w:pPr>
        <w:pStyle w:val="a3"/>
        <w:spacing w:before="0" w:beforeAutospacing="0" w:after="0" w:afterAutospacing="0"/>
        <w:ind w:firstLine="720"/>
        <w:divId w:val="1052996999"/>
        <w:rPr>
          <w:sz w:val="20"/>
          <w:szCs w:val="20"/>
        </w:rPr>
      </w:pPr>
      <w:r>
        <w:rPr>
          <w:sz w:val="20"/>
          <w:szCs w:val="20"/>
        </w:rPr>
        <w:t>​</w:t>
      </w:r>
    </w:p>
    <w:p w:rsidR="00000000" w:rsidRDefault="00C96329">
      <w:pPr>
        <w:pStyle w:val="a3"/>
        <w:spacing w:before="0" w:beforeAutospacing="0" w:after="0" w:afterAutospacing="0"/>
        <w:ind w:firstLine="720"/>
        <w:divId w:val="1052996999"/>
        <w:rPr>
          <w:sz w:val="20"/>
          <w:szCs w:val="20"/>
        </w:rPr>
      </w:pPr>
      <w:r>
        <w:rPr>
          <w:sz w:val="20"/>
          <w:szCs w:val="20"/>
          <w:shd w:val="clear" w:color="auto" w:fill="FFFFFF"/>
        </w:rPr>
        <w:t>In March 2020, the Company earned a $1.5 million development milestone payment for the acceptance of a clinical trial application</w:t>
      </w:r>
      <w:r>
        <w:rPr>
          <w:sz w:val="20"/>
          <w:szCs w:val="20"/>
          <w:shd w:val="clear" w:color="auto" w:fill="FFFFFF"/>
        </w:rPr>
        <w:t xml:space="preserve"> associated with the use of YUPELRI monotherapy in China and adjacent territories.</w:t>
      </w:r>
    </w:p>
    <w:p w:rsidR="00000000" w:rsidRDefault="00C96329">
      <w:pPr>
        <w:pStyle w:val="a3"/>
        <w:spacing w:before="0" w:beforeAutospacing="0" w:after="0" w:afterAutospacing="0"/>
        <w:ind w:firstLine="720"/>
        <w:divId w:val="1052996999"/>
        <w:rPr>
          <w:sz w:val="20"/>
          <w:szCs w:val="20"/>
        </w:rPr>
      </w:pPr>
      <w:r>
        <w:rPr>
          <w:sz w:val="20"/>
          <w:szCs w:val="20"/>
        </w:rPr>
        <w:t>​</w:t>
      </w:r>
    </w:p>
    <w:p w:rsidR="00000000" w:rsidRDefault="00C96329">
      <w:pPr>
        <w:pStyle w:val="a3"/>
        <w:spacing w:before="0" w:beforeAutospacing="0" w:after="120" w:afterAutospacing="0"/>
        <w:divId w:val="1052996999"/>
        <w:rPr>
          <w:sz w:val="20"/>
          <w:szCs w:val="20"/>
        </w:rPr>
      </w:pPr>
      <w:r>
        <w:rPr>
          <w:b/>
          <w:bCs/>
          <w:i/>
          <w:iCs/>
          <w:sz w:val="20"/>
          <w:szCs w:val="20"/>
        </w:rPr>
        <w:t>Pfizer</w:t>
      </w:r>
    </w:p>
    <w:p w:rsidR="00000000" w:rsidRDefault="00C96329">
      <w:pPr>
        <w:pStyle w:val="a3"/>
        <w:spacing w:before="0" w:beforeAutospacing="0" w:after="0" w:afterAutospacing="0"/>
        <w:divId w:val="1052996999"/>
        <w:rPr>
          <w:sz w:val="20"/>
          <w:szCs w:val="20"/>
        </w:rPr>
      </w:pPr>
      <w:r>
        <w:rPr>
          <w:sz w:val="20"/>
          <w:szCs w:val="20"/>
        </w:rPr>
        <w:t xml:space="preserve">In December 2019, the Company entered into a global license agreement with Pfizer Inc. for its preclinical skin-selective, locally-acting pan-JAK inhibitor program </w:t>
      </w:r>
      <w:r>
        <w:rPr>
          <w:sz w:val="20"/>
          <w:szCs w:val="20"/>
        </w:rPr>
        <w:t>(the “Pfizer Agreement”). The compounds in this program are designed to target validated pro-inflammatory pathways and are specifically designed to possess skin-selective activity with minimal systemic exposure.</w:t>
      </w:r>
    </w:p>
    <w:p w:rsidR="00000000" w:rsidRDefault="00C96329">
      <w:pPr>
        <w:pStyle w:val="a3"/>
        <w:spacing w:before="0" w:beforeAutospacing="0" w:after="0" w:afterAutospacing="0"/>
        <w:divId w:val="1052996999"/>
        <w:rPr>
          <w:sz w:val="20"/>
          <w:szCs w:val="20"/>
        </w:rPr>
      </w:pPr>
      <w:r>
        <w:rPr>
          <w:sz w:val="20"/>
          <w:szCs w:val="20"/>
        </w:rPr>
        <w:t>​</w:t>
      </w:r>
    </w:p>
    <w:p w:rsidR="00000000" w:rsidRDefault="00C96329">
      <w:pPr>
        <w:pStyle w:val="a3"/>
        <w:spacing w:before="0" w:beforeAutospacing="0" w:after="0" w:afterAutospacing="0"/>
        <w:ind w:firstLine="720"/>
        <w:divId w:val="1052996999"/>
        <w:rPr>
          <w:sz w:val="20"/>
          <w:szCs w:val="20"/>
        </w:rPr>
      </w:pPr>
      <w:r>
        <w:rPr>
          <w:sz w:val="20"/>
          <w:szCs w:val="20"/>
        </w:rPr>
        <w:t xml:space="preserve">Under the Pfizer Agreement, Pfizer has an </w:t>
      </w:r>
      <w:r>
        <w:rPr>
          <w:sz w:val="20"/>
          <w:szCs w:val="20"/>
        </w:rPr>
        <w:t xml:space="preserve">exclusive license to develop, manufacture and commercialize certain compounds for all uses other than gastrointestinal, ophthalmic and respiratory applications. Under the terms of the Pfizer Agreement, the Company received an upfront cash payment of $10.0 </w:t>
      </w:r>
      <w:r>
        <w:rPr>
          <w:sz w:val="20"/>
          <w:szCs w:val="20"/>
        </w:rPr>
        <w:t xml:space="preserve">million and is eligible to receive up to an additional $240.0 million in development and sales milestone payments from Pfizer. In addition, the Company will be eligible to receive a tiered royalty on worldwide net sales of any potential products under the </w:t>
      </w:r>
      <w:r>
        <w:rPr>
          <w:sz w:val="20"/>
          <w:szCs w:val="20"/>
        </w:rPr>
        <w:t>license at percentage royalty rates ranging from middle single-digits to low double-digits.</w:t>
      </w:r>
    </w:p>
    <w:p w:rsidR="00000000" w:rsidRDefault="00C96329">
      <w:pPr>
        <w:pStyle w:val="a3"/>
        <w:spacing w:before="0" w:beforeAutospacing="0" w:after="0" w:afterAutospacing="0"/>
        <w:divId w:val="1052996999"/>
        <w:rPr>
          <w:sz w:val="20"/>
          <w:szCs w:val="20"/>
        </w:rPr>
      </w:pPr>
      <w:r>
        <w:rPr>
          <w:b/>
          <w:bCs/>
          <w:color w:val="FF0000"/>
          <w:sz w:val="20"/>
          <w:szCs w:val="20"/>
        </w:rPr>
        <w:t>​</w:t>
      </w:r>
    </w:p>
    <w:p w:rsidR="00000000" w:rsidRDefault="00C96329">
      <w:pPr>
        <w:pStyle w:val="a3"/>
        <w:spacing w:before="0" w:beforeAutospacing="0" w:after="0" w:afterAutospacing="0"/>
        <w:divId w:val="1052996999"/>
        <w:rPr>
          <w:sz w:val="20"/>
          <w:szCs w:val="20"/>
        </w:rPr>
      </w:pPr>
      <w:r>
        <w:rPr>
          <w:sz w:val="20"/>
          <w:szCs w:val="20"/>
        </w:rPr>
        <w:t>The Pfizer Agreement is accounted for under ASC 606. The Company identified two performance obligations primarily comprised of the delivery of the license and sam</w:t>
      </w:r>
      <w:r>
        <w:rPr>
          <w:sz w:val="20"/>
          <w:szCs w:val="20"/>
        </w:rPr>
        <w:t xml:space="preserve">ples of tangible materials which was completed in December 2019. The transaction price was determined to be the upfront payment of $10.0 million which the Company recognized as licensing revenue in December 2019. </w:t>
      </w:r>
    </w:p>
    <w:p w:rsidR="00000000" w:rsidRDefault="00C96329">
      <w:pPr>
        <w:pStyle w:val="a3"/>
        <w:spacing w:before="0" w:beforeAutospacing="0" w:after="0" w:afterAutospacing="0"/>
        <w:divId w:val="1052996999"/>
        <w:rPr>
          <w:sz w:val="20"/>
          <w:szCs w:val="20"/>
        </w:rPr>
      </w:pPr>
      <w:r>
        <w:rPr>
          <w:sz w:val="20"/>
          <w:szCs w:val="20"/>
        </w:rPr>
        <w:t>​</w:t>
      </w:r>
    </w:p>
    <w:p w:rsidR="00000000" w:rsidRDefault="00C96329">
      <w:pPr>
        <w:pStyle w:val="a3"/>
        <w:spacing w:before="0" w:beforeAutospacing="0" w:after="0" w:afterAutospacing="0"/>
        <w:ind w:firstLine="720"/>
        <w:divId w:val="1052996999"/>
        <w:rPr>
          <w:sz w:val="20"/>
          <w:szCs w:val="20"/>
        </w:rPr>
      </w:pPr>
      <w:r>
        <w:rPr>
          <w:sz w:val="20"/>
          <w:szCs w:val="20"/>
        </w:rPr>
        <w:t xml:space="preserve">The future potential milestones payable </w:t>
      </w:r>
      <w:r>
        <w:rPr>
          <w:sz w:val="20"/>
          <w:szCs w:val="20"/>
        </w:rPr>
        <w:t>under the Pfizer Amendment were not included in the transaction price, as they were all determined to be fully constrained following the concepts of ASC 606. As part of the Company’s evaluation of the development milestones constraint, the Company determin</w:t>
      </w:r>
      <w:r>
        <w:rPr>
          <w:sz w:val="20"/>
          <w:szCs w:val="20"/>
        </w:rPr>
        <w:t xml:space="preserve">ed that the achievement of such milestones is contingent upon success in future clinical trials and regulatory approvals which are not within its control and uncertain at this stage. The </w:t>
      </w:r>
    </w:p>
    <w:p w:rsidR="00000000" w:rsidRDefault="00C96329">
      <w:pPr>
        <w:pStyle w:val="a3"/>
        <w:spacing w:before="360" w:beforeAutospacing="0" w:after="0" w:afterAutospacing="0"/>
        <w:jc w:val="center"/>
        <w:divId w:val="1978802309"/>
        <w:rPr>
          <w:sz w:val="20"/>
          <w:szCs w:val="20"/>
        </w:rPr>
      </w:pPr>
      <w:r>
        <w:rPr>
          <w:sz w:val="20"/>
          <w:szCs w:val="20"/>
        </w:rPr>
        <w:t>13</w:t>
      </w:r>
    </w:p>
    <w:p w:rsidR="00000000" w:rsidRDefault="00C96329">
      <w:pPr>
        <w:pStyle w:val="a3"/>
        <w:spacing w:before="0" w:beforeAutospacing="0" w:after="600" w:afterAutospacing="0"/>
        <w:divId w:val="1857035492"/>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1445342462"/>
        <w:rPr>
          <w:sz w:val="20"/>
          <w:szCs w:val="20"/>
        </w:rPr>
      </w:pPr>
      <w:r>
        <w:rPr>
          <w:sz w:val="20"/>
          <w:szCs w:val="20"/>
        </w:rPr>
        <w:t>Company expects that the sales-based milestone payments will be recognized when the sales occur or the milestone is achieved. The Company will re-evaluate the transaction price each quarter and as uncertain events are resolved or other changes in circumsta</w:t>
      </w:r>
      <w:r>
        <w:rPr>
          <w:sz w:val="20"/>
          <w:szCs w:val="20"/>
        </w:rPr>
        <w:t>nces occur.</w:t>
      </w:r>
    </w:p>
    <w:p w:rsidR="00000000" w:rsidRDefault="00C96329">
      <w:pPr>
        <w:pStyle w:val="a3"/>
        <w:spacing w:before="0" w:beforeAutospacing="0" w:after="0" w:afterAutospacing="0"/>
        <w:divId w:val="1445342462"/>
        <w:rPr>
          <w:sz w:val="20"/>
          <w:szCs w:val="20"/>
        </w:rPr>
      </w:pPr>
      <w:r>
        <w:rPr>
          <w:sz w:val="20"/>
          <w:szCs w:val="20"/>
        </w:rPr>
        <w:t>​</w:t>
      </w:r>
    </w:p>
    <w:p w:rsidR="00000000" w:rsidRDefault="00C96329">
      <w:pPr>
        <w:pStyle w:val="a3"/>
        <w:spacing w:before="0" w:beforeAutospacing="0" w:after="0" w:afterAutospacing="0"/>
        <w:divId w:val="1445342462"/>
        <w:rPr>
          <w:sz w:val="20"/>
          <w:szCs w:val="20"/>
        </w:rPr>
      </w:pPr>
      <w:r>
        <w:rPr>
          <w:b/>
          <w:bCs/>
          <w:sz w:val="20"/>
          <w:szCs w:val="20"/>
        </w:rPr>
        <w:t>4. Cash, Cash Equivalents, and Restricted Cash</w:t>
      </w:r>
    </w:p>
    <w:p w:rsidR="00000000" w:rsidRDefault="00C96329">
      <w:pPr>
        <w:pStyle w:val="a3"/>
        <w:spacing w:before="0" w:beforeAutospacing="0" w:after="0" w:afterAutospacing="0"/>
        <w:divId w:val="1445342462"/>
        <w:rPr>
          <w:sz w:val="20"/>
          <w:szCs w:val="20"/>
        </w:rPr>
      </w:pPr>
      <w:r>
        <w:rPr>
          <w:b/>
          <w:bCs/>
          <w:sz w:val="10"/>
          <w:szCs w:val="10"/>
        </w:rPr>
        <w:t>​</w:t>
      </w:r>
    </w:p>
    <w:p w:rsidR="00000000" w:rsidRDefault="00C96329">
      <w:pPr>
        <w:pStyle w:val="a3"/>
        <w:spacing w:before="0" w:beforeAutospacing="0" w:after="0" w:afterAutospacing="0"/>
        <w:ind w:firstLine="720"/>
        <w:divId w:val="1445342462"/>
        <w:rPr>
          <w:sz w:val="20"/>
          <w:szCs w:val="20"/>
        </w:rPr>
      </w:pPr>
      <w:r>
        <w:rPr>
          <w:sz w:val="20"/>
          <w:szCs w:val="20"/>
        </w:rPr>
        <w:t>The following table provides a reconciliation of cash, cash equivalents, and restricted cash reported within the current period and comparable prior year period condensed consolidated balance s</w:t>
      </w:r>
      <w:r>
        <w:rPr>
          <w:sz w:val="20"/>
          <w:szCs w:val="20"/>
        </w:rPr>
        <w:t>heets that sum to the total of the same such amount shown on the condensed consolidated statements of cash flows.</w:t>
      </w:r>
    </w:p>
    <w:p w:rsidR="00000000" w:rsidRDefault="00C96329">
      <w:pPr>
        <w:pStyle w:val="a3"/>
        <w:spacing w:before="0" w:beforeAutospacing="0" w:after="0" w:afterAutospacing="0"/>
        <w:ind w:firstLine="720"/>
        <w:divId w:val="144534246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31"/>
        <w:gridCol w:w="192"/>
        <w:gridCol w:w="191"/>
        <w:gridCol w:w="754"/>
        <w:gridCol w:w="191"/>
        <w:gridCol w:w="191"/>
        <w:gridCol w:w="756"/>
      </w:tblGrid>
      <w:tr w:rsidR="00000000">
        <w:trPr>
          <w:divId w:val="1445342462"/>
          <w:trHeight w:val="20"/>
        </w:trPr>
        <w:tc>
          <w:tcPr>
            <w:tcW w:w="3629" w:type="pct"/>
            <w:tcMar>
              <w:top w:w="0" w:type="dxa"/>
              <w:left w:w="0" w:type="dxa"/>
              <w:bottom w:w="0" w:type="dxa"/>
              <w:right w:w="0" w:type="dxa"/>
            </w:tcMar>
            <w:vAlign w:val="center"/>
            <w:hideMark/>
          </w:tcPr>
          <w:p w:rsidR="00000000" w:rsidRDefault="00C96329">
            <w:pPr>
              <w:pStyle w:val="a3"/>
              <w:spacing w:before="0" w:beforeAutospacing="0" w:after="0" w:afterAutospacing="0"/>
              <w:divId w:val="1435125998"/>
              <w:rPr>
                <w:sz w:val="20"/>
                <w:szCs w:val="20"/>
              </w:rPr>
            </w:pPr>
            <w:r>
              <w:rPr>
                <w:sz w:val="2"/>
                <w:szCs w:val="2"/>
              </w:rPr>
              <w:t>​</w:t>
            </w:r>
          </w:p>
        </w:tc>
        <w:tc>
          <w:tcPr>
            <w:tcW w:w="115" w:type="pct"/>
            <w:tcMar>
              <w:top w:w="0" w:type="dxa"/>
              <w:left w:w="0" w:type="dxa"/>
              <w:bottom w:w="0" w:type="dxa"/>
              <w:right w:w="0" w:type="dxa"/>
            </w:tcMar>
            <w:vAlign w:val="center"/>
            <w:hideMark/>
          </w:tcPr>
          <w:p w:rsidR="00000000" w:rsidRDefault="00C96329">
            <w:pPr>
              <w:pStyle w:val="a3"/>
              <w:spacing w:before="0" w:beforeAutospacing="0" w:after="0" w:afterAutospacing="0"/>
              <w:divId w:val="165827908"/>
              <w:rPr>
                <w:sz w:val="20"/>
                <w:szCs w:val="20"/>
              </w:rPr>
            </w:pPr>
            <w:r>
              <w:rPr>
                <w:sz w:val="2"/>
                <w:szCs w:val="2"/>
              </w:rPr>
              <w:t>​</w:t>
            </w:r>
          </w:p>
        </w:tc>
        <w:tc>
          <w:tcPr>
            <w:tcW w:w="115" w:type="pct"/>
            <w:tcMar>
              <w:top w:w="0" w:type="dxa"/>
              <w:left w:w="0" w:type="dxa"/>
              <w:bottom w:w="0" w:type="dxa"/>
              <w:right w:w="0" w:type="dxa"/>
            </w:tcMar>
            <w:vAlign w:val="center"/>
            <w:hideMark/>
          </w:tcPr>
          <w:p w:rsidR="00000000" w:rsidRDefault="00C96329">
            <w:pPr>
              <w:pStyle w:val="a3"/>
              <w:spacing w:before="0" w:beforeAutospacing="0" w:after="0" w:afterAutospacing="0"/>
              <w:divId w:val="792752275"/>
              <w:rPr>
                <w:sz w:val="20"/>
                <w:szCs w:val="20"/>
              </w:rPr>
            </w:pPr>
            <w:r>
              <w:rPr>
                <w:sz w:val="2"/>
                <w:szCs w:val="2"/>
              </w:rPr>
              <w:t>​</w:t>
            </w:r>
          </w:p>
        </w:tc>
        <w:tc>
          <w:tcPr>
            <w:tcW w:w="454"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561017237"/>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49711076"/>
              <w:rPr>
                <w:sz w:val="20"/>
                <w:szCs w:val="20"/>
              </w:rPr>
            </w:pPr>
            <w:r>
              <w:rPr>
                <w:sz w:val="2"/>
                <w:szCs w:val="2"/>
              </w:rPr>
              <w:t>​</w:t>
            </w:r>
          </w:p>
        </w:tc>
        <w:tc>
          <w:tcPr>
            <w:tcW w:w="115" w:type="pct"/>
            <w:tcMar>
              <w:top w:w="0" w:type="dxa"/>
              <w:left w:w="0" w:type="dxa"/>
              <w:bottom w:w="0" w:type="dxa"/>
              <w:right w:w="0" w:type="dxa"/>
            </w:tcMar>
            <w:vAlign w:val="center"/>
            <w:hideMark/>
          </w:tcPr>
          <w:p w:rsidR="00000000" w:rsidRDefault="00C96329">
            <w:pPr>
              <w:pStyle w:val="a3"/>
              <w:spacing w:before="0" w:beforeAutospacing="0" w:after="0" w:afterAutospacing="0"/>
              <w:divId w:val="485632923"/>
              <w:rPr>
                <w:sz w:val="20"/>
                <w:szCs w:val="20"/>
              </w:rPr>
            </w:pPr>
            <w:r>
              <w:rPr>
                <w:sz w:val="2"/>
                <w:szCs w:val="2"/>
              </w:rPr>
              <w:t>​</w:t>
            </w:r>
          </w:p>
        </w:tc>
        <w:tc>
          <w:tcPr>
            <w:tcW w:w="454"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350647347"/>
              <w:rPr>
                <w:sz w:val="20"/>
                <w:szCs w:val="20"/>
              </w:rPr>
            </w:pPr>
            <w:r>
              <w:rPr>
                <w:sz w:val="2"/>
                <w:szCs w:val="2"/>
              </w:rPr>
              <w:t>​</w:t>
            </w:r>
          </w:p>
        </w:tc>
      </w:tr>
      <w:tr w:rsidR="00000000">
        <w:trPr>
          <w:divId w:val="1445342462"/>
        </w:trPr>
        <w:tc>
          <w:tcPr>
            <w:tcW w:w="3629" w:type="pct"/>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b/>
                <w:bCs/>
                <w:sz w:val="16"/>
                <w:szCs w:val="16"/>
              </w:rPr>
              <w:t>​</w:t>
            </w:r>
          </w:p>
        </w:tc>
        <w:tc>
          <w:tcPr>
            <w:tcW w:w="115" w:type="pct"/>
            <w:tcMar>
              <w:top w:w="0" w:type="dxa"/>
              <w:left w:w="0" w:type="dxa"/>
              <w:bottom w:w="0" w:type="dxa"/>
              <w:right w:w="0" w:type="dxa"/>
            </w:tcMar>
            <w:vAlign w:val="center"/>
            <w:hideMark/>
          </w:tcPr>
          <w:p w:rsidR="00000000" w:rsidRDefault="00C96329">
            <w:pPr>
              <w:pStyle w:val="a3"/>
              <w:spacing w:before="0" w:beforeAutospacing="0" w:after="0" w:afterAutospacing="0"/>
              <w:jc w:val="center"/>
              <w:rPr>
                <w:sz w:val="20"/>
                <w:szCs w:val="20"/>
              </w:rPr>
            </w:pPr>
            <w:r>
              <w:rPr>
                <w:b/>
                <w:bCs/>
                <w:sz w:val="16"/>
                <w:szCs w:val="16"/>
              </w:rPr>
              <w:t>​</w:t>
            </w:r>
          </w:p>
        </w:tc>
        <w:tc>
          <w:tcPr>
            <w:tcW w:w="1254" w:type="pct"/>
            <w:gridSpan w:val="5"/>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June 30, </w:t>
            </w:r>
          </w:p>
        </w:tc>
      </w:tr>
      <w:tr w:rsidR="00000000">
        <w:trPr>
          <w:divId w:val="1445342462"/>
        </w:trPr>
        <w:tc>
          <w:tcPr>
            <w:tcW w:w="3629" w:type="pct"/>
            <w:tcBorders>
              <w:bottom w:val="single" w:sz="6" w:space="0" w:color="000000"/>
            </w:tcBorders>
            <w:tcMar>
              <w:top w:w="0" w:type="dxa"/>
              <w:left w:w="0" w:type="dxa"/>
              <w:bottom w:w="0" w:type="dxa"/>
              <w:right w:w="0" w:type="dxa"/>
            </w:tcMar>
            <w:vAlign w:val="center"/>
            <w:hideMark/>
          </w:tcPr>
          <w:p w:rsidR="00000000" w:rsidRDefault="00C96329">
            <w:pPr>
              <w:pStyle w:val="a3"/>
              <w:spacing w:before="0" w:beforeAutospacing="0" w:after="0" w:afterAutospacing="0"/>
              <w:rPr>
                <w:sz w:val="16"/>
                <w:szCs w:val="16"/>
              </w:rPr>
            </w:pPr>
            <w:r>
              <w:rPr>
                <w:b/>
                <w:bCs/>
                <w:sz w:val="16"/>
                <w:szCs w:val="16"/>
              </w:rPr>
              <w:t>(In thousands)</w:t>
            </w:r>
          </w:p>
        </w:tc>
        <w:tc>
          <w:tcPr>
            <w:tcW w:w="115" w:type="pct"/>
            <w:tcMar>
              <w:top w:w="0" w:type="dxa"/>
              <w:left w:w="0" w:type="dxa"/>
              <w:bottom w:w="0" w:type="dxa"/>
              <w:right w:w="0" w:type="dxa"/>
            </w:tcMar>
            <w:vAlign w:val="center"/>
            <w:hideMark/>
          </w:tcPr>
          <w:p w:rsidR="00000000" w:rsidRDefault="00C96329">
            <w:pPr>
              <w:pStyle w:val="a3"/>
              <w:spacing w:before="0" w:beforeAutospacing="0" w:after="0" w:afterAutospacing="0"/>
              <w:jc w:val="center"/>
              <w:rPr>
                <w:sz w:val="20"/>
                <w:szCs w:val="20"/>
              </w:rPr>
            </w:pPr>
            <w:r>
              <w:rPr>
                <w:b/>
                <w:bCs/>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115" w:type="pct"/>
            <w:tcMar>
              <w:top w:w="0" w:type="dxa"/>
              <w:left w:w="0" w:type="dxa"/>
              <w:bottom w:w="0" w:type="dxa"/>
              <w:right w:w="0" w:type="dxa"/>
            </w:tcMar>
            <w:vAlign w:val="center"/>
            <w:hideMark/>
          </w:tcPr>
          <w:p w:rsidR="00000000" w:rsidRDefault="00C96329">
            <w:pPr>
              <w:pStyle w:val="a3"/>
              <w:spacing w:before="0" w:beforeAutospacing="0" w:after="0" w:afterAutospacing="0"/>
              <w:jc w:val="center"/>
              <w:rPr>
                <w:sz w:val="20"/>
                <w:szCs w:val="20"/>
              </w:rPr>
            </w:pPr>
            <w:r>
              <w:rPr>
                <w:b/>
                <w:bCs/>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r>
      <w:tr w:rsidR="00000000">
        <w:trPr>
          <w:divId w:val="1445342462"/>
        </w:trPr>
        <w:tc>
          <w:tcPr>
            <w:tcW w:w="3629" w:type="pct"/>
            <w:shd w:val="clear" w:color="auto" w:fill="CCEEFF"/>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0"/>
                <w:szCs w:val="20"/>
              </w:rPr>
              <w:t>Cash and cash equivalents</w:t>
            </w:r>
          </w:p>
        </w:tc>
        <w:tc>
          <w:tcPr>
            <w:tcW w:w="115" w:type="pct"/>
            <w:shd w:val="clear" w:color="auto" w:fill="CCEEFF"/>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0"/>
                <w:szCs w:val="20"/>
              </w:rPr>
              <w:t>​</w:t>
            </w:r>
          </w:p>
        </w:tc>
        <w:tc>
          <w:tcPr>
            <w:tcW w:w="115" w:type="pct"/>
            <w:shd w:val="clear" w:color="auto" w:fill="CCEEFF"/>
            <w:tcMar>
              <w:top w:w="0" w:type="dxa"/>
              <w:left w:w="0" w:type="dxa"/>
              <w:bottom w:w="0" w:type="dxa"/>
              <w:right w:w="0" w:type="dxa"/>
            </w:tcMar>
            <w:vAlign w:val="center"/>
            <w:hideMark/>
          </w:tcPr>
          <w:p w:rsidR="00000000" w:rsidRDefault="00C96329">
            <w:pPr>
              <w:pStyle w:val="a3"/>
              <w:spacing w:before="0" w:beforeAutospacing="0" w:after="0" w:afterAutospacing="0"/>
              <w:jc w:val="center"/>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104,735</w:t>
            </w:r>
          </w:p>
        </w:tc>
        <w:tc>
          <w:tcPr>
            <w:tcW w:w="11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15" w:type="pct"/>
            <w:shd w:val="clear" w:color="auto" w:fill="CCEEFF"/>
            <w:tcMar>
              <w:top w:w="0" w:type="dxa"/>
              <w:left w:w="0" w:type="dxa"/>
              <w:bottom w:w="0" w:type="dxa"/>
              <w:right w:w="0" w:type="dxa"/>
            </w:tcMar>
            <w:vAlign w:val="center"/>
            <w:hideMark/>
          </w:tcPr>
          <w:p w:rsidR="00000000" w:rsidRDefault="00C96329">
            <w:pPr>
              <w:pStyle w:val="a3"/>
              <w:spacing w:before="0" w:beforeAutospacing="0" w:after="0" w:afterAutospacing="0"/>
              <w:jc w:val="center"/>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178,311</w:t>
            </w:r>
          </w:p>
        </w:tc>
      </w:tr>
      <w:tr w:rsidR="00000000">
        <w:trPr>
          <w:divId w:val="1445342462"/>
        </w:trPr>
        <w:tc>
          <w:tcPr>
            <w:tcW w:w="3629" w:type="pct"/>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0"/>
                <w:szCs w:val="20"/>
              </w:rPr>
              <w:t>Restricted cash</w:t>
            </w:r>
          </w:p>
        </w:tc>
        <w:tc>
          <w:tcPr>
            <w:tcW w:w="115" w:type="pct"/>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0"/>
                <w:szCs w:val="20"/>
              </w:rPr>
              <w:t>​</w:t>
            </w:r>
          </w:p>
        </w:tc>
        <w:tc>
          <w:tcPr>
            <w:tcW w:w="115" w:type="pct"/>
            <w:tcBorders>
              <w:bottom w:val="single" w:sz="6" w:space="0" w:color="000000"/>
            </w:tcBorders>
            <w:tcMar>
              <w:top w:w="0" w:type="dxa"/>
              <w:left w:w="0" w:type="dxa"/>
              <w:bottom w:w="0" w:type="dxa"/>
              <w:right w:w="0" w:type="dxa"/>
            </w:tcMar>
            <w:vAlign w:val="center"/>
            <w:hideMark/>
          </w:tcPr>
          <w:p w:rsidR="00000000" w:rsidRDefault="00C96329">
            <w:pPr>
              <w:pStyle w:val="a3"/>
              <w:spacing w:before="0" w:beforeAutospacing="0" w:after="0" w:afterAutospacing="0"/>
              <w:jc w:val="center"/>
              <w:rPr>
                <w:sz w:val="20"/>
                <w:szCs w:val="20"/>
              </w:rPr>
            </w:pPr>
            <w:r>
              <w:rPr>
                <w:sz w:val="20"/>
                <w:szCs w:val="20"/>
              </w:rPr>
              <w:t>​</w:t>
            </w:r>
          </w:p>
        </w:tc>
        <w:tc>
          <w:tcPr>
            <w:tcW w:w="454"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833</w:t>
            </w:r>
          </w:p>
        </w:tc>
        <w:tc>
          <w:tcPr>
            <w:tcW w:w="11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15" w:type="pct"/>
            <w:tcBorders>
              <w:bottom w:val="single" w:sz="6" w:space="0" w:color="000000"/>
            </w:tcBorders>
            <w:tcMar>
              <w:top w:w="0" w:type="dxa"/>
              <w:left w:w="0" w:type="dxa"/>
              <w:bottom w:w="0" w:type="dxa"/>
              <w:right w:w="0" w:type="dxa"/>
            </w:tcMar>
            <w:vAlign w:val="center"/>
            <w:hideMark/>
          </w:tcPr>
          <w:p w:rsidR="00000000" w:rsidRDefault="00C96329">
            <w:pPr>
              <w:pStyle w:val="a3"/>
              <w:spacing w:before="0" w:beforeAutospacing="0" w:after="0" w:afterAutospacing="0"/>
              <w:jc w:val="center"/>
              <w:rPr>
                <w:sz w:val="20"/>
                <w:szCs w:val="20"/>
              </w:rPr>
            </w:pPr>
            <w:r>
              <w:rPr>
                <w:sz w:val="20"/>
                <w:szCs w:val="20"/>
              </w:rPr>
              <w:t>​</w:t>
            </w:r>
          </w:p>
        </w:tc>
        <w:tc>
          <w:tcPr>
            <w:tcW w:w="454"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833</w:t>
            </w:r>
          </w:p>
        </w:tc>
      </w:tr>
      <w:tr w:rsidR="00000000">
        <w:trPr>
          <w:divId w:val="1445342462"/>
        </w:trPr>
        <w:tc>
          <w:tcPr>
            <w:tcW w:w="3629" w:type="pct"/>
            <w:shd w:val="clear" w:color="auto" w:fill="CCEEFF"/>
            <w:tcMar>
              <w:top w:w="0" w:type="dxa"/>
              <w:left w:w="0" w:type="dxa"/>
              <w:bottom w:w="0" w:type="dxa"/>
              <w:right w:w="0" w:type="dxa"/>
            </w:tcMar>
            <w:vAlign w:val="center"/>
            <w:hideMark/>
          </w:tcPr>
          <w:p w:rsidR="00000000" w:rsidRDefault="00C96329">
            <w:pPr>
              <w:pStyle w:val="a3"/>
              <w:spacing w:before="0" w:beforeAutospacing="0" w:after="0" w:afterAutospacing="0"/>
              <w:ind w:left="240" w:hanging="120"/>
              <w:rPr>
                <w:sz w:val="20"/>
                <w:szCs w:val="20"/>
              </w:rPr>
            </w:pPr>
            <w:r>
              <w:rPr>
                <w:sz w:val="20"/>
                <w:szCs w:val="20"/>
              </w:rPr>
              <w:t>Total cash, cash equivalents, and restricted cash shown on the condensed</w:t>
            </w:r>
            <w:r>
              <w:rPr>
                <w:sz w:val="20"/>
                <w:szCs w:val="20"/>
              </w:rPr>
              <w:br/>
              <w:t>consolidated statements of cash flows</w:t>
            </w:r>
          </w:p>
        </w:tc>
        <w:tc>
          <w:tcPr>
            <w:tcW w:w="115" w:type="pct"/>
            <w:shd w:val="clear" w:color="auto" w:fill="CCEEFF"/>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105,568</w:t>
            </w:r>
          </w:p>
        </w:tc>
        <w:tc>
          <w:tcPr>
            <w:tcW w:w="11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179,144</w:t>
            </w:r>
          </w:p>
        </w:tc>
      </w:tr>
    </w:tbl>
    <w:p w:rsidR="00000000" w:rsidRDefault="00C96329">
      <w:pPr>
        <w:pStyle w:val="a3"/>
        <w:spacing w:before="0" w:beforeAutospacing="0" w:after="0" w:afterAutospacing="0"/>
        <w:ind w:firstLine="720"/>
        <w:divId w:val="1445342462"/>
        <w:rPr>
          <w:sz w:val="20"/>
          <w:szCs w:val="20"/>
        </w:rPr>
      </w:pPr>
      <w:r>
        <w:rPr>
          <w:sz w:val="20"/>
          <w:szCs w:val="20"/>
        </w:rPr>
        <w:t>​</w:t>
      </w:r>
    </w:p>
    <w:p w:rsidR="00000000" w:rsidRDefault="00C96329">
      <w:pPr>
        <w:pStyle w:val="a3"/>
        <w:spacing w:before="0" w:beforeAutospacing="0" w:after="0" w:afterAutospacing="0"/>
        <w:ind w:firstLine="720"/>
        <w:divId w:val="1445342462"/>
        <w:rPr>
          <w:sz w:val="20"/>
          <w:szCs w:val="20"/>
        </w:rPr>
      </w:pPr>
      <w:r>
        <w:rPr>
          <w:sz w:val="20"/>
          <w:szCs w:val="20"/>
        </w:rPr>
        <w:t>Restricted cash pertained to certain lease agreements and letters of credit by which the Company has pledged cash and cash equivalents as collateral. The cash-related amounts reported in the table above exclude the Company’s investments in short and long-t</w:t>
      </w:r>
      <w:r>
        <w:rPr>
          <w:sz w:val="20"/>
          <w:szCs w:val="20"/>
        </w:rPr>
        <w:t>erm marketable securities that are reported separately on the condensed consolidated balance sheets.</w:t>
      </w:r>
    </w:p>
    <w:p w:rsidR="00000000" w:rsidRDefault="00C96329">
      <w:pPr>
        <w:pStyle w:val="a3"/>
        <w:spacing w:before="0" w:beforeAutospacing="0" w:after="0" w:afterAutospacing="0"/>
        <w:divId w:val="1445342462"/>
        <w:rPr>
          <w:sz w:val="20"/>
          <w:szCs w:val="20"/>
        </w:rPr>
      </w:pPr>
      <w:r>
        <w:rPr>
          <w:sz w:val="20"/>
          <w:szCs w:val="20"/>
        </w:rPr>
        <w:t>​</w:t>
      </w:r>
    </w:p>
    <w:p w:rsidR="00000000" w:rsidRDefault="00C96329">
      <w:pPr>
        <w:pStyle w:val="a3"/>
        <w:spacing w:before="0" w:beforeAutospacing="0" w:after="0" w:afterAutospacing="0"/>
        <w:divId w:val="1445342462"/>
        <w:rPr>
          <w:sz w:val="20"/>
          <w:szCs w:val="20"/>
        </w:rPr>
      </w:pPr>
      <w:r>
        <w:rPr>
          <w:b/>
          <w:bCs/>
          <w:sz w:val="20"/>
          <w:szCs w:val="20"/>
        </w:rPr>
        <w:t>5.</w:t>
      </w:r>
      <w:r>
        <w:rPr>
          <w:sz w:val="20"/>
          <w:szCs w:val="20"/>
        </w:rPr>
        <w:t xml:space="preserve"> </w:t>
      </w:r>
      <w:r>
        <w:rPr>
          <w:b/>
          <w:bCs/>
          <w:sz w:val="20"/>
          <w:szCs w:val="20"/>
        </w:rPr>
        <w:t>Investments and Fair Value Measurements</w:t>
      </w:r>
    </w:p>
    <w:p w:rsidR="00000000" w:rsidRDefault="00C96329">
      <w:pPr>
        <w:pStyle w:val="a3"/>
        <w:spacing w:before="0" w:beforeAutospacing="0" w:after="0" w:afterAutospacing="0"/>
        <w:divId w:val="1445342462"/>
        <w:rPr>
          <w:sz w:val="20"/>
          <w:szCs w:val="20"/>
        </w:rPr>
      </w:pPr>
      <w:r>
        <w:rPr>
          <w:sz w:val="10"/>
          <w:szCs w:val="10"/>
        </w:rPr>
        <w:t>​</w:t>
      </w:r>
    </w:p>
    <w:p w:rsidR="00000000" w:rsidRDefault="00C96329">
      <w:pPr>
        <w:pStyle w:val="a3"/>
        <w:spacing w:before="0" w:beforeAutospacing="0" w:after="0" w:afterAutospacing="0"/>
        <w:divId w:val="1445342462"/>
        <w:rPr>
          <w:sz w:val="20"/>
          <w:szCs w:val="20"/>
        </w:rPr>
      </w:pPr>
      <w:r>
        <w:rPr>
          <w:b/>
          <w:bCs/>
          <w:i/>
          <w:iCs/>
          <w:sz w:val="20"/>
          <w:szCs w:val="20"/>
        </w:rPr>
        <w:t>Available-for-Sale Securities</w:t>
      </w:r>
    </w:p>
    <w:p w:rsidR="00000000" w:rsidRDefault="00C96329">
      <w:pPr>
        <w:pStyle w:val="a3"/>
        <w:spacing w:before="0" w:beforeAutospacing="0" w:after="0" w:afterAutospacing="0"/>
        <w:divId w:val="1445342462"/>
        <w:rPr>
          <w:sz w:val="20"/>
          <w:szCs w:val="20"/>
        </w:rPr>
      </w:pPr>
      <w:r>
        <w:rPr>
          <w:sz w:val="10"/>
          <w:szCs w:val="10"/>
        </w:rPr>
        <w:t>​</w:t>
      </w:r>
    </w:p>
    <w:p w:rsidR="00000000" w:rsidRDefault="00C96329">
      <w:pPr>
        <w:pStyle w:val="a3"/>
        <w:spacing w:before="0" w:beforeAutospacing="0" w:after="0" w:afterAutospacing="0"/>
        <w:ind w:firstLine="720"/>
        <w:divId w:val="1445342462"/>
        <w:rPr>
          <w:sz w:val="20"/>
          <w:szCs w:val="20"/>
        </w:rPr>
      </w:pPr>
      <w:r>
        <w:rPr>
          <w:sz w:val="20"/>
          <w:szCs w:val="20"/>
        </w:rPr>
        <w:t>The estimated fair value of marketable securities is based on quoted market prices for these or similar investments obtained from a commercial pricing service. The fair market value of marketable securities classified within Level 1 is based on quoted pric</w:t>
      </w:r>
      <w:r>
        <w:rPr>
          <w:sz w:val="20"/>
          <w:szCs w:val="20"/>
        </w:rPr>
        <w:t>es for identical instruments in active markets. The fair value of marketable securities classified within Level 2 is based on quoted prices for similar instruments in active markets; quoted prices for identical or similar instruments in markets that are no</w:t>
      </w:r>
      <w:r>
        <w:rPr>
          <w:sz w:val="20"/>
          <w:szCs w:val="20"/>
        </w:rPr>
        <w:t>t active; or model-driven valuations whose inputs are observable or whose significant value drivers are observable. Observable inputs may include benchmark yields, reported trades, broker/dealer quotes, issuer spreads, two-sided markets, benchmark securiti</w:t>
      </w:r>
      <w:r>
        <w:rPr>
          <w:sz w:val="20"/>
          <w:szCs w:val="20"/>
        </w:rPr>
        <w:t xml:space="preserve">es, bids, offers and reference data including market research publications. </w:t>
      </w:r>
    </w:p>
    <w:p w:rsidR="00000000" w:rsidRDefault="00C96329">
      <w:pPr>
        <w:pStyle w:val="a3"/>
        <w:spacing w:before="0" w:beforeAutospacing="0" w:after="0" w:afterAutospacing="0"/>
        <w:ind w:firstLine="720"/>
        <w:divId w:val="1445342462"/>
        <w:rPr>
          <w:sz w:val="20"/>
          <w:szCs w:val="20"/>
        </w:rPr>
      </w:pPr>
      <w:r>
        <w:rPr>
          <w:sz w:val="20"/>
          <w:szCs w:val="20"/>
        </w:rPr>
        <w:t>​</w:t>
      </w:r>
    </w:p>
    <w:p w:rsidR="00000000" w:rsidRDefault="00C96329">
      <w:pPr>
        <w:pStyle w:val="a3"/>
        <w:spacing w:before="0" w:beforeAutospacing="0" w:after="0" w:afterAutospacing="0"/>
        <w:divId w:val="1445342462"/>
        <w:rPr>
          <w:sz w:val="20"/>
          <w:szCs w:val="20"/>
        </w:rPr>
      </w:pPr>
      <w:r>
        <w:rPr>
          <w:sz w:val="20"/>
          <w:szCs w:val="20"/>
        </w:rPr>
        <w:t>Available-for-sale securities are summarized below:</w:t>
      </w:r>
    </w:p>
    <w:p w:rsidR="00000000" w:rsidRDefault="00C96329">
      <w:pPr>
        <w:pStyle w:val="a3"/>
        <w:spacing w:before="0" w:beforeAutospacing="0" w:after="0" w:afterAutospacing="0"/>
        <w:ind w:firstLine="720"/>
        <w:divId w:val="1445342462"/>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3619"/>
        <w:gridCol w:w="160"/>
        <w:gridCol w:w="617"/>
        <w:gridCol w:w="160"/>
        <w:gridCol w:w="142"/>
        <w:gridCol w:w="720"/>
        <w:gridCol w:w="160"/>
        <w:gridCol w:w="152"/>
        <w:gridCol w:w="619"/>
        <w:gridCol w:w="160"/>
        <w:gridCol w:w="152"/>
        <w:gridCol w:w="621"/>
        <w:gridCol w:w="160"/>
        <w:gridCol w:w="144"/>
        <w:gridCol w:w="720"/>
      </w:tblGrid>
      <w:tr w:rsidR="00000000">
        <w:trPr>
          <w:divId w:val="1445342462"/>
          <w:trHeight w:val="20"/>
        </w:trPr>
        <w:tc>
          <w:tcPr>
            <w:tcW w:w="2185" w:type="pct"/>
            <w:tcMar>
              <w:top w:w="0" w:type="dxa"/>
              <w:left w:w="0" w:type="dxa"/>
              <w:bottom w:w="0" w:type="dxa"/>
              <w:right w:w="0" w:type="dxa"/>
            </w:tcMar>
            <w:vAlign w:val="center"/>
            <w:hideMark/>
          </w:tcPr>
          <w:p w:rsidR="00000000" w:rsidRDefault="00C96329">
            <w:pPr>
              <w:pStyle w:val="a3"/>
              <w:spacing w:before="0" w:beforeAutospacing="0" w:after="0" w:afterAutospacing="0"/>
              <w:divId w:val="1145779485"/>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841891703"/>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551889327"/>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980457846"/>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685449167"/>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97798876"/>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39524561"/>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40180067"/>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1509523131"/>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51200898"/>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96578184"/>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133785211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558128344"/>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722368346"/>
              <w:rPr>
                <w:sz w:val="20"/>
                <w:szCs w:val="20"/>
              </w:rPr>
            </w:pPr>
            <w:r>
              <w:rPr>
                <w:sz w:val="2"/>
                <w:szCs w:val="2"/>
              </w:rPr>
              <w:t>​</w:t>
            </w:r>
          </w:p>
        </w:tc>
        <w:tc>
          <w:tcPr>
            <w:tcW w:w="387"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967591250"/>
              <w:rPr>
                <w:sz w:val="20"/>
                <w:szCs w:val="20"/>
              </w:rPr>
            </w:pPr>
            <w:r>
              <w:rPr>
                <w:sz w:val="2"/>
                <w:szCs w:val="2"/>
              </w:rPr>
              <w:t>​</w:t>
            </w:r>
          </w:p>
        </w:tc>
      </w:tr>
      <w:tr w:rsidR="00000000">
        <w:trPr>
          <w:divId w:val="1445342462"/>
        </w:trPr>
        <w:tc>
          <w:tcPr>
            <w:tcW w:w="218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38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2233" w:type="pct"/>
            <w:gridSpan w:val="11"/>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June 30, 2020</w:t>
            </w:r>
          </w:p>
        </w:tc>
      </w:tr>
      <w:tr w:rsidR="00000000">
        <w:trPr>
          <w:divId w:val="1445342462"/>
        </w:trPr>
        <w:tc>
          <w:tcPr>
            <w:tcW w:w="218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38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8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84"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Gross</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84"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Gross</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8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r>
      <w:tr w:rsidR="00000000">
        <w:trPr>
          <w:divId w:val="1445342462"/>
        </w:trPr>
        <w:tc>
          <w:tcPr>
            <w:tcW w:w="218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38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Amortized</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Unrealized</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Unrealized</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86"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Estimated</w:t>
            </w:r>
          </w:p>
        </w:tc>
      </w:tr>
      <w:tr w:rsidR="00000000">
        <w:trPr>
          <w:divId w:val="1445342462"/>
        </w:trPr>
        <w:tc>
          <w:tcPr>
            <w:tcW w:w="2185"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(In thousands)</w:t>
            </w:r>
          </w:p>
        </w:tc>
        <w:tc>
          <w:tcPr>
            <w:tcW w:w="9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38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Cost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Gains</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Losses</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86"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Fair Value</w:t>
            </w:r>
          </w:p>
        </w:tc>
      </w:tr>
      <w:tr w:rsidR="00000000">
        <w:trPr>
          <w:divId w:val="1445342462"/>
        </w:trPr>
        <w:tc>
          <w:tcPr>
            <w:tcW w:w="2185" w:type="pct"/>
            <w:shd w:val="clear" w:color="auto" w:fill="CCEEFF"/>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0"/>
                <w:szCs w:val="20"/>
              </w:rPr>
              <w:t>US government securities</w:t>
            </w:r>
          </w:p>
        </w:tc>
        <w:tc>
          <w:tcPr>
            <w:tcW w:w="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center"/>
              <w:rPr>
                <w:sz w:val="20"/>
                <w:szCs w:val="20"/>
              </w:rPr>
            </w:pPr>
            <w:r>
              <w:rPr>
                <w:sz w:val="20"/>
                <w:szCs w:val="20"/>
              </w:rPr>
              <w:t>Level 1</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189,878</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211</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(2)</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7"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190,087</w:t>
            </w:r>
          </w:p>
        </w:tc>
      </w:tr>
      <w:tr w:rsidR="00000000">
        <w:trPr>
          <w:divId w:val="1445342462"/>
        </w:trPr>
        <w:tc>
          <w:tcPr>
            <w:tcW w:w="2185" w:type="pct"/>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0"/>
                <w:szCs w:val="20"/>
              </w:rPr>
              <w:t>US government agency securities</w:t>
            </w:r>
          </w:p>
        </w:tc>
        <w:tc>
          <w:tcPr>
            <w:tcW w:w="9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rsidR="00000000" w:rsidRDefault="00C96329">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85" w:type="pct"/>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99,877</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37</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87" w:type="pct"/>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99,914</w:t>
            </w:r>
          </w:p>
        </w:tc>
      </w:tr>
      <w:tr w:rsidR="00000000">
        <w:trPr>
          <w:divId w:val="1445342462"/>
        </w:trPr>
        <w:tc>
          <w:tcPr>
            <w:tcW w:w="2185" w:type="pct"/>
            <w:shd w:val="clear" w:color="auto" w:fill="CCEEFF"/>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0"/>
                <w:szCs w:val="20"/>
              </w:rPr>
              <w:t>Corporate notes</w:t>
            </w:r>
          </w:p>
        </w:tc>
        <w:tc>
          <w:tcPr>
            <w:tcW w:w="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center"/>
              <w:rPr>
                <w:sz w:val="20"/>
                <w:szCs w:val="20"/>
              </w:rPr>
            </w:pPr>
            <w:r>
              <w:rPr>
                <w:sz w:val="20"/>
                <w:szCs w:val="20"/>
              </w:rPr>
              <w:t>Level 2</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85"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2,616</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9</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87"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2,625</w:t>
            </w:r>
          </w:p>
        </w:tc>
      </w:tr>
      <w:tr w:rsidR="00000000">
        <w:trPr>
          <w:divId w:val="1445342462"/>
        </w:trPr>
        <w:tc>
          <w:tcPr>
            <w:tcW w:w="218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Commercial paper</w:t>
            </w:r>
          </w:p>
        </w:tc>
        <w:tc>
          <w:tcPr>
            <w:tcW w:w="9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rsidR="00000000" w:rsidRDefault="00C96329">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60,949</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27</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(2)</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7"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60,974</w:t>
            </w:r>
          </w:p>
        </w:tc>
      </w:tr>
      <w:tr w:rsidR="00000000">
        <w:trPr>
          <w:divId w:val="1445342462"/>
        </w:trPr>
        <w:tc>
          <w:tcPr>
            <w:tcW w:w="218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120"/>
              <w:rPr>
                <w:sz w:val="20"/>
                <w:szCs w:val="20"/>
              </w:rPr>
            </w:pPr>
            <w:r>
              <w:rPr>
                <w:sz w:val="20"/>
                <w:szCs w:val="20"/>
              </w:rPr>
              <w:t>Marketable securities</w:t>
            </w:r>
          </w:p>
        </w:tc>
        <w:tc>
          <w:tcPr>
            <w:tcW w:w="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center"/>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353,320</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284</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(4)</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7"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353,600</w:t>
            </w:r>
          </w:p>
        </w:tc>
      </w:tr>
      <w:tr w:rsidR="00000000">
        <w:trPr>
          <w:divId w:val="1445342462"/>
        </w:trPr>
        <w:tc>
          <w:tcPr>
            <w:tcW w:w="218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 xml:space="preserve">Money market funds </w:t>
            </w:r>
          </w:p>
        </w:tc>
        <w:tc>
          <w:tcPr>
            <w:tcW w:w="9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rsidR="00000000" w:rsidRDefault="00C96329">
            <w:pPr>
              <w:pStyle w:val="a3"/>
              <w:spacing w:before="0" w:beforeAutospacing="0" w:after="0" w:afterAutospacing="0"/>
              <w:jc w:val="center"/>
              <w:rPr>
                <w:sz w:val="20"/>
                <w:szCs w:val="20"/>
              </w:rPr>
            </w:pPr>
            <w:r>
              <w:rPr>
                <w:sz w:val="20"/>
                <w:szCs w:val="20"/>
              </w:rPr>
              <w:t>Level 1</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30,637</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7"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30,637</w:t>
            </w:r>
          </w:p>
        </w:tc>
      </w:tr>
      <w:tr w:rsidR="00000000">
        <w:trPr>
          <w:divId w:val="1445342462"/>
        </w:trPr>
        <w:tc>
          <w:tcPr>
            <w:tcW w:w="2185" w:type="pct"/>
            <w:shd w:val="clear" w:color="auto" w:fill="CCEEFF"/>
            <w:tcMar>
              <w:top w:w="0" w:type="dxa"/>
              <w:left w:w="0" w:type="dxa"/>
              <w:bottom w:w="0" w:type="dxa"/>
              <w:right w:w="0" w:type="dxa"/>
            </w:tcMar>
            <w:vAlign w:val="center"/>
            <w:hideMark/>
          </w:tcPr>
          <w:p w:rsidR="00000000" w:rsidRDefault="00C96329">
            <w:pPr>
              <w:pStyle w:val="a3"/>
              <w:spacing w:before="0" w:beforeAutospacing="0" w:after="0" w:afterAutospacing="0"/>
              <w:ind w:left="240"/>
              <w:rPr>
                <w:sz w:val="20"/>
                <w:szCs w:val="20"/>
              </w:rPr>
            </w:pPr>
            <w:r>
              <w:rPr>
                <w:sz w:val="20"/>
                <w:szCs w:val="20"/>
              </w:rPr>
              <w:t xml:space="preserve">Total </w:t>
            </w:r>
          </w:p>
        </w:tc>
        <w:tc>
          <w:tcPr>
            <w:tcW w:w="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383,957</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284</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(4)</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7"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384,237</w:t>
            </w:r>
          </w:p>
        </w:tc>
      </w:tr>
    </w:tbl>
    <w:p w:rsidR="00000000" w:rsidRDefault="00C96329">
      <w:pPr>
        <w:pStyle w:val="a3"/>
        <w:spacing w:before="360" w:beforeAutospacing="0" w:after="0" w:afterAutospacing="0"/>
        <w:jc w:val="center"/>
        <w:divId w:val="857737684"/>
        <w:rPr>
          <w:sz w:val="20"/>
          <w:szCs w:val="20"/>
        </w:rPr>
      </w:pPr>
      <w:r>
        <w:rPr>
          <w:sz w:val="20"/>
          <w:szCs w:val="20"/>
        </w:rPr>
        <w:t>14</w:t>
      </w:r>
    </w:p>
    <w:p w:rsidR="00000000" w:rsidRDefault="00C96329">
      <w:pPr>
        <w:pStyle w:val="a3"/>
        <w:spacing w:before="0" w:beforeAutospacing="0" w:after="600" w:afterAutospacing="0"/>
        <w:divId w:val="1644969703"/>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1642467829"/>
        <w:rPr>
          <w:sz w:val="20"/>
          <w:szCs w:val="20"/>
        </w:rPr>
      </w:pPr>
      <w:r>
        <w:rPr>
          <w:sz w:val="10"/>
          <w:szCs w:val="10"/>
        </w:rPr>
        <w:t>​</w:t>
      </w:r>
    </w:p>
    <w:p w:rsidR="00000000" w:rsidRDefault="00C96329">
      <w:pPr>
        <w:pStyle w:val="a3"/>
        <w:spacing w:before="0" w:beforeAutospacing="0" w:after="0" w:afterAutospacing="0"/>
        <w:divId w:val="1642467829"/>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3620"/>
        <w:gridCol w:w="160"/>
        <w:gridCol w:w="606"/>
        <w:gridCol w:w="160"/>
        <w:gridCol w:w="140"/>
        <w:gridCol w:w="720"/>
        <w:gridCol w:w="160"/>
        <w:gridCol w:w="152"/>
        <w:gridCol w:w="625"/>
        <w:gridCol w:w="160"/>
        <w:gridCol w:w="152"/>
        <w:gridCol w:w="625"/>
        <w:gridCol w:w="160"/>
        <w:gridCol w:w="146"/>
        <w:gridCol w:w="720"/>
      </w:tblGrid>
      <w:tr w:rsidR="00000000">
        <w:trPr>
          <w:divId w:val="1642467829"/>
          <w:trHeight w:val="20"/>
        </w:trPr>
        <w:tc>
          <w:tcPr>
            <w:tcW w:w="2185" w:type="pct"/>
            <w:tcMar>
              <w:top w:w="0" w:type="dxa"/>
              <w:left w:w="0" w:type="dxa"/>
              <w:bottom w:w="0" w:type="dxa"/>
              <w:right w:w="0" w:type="dxa"/>
            </w:tcMar>
            <w:vAlign w:val="center"/>
            <w:hideMark/>
          </w:tcPr>
          <w:p w:rsidR="00000000" w:rsidRDefault="00C96329">
            <w:pPr>
              <w:pStyle w:val="a3"/>
              <w:spacing w:before="0" w:beforeAutospacing="0" w:after="0" w:afterAutospacing="0"/>
              <w:divId w:val="896087774"/>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40338965"/>
              <w:rPr>
                <w:sz w:val="20"/>
                <w:szCs w:val="20"/>
              </w:rPr>
            </w:pPr>
            <w:r>
              <w:rPr>
                <w:sz w:val="2"/>
                <w:szCs w:val="2"/>
              </w:rPr>
              <w:t>​</w:t>
            </w:r>
          </w:p>
        </w:tc>
        <w:tc>
          <w:tcPr>
            <w:tcW w:w="374"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1928997337"/>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218585891"/>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45084135"/>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155172641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46777134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56044420"/>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827552512"/>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35144912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81262505"/>
              <w:rPr>
                <w:sz w:val="20"/>
                <w:szCs w:val="20"/>
              </w:rPr>
            </w:pPr>
            <w:r>
              <w:rPr>
                <w:sz w:val="2"/>
                <w:szCs w:val="2"/>
              </w:rPr>
              <w:t>​</w:t>
            </w:r>
          </w:p>
        </w:tc>
        <w:tc>
          <w:tcPr>
            <w:tcW w:w="385"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684014093"/>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0662417"/>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206524504"/>
              <w:rPr>
                <w:sz w:val="20"/>
                <w:szCs w:val="20"/>
              </w:rPr>
            </w:pPr>
            <w:r>
              <w:rPr>
                <w:sz w:val="2"/>
                <w:szCs w:val="2"/>
              </w:rPr>
              <w:t>​</w:t>
            </w:r>
          </w:p>
        </w:tc>
        <w:tc>
          <w:tcPr>
            <w:tcW w:w="398"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1362054741"/>
              <w:rPr>
                <w:sz w:val="20"/>
                <w:szCs w:val="20"/>
              </w:rPr>
            </w:pPr>
            <w:r>
              <w:rPr>
                <w:sz w:val="2"/>
                <w:szCs w:val="2"/>
              </w:rPr>
              <w:t>​</w:t>
            </w:r>
          </w:p>
        </w:tc>
      </w:tr>
      <w:tr w:rsidR="00000000">
        <w:trPr>
          <w:divId w:val="1642467829"/>
        </w:trPr>
        <w:tc>
          <w:tcPr>
            <w:tcW w:w="218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374"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2244" w:type="pct"/>
            <w:gridSpan w:val="11"/>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December 31, 2019</w:t>
            </w:r>
          </w:p>
        </w:tc>
      </w:tr>
      <w:tr w:rsidR="00000000">
        <w:trPr>
          <w:divId w:val="1642467829"/>
        </w:trPr>
        <w:tc>
          <w:tcPr>
            <w:tcW w:w="218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374"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8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84"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Gross</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84"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Gross</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9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r>
      <w:tr w:rsidR="00000000">
        <w:trPr>
          <w:divId w:val="1642467829"/>
        </w:trPr>
        <w:tc>
          <w:tcPr>
            <w:tcW w:w="218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374"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Amortized</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Unrealized</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Unrealized</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Estimated</w:t>
            </w:r>
          </w:p>
        </w:tc>
      </w:tr>
      <w:tr w:rsidR="00000000">
        <w:trPr>
          <w:divId w:val="1642467829"/>
        </w:trPr>
        <w:tc>
          <w:tcPr>
            <w:tcW w:w="2185"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(In thousands)</w:t>
            </w:r>
          </w:p>
        </w:tc>
        <w:tc>
          <w:tcPr>
            <w:tcW w:w="9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374"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Cost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Gains</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Losses</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Fair Value</w:t>
            </w:r>
          </w:p>
        </w:tc>
      </w:tr>
      <w:tr w:rsidR="00000000">
        <w:trPr>
          <w:divId w:val="1642467829"/>
        </w:trPr>
        <w:tc>
          <w:tcPr>
            <w:tcW w:w="2185" w:type="pct"/>
            <w:shd w:val="clear" w:color="auto" w:fill="CCEEFF"/>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0"/>
                <w:szCs w:val="20"/>
              </w:rPr>
              <w:t>US government securities</w:t>
            </w:r>
          </w:p>
        </w:tc>
        <w:tc>
          <w:tcPr>
            <w:tcW w:w="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74"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center"/>
              <w:rPr>
                <w:sz w:val="20"/>
                <w:szCs w:val="20"/>
              </w:rPr>
            </w:pPr>
            <w:r>
              <w:rPr>
                <w:sz w:val="20"/>
                <w:szCs w:val="20"/>
              </w:rPr>
              <w:t>Level 1</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100,746</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108</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100,854</w:t>
            </w:r>
          </w:p>
        </w:tc>
      </w:tr>
      <w:tr w:rsidR="00000000">
        <w:trPr>
          <w:divId w:val="1642467829"/>
        </w:trPr>
        <w:tc>
          <w:tcPr>
            <w:tcW w:w="2185" w:type="pct"/>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0"/>
                <w:szCs w:val="20"/>
              </w:rPr>
              <w:t>Corporate notes</w:t>
            </w:r>
          </w:p>
        </w:tc>
        <w:tc>
          <w:tcPr>
            <w:tcW w:w="9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74" w:type="pct"/>
            <w:noWrap/>
            <w:tcMar>
              <w:top w:w="0" w:type="dxa"/>
              <w:left w:w="0" w:type="dxa"/>
              <w:bottom w:w="0" w:type="dxa"/>
              <w:right w:w="0" w:type="dxa"/>
            </w:tcMar>
            <w:vAlign w:val="center"/>
            <w:hideMark/>
          </w:tcPr>
          <w:p w:rsidR="00000000" w:rsidRDefault="00C96329">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25,466</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9</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(1)</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 </w:t>
            </w:r>
          </w:p>
        </w:tc>
        <w:tc>
          <w:tcPr>
            <w:tcW w:w="398" w:type="pct"/>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25,474</w:t>
            </w:r>
          </w:p>
        </w:tc>
      </w:tr>
      <w:tr w:rsidR="00000000">
        <w:trPr>
          <w:divId w:val="1642467829"/>
        </w:trPr>
        <w:tc>
          <w:tcPr>
            <w:tcW w:w="218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Commercial paper</w:t>
            </w:r>
          </w:p>
        </w:tc>
        <w:tc>
          <w:tcPr>
            <w:tcW w:w="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74"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center"/>
              <w:rPr>
                <w:sz w:val="20"/>
                <w:szCs w:val="20"/>
              </w:rPr>
            </w:pPr>
            <w:r>
              <w:rPr>
                <w:sz w:val="20"/>
                <w:szCs w:val="20"/>
              </w:rPr>
              <w:t>Level 2</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112,066</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31</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(2)</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112,095</w:t>
            </w:r>
          </w:p>
        </w:tc>
      </w:tr>
      <w:tr w:rsidR="00000000">
        <w:trPr>
          <w:divId w:val="1642467829"/>
        </w:trPr>
        <w:tc>
          <w:tcPr>
            <w:tcW w:w="2185" w:type="pct"/>
            <w:tcMar>
              <w:top w:w="0" w:type="dxa"/>
              <w:left w:w="0" w:type="dxa"/>
              <w:bottom w:w="0" w:type="dxa"/>
              <w:right w:w="0" w:type="dxa"/>
            </w:tcMar>
            <w:vAlign w:val="bottom"/>
            <w:hideMark/>
          </w:tcPr>
          <w:p w:rsidR="00000000" w:rsidRDefault="00C96329">
            <w:pPr>
              <w:pStyle w:val="a3"/>
              <w:spacing w:before="0" w:beforeAutospacing="0" w:after="0" w:afterAutospacing="0"/>
              <w:ind w:left="120"/>
              <w:rPr>
                <w:sz w:val="20"/>
                <w:szCs w:val="20"/>
              </w:rPr>
            </w:pPr>
            <w:r>
              <w:rPr>
                <w:sz w:val="20"/>
                <w:szCs w:val="20"/>
              </w:rPr>
              <w:t>Marketable securities</w:t>
            </w:r>
          </w:p>
        </w:tc>
        <w:tc>
          <w:tcPr>
            <w:tcW w:w="9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74" w:type="pct"/>
            <w:noWrap/>
            <w:tcMar>
              <w:top w:w="0" w:type="dxa"/>
              <w:left w:w="0" w:type="dxa"/>
              <w:bottom w:w="0" w:type="dxa"/>
              <w:right w:w="0" w:type="dxa"/>
            </w:tcMar>
            <w:vAlign w:val="center"/>
            <w:hideMark/>
          </w:tcPr>
          <w:p w:rsidR="00000000" w:rsidRDefault="00C96329">
            <w:pPr>
              <w:pStyle w:val="a3"/>
              <w:spacing w:before="0" w:beforeAutospacing="0" w:after="0" w:afterAutospacing="0"/>
              <w:jc w:val="center"/>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238,278</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148</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(3)</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238,423</w:t>
            </w:r>
          </w:p>
        </w:tc>
      </w:tr>
      <w:tr w:rsidR="00000000">
        <w:trPr>
          <w:divId w:val="1642467829"/>
        </w:trPr>
        <w:tc>
          <w:tcPr>
            <w:tcW w:w="218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 xml:space="preserve">Money market funds </w:t>
            </w:r>
          </w:p>
        </w:tc>
        <w:tc>
          <w:tcPr>
            <w:tcW w:w="9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74"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center"/>
              <w:rPr>
                <w:sz w:val="20"/>
                <w:szCs w:val="20"/>
              </w:rPr>
            </w:pPr>
            <w:r>
              <w:rPr>
                <w:sz w:val="20"/>
                <w:szCs w:val="20"/>
              </w:rPr>
              <w:t>Level 1</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35,736</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35,736</w:t>
            </w:r>
          </w:p>
        </w:tc>
      </w:tr>
      <w:tr w:rsidR="00000000">
        <w:trPr>
          <w:divId w:val="1642467829"/>
        </w:trPr>
        <w:tc>
          <w:tcPr>
            <w:tcW w:w="2185" w:type="pct"/>
            <w:tcMar>
              <w:top w:w="0" w:type="dxa"/>
              <w:left w:w="0" w:type="dxa"/>
              <w:bottom w:w="0" w:type="dxa"/>
              <w:right w:w="0" w:type="dxa"/>
            </w:tcMar>
            <w:vAlign w:val="center"/>
            <w:hideMark/>
          </w:tcPr>
          <w:p w:rsidR="00000000" w:rsidRDefault="00C96329">
            <w:pPr>
              <w:pStyle w:val="a3"/>
              <w:spacing w:before="0" w:beforeAutospacing="0" w:after="0" w:afterAutospacing="0"/>
              <w:ind w:left="240"/>
              <w:rPr>
                <w:sz w:val="20"/>
                <w:szCs w:val="20"/>
              </w:rPr>
            </w:pPr>
            <w:r>
              <w:rPr>
                <w:sz w:val="20"/>
                <w:szCs w:val="20"/>
              </w:rPr>
              <w:t xml:space="preserve">Total </w:t>
            </w:r>
          </w:p>
        </w:tc>
        <w:tc>
          <w:tcPr>
            <w:tcW w:w="9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74"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85" w:type="pct"/>
            <w:tcBorders>
              <w:bottom w:val="doub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274,014</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85" w:type="pct"/>
            <w:tcBorders>
              <w:bottom w:val="doub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148</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85" w:type="pct"/>
            <w:tcBorders>
              <w:bottom w:val="doub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(3)</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274,159</w:t>
            </w:r>
          </w:p>
        </w:tc>
      </w:tr>
    </w:tbl>
    <w:p w:rsidR="00000000" w:rsidRDefault="00C96329">
      <w:pPr>
        <w:pStyle w:val="a3"/>
        <w:spacing w:before="0" w:beforeAutospacing="0" w:after="0" w:afterAutospacing="0"/>
        <w:divId w:val="1642467829"/>
        <w:rPr>
          <w:sz w:val="20"/>
          <w:szCs w:val="20"/>
        </w:rPr>
      </w:pPr>
      <w:r>
        <w:rPr>
          <w:sz w:val="20"/>
          <w:szCs w:val="20"/>
        </w:rPr>
        <w:t>​</w:t>
      </w:r>
    </w:p>
    <w:p w:rsidR="00000000" w:rsidRDefault="00C96329">
      <w:pPr>
        <w:pStyle w:val="a3"/>
        <w:spacing w:before="0" w:beforeAutospacing="0" w:after="0" w:afterAutospacing="0"/>
        <w:ind w:firstLine="720"/>
        <w:divId w:val="1642467829"/>
        <w:rPr>
          <w:sz w:val="20"/>
          <w:szCs w:val="20"/>
        </w:rPr>
      </w:pPr>
      <w:r>
        <w:rPr>
          <w:sz w:val="20"/>
          <w:szCs w:val="20"/>
        </w:rPr>
        <w:t>As of June 30, 2020, all of the available-for-sale securities had contractual maturities within 10 months and the weighted-average maturity of marketable securities was approximately 4 months. There have been no material changes to the Company’s valuatio</w:t>
      </w:r>
      <w:r>
        <w:rPr>
          <w:sz w:val="20"/>
          <w:szCs w:val="20"/>
        </w:rPr>
        <w:t xml:space="preserve">n techniques during the three and six months ended June 30, 2020. </w:t>
      </w:r>
    </w:p>
    <w:p w:rsidR="00000000" w:rsidRDefault="00C96329">
      <w:pPr>
        <w:pStyle w:val="a3"/>
        <w:spacing w:before="0" w:beforeAutospacing="0" w:after="0" w:afterAutospacing="0"/>
        <w:divId w:val="1642467829"/>
        <w:rPr>
          <w:sz w:val="20"/>
          <w:szCs w:val="20"/>
        </w:rPr>
      </w:pPr>
      <w:r>
        <w:rPr>
          <w:sz w:val="20"/>
          <w:szCs w:val="20"/>
        </w:rPr>
        <w:t>​</w:t>
      </w:r>
    </w:p>
    <w:p w:rsidR="00000000" w:rsidRDefault="00C96329">
      <w:pPr>
        <w:pStyle w:val="a3"/>
        <w:spacing w:before="0" w:beforeAutospacing="0" w:after="0" w:afterAutospacing="0"/>
        <w:ind w:firstLine="720"/>
        <w:divId w:val="1642467829"/>
        <w:rPr>
          <w:sz w:val="20"/>
          <w:szCs w:val="20"/>
        </w:rPr>
      </w:pPr>
      <w:r>
        <w:rPr>
          <w:sz w:val="20"/>
          <w:szCs w:val="20"/>
        </w:rPr>
        <w:t>Available-for-sale debt securities with unrealized losses are summarized below:</w:t>
      </w:r>
    </w:p>
    <w:p w:rsidR="00000000" w:rsidRDefault="00C96329">
      <w:pPr>
        <w:pStyle w:val="a3"/>
        <w:spacing w:before="0" w:beforeAutospacing="0" w:after="0" w:afterAutospacing="0"/>
        <w:ind w:firstLine="720"/>
        <w:divId w:val="164246782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112"/>
        <w:gridCol w:w="160"/>
        <w:gridCol w:w="130"/>
        <w:gridCol w:w="621"/>
        <w:gridCol w:w="161"/>
        <w:gridCol w:w="151"/>
        <w:gridCol w:w="596"/>
        <w:gridCol w:w="6"/>
        <w:gridCol w:w="151"/>
        <w:gridCol w:w="601"/>
        <w:gridCol w:w="150"/>
        <w:gridCol w:w="150"/>
        <w:gridCol w:w="606"/>
        <w:gridCol w:w="160"/>
        <w:gridCol w:w="147"/>
        <w:gridCol w:w="620"/>
        <w:gridCol w:w="37"/>
        <w:gridCol w:w="148"/>
        <w:gridCol w:w="599"/>
      </w:tblGrid>
      <w:tr w:rsidR="00000000">
        <w:trPr>
          <w:divId w:val="1642467829"/>
          <w:trHeight w:val="20"/>
        </w:trPr>
        <w:tc>
          <w:tcPr>
            <w:tcW w:w="1924" w:type="pct"/>
            <w:tcMar>
              <w:top w:w="0" w:type="dxa"/>
              <w:left w:w="0" w:type="dxa"/>
              <w:bottom w:w="0" w:type="dxa"/>
              <w:right w:w="0" w:type="dxa"/>
            </w:tcMar>
            <w:vAlign w:val="center"/>
            <w:hideMark/>
          </w:tcPr>
          <w:p w:rsidR="00000000" w:rsidRDefault="00C96329">
            <w:pPr>
              <w:pStyle w:val="a3"/>
              <w:spacing w:before="0" w:beforeAutospacing="0" w:after="0" w:afterAutospacing="0"/>
              <w:divId w:val="110975982"/>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501821939"/>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552889779"/>
              <w:rPr>
                <w:sz w:val="20"/>
                <w:szCs w:val="20"/>
              </w:rPr>
            </w:pPr>
            <w:r>
              <w:rPr>
                <w:sz w:val="2"/>
                <w:szCs w:val="2"/>
              </w:rPr>
              <w:t>​</w:t>
            </w:r>
          </w:p>
        </w:tc>
        <w:tc>
          <w:tcPr>
            <w:tcW w:w="340"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1413430963"/>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071275290"/>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066442871"/>
              <w:rPr>
                <w:sz w:val="20"/>
                <w:szCs w:val="20"/>
              </w:rPr>
            </w:pPr>
            <w:r>
              <w:rPr>
                <w:sz w:val="2"/>
                <w:szCs w:val="2"/>
              </w:rPr>
              <w:t>​</w:t>
            </w:r>
          </w:p>
        </w:tc>
        <w:tc>
          <w:tcPr>
            <w:tcW w:w="341"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1874460951"/>
              <w:rPr>
                <w:sz w:val="20"/>
                <w:szCs w:val="20"/>
              </w:rPr>
            </w:pPr>
            <w:r>
              <w:rPr>
                <w:sz w:val="2"/>
                <w:szCs w:val="2"/>
              </w:rPr>
              <w:t>​</w:t>
            </w:r>
          </w:p>
        </w:tc>
        <w:tc>
          <w:tcPr>
            <w:tcW w:w="85"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152263842"/>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873641361"/>
              <w:rPr>
                <w:sz w:val="20"/>
                <w:szCs w:val="20"/>
              </w:rPr>
            </w:pPr>
            <w:r>
              <w:rPr>
                <w:sz w:val="2"/>
                <w:szCs w:val="2"/>
              </w:rPr>
              <w:t>​</w:t>
            </w:r>
          </w:p>
        </w:tc>
        <w:tc>
          <w:tcPr>
            <w:tcW w:w="339"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1199661131"/>
              <w:rPr>
                <w:sz w:val="20"/>
                <w:szCs w:val="20"/>
              </w:rPr>
            </w:pPr>
            <w:r>
              <w:rPr>
                <w:sz w:val="2"/>
                <w:szCs w:val="2"/>
              </w:rPr>
              <w:t>​</w:t>
            </w:r>
          </w:p>
        </w:tc>
        <w:tc>
          <w:tcPr>
            <w:tcW w:w="85"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411589922"/>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364402421"/>
              <w:rPr>
                <w:sz w:val="20"/>
                <w:szCs w:val="20"/>
              </w:rPr>
            </w:pPr>
            <w:r>
              <w:rPr>
                <w:sz w:val="2"/>
                <w:szCs w:val="2"/>
              </w:rPr>
              <w:t>​</w:t>
            </w:r>
          </w:p>
        </w:tc>
        <w:tc>
          <w:tcPr>
            <w:tcW w:w="340"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1280331931"/>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918057663"/>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443959381"/>
              <w:rPr>
                <w:sz w:val="20"/>
                <w:szCs w:val="20"/>
              </w:rPr>
            </w:pPr>
            <w:r>
              <w:rPr>
                <w:sz w:val="2"/>
                <w:szCs w:val="2"/>
              </w:rPr>
              <w:t>​</w:t>
            </w:r>
          </w:p>
        </w:tc>
        <w:tc>
          <w:tcPr>
            <w:tcW w:w="339"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1100226396"/>
              <w:rPr>
                <w:sz w:val="20"/>
                <w:szCs w:val="20"/>
              </w:rPr>
            </w:pPr>
            <w:r>
              <w:rPr>
                <w:sz w:val="2"/>
                <w:szCs w:val="2"/>
              </w:rPr>
              <w:t>​</w:t>
            </w:r>
          </w:p>
        </w:tc>
        <w:tc>
          <w:tcPr>
            <w:tcW w:w="85"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1514372361"/>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03024267"/>
              <w:rPr>
                <w:sz w:val="20"/>
                <w:szCs w:val="20"/>
              </w:rPr>
            </w:pPr>
            <w:r>
              <w:rPr>
                <w:sz w:val="2"/>
                <w:szCs w:val="2"/>
              </w:rPr>
              <w:t>​</w:t>
            </w:r>
          </w:p>
        </w:tc>
        <w:tc>
          <w:tcPr>
            <w:tcW w:w="341"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1181433221"/>
              <w:rPr>
                <w:sz w:val="20"/>
                <w:szCs w:val="20"/>
              </w:rPr>
            </w:pPr>
            <w:r>
              <w:rPr>
                <w:sz w:val="2"/>
                <w:szCs w:val="2"/>
              </w:rPr>
              <w:t>​</w:t>
            </w:r>
          </w:p>
        </w:tc>
      </w:tr>
      <w:tr w:rsidR="00000000">
        <w:trPr>
          <w:divId w:val="1642467829"/>
        </w:trPr>
        <w:tc>
          <w:tcPr>
            <w:tcW w:w="1924"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color w:val="0563C1"/>
                <w:sz w:val="28"/>
                <w:szCs w:val="28"/>
                <w:u w:val="single"/>
              </w:rPr>
              <w:t>​</w:t>
            </w:r>
          </w:p>
        </w:tc>
        <w:tc>
          <w:tcPr>
            <w:tcW w:w="8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2"/>
                <w:szCs w:val="22"/>
              </w:rPr>
              <w:t>​</w:t>
            </w:r>
          </w:p>
        </w:tc>
        <w:tc>
          <w:tcPr>
            <w:tcW w:w="2989" w:type="pct"/>
            <w:gridSpan w:val="17"/>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June 30, 2020</w:t>
            </w:r>
          </w:p>
        </w:tc>
      </w:tr>
      <w:tr w:rsidR="00000000">
        <w:trPr>
          <w:divId w:val="1642467829"/>
        </w:trPr>
        <w:tc>
          <w:tcPr>
            <w:tcW w:w="1924"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40"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Less than 12 Months</w:t>
            </w:r>
          </w:p>
        </w:tc>
        <w:tc>
          <w:tcPr>
            <w:tcW w:w="8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38"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Greater than 12 Months</w:t>
            </w:r>
          </w:p>
        </w:tc>
        <w:tc>
          <w:tcPr>
            <w:tcW w:w="8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39"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Total</w:t>
            </w:r>
          </w:p>
        </w:tc>
      </w:tr>
      <w:tr w:rsidR="00000000">
        <w:trPr>
          <w:divId w:val="1642467829"/>
        </w:trPr>
        <w:tc>
          <w:tcPr>
            <w:tcW w:w="1924"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86"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40"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27"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Gross</w:t>
            </w:r>
          </w:p>
        </w:tc>
        <w:tc>
          <w:tcPr>
            <w:tcW w:w="8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8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3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8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26"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Gross</w:t>
            </w:r>
          </w:p>
        </w:tc>
        <w:tc>
          <w:tcPr>
            <w:tcW w:w="8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8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3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8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27"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Gross</w:t>
            </w:r>
          </w:p>
        </w:tc>
      </w:tr>
      <w:tr w:rsidR="00000000">
        <w:trPr>
          <w:divId w:val="1642467829"/>
        </w:trPr>
        <w:tc>
          <w:tcPr>
            <w:tcW w:w="1924"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26"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Estimated</w:t>
            </w:r>
          </w:p>
        </w:tc>
        <w:tc>
          <w:tcPr>
            <w:tcW w:w="8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27"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Unrealized</w:t>
            </w:r>
          </w:p>
        </w:tc>
        <w:tc>
          <w:tcPr>
            <w:tcW w:w="8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25"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Estimated</w:t>
            </w:r>
          </w:p>
        </w:tc>
        <w:tc>
          <w:tcPr>
            <w:tcW w:w="8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26"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Unrealized</w:t>
            </w:r>
          </w:p>
        </w:tc>
        <w:tc>
          <w:tcPr>
            <w:tcW w:w="8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25"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Estimated</w:t>
            </w:r>
          </w:p>
        </w:tc>
        <w:tc>
          <w:tcPr>
            <w:tcW w:w="8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27"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Unrealized</w:t>
            </w:r>
          </w:p>
        </w:tc>
      </w:tr>
      <w:tr w:rsidR="00000000">
        <w:trPr>
          <w:divId w:val="1642467829"/>
        </w:trPr>
        <w:tc>
          <w:tcPr>
            <w:tcW w:w="1924"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(In thousands)</w:t>
            </w:r>
          </w:p>
        </w:tc>
        <w:tc>
          <w:tcPr>
            <w:tcW w:w="8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26"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Fair Value</w:t>
            </w:r>
          </w:p>
        </w:tc>
        <w:tc>
          <w:tcPr>
            <w:tcW w:w="8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27"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Losses</w:t>
            </w:r>
          </w:p>
        </w:tc>
        <w:tc>
          <w:tcPr>
            <w:tcW w:w="8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25"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Fair Value</w:t>
            </w:r>
          </w:p>
        </w:tc>
        <w:tc>
          <w:tcPr>
            <w:tcW w:w="8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26"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Losses</w:t>
            </w:r>
          </w:p>
        </w:tc>
        <w:tc>
          <w:tcPr>
            <w:tcW w:w="8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25"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Fair Value</w:t>
            </w:r>
          </w:p>
        </w:tc>
        <w:tc>
          <w:tcPr>
            <w:tcW w:w="85"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27"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Losses</w:t>
            </w:r>
          </w:p>
        </w:tc>
      </w:tr>
      <w:tr w:rsidR="00000000">
        <w:trPr>
          <w:divId w:val="1642467829"/>
        </w:trPr>
        <w:tc>
          <w:tcPr>
            <w:tcW w:w="1924" w:type="pct"/>
            <w:shd w:val="clear" w:color="auto" w:fill="CCEEFF"/>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0"/>
                <w:szCs w:val="20"/>
              </w:rPr>
              <w:t>US government securities</w:t>
            </w:r>
          </w:p>
        </w:tc>
        <w:tc>
          <w:tcPr>
            <w:tcW w:w="8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49,974</w:t>
            </w:r>
          </w:p>
        </w:tc>
        <w:tc>
          <w:tcPr>
            <w:tcW w:w="8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41"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(1)</w:t>
            </w:r>
          </w:p>
        </w:tc>
        <w:tc>
          <w:tcPr>
            <w:tcW w:w="85"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49,974</w:t>
            </w:r>
          </w:p>
        </w:tc>
        <w:tc>
          <w:tcPr>
            <w:tcW w:w="85"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41"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(1)</w:t>
            </w:r>
          </w:p>
        </w:tc>
      </w:tr>
      <w:tr w:rsidR="00000000">
        <w:trPr>
          <w:divId w:val="1642467829"/>
        </w:trPr>
        <w:tc>
          <w:tcPr>
            <w:tcW w:w="1924"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Commercial paper</w:t>
            </w:r>
          </w:p>
        </w:tc>
        <w:tc>
          <w:tcPr>
            <w:tcW w:w="8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40"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9,991</w:t>
            </w:r>
          </w:p>
        </w:tc>
        <w:tc>
          <w:tcPr>
            <w:tcW w:w="8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41"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(2)</w:t>
            </w:r>
          </w:p>
        </w:tc>
        <w:tc>
          <w:tcPr>
            <w:tcW w:w="85" w:type="pct"/>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40"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9,991</w:t>
            </w:r>
          </w:p>
        </w:tc>
        <w:tc>
          <w:tcPr>
            <w:tcW w:w="85" w:type="pct"/>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41"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(2)</w:t>
            </w:r>
          </w:p>
        </w:tc>
      </w:tr>
      <w:tr w:rsidR="00000000">
        <w:trPr>
          <w:divId w:val="1642467829"/>
        </w:trPr>
        <w:tc>
          <w:tcPr>
            <w:tcW w:w="1924" w:type="pct"/>
            <w:shd w:val="clear" w:color="auto" w:fill="CCEEFF"/>
            <w:tcMar>
              <w:top w:w="0" w:type="dxa"/>
              <w:left w:w="0" w:type="dxa"/>
              <w:bottom w:w="0" w:type="dxa"/>
              <w:right w:w="0" w:type="dxa"/>
            </w:tcMar>
            <w:vAlign w:val="center"/>
            <w:hideMark/>
          </w:tcPr>
          <w:p w:rsidR="00000000" w:rsidRDefault="00C96329">
            <w:pPr>
              <w:pStyle w:val="a3"/>
              <w:spacing w:before="0" w:beforeAutospacing="0" w:after="0" w:afterAutospacing="0"/>
              <w:ind w:left="240"/>
              <w:rPr>
                <w:sz w:val="20"/>
                <w:szCs w:val="20"/>
              </w:rPr>
            </w:pPr>
            <w:r>
              <w:rPr>
                <w:sz w:val="20"/>
                <w:szCs w:val="20"/>
              </w:rPr>
              <w:t xml:space="preserve">Total </w:t>
            </w:r>
          </w:p>
        </w:tc>
        <w:tc>
          <w:tcPr>
            <w:tcW w:w="8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4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59,965</w:t>
            </w:r>
          </w:p>
        </w:tc>
        <w:tc>
          <w:tcPr>
            <w:tcW w:w="8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41"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(3)</w:t>
            </w:r>
          </w:p>
        </w:tc>
        <w:tc>
          <w:tcPr>
            <w:tcW w:w="85"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4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59,965</w:t>
            </w:r>
          </w:p>
        </w:tc>
        <w:tc>
          <w:tcPr>
            <w:tcW w:w="85"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41"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(3)</w:t>
            </w:r>
          </w:p>
        </w:tc>
      </w:tr>
    </w:tbl>
    <w:p w:rsidR="00000000" w:rsidRDefault="00C96329">
      <w:pPr>
        <w:pStyle w:val="a3"/>
        <w:spacing w:before="0" w:beforeAutospacing="0" w:after="0" w:afterAutospacing="0"/>
        <w:divId w:val="164246782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138"/>
        <w:gridCol w:w="160"/>
        <w:gridCol w:w="113"/>
        <w:gridCol w:w="620"/>
        <w:gridCol w:w="160"/>
        <w:gridCol w:w="138"/>
        <w:gridCol w:w="609"/>
        <w:gridCol w:w="6"/>
        <w:gridCol w:w="144"/>
        <w:gridCol w:w="609"/>
        <w:gridCol w:w="146"/>
        <w:gridCol w:w="146"/>
        <w:gridCol w:w="613"/>
        <w:gridCol w:w="160"/>
        <w:gridCol w:w="143"/>
        <w:gridCol w:w="620"/>
        <w:gridCol w:w="34"/>
        <w:gridCol w:w="202"/>
        <w:gridCol w:w="545"/>
      </w:tblGrid>
      <w:tr w:rsidR="00000000">
        <w:trPr>
          <w:divId w:val="1642467829"/>
          <w:trHeight w:val="20"/>
        </w:trPr>
        <w:tc>
          <w:tcPr>
            <w:tcW w:w="1938" w:type="pct"/>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417" w:type="pct"/>
            <w:noWrap/>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354" w:type="pct"/>
            <w:noWrap/>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
                <w:szCs w:val="2"/>
              </w:rPr>
              <w:t>​</w:t>
            </w:r>
          </w:p>
        </w:tc>
        <w:tc>
          <w:tcPr>
            <w:tcW w:w="80" w:type="pct"/>
            <w:noWrap/>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339" w:type="pct"/>
            <w:noWrap/>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340" w:type="pct"/>
            <w:noWrap/>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339" w:type="pct"/>
            <w:noWrap/>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
                <w:szCs w:val="2"/>
              </w:rPr>
              <w:t>​</w:t>
            </w:r>
          </w:p>
        </w:tc>
        <w:tc>
          <w:tcPr>
            <w:tcW w:w="83" w:type="pct"/>
            <w:noWrap/>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269" w:type="pct"/>
            <w:noWrap/>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
                <w:szCs w:val="2"/>
              </w:rPr>
              <w:t>​</w:t>
            </w:r>
          </w:p>
        </w:tc>
      </w:tr>
      <w:tr w:rsidR="00000000">
        <w:trPr>
          <w:divId w:val="1642467829"/>
        </w:trPr>
        <w:tc>
          <w:tcPr>
            <w:tcW w:w="193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2"/>
                <w:szCs w:val="22"/>
              </w:rPr>
              <w:t>​</w:t>
            </w:r>
          </w:p>
        </w:tc>
        <w:tc>
          <w:tcPr>
            <w:tcW w:w="8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2"/>
                <w:szCs w:val="22"/>
              </w:rPr>
              <w:t>​</w:t>
            </w:r>
          </w:p>
        </w:tc>
        <w:tc>
          <w:tcPr>
            <w:tcW w:w="2981" w:type="pct"/>
            <w:gridSpan w:val="17"/>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December 31, 2019</w:t>
            </w:r>
          </w:p>
        </w:tc>
      </w:tr>
      <w:tr w:rsidR="00000000">
        <w:trPr>
          <w:divId w:val="1642467829"/>
        </w:trPr>
        <w:tc>
          <w:tcPr>
            <w:tcW w:w="1938"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2"/>
                <w:szCs w:val="22"/>
              </w:rPr>
              <w:t>​</w:t>
            </w:r>
          </w:p>
        </w:tc>
        <w:tc>
          <w:tcPr>
            <w:tcW w:w="8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1013"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Less than 12 Months</w:t>
            </w:r>
          </w:p>
        </w:tc>
        <w:tc>
          <w:tcPr>
            <w:tcW w:w="8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27"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Greater than 12 Months</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76"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Total</w:t>
            </w:r>
          </w:p>
        </w:tc>
      </w:tr>
      <w:tr w:rsidR="00000000">
        <w:trPr>
          <w:divId w:val="1642467829"/>
        </w:trPr>
        <w:tc>
          <w:tcPr>
            <w:tcW w:w="1938"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80"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1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8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35"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Gross</w:t>
            </w:r>
          </w:p>
        </w:tc>
        <w:tc>
          <w:tcPr>
            <w:tcW w:w="80"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80"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3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23"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Gross</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3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83"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70"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Gross</w:t>
            </w:r>
          </w:p>
        </w:tc>
      </w:tr>
      <w:tr w:rsidR="00000000">
        <w:trPr>
          <w:divId w:val="1642467829"/>
        </w:trPr>
        <w:tc>
          <w:tcPr>
            <w:tcW w:w="193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Estimated</w:t>
            </w:r>
          </w:p>
        </w:tc>
        <w:tc>
          <w:tcPr>
            <w:tcW w:w="8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35"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Unrealized</w:t>
            </w:r>
          </w:p>
        </w:tc>
        <w:tc>
          <w:tcPr>
            <w:tcW w:w="80"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20"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Estimated</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23"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Unrealized</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22"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Estimated</w:t>
            </w:r>
          </w:p>
        </w:tc>
        <w:tc>
          <w:tcPr>
            <w:tcW w:w="83"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70" w:type="pct"/>
            <w:gridSpan w:val="2"/>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Unrealized</w:t>
            </w:r>
          </w:p>
        </w:tc>
      </w:tr>
      <w:tr w:rsidR="00000000">
        <w:trPr>
          <w:divId w:val="1642467829"/>
        </w:trPr>
        <w:tc>
          <w:tcPr>
            <w:tcW w:w="1938"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(In thousands)</w:t>
            </w:r>
          </w:p>
        </w:tc>
        <w:tc>
          <w:tcPr>
            <w:tcW w:w="8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Fair Value</w:t>
            </w:r>
          </w:p>
        </w:tc>
        <w:tc>
          <w:tcPr>
            <w:tcW w:w="8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35"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Losses</w:t>
            </w:r>
          </w:p>
        </w:tc>
        <w:tc>
          <w:tcPr>
            <w:tcW w:w="80"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Fair Value</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23"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Losses</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2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Fair Value</w:t>
            </w:r>
          </w:p>
        </w:tc>
        <w:tc>
          <w:tcPr>
            <w:tcW w:w="83"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370"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Losses</w:t>
            </w:r>
          </w:p>
        </w:tc>
      </w:tr>
      <w:tr w:rsidR="00000000">
        <w:trPr>
          <w:divId w:val="1642467829"/>
        </w:trPr>
        <w:tc>
          <w:tcPr>
            <w:tcW w:w="1938" w:type="pct"/>
            <w:shd w:val="clear" w:color="auto" w:fill="CCEEFF"/>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0"/>
                <w:szCs w:val="20"/>
              </w:rPr>
              <w:t>Corporate notes</w:t>
            </w:r>
          </w:p>
        </w:tc>
        <w:tc>
          <w:tcPr>
            <w:tcW w:w="8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5,507</w:t>
            </w:r>
          </w:p>
        </w:tc>
        <w:tc>
          <w:tcPr>
            <w:tcW w:w="8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54"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(1)</w:t>
            </w:r>
          </w:p>
        </w:tc>
        <w:tc>
          <w:tcPr>
            <w:tcW w:w="80"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5,507</w:t>
            </w:r>
          </w:p>
        </w:tc>
        <w:tc>
          <w:tcPr>
            <w:tcW w:w="83"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269"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(1)</w:t>
            </w:r>
          </w:p>
        </w:tc>
      </w:tr>
      <w:tr w:rsidR="00000000">
        <w:trPr>
          <w:divId w:val="1642467829"/>
        </w:trPr>
        <w:tc>
          <w:tcPr>
            <w:tcW w:w="1938"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Commercial paper</w:t>
            </w:r>
          </w:p>
        </w:tc>
        <w:tc>
          <w:tcPr>
            <w:tcW w:w="8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17"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28,137</w:t>
            </w:r>
          </w:p>
        </w:tc>
        <w:tc>
          <w:tcPr>
            <w:tcW w:w="8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54"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(2)</w:t>
            </w:r>
          </w:p>
        </w:tc>
        <w:tc>
          <w:tcPr>
            <w:tcW w:w="80" w:type="pct"/>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w:t>
            </w:r>
          </w:p>
        </w:tc>
        <w:tc>
          <w:tcPr>
            <w:tcW w:w="82" w:type="pct"/>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40"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28,137</w:t>
            </w:r>
          </w:p>
        </w:tc>
        <w:tc>
          <w:tcPr>
            <w:tcW w:w="83" w:type="pct"/>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w:t>
            </w:r>
          </w:p>
        </w:tc>
        <w:tc>
          <w:tcPr>
            <w:tcW w:w="101"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269"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(2)</w:t>
            </w:r>
          </w:p>
        </w:tc>
      </w:tr>
      <w:tr w:rsidR="00000000">
        <w:trPr>
          <w:divId w:val="1642467829"/>
        </w:trPr>
        <w:tc>
          <w:tcPr>
            <w:tcW w:w="1938" w:type="pct"/>
            <w:shd w:val="clear" w:color="auto" w:fill="CCEEFF"/>
            <w:tcMar>
              <w:top w:w="0" w:type="dxa"/>
              <w:left w:w="0" w:type="dxa"/>
              <w:bottom w:w="0" w:type="dxa"/>
              <w:right w:w="0" w:type="dxa"/>
            </w:tcMar>
            <w:vAlign w:val="center"/>
            <w:hideMark/>
          </w:tcPr>
          <w:p w:rsidR="00000000" w:rsidRDefault="00C96329">
            <w:pPr>
              <w:pStyle w:val="a3"/>
              <w:spacing w:before="0" w:beforeAutospacing="0" w:after="0" w:afterAutospacing="0"/>
              <w:ind w:left="240"/>
              <w:rPr>
                <w:sz w:val="20"/>
                <w:szCs w:val="20"/>
              </w:rPr>
            </w:pPr>
            <w:r>
              <w:rPr>
                <w:sz w:val="20"/>
                <w:szCs w:val="20"/>
              </w:rPr>
              <w:t>Total</w:t>
            </w:r>
          </w:p>
        </w:tc>
        <w:tc>
          <w:tcPr>
            <w:tcW w:w="8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17"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33,644</w:t>
            </w:r>
          </w:p>
        </w:tc>
        <w:tc>
          <w:tcPr>
            <w:tcW w:w="8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54"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(3)</w:t>
            </w:r>
          </w:p>
        </w:tc>
        <w:tc>
          <w:tcPr>
            <w:tcW w:w="80"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4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w:t>
            </w:r>
          </w:p>
        </w:tc>
        <w:tc>
          <w:tcPr>
            <w:tcW w:w="82"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33,644</w:t>
            </w:r>
          </w:p>
        </w:tc>
        <w:tc>
          <w:tcPr>
            <w:tcW w:w="83"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26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jc w:val="right"/>
              <w:rPr>
                <w:sz w:val="20"/>
                <w:szCs w:val="20"/>
              </w:rPr>
            </w:pPr>
            <w:r>
              <w:rPr>
                <w:sz w:val="20"/>
                <w:szCs w:val="20"/>
              </w:rPr>
              <w:t>(3)</w:t>
            </w:r>
          </w:p>
        </w:tc>
      </w:tr>
    </w:tbl>
    <w:p w:rsidR="00000000" w:rsidRDefault="00C96329">
      <w:pPr>
        <w:pStyle w:val="a3"/>
        <w:spacing w:before="0" w:beforeAutospacing="0" w:after="0" w:afterAutospacing="0"/>
        <w:divId w:val="1642467829"/>
        <w:rPr>
          <w:sz w:val="20"/>
          <w:szCs w:val="20"/>
        </w:rPr>
      </w:pPr>
      <w:r>
        <w:rPr>
          <w:sz w:val="20"/>
          <w:szCs w:val="20"/>
        </w:rPr>
        <w:t>​</w:t>
      </w:r>
    </w:p>
    <w:p w:rsidR="00000000" w:rsidRDefault="00C96329">
      <w:pPr>
        <w:pStyle w:val="a3"/>
        <w:spacing w:before="0" w:beforeAutospacing="0" w:after="0" w:afterAutospacing="0"/>
        <w:ind w:firstLine="720"/>
        <w:divId w:val="1642467829"/>
        <w:rPr>
          <w:sz w:val="20"/>
          <w:szCs w:val="20"/>
        </w:rPr>
      </w:pPr>
      <w:r>
        <w:rPr>
          <w:sz w:val="20"/>
          <w:szCs w:val="20"/>
        </w:rPr>
        <w:t xml:space="preserve">The Company invests primarily in </w:t>
      </w:r>
      <w:r>
        <w:rPr>
          <w:sz w:val="20"/>
          <w:szCs w:val="20"/>
          <w:shd w:val="clear" w:color="auto" w:fill="FFFFFF"/>
        </w:rPr>
        <w:t xml:space="preserve">high credit quality and short-term maturity </w:t>
      </w:r>
      <w:r>
        <w:rPr>
          <w:sz w:val="20"/>
          <w:szCs w:val="20"/>
        </w:rPr>
        <w:t xml:space="preserve">debt securities with the intent to hold such securities until maturity at par value. The Company does not intend to sell the investments that are currently in an unrealized loss position, and it is unlikely that it will be required to sell the investments </w:t>
      </w:r>
      <w:r>
        <w:rPr>
          <w:sz w:val="20"/>
          <w:szCs w:val="20"/>
        </w:rPr>
        <w:t xml:space="preserve">before recovery of their amortized cost basis, which may be maturity. </w:t>
      </w:r>
      <w:r>
        <w:rPr>
          <w:sz w:val="20"/>
          <w:szCs w:val="20"/>
          <w:shd w:val="clear" w:color="auto" w:fill="FFFFFF"/>
        </w:rPr>
        <w:t>T</w:t>
      </w:r>
      <w:r>
        <w:rPr>
          <w:sz w:val="20"/>
          <w:szCs w:val="20"/>
        </w:rPr>
        <w:t>he Company reviewed its available-for-sale debt securities and determined that there were no credit-related losses to be recognized as of June 30, 2020.</w:t>
      </w:r>
      <w:r>
        <w:rPr>
          <w:sz w:val="20"/>
          <w:szCs w:val="20"/>
        </w:rPr>
        <w:t xml:space="preserve"> </w:t>
      </w:r>
    </w:p>
    <w:p w:rsidR="00000000" w:rsidRDefault="00C96329">
      <w:pPr>
        <w:pStyle w:val="a3"/>
        <w:spacing w:before="0" w:beforeAutospacing="0" w:after="0" w:afterAutospacing="0"/>
        <w:divId w:val="1642467829"/>
        <w:rPr>
          <w:sz w:val="20"/>
          <w:szCs w:val="20"/>
        </w:rPr>
      </w:pPr>
      <w:r>
        <w:rPr>
          <w:sz w:val="20"/>
          <w:szCs w:val="20"/>
        </w:rPr>
        <w:t>​</w:t>
      </w:r>
    </w:p>
    <w:p w:rsidR="00000000" w:rsidRDefault="00C96329">
      <w:pPr>
        <w:pStyle w:val="a3"/>
        <w:spacing w:before="0" w:beforeAutospacing="0" w:after="0" w:afterAutospacing="0"/>
        <w:ind w:firstLine="720"/>
        <w:divId w:val="1642467829"/>
        <w:rPr>
          <w:sz w:val="20"/>
          <w:szCs w:val="20"/>
        </w:rPr>
      </w:pPr>
      <w:r>
        <w:rPr>
          <w:sz w:val="20"/>
          <w:szCs w:val="20"/>
        </w:rPr>
        <w:t>As of June 30, 2020, the Comp</w:t>
      </w:r>
      <w:r>
        <w:rPr>
          <w:sz w:val="20"/>
          <w:szCs w:val="20"/>
        </w:rPr>
        <w:t>any’s accumulated other comprehensive income on its condensed consolidated balance sheets consisted of net unrealized gains or losses on available-for-sale investments. For the three and six months ended June 30, 2020, the Company sold marketable securitie</w:t>
      </w:r>
      <w:r>
        <w:rPr>
          <w:sz w:val="20"/>
          <w:szCs w:val="20"/>
        </w:rPr>
        <w:t>s for total proceeds of $5.0 million and $19.9 million, respectively, and recognized minimal net realized gains from the sales based on the specific identification method. The Company did not sell any of its marketable securities for the three and six mont</w:t>
      </w:r>
      <w:r>
        <w:rPr>
          <w:sz w:val="20"/>
          <w:szCs w:val="20"/>
        </w:rPr>
        <w:t>hs ended June 30, 2019.</w:t>
      </w:r>
    </w:p>
    <w:p w:rsidR="00000000" w:rsidRDefault="00C96329">
      <w:pPr>
        <w:pStyle w:val="a3"/>
        <w:spacing w:before="0" w:beforeAutospacing="0" w:after="0" w:afterAutospacing="0"/>
        <w:ind w:firstLine="720"/>
        <w:divId w:val="1642467829"/>
        <w:rPr>
          <w:sz w:val="20"/>
          <w:szCs w:val="20"/>
        </w:rPr>
      </w:pPr>
      <w:r>
        <w:rPr>
          <w:sz w:val="20"/>
          <w:szCs w:val="20"/>
        </w:rPr>
        <w:t>​</w:t>
      </w:r>
    </w:p>
    <w:p w:rsidR="00000000" w:rsidRDefault="00C96329">
      <w:pPr>
        <w:pStyle w:val="a3"/>
        <w:spacing w:before="0" w:beforeAutospacing="0" w:after="0" w:afterAutospacing="0"/>
        <w:divId w:val="1642467829"/>
        <w:rPr>
          <w:sz w:val="20"/>
          <w:szCs w:val="20"/>
        </w:rPr>
      </w:pPr>
      <w:r>
        <w:rPr>
          <w:b/>
          <w:bCs/>
          <w:sz w:val="20"/>
          <w:szCs w:val="20"/>
        </w:rPr>
        <w:t xml:space="preserve">6. Long-Term Debt </w:t>
      </w:r>
    </w:p>
    <w:p w:rsidR="00000000" w:rsidRDefault="00C96329">
      <w:pPr>
        <w:pStyle w:val="a3"/>
        <w:spacing w:before="0" w:beforeAutospacing="0" w:after="0" w:afterAutospacing="0"/>
        <w:divId w:val="1642467829"/>
        <w:rPr>
          <w:sz w:val="20"/>
          <w:szCs w:val="20"/>
        </w:rPr>
      </w:pPr>
      <w:r>
        <w:rPr>
          <w:b/>
          <w:bCs/>
          <w:sz w:val="10"/>
          <w:szCs w:val="10"/>
        </w:rPr>
        <w:t>​</w:t>
      </w:r>
    </w:p>
    <w:p w:rsidR="00000000" w:rsidRDefault="00C96329">
      <w:pPr>
        <w:pStyle w:val="a3"/>
        <w:shd w:val="clear" w:color="auto" w:fill="FFFFFF"/>
        <w:spacing w:before="0" w:beforeAutospacing="0" w:after="0" w:afterAutospacing="0"/>
        <w:divId w:val="1642467829"/>
        <w:rPr>
          <w:sz w:val="20"/>
          <w:szCs w:val="20"/>
        </w:rPr>
      </w:pPr>
      <w:r>
        <w:rPr>
          <w:b/>
          <w:bCs/>
          <w:i/>
          <w:iCs/>
          <w:sz w:val="20"/>
          <w:szCs w:val="20"/>
        </w:rPr>
        <w:t>9.5% Non-Recourse Notes Due 2035</w:t>
      </w:r>
    </w:p>
    <w:p w:rsidR="00000000" w:rsidRDefault="00C96329">
      <w:pPr>
        <w:pStyle w:val="a3"/>
        <w:shd w:val="clear" w:color="auto" w:fill="FFFFFF"/>
        <w:spacing w:before="0" w:beforeAutospacing="0" w:after="0" w:afterAutospacing="0"/>
        <w:divId w:val="1642467829"/>
        <w:rPr>
          <w:sz w:val="20"/>
          <w:szCs w:val="20"/>
        </w:rPr>
      </w:pPr>
      <w:r>
        <w:rPr>
          <w:sz w:val="10"/>
          <w:szCs w:val="10"/>
        </w:rPr>
        <w:t>​</w:t>
      </w:r>
    </w:p>
    <w:p w:rsidR="00000000" w:rsidRDefault="00C96329">
      <w:pPr>
        <w:pStyle w:val="a3"/>
        <w:shd w:val="clear" w:color="auto" w:fill="FFFFFF"/>
        <w:spacing w:before="0" w:beforeAutospacing="0" w:after="0" w:afterAutospacing="0"/>
        <w:ind w:firstLine="720"/>
        <w:divId w:val="1642467829"/>
        <w:rPr>
          <w:sz w:val="20"/>
          <w:szCs w:val="20"/>
        </w:rPr>
      </w:pPr>
      <w:r>
        <w:rPr>
          <w:sz w:val="20"/>
          <w:szCs w:val="20"/>
        </w:rPr>
        <w:t>On February 21, 2020, Theravance Biopharma R&amp;D, Inc. (“Theravance R&amp;D”</w:t>
      </w:r>
      <w:r>
        <w:rPr>
          <w:sz w:val="20"/>
          <w:szCs w:val="20"/>
        </w:rPr>
        <w:t>), a wholly-owned subsidiary of the Company, and Triple Royalty Sub II LLC (the “Issuer II” or “Triple II”), a wholly-owned subsidiary of Theravance Biopharma R&amp;D, entered into certain note purchase agreements (“Note Purchase Agreements”) with certain note</w:t>
      </w:r>
      <w:r>
        <w:rPr>
          <w:sz w:val="20"/>
          <w:szCs w:val="20"/>
        </w:rPr>
        <w:t xml:space="preserve"> purchasers (“Note Purchasers”), relating to the private placement by Issuer II of $400.0 million 9.5% Fixed Rate Term Notes due on or </w:t>
      </w:r>
    </w:p>
    <w:p w:rsidR="00000000" w:rsidRDefault="00C96329">
      <w:pPr>
        <w:pStyle w:val="a3"/>
        <w:spacing w:before="360" w:beforeAutospacing="0" w:after="0" w:afterAutospacing="0"/>
        <w:jc w:val="center"/>
        <w:divId w:val="2013483813"/>
        <w:rPr>
          <w:sz w:val="20"/>
          <w:szCs w:val="20"/>
        </w:rPr>
      </w:pPr>
      <w:r>
        <w:rPr>
          <w:sz w:val="20"/>
          <w:szCs w:val="20"/>
        </w:rPr>
        <w:t>15</w:t>
      </w:r>
    </w:p>
    <w:p w:rsidR="00000000" w:rsidRDefault="00C96329">
      <w:pPr>
        <w:pStyle w:val="a3"/>
        <w:spacing w:before="0" w:beforeAutospacing="0" w:after="600" w:afterAutospacing="0"/>
        <w:divId w:val="483200052"/>
        <w:rPr>
          <w:sz w:val="20"/>
          <w:szCs w:val="20"/>
        </w:rPr>
      </w:pPr>
      <w:hyperlink w:anchor="TOC" w:history="1">
        <w:r>
          <w:rPr>
            <w:rStyle w:val="a4"/>
            <w:sz w:val="20"/>
            <w:szCs w:val="20"/>
          </w:rPr>
          <w:t>Table of Contents</w:t>
        </w:r>
      </w:hyperlink>
    </w:p>
    <w:p w:rsidR="00000000" w:rsidRDefault="00C96329">
      <w:pPr>
        <w:pStyle w:val="a3"/>
        <w:shd w:val="clear" w:color="auto" w:fill="FFFFFF"/>
        <w:spacing w:before="0" w:beforeAutospacing="0" w:after="0" w:afterAutospacing="0"/>
        <w:divId w:val="1079791428"/>
        <w:rPr>
          <w:sz w:val="20"/>
          <w:szCs w:val="20"/>
        </w:rPr>
      </w:pPr>
      <w:r>
        <w:rPr>
          <w:sz w:val="20"/>
          <w:szCs w:val="20"/>
        </w:rPr>
        <w:t>before 2035 (the “Non-Recourse 2035 Notes”). Ninety-five percent of the N</w:t>
      </w:r>
      <w:r>
        <w:rPr>
          <w:sz w:val="20"/>
          <w:szCs w:val="20"/>
        </w:rPr>
        <w:t>on-Recourse 2035 Notes were sold to the Note Purchasers pursuant to the Note Purchase Agreements. The remaining 5% of the Non-Recourse 2035 Notes (the “Retained Notes”) were retained by the Company to comply with Regulation RR — Credit Risk Retention (17 C</w:t>
      </w:r>
      <w:r>
        <w:rPr>
          <w:sz w:val="20"/>
          <w:szCs w:val="20"/>
        </w:rPr>
        <w:t>.F.R. Part 246). The Retained Notes are eliminated in the Company’s condensed consolidated financial statements. The transaction closed on February 28, 2020.</w:t>
      </w:r>
    </w:p>
    <w:p w:rsidR="00000000" w:rsidRDefault="00C96329">
      <w:pPr>
        <w:pStyle w:val="a3"/>
        <w:shd w:val="clear" w:color="auto" w:fill="FFFFFF"/>
        <w:spacing w:before="0" w:beforeAutospacing="0" w:after="0" w:afterAutospacing="0"/>
        <w:ind w:firstLine="720"/>
        <w:divId w:val="1079791428"/>
        <w:rPr>
          <w:sz w:val="20"/>
          <w:szCs w:val="20"/>
        </w:rPr>
      </w:pPr>
      <w:r>
        <w:rPr>
          <w:sz w:val="20"/>
          <w:szCs w:val="20"/>
        </w:rPr>
        <w:t>​</w:t>
      </w:r>
    </w:p>
    <w:p w:rsidR="00000000" w:rsidRDefault="00C96329">
      <w:pPr>
        <w:pStyle w:val="a3"/>
        <w:shd w:val="clear" w:color="auto" w:fill="FFFFFF"/>
        <w:spacing w:before="0" w:beforeAutospacing="0" w:after="0" w:afterAutospacing="0"/>
        <w:ind w:firstLine="720"/>
        <w:divId w:val="1079791428"/>
        <w:rPr>
          <w:sz w:val="20"/>
          <w:szCs w:val="20"/>
        </w:rPr>
      </w:pPr>
      <w:r>
        <w:rPr>
          <w:sz w:val="20"/>
          <w:szCs w:val="20"/>
        </w:rPr>
        <w:t>The Non-Recourse 2035 Notes are secured by all of Issuer II’s right, title and interest as a hol</w:t>
      </w:r>
      <w:r>
        <w:rPr>
          <w:sz w:val="20"/>
          <w:szCs w:val="20"/>
        </w:rPr>
        <w:t>der of certain membership interests (the “Issuer II Class C Units”) in Theravance Respiratory Company, LLC (“TRC”). TRC LLC holds the right to receive upward-tiering royalties ranging from 6.5% to 10% on worldwide net sales of TRELEGY, and the Company hold</w:t>
      </w:r>
      <w:r>
        <w:rPr>
          <w:sz w:val="20"/>
          <w:szCs w:val="20"/>
        </w:rPr>
        <w:t xml:space="preserve">s an 85% economic interest in TRC LLC. The Issuer II Class C Units represent 75% of the Company's 85% economic interest, which equates to 63.75% of the economic interests in TRC LLC. </w:t>
      </w:r>
    </w:p>
    <w:p w:rsidR="00000000" w:rsidRDefault="00C96329">
      <w:pPr>
        <w:pStyle w:val="a3"/>
        <w:spacing w:before="0" w:beforeAutospacing="0" w:after="0" w:afterAutospacing="0"/>
        <w:ind w:firstLine="720"/>
        <w:divId w:val="1079791428"/>
        <w:rPr>
          <w:sz w:val="20"/>
          <w:szCs w:val="20"/>
        </w:rPr>
      </w:pPr>
      <w:r>
        <w:rPr>
          <w:sz w:val="20"/>
          <w:szCs w:val="20"/>
        </w:rPr>
        <w:t>​</w:t>
      </w:r>
    </w:p>
    <w:p w:rsidR="00000000" w:rsidRDefault="00C96329">
      <w:pPr>
        <w:pStyle w:val="a3"/>
        <w:spacing w:before="0" w:beforeAutospacing="0" w:after="0" w:afterAutospacing="0"/>
        <w:ind w:firstLine="720"/>
        <w:divId w:val="1079791428"/>
        <w:rPr>
          <w:sz w:val="20"/>
          <w:szCs w:val="20"/>
        </w:rPr>
      </w:pPr>
      <w:r>
        <w:rPr>
          <w:sz w:val="20"/>
          <w:szCs w:val="20"/>
        </w:rPr>
        <w:t>The source of principal and interest payments for the Non-Recourse 203</w:t>
      </w:r>
      <w:r>
        <w:rPr>
          <w:sz w:val="20"/>
          <w:szCs w:val="20"/>
        </w:rPr>
        <w:t>5 Notes are the future royalty payments generated from the TRELEGY program, and as a result, the holders of the Non-Recourse 2035 Notes have no recourse against the Company even if the TRELEGY payments are insufficient to cover the principal and interest p</w:t>
      </w:r>
      <w:r>
        <w:rPr>
          <w:sz w:val="20"/>
          <w:szCs w:val="20"/>
        </w:rPr>
        <w:t xml:space="preserve">ayments for the Non-Recourse 2035 Notes. Prior to and including the December 5, 2024 payment date, in the event that the distributions received by the Issuer II from TRC in a quarter is less than the interest accrued for that quarter, the principal amount </w:t>
      </w:r>
      <w:r>
        <w:rPr>
          <w:sz w:val="20"/>
          <w:szCs w:val="20"/>
        </w:rPr>
        <w:t>of the Non-Recourse 2035 Notes will increase by the interest shortfall amount for that quarter. During the three months ended June 30, 2020, the principal amount of the Non-Recourse 2035 Notes increased by $1.15 million which represented the shortfall betw</w:t>
      </w:r>
      <w:r>
        <w:rPr>
          <w:sz w:val="20"/>
          <w:szCs w:val="20"/>
        </w:rPr>
        <w:t>een the distributions received from TRC and the total interest payment due in June 2020. While the holders of the Non-Recourse 2035 Notes have no recourse against the Company, the terms of the Non-Recourse 2035 Notes also provide that the Company, at its o</w:t>
      </w:r>
      <w:r>
        <w:rPr>
          <w:sz w:val="20"/>
          <w:szCs w:val="20"/>
        </w:rPr>
        <w:t>ption, may satisfy the quarterly interest payment obligations by making a capital contribution to the Issuer II.</w:t>
      </w:r>
    </w:p>
    <w:p w:rsidR="00000000" w:rsidRDefault="00C96329">
      <w:pPr>
        <w:pStyle w:val="a3"/>
        <w:spacing w:before="0" w:beforeAutospacing="0" w:after="0" w:afterAutospacing="0"/>
        <w:ind w:firstLine="720"/>
        <w:divId w:val="1079791428"/>
        <w:rPr>
          <w:sz w:val="20"/>
          <w:szCs w:val="20"/>
        </w:rPr>
      </w:pPr>
      <w:r>
        <w:rPr>
          <w:i/>
          <w:iCs/>
          <w:color w:val="FF0000"/>
          <w:sz w:val="20"/>
          <w:szCs w:val="20"/>
        </w:rPr>
        <w:t>​</w:t>
      </w:r>
    </w:p>
    <w:p w:rsidR="00000000" w:rsidRDefault="00C96329">
      <w:pPr>
        <w:pStyle w:val="a3"/>
        <w:spacing w:before="0" w:beforeAutospacing="0" w:after="0" w:afterAutospacing="0"/>
        <w:ind w:firstLine="720"/>
        <w:divId w:val="1079791428"/>
        <w:rPr>
          <w:sz w:val="20"/>
          <w:szCs w:val="20"/>
        </w:rPr>
      </w:pPr>
      <w:r>
        <w:rPr>
          <w:sz w:val="20"/>
          <w:szCs w:val="20"/>
        </w:rPr>
        <w:t>The Non-Recourse 2035 Notes are not convertible into Company equity and have no security interest in nor rights under any agreement with Glax</w:t>
      </w:r>
      <w:r>
        <w:rPr>
          <w:sz w:val="20"/>
          <w:szCs w:val="20"/>
        </w:rPr>
        <w:t xml:space="preserve">o Group Limited or one of its affiliates (“GSK”). See </w:t>
      </w:r>
      <w:r>
        <w:rPr>
          <w:i/>
          <w:iCs/>
          <w:sz w:val="20"/>
          <w:szCs w:val="20"/>
        </w:rPr>
        <w:t>“Note 7. Theravance Respiratory Company, LLC”</w:t>
      </w:r>
      <w:r>
        <w:rPr>
          <w:sz w:val="20"/>
          <w:szCs w:val="20"/>
        </w:rPr>
        <w:t xml:space="preserve"> for further information regarding GSK. The Non-Recourse 2035 Notes may be redeemed by Issuer II on and after February 28, 2022, in whole or in part, at spec</w:t>
      </w:r>
      <w:r>
        <w:rPr>
          <w:sz w:val="20"/>
          <w:szCs w:val="20"/>
        </w:rPr>
        <w:t>ified redemption premiums. The Non-Recourse 2035 Notes bear an annual interest rate of 9.5%, with interest and principal paid quarterly beginning June 5, 2020. Since the principal and interest payments on the Non-Recourse 2035 Notes are ultimately based on</w:t>
      </w:r>
      <w:r>
        <w:rPr>
          <w:sz w:val="20"/>
          <w:szCs w:val="20"/>
        </w:rPr>
        <w:t xml:space="preserve"> royalties from </w:t>
      </w:r>
      <w:r>
        <w:rPr>
          <w:caps/>
          <w:sz w:val="20"/>
          <w:szCs w:val="20"/>
        </w:rPr>
        <w:t>TRELEGY</w:t>
      </w:r>
      <w:r>
        <w:rPr>
          <w:sz w:val="20"/>
          <w:szCs w:val="20"/>
        </w:rPr>
        <w:t xml:space="preserve"> product sales, which will vary from quarter to quarter, the Non-Recourse 2035 Notes may be repaid prior to the final maturity date in 2035. Following the redemption or repayment of the Non-Recourse 2035 Notes, all </w:t>
      </w:r>
      <w:r>
        <w:rPr>
          <w:caps/>
          <w:sz w:val="20"/>
          <w:szCs w:val="20"/>
        </w:rPr>
        <w:t>TRELEGY</w:t>
      </w:r>
      <w:r>
        <w:rPr>
          <w:sz w:val="20"/>
          <w:szCs w:val="20"/>
        </w:rPr>
        <w:t>-related pl</w:t>
      </w:r>
      <w:r>
        <w:rPr>
          <w:sz w:val="20"/>
          <w:szCs w:val="20"/>
        </w:rPr>
        <w:t>edged cash flows will revert back to the Company.</w:t>
      </w:r>
    </w:p>
    <w:p w:rsidR="00000000" w:rsidRDefault="00C96329">
      <w:pPr>
        <w:pStyle w:val="a3"/>
        <w:spacing w:before="0" w:beforeAutospacing="0" w:after="0" w:afterAutospacing="0"/>
        <w:ind w:firstLine="720"/>
        <w:divId w:val="1079791428"/>
        <w:rPr>
          <w:sz w:val="20"/>
          <w:szCs w:val="20"/>
        </w:rPr>
      </w:pPr>
      <w:r>
        <w:rPr>
          <w:sz w:val="20"/>
          <w:szCs w:val="20"/>
        </w:rPr>
        <w:t>​</w:t>
      </w:r>
    </w:p>
    <w:p w:rsidR="00000000" w:rsidRDefault="00C96329">
      <w:pPr>
        <w:pStyle w:val="a3"/>
        <w:spacing w:before="0" w:beforeAutospacing="0" w:after="0" w:afterAutospacing="0"/>
        <w:ind w:firstLine="720"/>
        <w:divId w:val="1079791428"/>
        <w:rPr>
          <w:sz w:val="20"/>
          <w:szCs w:val="20"/>
        </w:rPr>
      </w:pPr>
      <w:r>
        <w:rPr>
          <w:sz w:val="20"/>
          <w:szCs w:val="20"/>
        </w:rPr>
        <w:t>The portion of the Non-Recourse 2035 Notes classified as a current liability, if any, is based on the amount of royalties received, or receivable, as of June 30, 2020, that are expected to be used to make</w:t>
      </w:r>
      <w:r>
        <w:rPr>
          <w:sz w:val="20"/>
          <w:szCs w:val="20"/>
        </w:rPr>
        <w:t xml:space="preserve"> a principal repayment on the Non-Recourse 2035 Notes within the next 12 months. </w:t>
      </w:r>
    </w:p>
    <w:p w:rsidR="00000000" w:rsidRDefault="00C96329">
      <w:pPr>
        <w:pStyle w:val="a3"/>
        <w:spacing w:before="0" w:beforeAutospacing="0" w:after="0" w:afterAutospacing="0"/>
        <w:ind w:firstLine="720"/>
        <w:divId w:val="1079791428"/>
        <w:rPr>
          <w:sz w:val="20"/>
          <w:szCs w:val="20"/>
        </w:rPr>
      </w:pPr>
      <w:r>
        <w:rPr>
          <w:sz w:val="20"/>
          <w:szCs w:val="20"/>
        </w:rPr>
        <w:t>​</w:t>
      </w:r>
    </w:p>
    <w:p w:rsidR="00000000" w:rsidRDefault="00C96329">
      <w:pPr>
        <w:pStyle w:val="a3"/>
        <w:spacing w:before="0" w:beforeAutospacing="0" w:after="0" w:afterAutospacing="0"/>
        <w:ind w:firstLine="720"/>
        <w:divId w:val="1079791428"/>
        <w:rPr>
          <w:sz w:val="20"/>
          <w:szCs w:val="20"/>
        </w:rPr>
      </w:pPr>
      <w:r>
        <w:rPr>
          <w:sz w:val="20"/>
          <w:szCs w:val="20"/>
        </w:rPr>
        <w:t>The following is a summary of the carrying value of the Non-Recourse 2035 Notes as of June 30, 2020:</w:t>
      </w:r>
    </w:p>
    <w:p w:rsidR="00000000" w:rsidRDefault="00C96329">
      <w:pPr>
        <w:pStyle w:val="a3"/>
        <w:spacing w:before="0" w:beforeAutospacing="0" w:after="0" w:afterAutospacing="0"/>
        <w:ind w:firstLine="720"/>
        <w:divId w:val="1079791428"/>
        <w:rPr>
          <w:sz w:val="20"/>
          <w:szCs w:val="20"/>
        </w:rPr>
      </w:pPr>
      <w:r>
        <w:rPr>
          <w:color w:val="FF0000"/>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990"/>
        <w:gridCol w:w="221"/>
        <w:gridCol w:w="221"/>
        <w:gridCol w:w="874"/>
      </w:tblGrid>
      <w:tr w:rsidR="00000000">
        <w:trPr>
          <w:divId w:val="1079791428"/>
          <w:trHeight w:val="20"/>
        </w:trPr>
        <w:tc>
          <w:tcPr>
            <w:tcW w:w="420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133"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133"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c>
          <w:tcPr>
            <w:tcW w:w="525"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
                <w:szCs w:val="2"/>
              </w:rPr>
              <w:t>​</w:t>
            </w:r>
          </w:p>
        </w:tc>
      </w:tr>
      <w:tr w:rsidR="00000000">
        <w:trPr>
          <w:divId w:val="1079791428"/>
        </w:trPr>
        <w:tc>
          <w:tcPr>
            <w:tcW w:w="420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133"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659"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June 30, </w:t>
            </w:r>
          </w:p>
        </w:tc>
      </w:tr>
      <w:tr w:rsidR="00000000">
        <w:trPr>
          <w:divId w:val="1079791428"/>
        </w:trPr>
        <w:tc>
          <w:tcPr>
            <w:tcW w:w="4206" w:type="pct"/>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u w:val="single"/>
              </w:rPr>
              <w:t>(In thousands)</w:t>
            </w:r>
          </w:p>
        </w:tc>
        <w:tc>
          <w:tcPr>
            <w:tcW w:w="133"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659"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r>
      <w:tr w:rsidR="00000000">
        <w:trPr>
          <w:divId w:val="1079791428"/>
        </w:trPr>
        <w:tc>
          <w:tcPr>
            <w:tcW w:w="420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9.5</w:t>
            </w:r>
            <w:r>
              <w:rPr>
                <w:sz w:val="20"/>
                <w:szCs w:val="20"/>
              </w:rPr>
              <w:t>% Non-Recourse 2035 Notes</w:t>
            </w:r>
          </w:p>
        </w:tc>
        <w:tc>
          <w:tcPr>
            <w:tcW w:w="133"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33"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5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r>
      <w:tr w:rsidR="00000000">
        <w:trPr>
          <w:divId w:val="1079791428"/>
        </w:trPr>
        <w:tc>
          <w:tcPr>
            <w:tcW w:w="420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Principal amoun</w:t>
            </w:r>
            <w:r>
              <w:rPr>
                <w:sz w:val="20"/>
                <w:szCs w:val="20"/>
              </w:rPr>
              <w:t>t</w:t>
            </w:r>
          </w:p>
        </w:tc>
        <w:tc>
          <w:tcPr>
            <w:tcW w:w="133"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33"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525"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401,150</w:t>
            </w:r>
          </w:p>
        </w:tc>
      </w:tr>
      <w:tr w:rsidR="00000000">
        <w:trPr>
          <w:divId w:val="1079791428"/>
        </w:trPr>
        <w:tc>
          <w:tcPr>
            <w:tcW w:w="420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Less:</w:t>
            </w:r>
            <w:r>
              <w:rPr>
                <w:sz w:val="20"/>
                <w:szCs w:val="20"/>
              </w:rPr>
              <w:t xml:space="preserve"> </w:t>
            </w:r>
            <w:r>
              <w:rPr>
                <w:sz w:val="20"/>
                <w:szCs w:val="20"/>
              </w:rPr>
              <w:t>5% retention by the Company</w:t>
            </w:r>
          </w:p>
        </w:tc>
        <w:tc>
          <w:tcPr>
            <w:tcW w:w="133"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33"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52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(20,057)</w:t>
            </w:r>
          </w:p>
        </w:tc>
      </w:tr>
      <w:tr w:rsidR="00000000">
        <w:trPr>
          <w:divId w:val="1079791428"/>
        </w:trPr>
        <w:tc>
          <w:tcPr>
            <w:tcW w:w="420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Unamortized debt issuance costs -</w:t>
            </w:r>
            <w:r>
              <w:rPr>
                <w:sz w:val="20"/>
                <w:szCs w:val="20"/>
              </w:rPr>
              <w:t xml:space="preserve"> </w:t>
            </w:r>
            <w:r>
              <w:rPr>
                <w:sz w:val="20"/>
                <w:szCs w:val="20"/>
              </w:rPr>
              <w:t>9.5% Non-Recourse 2035 Notes</w:t>
            </w:r>
          </w:p>
        </w:tc>
        <w:tc>
          <w:tcPr>
            <w:tcW w:w="133"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33"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525"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(4,124)</w:t>
            </w:r>
          </w:p>
        </w:tc>
      </w:tr>
      <w:tr w:rsidR="00000000">
        <w:trPr>
          <w:divId w:val="1079791428"/>
        </w:trPr>
        <w:tc>
          <w:tcPr>
            <w:tcW w:w="420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Unamortized debt issuance costs - Modified</w:t>
            </w:r>
            <w:r>
              <w:rPr>
                <w:sz w:val="20"/>
                <w:szCs w:val="20"/>
              </w:rPr>
              <w:t xml:space="preserve"> </w:t>
            </w:r>
            <w:r>
              <w:rPr>
                <w:sz w:val="20"/>
                <w:szCs w:val="20"/>
              </w:rPr>
              <w:t>9.0% Non-Recourse 2033 Notes</w:t>
            </w:r>
          </w:p>
        </w:tc>
        <w:tc>
          <w:tcPr>
            <w:tcW w:w="133"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(1,703)</w:t>
            </w:r>
          </w:p>
        </w:tc>
      </w:tr>
      <w:tr w:rsidR="00000000">
        <w:trPr>
          <w:divId w:val="1079791428"/>
        </w:trPr>
        <w:tc>
          <w:tcPr>
            <w:tcW w:w="4206" w:type="pct"/>
            <w:noWrap/>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20"/>
                <w:szCs w:val="20"/>
              </w:rPr>
            </w:pPr>
            <w:r>
              <w:rPr>
                <w:sz w:val="20"/>
                <w:szCs w:val="20"/>
              </w:rPr>
              <w:t>Total</w:t>
            </w:r>
          </w:p>
        </w:tc>
        <w:tc>
          <w:tcPr>
            <w:tcW w:w="133"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33"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525" w:type="pct"/>
            <w:tcBorders>
              <w:bottom w:val="doub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375,266</w:t>
            </w:r>
          </w:p>
        </w:tc>
      </w:tr>
    </w:tbl>
    <w:p w:rsidR="00000000" w:rsidRDefault="00C96329">
      <w:pPr>
        <w:pStyle w:val="a3"/>
        <w:spacing w:before="0" w:beforeAutospacing="0" w:after="0" w:afterAutospacing="0"/>
        <w:divId w:val="1079791428"/>
        <w:rPr>
          <w:sz w:val="20"/>
          <w:szCs w:val="20"/>
        </w:rPr>
      </w:pPr>
      <w:r>
        <w:rPr>
          <w:sz w:val="20"/>
          <w:szCs w:val="20"/>
        </w:rPr>
        <w:t>​</w:t>
      </w:r>
    </w:p>
    <w:p w:rsidR="00000000" w:rsidRDefault="00C96329">
      <w:pPr>
        <w:pStyle w:val="a3"/>
        <w:spacing w:before="0" w:beforeAutospacing="0" w:after="0" w:afterAutospacing="0"/>
        <w:ind w:firstLine="720"/>
        <w:divId w:val="1079791428"/>
        <w:rPr>
          <w:sz w:val="20"/>
          <w:szCs w:val="20"/>
        </w:rPr>
      </w:pPr>
      <w:r>
        <w:rPr>
          <w:sz w:val="20"/>
          <w:szCs w:val="20"/>
        </w:rPr>
        <w:t>As of June 30, 2020, the net principal and estimated fair value of the Non-Recourse 2035 Notes were both $381.1 million. The inputs to determine fair value of the Non-Recourse 2035 Notes are categorized as Level 2 inputs. Level 2 inputs include quoted pric</w:t>
      </w:r>
      <w:r>
        <w:rPr>
          <w:sz w:val="20"/>
          <w:szCs w:val="20"/>
        </w:rPr>
        <w:t>es for similar instruments in active markets; quoted prices for identical or similar instruments in markets that are not active; and model-derived valuations whose inputs are observable or whose significant value drivers are observable.</w:t>
      </w:r>
    </w:p>
    <w:p w:rsidR="00000000" w:rsidRDefault="00C96329">
      <w:pPr>
        <w:pStyle w:val="a3"/>
        <w:spacing w:before="360" w:beforeAutospacing="0" w:after="0" w:afterAutospacing="0"/>
        <w:jc w:val="center"/>
        <w:divId w:val="335429022"/>
        <w:rPr>
          <w:sz w:val="20"/>
          <w:szCs w:val="20"/>
        </w:rPr>
      </w:pPr>
      <w:r>
        <w:rPr>
          <w:sz w:val="20"/>
          <w:szCs w:val="20"/>
        </w:rPr>
        <w:t>16</w:t>
      </w:r>
    </w:p>
    <w:p w:rsidR="00000000" w:rsidRDefault="00C96329">
      <w:pPr>
        <w:pStyle w:val="a3"/>
        <w:spacing w:before="0" w:beforeAutospacing="0" w:after="600" w:afterAutospacing="0"/>
        <w:divId w:val="2134015605"/>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ind w:firstLine="720"/>
        <w:divId w:val="2136674121"/>
        <w:rPr>
          <w:sz w:val="20"/>
          <w:szCs w:val="20"/>
        </w:rPr>
      </w:pPr>
      <w:r>
        <w:rPr>
          <w:sz w:val="20"/>
          <w:szCs w:val="20"/>
        </w:rPr>
        <w:t>​</w:t>
      </w:r>
    </w:p>
    <w:p w:rsidR="00000000" w:rsidRDefault="00C96329">
      <w:pPr>
        <w:pStyle w:val="a3"/>
        <w:spacing w:before="0" w:beforeAutospacing="0" w:after="0" w:afterAutospacing="0"/>
        <w:divId w:val="2136674121"/>
        <w:rPr>
          <w:sz w:val="20"/>
          <w:szCs w:val="20"/>
        </w:rPr>
      </w:pPr>
      <w:r>
        <w:rPr>
          <w:b/>
          <w:bCs/>
          <w:i/>
          <w:iCs/>
          <w:color w:val="212529"/>
          <w:sz w:val="20"/>
          <w:szCs w:val="20"/>
          <w:shd w:val="clear" w:color="auto" w:fill="FFFFFF"/>
        </w:rPr>
        <w:t>9.0% Non-Recourse Notes Due 2033</w:t>
      </w:r>
    </w:p>
    <w:p w:rsidR="00000000" w:rsidRDefault="00C96329">
      <w:pPr>
        <w:pStyle w:val="a3"/>
        <w:spacing w:before="0" w:beforeAutospacing="0" w:after="0" w:afterAutospacing="0"/>
        <w:ind w:firstLine="720"/>
        <w:divId w:val="2136674121"/>
        <w:rPr>
          <w:sz w:val="20"/>
          <w:szCs w:val="20"/>
        </w:rPr>
      </w:pPr>
      <w:r>
        <w:rPr>
          <w:sz w:val="10"/>
          <w:szCs w:val="10"/>
        </w:rPr>
        <w:t>​</w:t>
      </w:r>
    </w:p>
    <w:p w:rsidR="00000000" w:rsidRDefault="00C96329">
      <w:pPr>
        <w:pStyle w:val="a3"/>
        <w:spacing w:before="0" w:beforeAutospacing="0" w:after="0" w:afterAutospacing="0"/>
        <w:ind w:firstLine="720"/>
        <w:divId w:val="2136674121"/>
        <w:rPr>
          <w:sz w:val="20"/>
          <w:szCs w:val="20"/>
        </w:rPr>
      </w:pPr>
      <w:r>
        <w:rPr>
          <w:sz w:val="20"/>
          <w:szCs w:val="20"/>
        </w:rPr>
        <w:t xml:space="preserve">In November 2018, the Company entered into note purchase agreements relating to the private placement of $250.0 million aggregate principal amount of 9.0% non-recourse notes, </w:t>
      </w:r>
      <w:r>
        <w:rPr>
          <w:sz w:val="20"/>
          <w:szCs w:val="20"/>
        </w:rPr>
        <w:t>due on or before 2033 (the “Non-Recourse 2033 Notes”) issued by the Company’s wholly-owned subsidiary, Triple Royalty Sub LLC (the “Issuer”). On February 28, 2020, the Company refinanced the Non-Recourse 2033 Notes by issuing the Non-Recourse 2035 Notes an</w:t>
      </w:r>
      <w:r>
        <w:rPr>
          <w:sz w:val="20"/>
          <w:szCs w:val="20"/>
        </w:rPr>
        <w:t>d a portion of those proceeds were used to repay, in full, the remaining outstanding balance of the Company’s Non-Recourse 2033 Notes. Pursuant to the terms of the Non-Recourse 2033 Notes, the Company paid a debt redemption premium of 5% of the outstanding</w:t>
      </w:r>
      <w:r>
        <w:rPr>
          <w:sz w:val="20"/>
          <w:szCs w:val="20"/>
        </w:rPr>
        <w:t xml:space="preserve"> principal as of the refinancing date.</w:t>
      </w:r>
    </w:p>
    <w:p w:rsidR="00000000" w:rsidRDefault="00C96329">
      <w:pPr>
        <w:pStyle w:val="a3"/>
        <w:spacing w:before="0" w:beforeAutospacing="0" w:after="0" w:afterAutospacing="0"/>
        <w:ind w:firstLine="720"/>
        <w:divId w:val="2136674121"/>
        <w:rPr>
          <w:sz w:val="20"/>
          <w:szCs w:val="20"/>
        </w:rPr>
      </w:pPr>
      <w:r>
        <w:rPr>
          <w:sz w:val="20"/>
          <w:szCs w:val="20"/>
        </w:rPr>
        <w:t>​</w:t>
      </w:r>
    </w:p>
    <w:p w:rsidR="00000000" w:rsidRDefault="00C96329">
      <w:pPr>
        <w:pStyle w:val="a3"/>
        <w:spacing w:before="0" w:beforeAutospacing="0" w:after="0" w:afterAutospacing="0"/>
        <w:ind w:firstLine="720"/>
        <w:divId w:val="2136674121"/>
        <w:rPr>
          <w:sz w:val="20"/>
          <w:szCs w:val="20"/>
        </w:rPr>
      </w:pPr>
      <w:r>
        <w:rPr>
          <w:sz w:val="20"/>
          <w:szCs w:val="20"/>
        </w:rPr>
        <w:t>The refinancing of the Non-Recourse 2033 Notes involved multiple lenders who were considered members of a loan syndicate. To determine whether the refinancing was to be accounted for as a debt extinguishment or modi</w:t>
      </w:r>
      <w:r>
        <w:rPr>
          <w:sz w:val="20"/>
          <w:szCs w:val="20"/>
        </w:rPr>
        <w:t>fication, the Company considered whether the lenders involved in the Non-Recourse 2033 Notes and the Non-Recourse 2035 Notes remained the same or changed and whether the change in debt terms was substantial. The debt terms are considered substantially diff</w:t>
      </w:r>
      <w:r>
        <w:rPr>
          <w:sz w:val="20"/>
          <w:szCs w:val="20"/>
        </w:rPr>
        <w:t>erent if the present value of the cash inflows and outflows of the Non-Recourse 2035 Notes, including all principal increases and lender fees on the refinancing date, was at least 10% different from the present value of the remaining cash inflows and outfl</w:t>
      </w:r>
      <w:r>
        <w:rPr>
          <w:sz w:val="20"/>
          <w:szCs w:val="20"/>
        </w:rPr>
        <w:t>ows of the Non-Recourse 2033 Notes (the “10% Test”). The Company performed the 10% Test for each individual lender participating in the loan syndication by assuming the exercise and non-exercise of the prepayment option. The cash flow assumption generating</w:t>
      </w:r>
      <w:r>
        <w:rPr>
          <w:sz w:val="20"/>
          <w:szCs w:val="20"/>
        </w:rPr>
        <w:t xml:space="preserve"> the smaller change was used as the basis for determining whether the 10% threshold was met. For existing lenders who participated in the Non-Recourse 2035 Notes as part of the new loan syndicate, the refinancing was accounted for as an extinguishment or a</w:t>
      </w:r>
      <w:r>
        <w:rPr>
          <w:sz w:val="20"/>
          <w:szCs w:val="20"/>
        </w:rPr>
        <w:t xml:space="preserve"> modification depending upon whether the change in the cash flows was more or less than 10%, respectively. The lenders from the Non-Recourse 2033 Note offering who did not participate in the Non-Recourse 2035 Notes were accounted for as a debt extinguishme</w:t>
      </w:r>
      <w:r>
        <w:rPr>
          <w:sz w:val="20"/>
          <w:szCs w:val="20"/>
        </w:rPr>
        <w:t>nt.</w:t>
      </w:r>
    </w:p>
    <w:p w:rsidR="00000000" w:rsidRDefault="00C96329">
      <w:pPr>
        <w:pStyle w:val="a3"/>
        <w:spacing w:before="0" w:beforeAutospacing="0" w:after="0" w:afterAutospacing="0"/>
        <w:ind w:firstLine="720"/>
        <w:divId w:val="2136674121"/>
        <w:rPr>
          <w:sz w:val="20"/>
          <w:szCs w:val="20"/>
        </w:rPr>
      </w:pPr>
      <w:r>
        <w:rPr>
          <w:sz w:val="20"/>
          <w:szCs w:val="20"/>
        </w:rPr>
        <w:t>​</w:t>
      </w:r>
    </w:p>
    <w:p w:rsidR="00000000" w:rsidRDefault="00C96329">
      <w:pPr>
        <w:pStyle w:val="a3"/>
        <w:spacing w:before="0" w:beforeAutospacing="0" w:after="0" w:afterAutospacing="0"/>
        <w:ind w:firstLine="720"/>
        <w:divId w:val="2136674121"/>
        <w:rPr>
          <w:sz w:val="20"/>
          <w:szCs w:val="20"/>
        </w:rPr>
      </w:pPr>
      <w:r>
        <w:rPr>
          <w:sz w:val="20"/>
          <w:szCs w:val="20"/>
        </w:rPr>
        <w:t xml:space="preserve">For debt determined to be extinguished, the total unamortized deferred financing costs and the associated redemption premium of $15.5 million were expensed as “Loss on extinguishment of debt” within the condensed consolidated financial statements of </w:t>
      </w:r>
      <w:r>
        <w:rPr>
          <w:sz w:val="20"/>
          <w:szCs w:val="20"/>
        </w:rPr>
        <w:t>operations for the six months ended June 30, 2020. In addition, $0.3 million of new third-party costs were expensed, and $4.4 million of new creditor fees were capitalized as debt discount. For debt determined to be modified, the related unamortized deferr</w:t>
      </w:r>
      <w:r>
        <w:rPr>
          <w:sz w:val="20"/>
          <w:szCs w:val="20"/>
        </w:rPr>
        <w:t>ed financing costs of $1.8 million, as of February 28, 2020, continue to be amortized, and $0.5 million of new creditor fees were expensed for the six months ended June 30, 2020.</w:t>
      </w:r>
    </w:p>
    <w:p w:rsidR="00000000" w:rsidRDefault="00C96329">
      <w:pPr>
        <w:pStyle w:val="a3"/>
        <w:spacing w:before="0" w:beforeAutospacing="0" w:after="0" w:afterAutospacing="0"/>
        <w:divId w:val="2136674121"/>
        <w:rPr>
          <w:sz w:val="20"/>
          <w:szCs w:val="20"/>
        </w:rPr>
      </w:pPr>
      <w:r>
        <w:rPr>
          <w:sz w:val="20"/>
          <w:szCs w:val="20"/>
        </w:rPr>
        <w:t>​</w:t>
      </w:r>
    </w:p>
    <w:p w:rsidR="00000000" w:rsidRDefault="00C96329">
      <w:pPr>
        <w:pStyle w:val="a3"/>
        <w:spacing w:before="0" w:beforeAutospacing="0" w:after="120" w:afterAutospacing="0"/>
        <w:divId w:val="2136674121"/>
        <w:rPr>
          <w:sz w:val="20"/>
          <w:szCs w:val="20"/>
        </w:rPr>
      </w:pPr>
      <w:r>
        <w:rPr>
          <w:b/>
          <w:bCs/>
          <w:i/>
          <w:iCs/>
          <w:sz w:val="20"/>
          <w:szCs w:val="20"/>
        </w:rPr>
        <w:t>3.25% Convertible Senior Notes Due 2023</w:t>
      </w:r>
    </w:p>
    <w:p w:rsidR="00000000" w:rsidRDefault="00C96329">
      <w:pPr>
        <w:pStyle w:val="a3"/>
        <w:spacing w:before="0" w:beforeAutospacing="0" w:after="0" w:afterAutospacing="0"/>
        <w:ind w:firstLine="720"/>
        <w:divId w:val="2136674121"/>
        <w:rPr>
          <w:sz w:val="20"/>
          <w:szCs w:val="20"/>
        </w:rPr>
      </w:pPr>
      <w:r>
        <w:rPr>
          <w:sz w:val="20"/>
          <w:szCs w:val="20"/>
        </w:rPr>
        <w:t>The Company has $230.0 million of 3</w:t>
      </w:r>
      <w:r>
        <w:rPr>
          <w:sz w:val="20"/>
          <w:szCs w:val="20"/>
        </w:rPr>
        <w:t>.25% convertible senior notes due in 2023 (“Convertible Senior 2023 Notes”) outstanding as of June 30, 2020 with an estimated fair value of $218.4 million. The estimated fair value was primarily based upon the underlying price of Theravance Biopharma’s pub</w:t>
      </w:r>
      <w:r>
        <w:rPr>
          <w:sz w:val="20"/>
          <w:szCs w:val="20"/>
        </w:rPr>
        <w:t xml:space="preserve">licly traded shares and other observable inputs as of June 30, 2020. The inputs to determine fair value of the Convertible Senior 2023 Notes are categorized as Level 2 inputs. Level 2 inputs include quoted prices for similar instruments in active markets; </w:t>
      </w:r>
      <w:r>
        <w:rPr>
          <w:sz w:val="20"/>
          <w:szCs w:val="20"/>
        </w:rPr>
        <w:t>quoted prices for identical or similar instruments in markets that are not active; and model-derived valuations whose inputs are observable or whose significant value drivers are observable.</w:t>
      </w:r>
    </w:p>
    <w:p w:rsidR="00000000" w:rsidRDefault="00C96329">
      <w:pPr>
        <w:pStyle w:val="a3"/>
        <w:spacing w:before="0" w:beforeAutospacing="0" w:after="0" w:afterAutospacing="0"/>
        <w:ind w:firstLine="720"/>
        <w:divId w:val="2136674121"/>
        <w:rPr>
          <w:sz w:val="20"/>
          <w:szCs w:val="20"/>
        </w:rPr>
      </w:pPr>
      <w:r>
        <w:rPr>
          <w:sz w:val="20"/>
          <w:szCs w:val="20"/>
        </w:rPr>
        <w:t>​</w:t>
      </w:r>
    </w:p>
    <w:p w:rsidR="00000000" w:rsidRDefault="00C96329">
      <w:pPr>
        <w:pStyle w:val="a3"/>
        <w:spacing w:before="0" w:beforeAutospacing="0" w:after="0" w:afterAutospacing="0"/>
        <w:divId w:val="2136674121"/>
        <w:rPr>
          <w:sz w:val="20"/>
          <w:szCs w:val="20"/>
        </w:rPr>
      </w:pPr>
      <w:r>
        <w:rPr>
          <w:b/>
          <w:bCs/>
          <w:sz w:val="20"/>
          <w:szCs w:val="20"/>
        </w:rPr>
        <w:t xml:space="preserve">7. Theravance Respiratory Company, LLC </w:t>
      </w:r>
    </w:p>
    <w:p w:rsidR="00000000" w:rsidRDefault="00C96329">
      <w:pPr>
        <w:pStyle w:val="a3"/>
        <w:spacing w:before="0" w:beforeAutospacing="0" w:after="0" w:afterAutospacing="0"/>
        <w:divId w:val="2136674121"/>
        <w:rPr>
          <w:sz w:val="20"/>
          <w:szCs w:val="20"/>
        </w:rPr>
      </w:pPr>
      <w:r>
        <w:rPr>
          <w:sz w:val="10"/>
          <w:szCs w:val="10"/>
        </w:rPr>
        <w:t>​</w:t>
      </w:r>
    </w:p>
    <w:p w:rsidR="00000000" w:rsidRDefault="00C96329">
      <w:pPr>
        <w:pStyle w:val="a3"/>
        <w:spacing w:before="0" w:beforeAutospacing="0" w:after="0" w:afterAutospacing="0"/>
        <w:ind w:firstLine="720"/>
        <w:divId w:val="2136674121"/>
        <w:rPr>
          <w:sz w:val="20"/>
          <w:szCs w:val="20"/>
        </w:rPr>
      </w:pPr>
      <w:r>
        <w:rPr>
          <w:sz w:val="20"/>
          <w:szCs w:val="20"/>
        </w:rPr>
        <w:t>Through the Company’s</w:t>
      </w:r>
      <w:r>
        <w:rPr>
          <w:sz w:val="20"/>
          <w:szCs w:val="20"/>
        </w:rPr>
        <w:t xml:space="preserve"> 85% equity interest in TRC, the Company is entitled to receive an 85% economic interest in any future payments made by GSK under the strategic alliance agreement and under the portion of the collaboration agreement assigned to TRC (net of TRC expenses pai</w:t>
      </w:r>
      <w:r>
        <w:rPr>
          <w:sz w:val="20"/>
          <w:szCs w:val="20"/>
        </w:rPr>
        <w:t xml:space="preserve">d and the amount of cash, if any, expected to be used by TRC pursuant to the TRC LLC Agreement over the next four fiscal quarters). The drug programs assigned to TRC include </w:t>
      </w:r>
      <w:r>
        <w:rPr>
          <w:caps/>
          <w:sz w:val="20"/>
          <w:szCs w:val="20"/>
        </w:rPr>
        <w:t xml:space="preserve">Trelegy </w:t>
      </w:r>
      <w:r>
        <w:rPr>
          <w:sz w:val="20"/>
          <w:szCs w:val="20"/>
        </w:rPr>
        <w:t xml:space="preserve">and the inhaled Bifunctional Muscarinic Antagonist-Beta2 Agonist (“MABA”) </w:t>
      </w:r>
      <w:r>
        <w:rPr>
          <w:sz w:val="20"/>
          <w:szCs w:val="20"/>
        </w:rPr>
        <w:t>program, as monotherapy and in combination with other therapeutically active components, such as an inhaled corticosteroid (“ICS”), and any other product or combination of products that may be discovered and developed in the future under the GSK agreements</w:t>
      </w:r>
      <w:r>
        <w:rPr>
          <w:sz w:val="20"/>
          <w:szCs w:val="20"/>
        </w:rPr>
        <w:t xml:space="preserve">. </w:t>
      </w:r>
    </w:p>
    <w:p w:rsidR="00000000" w:rsidRDefault="00C96329">
      <w:pPr>
        <w:pStyle w:val="a3"/>
        <w:spacing w:before="0" w:beforeAutospacing="0" w:after="0" w:afterAutospacing="0"/>
        <w:divId w:val="2136674121"/>
        <w:rPr>
          <w:sz w:val="20"/>
          <w:szCs w:val="20"/>
        </w:rPr>
      </w:pPr>
      <w:r>
        <w:rPr>
          <w:sz w:val="20"/>
          <w:szCs w:val="20"/>
        </w:rPr>
        <w:t>​</w:t>
      </w:r>
    </w:p>
    <w:p w:rsidR="00000000" w:rsidRDefault="00C96329">
      <w:pPr>
        <w:pStyle w:val="a3"/>
        <w:spacing w:before="0" w:beforeAutospacing="0" w:after="0" w:afterAutospacing="0"/>
        <w:ind w:firstLine="720"/>
        <w:divId w:val="2136674121"/>
        <w:rPr>
          <w:sz w:val="20"/>
          <w:szCs w:val="20"/>
        </w:rPr>
      </w:pPr>
      <w:r>
        <w:rPr>
          <w:sz w:val="20"/>
          <w:szCs w:val="20"/>
        </w:rPr>
        <w:t>In May 2014, the Company entered into the TRC LLC Agreement with Innoviva, Inc. (“Innoviva”) that governs the operation of TRC. Under the TRC LLC Agreement, Innoviva is the manager of TRC, and the business and affairs of TRC are managed exclusively by</w:t>
      </w:r>
      <w:r>
        <w:rPr>
          <w:sz w:val="20"/>
          <w:szCs w:val="20"/>
        </w:rPr>
        <w:t xml:space="preserve"> the manager, including (i) day to day management of the drug programs in accordance with the existing GSK agreements; (ii) preparing an annual operating plan for TRC; and (iii) taking all actions necessary to ensure that </w:t>
      </w:r>
    </w:p>
    <w:p w:rsidR="00000000" w:rsidRDefault="00C96329">
      <w:pPr>
        <w:pStyle w:val="a3"/>
        <w:spacing w:before="360" w:beforeAutospacing="0" w:after="0" w:afterAutospacing="0"/>
        <w:jc w:val="center"/>
        <w:divId w:val="1644576260"/>
        <w:rPr>
          <w:sz w:val="20"/>
          <w:szCs w:val="20"/>
        </w:rPr>
      </w:pPr>
      <w:r>
        <w:rPr>
          <w:sz w:val="20"/>
          <w:szCs w:val="20"/>
        </w:rPr>
        <w:t>17</w:t>
      </w:r>
    </w:p>
    <w:p w:rsidR="00000000" w:rsidRDefault="00C96329">
      <w:pPr>
        <w:pStyle w:val="a3"/>
        <w:spacing w:before="0" w:beforeAutospacing="0" w:after="600" w:afterAutospacing="0"/>
        <w:divId w:val="1971131138"/>
        <w:rPr>
          <w:sz w:val="20"/>
          <w:szCs w:val="20"/>
        </w:rPr>
      </w:pPr>
      <w:hyperlink w:anchor="TOC" w:history="1">
        <w:r>
          <w:rPr>
            <w:rStyle w:val="a4"/>
            <w:sz w:val="20"/>
            <w:szCs w:val="20"/>
          </w:rPr>
          <w:t>Tabl</w:t>
        </w:r>
        <w:r>
          <w:rPr>
            <w:rStyle w:val="a4"/>
            <w:sz w:val="20"/>
            <w:szCs w:val="20"/>
          </w:rPr>
          <w:t>e of Contents</w:t>
        </w:r>
      </w:hyperlink>
    </w:p>
    <w:p w:rsidR="00000000" w:rsidRDefault="00C96329">
      <w:pPr>
        <w:pStyle w:val="a3"/>
        <w:spacing w:before="0" w:beforeAutospacing="0" w:after="0" w:afterAutospacing="0"/>
        <w:divId w:val="1128667282"/>
        <w:rPr>
          <w:sz w:val="20"/>
          <w:szCs w:val="20"/>
        </w:rPr>
      </w:pPr>
      <w:r>
        <w:rPr>
          <w:sz w:val="20"/>
          <w:szCs w:val="20"/>
        </w:rPr>
        <w:t>the formation, structure and operation of TRC complies with applicable law and partner agreements. The Company is responsible for its proportionate share of TRC’s administrative expenses incurred, and communicated to the Company, by Innoviva.</w:t>
      </w:r>
    </w:p>
    <w:p w:rsidR="00000000" w:rsidRDefault="00C96329">
      <w:pPr>
        <w:pStyle w:val="a3"/>
        <w:spacing w:before="0" w:beforeAutospacing="0" w:after="0" w:afterAutospacing="0"/>
        <w:divId w:val="1128667282"/>
        <w:rPr>
          <w:sz w:val="20"/>
          <w:szCs w:val="20"/>
        </w:rPr>
      </w:pPr>
      <w:r>
        <w:rPr>
          <w:sz w:val="20"/>
          <w:szCs w:val="20"/>
        </w:rPr>
        <w:t>​</w:t>
      </w:r>
    </w:p>
    <w:p w:rsidR="00000000" w:rsidRDefault="00C96329">
      <w:pPr>
        <w:pStyle w:val="a3"/>
        <w:spacing w:before="0" w:beforeAutospacing="0" w:after="0" w:afterAutospacing="0"/>
        <w:ind w:firstLine="720"/>
        <w:divId w:val="1128667282"/>
        <w:rPr>
          <w:sz w:val="20"/>
          <w:szCs w:val="20"/>
        </w:rPr>
      </w:pPr>
      <w:r>
        <w:rPr>
          <w:sz w:val="20"/>
          <w:szCs w:val="20"/>
        </w:rPr>
        <w:t>The Company analyzed its ownership, contractual and other interests in TRC to determine if it is a variable-interest entity (“VIE”</w:t>
      </w:r>
      <w:r>
        <w:rPr>
          <w:sz w:val="20"/>
          <w:szCs w:val="20"/>
        </w:rPr>
        <w:t>), whether the Company has a variable interest in TRC and the nature and extent of that interest. The Company determined that TRC is a VIE. The party with the controlling financial interest, the primary beneficiary, is required to consolidate the entity de</w:t>
      </w:r>
      <w:r>
        <w:rPr>
          <w:sz w:val="20"/>
          <w:szCs w:val="20"/>
        </w:rPr>
        <w:t>termined to be a VIE. Therefore, the Company also assessed whether it is the primary beneficiary of TRC based on the power to direct TRC’s activities that most significantly impact TRC’s economic performance and its obligation to absorb TRC’s losses or the</w:t>
      </w:r>
      <w:r>
        <w:rPr>
          <w:sz w:val="20"/>
          <w:szCs w:val="20"/>
        </w:rPr>
        <w:t xml:space="preserve"> right to receive benefits from TRC that could potentially be significant to TRC. Based on the Company’s assessment, the Company determined that it is not the primary beneficiary of TRC, and, as a result, the Company does not consolidate TRC in its condens</w:t>
      </w:r>
      <w:r>
        <w:rPr>
          <w:sz w:val="20"/>
          <w:szCs w:val="20"/>
        </w:rPr>
        <w:t>ed consolidated financial statements. TRC is recognized in the Company’s condensed consolidated financial statements under the equity method of accounting, and the value of the Company’s equity investment in TRC was $35.5 million and $28.6 million as of Ju</w:t>
      </w:r>
      <w:r>
        <w:rPr>
          <w:sz w:val="20"/>
          <w:szCs w:val="20"/>
        </w:rPr>
        <w:t>ne 30, 2020 and December 31, 2019, respectively. This amount includes undistributed earnings from the Company’s investment in TRC which are recorded on the condensed consolidated balance sheets as “Amounts due from TRC, LLC” and are net of the Company’s pr</w:t>
      </w:r>
      <w:r>
        <w:rPr>
          <w:sz w:val="20"/>
          <w:szCs w:val="20"/>
        </w:rPr>
        <w:t>oportionate share of TRC’s administrative expenses incurred, and communicated to the Company, by Innoviva. Pursuant to the TRC operating agreement, the cash from the TRELEGY royalties, net of any expenses, is</w:t>
      </w:r>
      <w:r>
        <w:rPr>
          <w:color w:val="FF0000"/>
          <w:sz w:val="20"/>
          <w:szCs w:val="20"/>
        </w:rPr>
        <w:t xml:space="preserve"> </w:t>
      </w:r>
      <w:r>
        <w:rPr>
          <w:sz w:val="20"/>
          <w:szCs w:val="20"/>
        </w:rPr>
        <w:t xml:space="preserve">distributed to the equity holders quarterly. </w:t>
      </w:r>
    </w:p>
    <w:p w:rsidR="00000000" w:rsidRDefault="00C96329">
      <w:pPr>
        <w:pStyle w:val="a3"/>
        <w:spacing w:before="0" w:beforeAutospacing="0" w:after="0" w:afterAutospacing="0"/>
        <w:ind w:firstLine="720"/>
        <w:divId w:val="1128667282"/>
        <w:rPr>
          <w:sz w:val="20"/>
          <w:szCs w:val="20"/>
        </w:rPr>
      </w:pPr>
      <w:r>
        <w:rPr>
          <w:sz w:val="20"/>
          <w:szCs w:val="20"/>
        </w:rPr>
        <w:t>​</w:t>
      </w:r>
    </w:p>
    <w:p w:rsidR="00000000" w:rsidRDefault="00C96329">
      <w:pPr>
        <w:pStyle w:val="a3"/>
        <w:spacing w:before="0" w:beforeAutospacing="0" w:after="0" w:afterAutospacing="0"/>
        <w:ind w:firstLine="720"/>
        <w:divId w:val="1128667282"/>
        <w:rPr>
          <w:sz w:val="20"/>
          <w:szCs w:val="20"/>
        </w:rPr>
      </w:pPr>
      <w:r>
        <w:rPr>
          <w:sz w:val="20"/>
          <w:szCs w:val="20"/>
        </w:rPr>
        <w:t>For the three and six months ended June 30, 2020, the Company recognized net royalty income of $21.4 million and $34.9 million, respectively, within the condensed consolidated statements of operations within “Income from investment in TRC, LLC”. These amo</w:t>
      </w:r>
      <w:r>
        <w:rPr>
          <w:sz w:val="20"/>
          <w:szCs w:val="20"/>
        </w:rPr>
        <w:t xml:space="preserve">unts were recorded net of the Company’s share of TRC’s expenses of $0.4 million and $0.6 million for the three and six months ended June 30, 2020, respectively. For the three and six months ended June 30, 2019, the Company recognized net royalty income of </w:t>
      </w:r>
      <w:r>
        <w:rPr>
          <w:sz w:val="20"/>
          <w:szCs w:val="20"/>
        </w:rPr>
        <w:t>$8.4 million and $14.6 million, respectively, after the deducting the Company’s share of minimal TRC expenses.</w:t>
      </w:r>
    </w:p>
    <w:p w:rsidR="00000000" w:rsidRDefault="00C96329">
      <w:pPr>
        <w:pStyle w:val="a3"/>
        <w:spacing w:before="0" w:beforeAutospacing="0" w:after="0" w:afterAutospacing="0"/>
        <w:ind w:firstLine="720"/>
        <w:divId w:val="1128667282"/>
        <w:rPr>
          <w:sz w:val="20"/>
          <w:szCs w:val="20"/>
        </w:rPr>
      </w:pPr>
      <w:r>
        <w:rPr>
          <w:sz w:val="20"/>
          <w:szCs w:val="20"/>
        </w:rPr>
        <w:t>​</w:t>
      </w:r>
    </w:p>
    <w:p w:rsidR="00000000" w:rsidRDefault="00C96329">
      <w:pPr>
        <w:pStyle w:val="a3"/>
        <w:spacing w:before="0" w:beforeAutospacing="0" w:after="0" w:afterAutospacing="0"/>
        <w:ind w:firstLine="720"/>
        <w:divId w:val="1128667282"/>
        <w:rPr>
          <w:sz w:val="20"/>
          <w:szCs w:val="20"/>
        </w:rPr>
      </w:pPr>
      <w:r>
        <w:rPr>
          <w:sz w:val="20"/>
          <w:szCs w:val="20"/>
        </w:rPr>
        <w:t>On June 10, 2020, the Company disclosed in a Form 8-K its objections to TRC and Innoviva, as the manager of TRC, regarding TRC’s proposed use o</w:t>
      </w:r>
      <w:r>
        <w:rPr>
          <w:sz w:val="20"/>
          <w:szCs w:val="20"/>
        </w:rPr>
        <w:t>f funds to invest in certain privately-held companies. The Company has objected to the withholding of funds by TRC for these and similar investments. On July 16, 2020, Innoviva and TRC filed a complaint in Delaware Chancery Court seeking an order establish</w:t>
      </w:r>
      <w:r>
        <w:rPr>
          <w:sz w:val="20"/>
          <w:szCs w:val="20"/>
        </w:rPr>
        <w:t>ing that the arbitration award from the parties’ 2019 dispute conclusively established that (a) Innoviva possesses the authority as manager of TRC to cause TRC to make such investments and (b) Innoviva possesses the authority as manager of TRC to cause TRC</w:t>
      </w:r>
      <w:r>
        <w:rPr>
          <w:sz w:val="20"/>
          <w:szCs w:val="20"/>
        </w:rPr>
        <w:t xml:space="preserve"> to reserve cash to make such investments. The Court directed the parties to refer certain relevant questions raised by the complaint to the arbitrator in the 2019 dispute between the parties, who in turn determined that the 2019 proceedings did not resolv</w:t>
      </w:r>
      <w:r>
        <w:rPr>
          <w:sz w:val="20"/>
          <w:szCs w:val="20"/>
        </w:rPr>
        <w:t>e the issues currently in dispute. On August 5, 2020, Innoviva and TRC voluntarily dismissed the complaint, without prejudice. The Company is pursuing and intends to continue to pursue the protection of the interests of the Company in this matter consisten</w:t>
      </w:r>
      <w:r>
        <w:rPr>
          <w:sz w:val="20"/>
          <w:szCs w:val="20"/>
        </w:rPr>
        <w:t>t with the dispute resolution procedures of the TRC LLC Agreement, including, if necessary, the initiation of a new arbitration proceeding.</w:t>
      </w:r>
    </w:p>
    <w:p w:rsidR="00000000" w:rsidRDefault="00C96329">
      <w:pPr>
        <w:pStyle w:val="a3"/>
        <w:spacing w:before="0" w:beforeAutospacing="0" w:after="0" w:afterAutospacing="0"/>
        <w:ind w:firstLine="720"/>
        <w:divId w:val="1128667282"/>
        <w:rPr>
          <w:sz w:val="20"/>
          <w:szCs w:val="20"/>
        </w:rPr>
      </w:pPr>
      <w:r>
        <w:rPr>
          <w:sz w:val="20"/>
          <w:szCs w:val="20"/>
        </w:rPr>
        <w:t>​</w:t>
      </w:r>
    </w:p>
    <w:p w:rsidR="00000000" w:rsidRDefault="00C96329">
      <w:pPr>
        <w:pStyle w:val="a3"/>
        <w:spacing w:before="0" w:beforeAutospacing="0" w:after="0" w:afterAutospacing="0"/>
        <w:divId w:val="1128667282"/>
        <w:rPr>
          <w:sz w:val="20"/>
          <w:szCs w:val="20"/>
        </w:rPr>
      </w:pPr>
      <w:r>
        <w:rPr>
          <w:b/>
          <w:bCs/>
          <w:sz w:val="20"/>
          <w:szCs w:val="20"/>
        </w:rPr>
        <w:t>8</w:t>
      </w:r>
      <w:r>
        <w:rPr>
          <w:b/>
          <w:bCs/>
          <w:i/>
          <w:iCs/>
          <w:sz w:val="20"/>
          <w:szCs w:val="20"/>
        </w:rPr>
        <w:t xml:space="preserve">. </w:t>
      </w:r>
      <w:r>
        <w:rPr>
          <w:b/>
          <w:bCs/>
          <w:sz w:val="20"/>
          <w:szCs w:val="20"/>
        </w:rPr>
        <w:t>Share-Based Compensation</w:t>
      </w:r>
    </w:p>
    <w:p w:rsidR="00000000" w:rsidRDefault="00C96329">
      <w:pPr>
        <w:pStyle w:val="a3"/>
        <w:spacing w:before="0" w:beforeAutospacing="0" w:after="0" w:afterAutospacing="0"/>
        <w:divId w:val="1128667282"/>
        <w:rPr>
          <w:sz w:val="20"/>
          <w:szCs w:val="20"/>
        </w:rPr>
      </w:pPr>
      <w:r>
        <w:rPr>
          <w:sz w:val="10"/>
          <w:szCs w:val="10"/>
        </w:rPr>
        <w:t>​</w:t>
      </w:r>
    </w:p>
    <w:p w:rsidR="00000000" w:rsidRDefault="00C96329">
      <w:pPr>
        <w:pStyle w:val="a3"/>
        <w:spacing w:before="0" w:beforeAutospacing="0" w:after="0" w:afterAutospacing="0"/>
        <w:divId w:val="1128667282"/>
        <w:rPr>
          <w:sz w:val="20"/>
          <w:szCs w:val="20"/>
        </w:rPr>
      </w:pPr>
      <w:r>
        <w:rPr>
          <w:b/>
          <w:bCs/>
          <w:i/>
          <w:iCs/>
          <w:sz w:val="20"/>
          <w:szCs w:val="20"/>
        </w:rPr>
        <w:t>Share-Based Compensation Expense Allocation</w:t>
      </w:r>
    </w:p>
    <w:p w:rsidR="00000000" w:rsidRDefault="00C96329">
      <w:pPr>
        <w:pStyle w:val="a3"/>
        <w:spacing w:before="0" w:beforeAutospacing="0" w:after="0" w:afterAutospacing="0"/>
        <w:ind w:firstLine="720"/>
        <w:divId w:val="1128667282"/>
        <w:rPr>
          <w:sz w:val="20"/>
          <w:szCs w:val="20"/>
        </w:rPr>
      </w:pPr>
      <w:r>
        <w:rPr>
          <w:sz w:val="10"/>
          <w:szCs w:val="10"/>
        </w:rPr>
        <w:t>​</w:t>
      </w:r>
    </w:p>
    <w:p w:rsidR="00000000" w:rsidRDefault="00C96329">
      <w:pPr>
        <w:pStyle w:val="a3"/>
        <w:spacing w:before="0" w:beforeAutospacing="0" w:after="0" w:afterAutospacing="0"/>
        <w:ind w:firstLine="720"/>
        <w:divId w:val="1128667282"/>
        <w:rPr>
          <w:sz w:val="20"/>
          <w:szCs w:val="20"/>
        </w:rPr>
      </w:pPr>
      <w:r>
        <w:rPr>
          <w:sz w:val="20"/>
          <w:szCs w:val="20"/>
        </w:rPr>
        <w:t>The allocation of share-based compensa</w:t>
      </w:r>
      <w:r>
        <w:rPr>
          <w:sz w:val="20"/>
          <w:szCs w:val="20"/>
        </w:rPr>
        <w:t>tion expense included in the condensed consolidated statements of operations was as follows:</w:t>
      </w:r>
    </w:p>
    <w:p w:rsidR="00000000" w:rsidRDefault="00C96329">
      <w:pPr>
        <w:pStyle w:val="a3"/>
        <w:spacing w:before="0" w:beforeAutospacing="0" w:after="0" w:afterAutospacing="0"/>
        <w:ind w:firstLine="720"/>
        <w:divId w:val="112866728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21"/>
        <w:gridCol w:w="160"/>
        <w:gridCol w:w="194"/>
        <w:gridCol w:w="763"/>
        <w:gridCol w:w="193"/>
        <w:gridCol w:w="193"/>
        <w:gridCol w:w="764"/>
        <w:gridCol w:w="6"/>
        <w:gridCol w:w="176"/>
        <w:gridCol w:w="694"/>
        <w:gridCol w:w="176"/>
        <w:gridCol w:w="175"/>
        <w:gridCol w:w="691"/>
      </w:tblGrid>
      <w:tr w:rsidR="00000000">
        <w:trPr>
          <w:divId w:val="1128667282"/>
          <w:trHeight w:val="20"/>
        </w:trPr>
        <w:tc>
          <w:tcPr>
            <w:tcW w:w="2840" w:type="pct"/>
            <w:tcMar>
              <w:top w:w="0" w:type="dxa"/>
              <w:left w:w="0" w:type="dxa"/>
              <w:bottom w:w="0" w:type="dxa"/>
              <w:right w:w="0" w:type="dxa"/>
            </w:tcMar>
            <w:vAlign w:val="bottom"/>
            <w:hideMark/>
          </w:tcPr>
          <w:p w:rsidR="00000000" w:rsidRDefault="00C96329">
            <w:pPr>
              <w:pStyle w:val="a3"/>
              <w:spacing w:before="0" w:beforeAutospacing="0" w:after="0" w:afterAutospacing="0"/>
              <w:divId w:val="120968825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8573720"/>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973826803"/>
              <w:rPr>
                <w:sz w:val="20"/>
                <w:szCs w:val="20"/>
              </w:rPr>
            </w:pPr>
            <w:r>
              <w:rPr>
                <w:sz w:val="2"/>
                <w:szCs w:val="2"/>
              </w:rPr>
              <w:t>​</w:t>
            </w:r>
          </w:p>
        </w:tc>
        <w:tc>
          <w:tcPr>
            <w:tcW w:w="377"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1506096070"/>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553156766"/>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88075"/>
              <w:rPr>
                <w:sz w:val="20"/>
                <w:szCs w:val="20"/>
              </w:rPr>
            </w:pPr>
            <w:r>
              <w:rPr>
                <w:sz w:val="2"/>
                <w:szCs w:val="2"/>
              </w:rPr>
              <w:t>​</w:t>
            </w:r>
          </w:p>
        </w:tc>
        <w:tc>
          <w:tcPr>
            <w:tcW w:w="377"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185128905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881744672"/>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360665960"/>
              <w:rPr>
                <w:sz w:val="20"/>
                <w:szCs w:val="20"/>
              </w:rPr>
            </w:pPr>
            <w:r>
              <w:rPr>
                <w:sz w:val="2"/>
                <w:szCs w:val="2"/>
              </w:rPr>
              <w:t>​</w:t>
            </w:r>
          </w:p>
        </w:tc>
        <w:tc>
          <w:tcPr>
            <w:tcW w:w="343"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589587187"/>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104111634"/>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140537371"/>
              <w:rPr>
                <w:sz w:val="20"/>
                <w:szCs w:val="20"/>
              </w:rPr>
            </w:pPr>
            <w:r>
              <w:rPr>
                <w:sz w:val="2"/>
                <w:szCs w:val="2"/>
              </w:rPr>
              <w:t>​</w:t>
            </w:r>
          </w:p>
        </w:tc>
        <w:tc>
          <w:tcPr>
            <w:tcW w:w="342" w:type="pct"/>
            <w:noWrap/>
            <w:tcMar>
              <w:top w:w="0" w:type="dxa"/>
              <w:left w:w="0" w:type="dxa"/>
              <w:bottom w:w="0" w:type="dxa"/>
              <w:right w:w="0" w:type="dxa"/>
            </w:tcMar>
            <w:vAlign w:val="center"/>
            <w:hideMark/>
          </w:tcPr>
          <w:p w:rsidR="00000000" w:rsidRDefault="00C96329">
            <w:pPr>
              <w:pStyle w:val="a3"/>
              <w:spacing w:before="0" w:beforeAutospacing="0" w:after="0" w:afterAutospacing="0"/>
              <w:divId w:val="2132622975"/>
              <w:rPr>
                <w:sz w:val="20"/>
                <w:szCs w:val="20"/>
              </w:rPr>
            </w:pPr>
            <w:r>
              <w:rPr>
                <w:sz w:val="2"/>
                <w:szCs w:val="2"/>
              </w:rPr>
              <w:t>​</w:t>
            </w:r>
          </w:p>
        </w:tc>
      </w:tr>
      <w:tr w:rsidR="00000000">
        <w:trPr>
          <w:divId w:val="1128667282"/>
        </w:trPr>
        <w:tc>
          <w:tcPr>
            <w:tcW w:w="284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1045"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Three Months Ended June 30, </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48"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Six Months Ended June 30, </w:t>
            </w:r>
          </w:p>
        </w:tc>
      </w:tr>
      <w:tr w:rsidR="00000000">
        <w:trPr>
          <w:divId w:val="1128667282"/>
        </w:trPr>
        <w:tc>
          <w:tcPr>
            <w:tcW w:w="2840"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(In thousands)</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74"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73"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31"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430"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r>
      <w:tr w:rsidR="00000000">
        <w:trPr>
          <w:divId w:val="1128667282"/>
        </w:trPr>
        <w:tc>
          <w:tcPr>
            <w:tcW w:w="2840"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 xml:space="preserve">Research and development </w:t>
            </w:r>
          </w:p>
        </w:tc>
        <w:tc>
          <w:tcPr>
            <w:tcW w:w="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8,098</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5,720</w:t>
            </w:r>
          </w:p>
        </w:tc>
        <w:tc>
          <w:tcPr>
            <w:tcW w:w="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3"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15,963</w:t>
            </w:r>
          </w:p>
        </w:tc>
        <w:tc>
          <w:tcPr>
            <w:tcW w:w="8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2" w:type="pct"/>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11,880</w:t>
            </w:r>
          </w:p>
        </w:tc>
      </w:tr>
      <w:tr w:rsidR="00000000">
        <w:trPr>
          <w:divId w:val="1128667282"/>
        </w:trPr>
        <w:tc>
          <w:tcPr>
            <w:tcW w:w="284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 xml:space="preserve">Selling, general and administrative </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77"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8,487</w:t>
            </w:r>
          </w:p>
        </w:tc>
        <w:tc>
          <w:tcPr>
            <w:tcW w:w="96"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77"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5,578</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43"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15,898</w:t>
            </w:r>
          </w:p>
        </w:tc>
        <w:tc>
          <w:tcPr>
            <w:tcW w:w="8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42" w:type="pct"/>
            <w:tcBorders>
              <w:bottom w:val="single" w:sz="6" w:space="0" w:color="000000"/>
            </w:tcBorders>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11,639</w:t>
            </w:r>
          </w:p>
        </w:tc>
      </w:tr>
      <w:tr w:rsidR="00000000">
        <w:trPr>
          <w:divId w:val="1128667282"/>
        </w:trPr>
        <w:tc>
          <w:tcPr>
            <w:tcW w:w="2840"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240"/>
              <w:rPr>
                <w:sz w:val="20"/>
                <w:szCs w:val="20"/>
              </w:rPr>
            </w:pPr>
            <w:r>
              <w:rPr>
                <w:sz w:val="20"/>
                <w:szCs w:val="20"/>
              </w:rPr>
              <w:t xml:space="preserve">Total share-based compensation expense </w:t>
            </w:r>
          </w:p>
        </w:tc>
        <w:tc>
          <w:tcPr>
            <w:tcW w:w="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16,585</w:t>
            </w:r>
          </w:p>
        </w:tc>
        <w:tc>
          <w:tcPr>
            <w:tcW w:w="9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77"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11,298</w:t>
            </w:r>
          </w:p>
        </w:tc>
        <w:tc>
          <w:tcPr>
            <w:tcW w:w="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3"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31,861</w:t>
            </w:r>
          </w:p>
        </w:tc>
        <w:tc>
          <w:tcPr>
            <w:tcW w:w="8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42"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C96329">
            <w:pPr>
              <w:pStyle w:val="a3"/>
              <w:spacing w:before="0" w:beforeAutospacing="0" w:after="0" w:afterAutospacing="0"/>
              <w:ind w:right="70"/>
              <w:jc w:val="right"/>
              <w:rPr>
                <w:sz w:val="20"/>
                <w:szCs w:val="20"/>
              </w:rPr>
            </w:pPr>
            <w:r>
              <w:rPr>
                <w:sz w:val="20"/>
                <w:szCs w:val="20"/>
              </w:rPr>
              <w:t>23,519</w:t>
            </w:r>
          </w:p>
        </w:tc>
      </w:tr>
    </w:tbl>
    <w:p w:rsidR="00000000" w:rsidRDefault="00C96329">
      <w:pPr>
        <w:pStyle w:val="a3"/>
        <w:spacing w:before="0" w:beforeAutospacing="0" w:after="0" w:afterAutospacing="0"/>
        <w:divId w:val="1128667282"/>
        <w:rPr>
          <w:sz w:val="20"/>
          <w:szCs w:val="20"/>
        </w:rPr>
      </w:pPr>
      <w:r>
        <w:rPr>
          <w:sz w:val="2"/>
          <w:szCs w:val="2"/>
        </w:rPr>
        <w:t>​</w:t>
      </w:r>
    </w:p>
    <w:p w:rsidR="00000000" w:rsidRDefault="00C96329">
      <w:pPr>
        <w:pStyle w:val="a3"/>
        <w:spacing w:before="240" w:beforeAutospacing="0" w:after="120" w:afterAutospacing="0"/>
        <w:divId w:val="1128667282"/>
        <w:rPr>
          <w:sz w:val="20"/>
          <w:szCs w:val="20"/>
        </w:rPr>
      </w:pPr>
      <w:r>
        <w:rPr>
          <w:b/>
          <w:bCs/>
          <w:i/>
          <w:iCs/>
          <w:sz w:val="20"/>
          <w:szCs w:val="20"/>
        </w:rPr>
        <w:t>Performance-Contingent Awards</w:t>
      </w:r>
    </w:p>
    <w:p w:rsidR="00000000" w:rsidRDefault="00C96329">
      <w:pPr>
        <w:pStyle w:val="a3"/>
        <w:spacing w:before="0" w:beforeAutospacing="0" w:after="0" w:afterAutospacing="0"/>
        <w:ind w:firstLine="720"/>
        <w:divId w:val="1128667282"/>
        <w:rPr>
          <w:sz w:val="20"/>
          <w:szCs w:val="20"/>
        </w:rPr>
      </w:pPr>
      <w:r>
        <w:rPr>
          <w:sz w:val="20"/>
          <w:szCs w:val="20"/>
        </w:rPr>
        <w:t>In 2016, the Compensation Committee of the Company’s board of directors (“Compensation Committee”) approved the grant of 1,575,000 performance-contingent restricted share awards (“RSAs”) and 135,000 performance-contingent rest</w:t>
      </w:r>
      <w:r>
        <w:rPr>
          <w:sz w:val="20"/>
          <w:szCs w:val="20"/>
        </w:rPr>
        <w:t xml:space="preserve">ricted share units (“RSUs”) to senior management. The vesting of such awards is dependent on the Company meeting its </w:t>
      </w:r>
    </w:p>
    <w:p w:rsidR="00000000" w:rsidRDefault="00C96329">
      <w:pPr>
        <w:pStyle w:val="a3"/>
        <w:spacing w:before="360" w:beforeAutospacing="0" w:after="0" w:afterAutospacing="0"/>
        <w:jc w:val="center"/>
        <w:divId w:val="614023346"/>
        <w:rPr>
          <w:sz w:val="20"/>
          <w:szCs w:val="20"/>
        </w:rPr>
      </w:pPr>
      <w:r>
        <w:rPr>
          <w:sz w:val="20"/>
          <w:szCs w:val="20"/>
        </w:rPr>
        <w:t>18</w:t>
      </w:r>
    </w:p>
    <w:p w:rsidR="00000000" w:rsidRDefault="00C96329">
      <w:pPr>
        <w:pStyle w:val="a3"/>
        <w:spacing w:before="0" w:beforeAutospacing="0" w:after="600" w:afterAutospacing="0"/>
        <w:divId w:val="1023287261"/>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2134015632"/>
        <w:rPr>
          <w:sz w:val="20"/>
          <w:szCs w:val="20"/>
        </w:rPr>
      </w:pPr>
      <w:r>
        <w:rPr>
          <w:sz w:val="20"/>
          <w:szCs w:val="20"/>
        </w:rPr>
        <w:t>critical operating goals and objectives during the</w:t>
      </w:r>
      <w:r>
        <w:rPr>
          <w:sz w:val="20"/>
          <w:szCs w:val="20"/>
        </w:rPr>
        <w:t xml:space="preserve"> </w:t>
      </w:r>
      <w:r>
        <w:rPr>
          <w:sz w:val="20"/>
          <w:szCs w:val="20"/>
        </w:rPr>
        <w:t>five-yea</w:t>
      </w:r>
      <w:r>
        <w:rPr>
          <w:sz w:val="20"/>
          <w:szCs w:val="20"/>
        </w:rPr>
        <w:t>r</w:t>
      </w:r>
      <w:r>
        <w:rPr>
          <w:sz w:val="20"/>
          <w:szCs w:val="20"/>
        </w:rPr>
        <w:t xml:space="preserve"> period from 2016 to December 3</w:t>
      </w:r>
      <w:r>
        <w:rPr>
          <w:sz w:val="20"/>
          <w:szCs w:val="20"/>
        </w:rPr>
        <w:t>1, 2020, as well as, continued employment. The goals that must be met in order for the performance-contingent RSAs and RSUs to vest are strategically important for the Company, and the Compensation Committee believes the goals should increase shareholder v</w:t>
      </w:r>
      <w:r>
        <w:rPr>
          <w:sz w:val="20"/>
          <w:szCs w:val="20"/>
        </w:rPr>
        <w:t>alue. The awards have dual triggers of vesting based upon the achievement of these goals and continued employment.</w:t>
      </w:r>
      <w:r>
        <w:rPr>
          <w:sz w:val="20"/>
          <w:szCs w:val="20"/>
        </w:rPr>
        <w:t xml:space="preserve"> </w:t>
      </w:r>
    </w:p>
    <w:p w:rsidR="00000000" w:rsidRDefault="00C96329">
      <w:pPr>
        <w:pStyle w:val="a3"/>
        <w:spacing w:before="0" w:beforeAutospacing="0" w:after="0" w:afterAutospacing="0"/>
        <w:ind w:firstLine="720"/>
        <w:divId w:val="2134015632"/>
        <w:rPr>
          <w:sz w:val="20"/>
          <w:szCs w:val="20"/>
        </w:rPr>
      </w:pPr>
      <w:r>
        <w:rPr>
          <w:sz w:val="20"/>
          <w:szCs w:val="20"/>
        </w:rPr>
        <w:t>​</w:t>
      </w:r>
    </w:p>
    <w:p w:rsidR="00000000" w:rsidRDefault="00C96329">
      <w:pPr>
        <w:pStyle w:val="a3"/>
        <w:spacing w:before="0" w:beforeAutospacing="0" w:after="0" w:afterAutospacing="0"/>
        <w:ind w:firstLine="720"/>
        <w:divId w:val="2134015632"/>
        <w:rPr>
          <w:sz w:val="20"/>
          <w:szCs w:val="20"/>
        </w:rPr>
      </w:pPr>
      <w:r>
        <w:rPr>
          <w:sz w:val="20"/>
          <w:szCs w:val="20"/>
        </w:rPr>
        <w:t>Expense associated with these awards may be recognized during the years 2016 to 2020 depending on the probability of meeting certain performance conditions. Compensation expense relating to awards subject to performance conditions is recognized if it is co</w:t>
      </w:r>
      <w:r>
        <w:rPr>
          <w:sz w:val="20"/>
          <w:szCs w:val="20"/>
        </w:rPr>
        <w:t>nsidered probable that the performance goals will be achieved. The probability of achievement is reassessed at each quarter-end reporting period. Previously recognized expense is reversed in the period in which it becomes probable that the requisite servic</w:t>
      </w:r>
      <w:r>
        <w:rPr>
          <w:sz w:val="20"/>
          <w:szCs w:val="20"/>
        </w:rPr>
        <w:t>e period will not be rendered. The awards are broken into three separate tranches.</w:t>
      </w:r>
    </w:p>
    <w:p w:rsidR="00000000" w:rsidRDefault="00C96329">
      <w:pPr>
        <w:pStyle w:val="a3"/>
        <w:spacing w:before="0" w:beforeAutospacing="0" w:after="0" w:afterAutospacing="0"/>
        <w:ind w:firstLine="720"/>
        <w:divId w:val="2134015632"/>
        <w:rPr>
          <w:sz w:val="20"/>
          <w:szCs w:val="20"/>
        </w:rPr>
      </w:pPr>
      <w:r>
        <w:rPr>
          <w:color w:val="FF0000"/>
          <w:sz w:val="20"/>
          <w:szCs w:val="20"/>
        </w:rPr>
        <w:t>​</w:t>
      </w:r>
    </w:p>
    <w:p w:rsidR="00000000" w:rsidRDefault="00C96329">
      <w:pPr>
        <w:pStyle w:val="a3"/>
        <w:spacing w:before="0" w:beforeAutospacing="0" w:after="0" w:afterAutospacing="0"/>
        <w:ind w:firstLine="720"/>
        <w:divId w:val="2134015632"/>
        <w:rPr>
          <w:sz w:val="20"/>
          <w:szCs w:val="20"/>
        </w:rPr>
      </w:pPr>
      <w:r>
        <w:rPr>
          <w:sz w:val="20"/>
          <w:szCs w:val="20"/>
        </w:rPr>
        <w:t>As of June 30, 2020, there were 414,000 of these performance-contingent RSAs and 54,000 of these performance-contingent RSUs outstanding, and as of June 30, 2019, there we</w:t>
      </w:r>
      <w:r>
        <w:rPr>
          <w:sz w:val="20"/>
          <w:szCs w:val="20"/>
        </w:rPr>
        <w:t>re 877,500 of these performance-contingent RSAs and 101,250 of these performance-contingent RSUs outstanding. The performance conditions associated with the first tranche of these awards were completed in the second quarter of 2018, and the expense associa</w:t>
      </w:r>
      <w:r>
        <w:rPr>
          <w:sz w:val="20"/>
          <w:szCs w:val="20"/>
        </w:rPr>
        <w:t>ted with the first tranche was fully recognized in 2018.</w:t>
      </w:r>
    </w:p>
    <w:p w:rsidR="00000000" w:rsidRDefault="00C96329">
      <w:pPr>
        <w:pStyle w:val="a3"/>
        <w:spacing w:before="0" w:beforeAutospacing="0" w:after="0" w:afterAutospacing="0"/>
        <w:ind w:firstLine="720"/>
        <w:divId w:val="2134015632"/>
        <w:rPr>
          <w:sz w:val="20"/>
          <w:szCs w:val="20"/>
        </w:rPr>
      </w:pPr>
      <w:r>
        <w:rPr>
          <w:color w:val="FF0000"/>
          <w:sz w:val="20"/>
          <w:szCs w:val="20"/>
        </w:rPr>
        <w:t>​</w:t>
      </w:r>
    </w:p>
    <w:p w:rsidR="00000000" w:rsidRDefault="00C96329">
      <w:pPr>
        <w:pStyle w:val="a3"/>
        <w:spacing w:before="0" w:beforeAutospacing="0" w:after="0" w:afterAutospacing="0"/>
        <w:ind w:firstLine="720"/>
        <w:divId w:val="2134015632"/>
        <w:rPr>
          <w:sz w:val="20"/>
          <w:szCs w:val="20"/>
        </w:rPr>
      </w:pPr>
      <w:r>
        <w:rPr>
          <w:sz w:val="20"/>
          <w:szCs w:val="20"/>
        </w:rPr>
        <w:t xml:space="preserve">The performance conditions associated with the second tranche of these awards were completed in the first quarter of 2019, and as of March 31, 2020, the expense associated with this second tranche </w:t>
      </w:r>
      <w:r>
        <w:rPr>
          <w:sz w:val="20"/>
          <w:szCs w:val="20"/>
        </w:rPr>
        <w:t>was fully recognized. For the six months ended June 30, 2020, the Company recognized $0.4 million of share-based compensation expense related to the second tranche of these awards. For three and six months ended June 30, 2019, the Company recognized ($0.3)</w:t>
      </w:r>
      <w:r>
        <w:rPr>
          <w:sz w:val="20"/>
          <w:szCs w:val="20"/>
        </w:rPr>
        <w:t xml:space="preserve"> million and $0.5 million, respectively, of share-based compensation expense related to the second tranche of these awards.</w:t>
      </w:r>
    </w:p>
    <w:p w:rsidR="00000000" w:rsidRDefault="00C96329">
      <w:pPr>
        <w:pStyle w:val="a3"/>
        <w:spacing w:before="0" w:beforeAutospacing="0" w:after="0" w:afterAutospacing="0"/>
        <w:ind w:firstLine="720"/>
        <w:divId w:val="2134015632"/>
        <w:rPr>
          <w:sz w:val="20"/>
          <w:szCs w:val="20"/>
        </w:rPr>
      </w:pPr>
      <w:r>
        <w:rPr>
          <w:sz w:val="20"/>
          <w:szCs w:val="20"/>
        </w:rPr>
        <w:t>​</w:t>
      </w:r>
    </w:p>
    <w:p w:rsidR="00000000" w:rsidRDefault="00C96329">
      <w:pPr>
        <w:pStyle w:val="a3"/>
        <w:spacing w:before="0" w:beforeAutospacing="0" w:after="0" w:afterAutospacing="0"/>
        <w:ind w:firstLine="720"/>
        <w:divId w:val="2134015632"/>
        <w:rPr>
          <w:sz w:val="20"/>
          <w:szCs w:val="20"/>
        </w:rPr>
      </w:pPr>
      <w:r>
        <w:rPr>
          <w:sz w:val="20"/>
          <w:szCs w:val="20"/>
        </w:rPr>
        <w:t>In the first quarter of 2020, the performance conditions associated with the remaining third tranche were completed and, as a resu</w:t>
      </w:r>
      <w:r>
        <w:rPr>
          <w:sz w:val="20"/>
          <w:szCs w:val="20"/>
        </w:rPr>
        <w:t>lt, the Company recognized $0.6 million and $1.3 million of share-based compensation expense related to these awards for the three and six months ended June 30, 2020, respectively. As of June 30, 2020, the maximum remaining expense associated with the thir</w:t>
      </w:r>
      <w:r>
        <w:rPr>
          <w:sz w:val="20"/>
          <w:szCs w:val="20"/>
        </w:rPr>
        <w:t>d tranche is $1.7 million (allocated as $0.6 million for research and development expense and $1.1 million for selling, general and administrative expense) and will be amortized through the first quarter of 2021.</w:t>
      </w:r>
    </w:p>
    <w:p w:rsidR="00000000" w:rsidRDefault="00C96329">
      <w:pPr>
        <w:pStyle w:val="a3"/>
        <w:spacing w:before="0" w:beforeAutospacing="0" w:after="0" w:afterAutospacing="0"/>
        <w:ind w:firstLine="720"/>
        <w:divId w:val="2134015632"/>
        <w:rPr>
          <w:sz w:val="20"/>
          <w:szCs w:val="20"/>
        </w:rPr>
      </w:pPr>
      <w:r>
        <w:rPr>
          <w:sz w:val="20"/>
          <w:szCs w:val="20"/>
        </w:rPr>
        <w:t>​</w:t>
      </w:r>
    </w:p>
    <w:p w:rsidR="00000000" w:rsidRDefault="00C96329">
      <w:pPr>
        <w:pStyle w:val="a3"/>
        <w:spacing w:before="0" w:beforeAutospacing="0" w:after="0" w:afterAutospacing="0"/>
        <w:ind w:firstLine="720"/>
        <w:divId w:val="2134015632"/>
        <w:rPr>
          <w:sz w:val="20"/>
          <w:szCs w:val="20"/>
        </w:rPr>
      </w:pPr>
      <w:r>
        <w:rPr>
          <w:sz w:val="20"/>
          <w:szCs w:val="20"/>
        </w:rPr>
        <w:t xml:space="preserve">Separate from the performance-contingent </w:t>
      </w:r>
      <w:r>
        <w:rPr>
          <w:sz w:val="20"/>
          <w:szCs w:val="20"/>
        </w:rPr>
        <w:t>awards described above, the Company periodically grants performance-contingent RSUs to individual employees. For the three and six months ended June 30, 2020, the Company recognized $0.5</w:t>
      </w:r>
      <w:r>
        <w:rPr>
          <w:b/>
          <w:bCs/>
          <w:sz w:val="20"/>
          <w:szCs w:val="20"/>
        </w:rPr>
        <w:t xml:space="preserve"> </w:t>
      </w:r>
      <w:r>
        <w:rPr>
          <w:sz w:val="20"/>
          <w:szCs w:val="20"/>
        </w:rPr>
        <w:t xml:space="preserve">million and $0.7 </w:t>
      </w:r>
      <w:r>
        <w:rPr>
          <w:sz w:val="20"/>
          <w:szCs w:val="20"/>
        </w:rPr>
        <w:t>million, respectively, of share-based compensation expense related to such awards. As of June 30, 2020, there were 120,000 shares of these performance-contingent RSUs outstanding that have a maximum remaining share-based compensation expense of $1.8 millio</w:t>
      </w:r>
      <w:r>
        <w:rPr>
          <w:sz w:val="20"/>
          <w:szCs w:val="20"/>
        </w:rPr>
        <w:t>n with performance expiration dates ranging from December 2020 to June 2022.</w:t>
      </w:r>
    </w:p>
    <w:p w:rsidR="00000000" w:rsidRDefault="00C96329">
      <w:pPr>
        <w:pStyle w:val="a3"/>
        <w:spacing w:before="0" w:beforeAutospacing="0" w:after="0" w:afterAutospacing="0"/>
        <w:ind w:firstLine="720"/>
        <w:divId w:val="2134015632"/>
        <w:rPr>
          <w:sz w:val="20"/>
          <w:szCs w:val="20"/>
        </w:rPr>
      </w:pPr>
      <w:r>
        <w:rPr>
          <w:sz w:val="20"/>
          <w:szCs w:val="20"/>
        </w:rPr>
        <w:t>​</w:t>
      </w:r>
    </w:p>
    <w:p w:rsidR="00000000" w:rsidRDefault="00C96329">
      <w:pPr>
        <w:pStyle w:val="a3"/>
        <w:spacing w:before="0" w:beforeAutospacing="0" w:after="0" w:afterAutospacing="0"/>
        <w:divId w:val="2134015632"/>
        <w:rPr>
          <w:sz w:val="20"/>
          <w:szCs w:val="20"/>
        </w:rPr>
      </w:pPr>
      <w:r>
        <w:rPr>
          <w:b/>
          <w:bCs/>
          <w:sz w:val="20"/>
          <w:szCs w:val="20"/>
        </w:rPr>
        <w:t xml:space="preserve">9. Income Taxes </w:t>
      </w:r>
    </w:p>
    <w:p w:rsidR="00000000" w:rsidRDefault="00C96329">
      <w:pPr>
        <w:pStyle w:val="a3"/>
        <w:spacing w:before="0" w:beforeAutospacing="0" w:after="0" w:afterAutospacing="0"/>
        <w:divId w:val="2134015632"/>
        <w:rPr>
          <w:sz w:val="20"/>
          <w:szCs w:val="20"/>
        </w:rPr>
      </w:pPr>
      <w:r>
        <w:rPr>
          <w:sz w:val="10"/>
          <w:szCs w:val="10"/>
        </w:rPr>
        <w:t>​</w:t>
      </w:r>
    </w:p>
    <w:p w:rsidR="00000000" w:rsidRDefault="00C96329">
      <w:pPr>
        <w:pStyle w:val="a3"/>
        <w:spacing w:before="0" w:beforeAutospacing="0" w:after="0" w:afterAutospacing="0"/>
        <w:ind w:firstLine="720"/>
        <w:divId w:val="2134015632"/>
        <w:rPr>
          <w:sz w:val="20"/>
          <w:szCs w:val="20"/>
        </w:rPr>
      </w:pPr>
      <w:r>
        <w:rPr>
          <w:sz w:val="20"/>
          <w:szCs w:val="20"/>
        </w:rPr>
        <w:t>The income tax expense was $39,000 and $186,000 for the three and six months ended June 30, 2020, respectively. The expense was primarily attributed to record</w:t>
      </w:r>
      <w:r>
        <w:rPr>
          <w:sz w:val="20"/>
          <w:szCs w:val="20"/>
        </w:rPr>
        <w:t>ing contingent liabilities for uncertain tax positions taken with respect to transfer pricing and tax credits. No provision for income taxes has been recognized on undistributed earnings of the Company’s foreign subsidiaries because it considers such earni</w:t>
      </w:r>
      <w:r>
        <w:rPr>
          <w:sz w:val="20"/>
          <w:szCs w:val="20"/>
        </w:rPr>
        <w:t xml:space="preserve">ngs to be indefinitely reinvested. </w:t>
      </w:r>
    </w:p>
    <w:p w:rsidR="00000000" w:rsidRDefault="00C96329">
      <w:pPr>
        <w:pStyle w:val="a3"/>
        <w:spacing w:before="0" w:beforeAutospacing="0" w:after="0" w:afterAutospacing="0"/>
        <w:divId w:val="2134015632"/>
        <w:rPr>
          <w:sz w:val="20"/>
          <w:szCs w:val="20"/>
        </w:rPr>
      </w:pPr>
      <w:r>
        <w:rPr>
          <w:sz w:val="20"/>
          <w:szCs w:val="20"/>
        </w:rPr>
        <w:t>​</w:t>
      </w:r>
    </w:p>
    <w:p w:rsidR="00000000" w:rsidRDefault="00C96329">
      <w:pPr>
        <w:pStyle w:val="a3"/>
        <w:spacing w:before="0" w:beforeAutospacing="0" w:after="0" w:afterAutospacing="0"/>
        <w:ind w:firstLine="720"/>
        <w:divId w:val="2134015632"/>
        <w:rPr>
          <w:sz w:val="20"/>
          <w:szCs w:val="20"/>
        </w:rPr>
      </w:pPr>
      <w:r>
        <w:rPr>
          <w:sz w:val="20"/>
          <w:szCs w:val="20"/>
        </w:rPr>
        <w:t>The Company follows the accounting guidance related to accounting for income taxes which requires that a company reduce its deferred tax assets by a valuation allowance if, based on the weight of available evidence, it</w:t>
      </w:r>
      <w:r>
        <w:rPr>
          <w:sz w:val="20"/>
          <w:szCs w:val="20"/>
        </w:rPr>
        <w:t xml:space="preserve"> is more likely than not that some portion or all of its deferred tax assets will not be realized. As of June 30, 2020, the Company’s deferred tax assets were offset in full by a valuation allowance.</w:t>
      </w:r>
    </w:p>
    <w:p w:rsidR="00000000" w:rsidRDefault="00C96329">
      <w:pPr>
        <w:pStyle w:val="a3"/>
        <w:spacing w:before="0" w:beforeAutospacing="0" w:after="0" w:afterAutospacing="0"/>
        <w:ind w:firstLine="720"/>
        <w:divId w:val="2134015632"/>
        <w:rPr>
          <w:sz w:val="20"/>
          <w:szCs w:val="20"/>
        </w:rPr>
      </w:pPr>
      <w:r>
        <w:rPr>
          <w:sz w:val="20"/>
          <w:szCs w:val="20"/>
        </w:rPr>
        <w:t>​</w:t>
      </w:r>
    </w:p>
    <w:p w:rsidR="00000000" w:rsidRDefault="00C96329">
      <w:pPr>
        <w:pStyle w:val="a3"/>
        <w:spacing w:before="0" w:beforeAutospacing="0" w:after="0" w:afterAutospacing="0"/>
        <w:ind w:firstLine="720"/>
        <w:divId w:val="2134015632"/>
        <w:rPr>
          <w:sz w:val="20"/>
          <w:szCs w:val="20"/>
        </w:rPr>
      </w:pPr>
      <w:r>
        <w:rPr>
          <w:sz w:val="20"/>
          <w:szCs w:val="20"/>
        </w:rPr>
        <w:t>The Company records liabilities related to uncertain t</w:t>
      </w:r>
      <w:r>
        <w:rPr>
          <w:sz w:val="20"/>
          <w:szCs w:val="20"/>
        </w:rPr>
        <w:t>ax positions in accordance with the income tax guidance which clarifies the accounting for uncertainty in income taxes recognized in an enterprise’s financial statements by prescribing a minimum recognition threshold and measurement attribute for the finan</w:t>
      </w:r>
      <w:r>
        <w:rPr>
          <w:sz w:val="20"/>
          <w:szCs w:val="20"/>
        </w:rPr>
        <w:t>cial statement recognition and measurement of a tax position taken or expected to be taken in a tax return. Resolution of one or more of these uncertain tax positions in any period may have a material impact on the results of operations for that period. Th</w:t>
      </w:r>
      <w:r>
        <w:rPr>
          <w:sz w:val="20"/>
          <w:szCs w:val="20"/>
        </w:rPr>
        <w:t>e Company includes any applicable interest and penalties within the provision for income taxes in the condensed consolidated statements of operations</w:t>
      </w:r>
      <w:r>
        <w:rPr>
          <w:sz w:val="20"/>
          <w:szCs w:val="20"/>
        </w:rPr>
        <w:t>.</w:t>
      </w:r>
    </w:p>
    <w:p w:rsidR="00000000" w:rsidRDefault="00C96329">
      <w:pPr>
        <w:pStyle w:val="a3"/>
        <w:spacing w:before="360" w:beforeAutospacing="0" w:after="0" w:afterAutospacing="0"/>
        <w:jc w:val="center"/>
        <w:divId w:val="432433210"/>
        <w:rPr>
          <w:sz w:val="20"/>
          <w:szCs w:val="20"/>
        </w:rPr>
      </w:pPr>
      <w:r>
        <w:rPr>
          <w:sz w:val="20"/>
          <w:szCs w:val="20"/>
        </w:rPr>
        <w:t>19</w:t>
      </w:r>
    </w:p>
    <w:p w:rsidR="00000000" w:rsidRDefault="00C96329">
      <w:pPr>
        <w:pStyle w:val="a3"/>
        <w:spacing w:before="0" w:beforeAutospacing="0" w:after="600" w:afterAutospacing="0"/>
        <w:divId w:val="1798452860"/>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ind w:firstLine="720"/>
        <w:divId w:val="1124160193"/>
        <w:rPr>
          <w:sz w:val="20"/>
          <w:szCs w:val="20"/>
        </w:rPr>
      </w:pPr>
      <w:r>
        <w:rPr>
          <w:sz w:val="20"/>
          <w:szCs w:val="20"/>
        </w:rPr>
        <w:t>​</w:t>
      </w:r>
    </w:p>
    <w:p w:rsidR="00000000" w:rsidRDefault="00C96329">
      <w:pPr>
        <w:pStyle w:val="a3"/>
        <w:spacing w:before="0" w:beforeAutospacing="0" w:after="0" w:afterAutospacing="0"/>
        <w:ind w:firstLine="720"/>
        <w:divId w:val="1124160193"/>
        <w:rPr>
          <w:sz w:val="20"/>
          <w:szCs w:val="20"/>
        </w:rPr>
      </w:pPr>
      <w:r>
        <w:rPr>
          <w:sz w:val="20"/>
          <w:szCs w:val="20"/>
        </w:rPr>
        <w:t xml:space="preserve">The Company is currently under Internal Revenue Service </w:t>
      </w:r>
      <w:r>
        <w:rPr>
          <w:sz w:val="20"/>
          <w:szCs w:val="20"/>
        </w:rPr>
        <w:t>(“IRS”) examination for the tax year ended December 31, 2017. The Company believes that an adequate provision has been made for any adjustments that may result from the tax examination.</w:t>
      </w:r>
    </w:p>
    <w:p w:rsidR="00000000" w:rsidRDefault="00C96329">
      <w:pPr>
        <w:pStyle w:val="a3"/>
        <w:spacing w:before="0" w:beforeAutospacing="0" w:after="0" w:afterAutospacing="0"/>
        <w:ind w:firstLine="720"/>
        <w:divId w:val="1124160193"/>
        <w:rPr>
          <w:sz w:val="20"/>
          <w:szCs w:val="20"/>
        </w:rPr>
      </w:pPr>
      <w:r>
        <w:rPr>
          <w:sz w:val="20"/>
          <w:szCs w:val="20"/>
        </w:rPr>
        <w:t>​</w:t>
      </w:r>
    </w:p>
    <w:p w:rsidR="00000000" w:rsidRDefault="00C96329">
      <w:pPr>
        <w:pStyle w:val="a3"/>
        <w:spacing w:before="0" w:beforeAutospacing="0" w:after="0" w:afterAutospacing="0"/>
        <w:ind w:firstLine="720"/>
        <w:divId w:val="1124160193"/>
        <w:rPr>
          <w:sz w:val="20"/>
          <w:szCs w:val="20"/>
        </w:rPr>
      </w:pPr>
      <w:r>
        <w:rPr>
          <w:sz w:val="20"/>
          <w:szCs w:val="20"/>
        </w:rPr>
        <w:t>On March 27, 2020, the </w:t>
      </w:r>
      <w:r>
        <w:rPr>
          <w:i/>
          <w:iCs/>
          <w:sz w:val="20"/>
          <w:szCs w:val="20"/>
        </w:rPr>
        <w:t>Coronavirus Aid, Relief, and Economic Securit</w:t>
      </w:r>
      <w:r>
        <w:rPr>
          <w:i/>
          <w:iCs/>
          <w:sz w:val="20"/>
          <w:szCs w:val="20"/>
        </w:rPr>
        <w:t>y Act</w:t>
      </w:r>
      <w:r>
        <w:rPr>
          <w:sz w:val="20"/>
          <w:szCs w:val="20"/>
        </w:rPr>
        <w:t xml:space="preserve"> (the “CARES Act”), that features significant tax provision and other measures to assist individuals and businesses impacted by the economic effects of the COVID-19 pandemic, was signed into law. Tax relief measures for businesses include a five-year </w:t>
      </w:r>
      <w:r>
        <w:rPr>
          <w:sz w:val="20"/>
          <w:szCs w:val="20"/>
        </w:rPr>
        <w:t>net operating loss carryback (including a related technical correction to the 2017 Tax Reform Act), a change in Section 163(j) interest deduction limitations, accelerated alternative minimum tax refunds, payroll tax relief, a temporary suspension of certai</w:t>
      </w:r>
      <w:r>
        <w:rPr>
          <w:sz w:val="20"/>
          <w:szCs w:val="20"/>
        </w:rPr>
        <w:t>n aviation excise taxes, a tax credit for employers who retain employees, and a ‘qualified improvement property’ technical correction to the 2017 Tax Reform Act. The Company has considered the corporate income tax provisions of the CARES Act and related in</w:t>
      </w:r>
      <w:r>
        <w:rPr>
          <w:sz w:val="20"/>
          <w:szCs w:val="20"/>
        </w:rPr>
        <w:t>itial guidance as part of its income tax expense forecast for the three and six months ended June 30, 2020, and these provisions are expected to have an immaterial impact on the Company’s 2020 income tax expense.</w:t>
      </w:r>
      <w:r>
        <w:rPr>
          <w:b/>
          <w:bCs/>
          <w:sz w:val="20"/>
          <w:szCs w:val="20"/>
        </w:rPr>
        <w:t xml:space="preserve"> </w:t>
      </w:r>
    </w:p>
    <w:p w:rsidR="00000000" w:rsidRDefault="00C96329">
      <w:pPr>
        <w:pStyle w:val="a3"/>
        <w:spacing w:before="0" w:beforeAutospacing="0" w:after="0" w:afterAutospacing="0"/>
        <w:divId w:val="1124160193"/>
        <w:rPr>
          <w:sz w:val="20"/>
          <w:szCs w:val="20"/>
        </w:rPr>
      </w:pPr>
      <w:r>
        <w:rPr>
          <w:sz w:val="20"/>
          <w:szCs w:val="20"/>
        </w:rPr>
        <w:t>​</w:t>
      </w:r>
    </w:p>
    <w:p w:rsidR="00000000" w:rsidRDefault="00C96329">
      <w:pPr>
        <w:pStyle w:val="a3"/>
        <w:spacing w:before="0" w:beforeAutospacing="0" w:after="0" w:afterAutospacing="0"/>
        <w:ind w:firstLine="720"/>
        <w:divId w:val="1124160193"/>
        <w:rPr>
          <w:sz w:val="20"/>
          <w:szCs w:val="20"/>
        </w:rPr>
      </w:pPr>
      <w:r>
        <w:rPr>
          <w:sz w:val="20"/>
          <w:szCs w:val="20"/>
        </w:rPr>
        <w:t>The Company’</w:t>
      </w:r>
      <w:r>
        <w:rPr>
          <w:sz w:val="20"/>
          <w:szCs w:val="20"/>
        </w:rPr>
        <w:t>s future income tax expense may be affected by such factors as changes in tax laws, its business, regulations, tax rates, interpretation of existing laws or regulations, the impact of accounting for share-based compensation, the impact of accounting for bu</w:t>
      </w:r>
      <w:r>
        <w:rPr>
          <w:sz w:val="20"/>
          <w:szCs w:val="20"/>
        </w:rPr>
        <w:t>siness combinations, its international organization, shifts in the amount of income before tax earned in the US as compared with other regions in the world, and changes in overall levels of income before tax.</w:t>
      </w:r>
    </w:p>
    <w:p w:rsidR="00000000" w:rsidRDefault="00C96329">
      <w:pPr>
        <w:pStyle w:val="a3"/>
        <w:spacing w:before="0" w:beforeAutospacing="0" w:after="0" w:afterAutospacing="0"/>
        <w:ind w:firstLine="720"/>
        <w:divId w:val="1124160193"/>
        <w:rPr>
          <w:sz w:val="20"/>
          <w:szCs w:val="20"/>
        </w:rPr>
      </w:pPr>
      <w:r>
        <w:rPr>
          <w:sz w:val="20"/>
          <w:szCs w:val="20"/>
        </w:rPr>
        <w:t>​</w:t>
      </w:r>
    </w:p>
    <w:p w:rsidR="00000000" w:rsidRDefault="00C96329">
      <w:pPr>
        <w:pStyle w:val="a3"/>
        <w:spacing w:before="0" w:beforeAutospacing="0" w:after="0" w:afterAutospacing="0"/>
        <w:divId w:val="1124160193"/>
        <w:rPr>
          <w:sz w:val="20"/>
          <w:szCs w:val="20"/>
        </w:rPr>
      </w:pPr>
      <w:r>
        <w:rPr>
          <w:b/>
          <w:bCs/>
          <w:sz w:val="20"/>
          <w:szCs w:val="20"/>
        </w:rPr>
        <w:t>10. Public Offering of Ordinary Shares</w:t>
      </w:r>
    </w:p>
    <w:p w:rsidR="00000000" w:rsidRDefault="00C96329">
      <w:pPr>
        <w:pStyle w:val="a3"/>
        <w:spacing w:before="0" w:beforeAutospacing="0" w:after="0" w:afterAutospacing="0"/>
        <w:divId w:val="1124160193"/>
        <w:rPr>
          <w:sz w:val="20"/>
          <w:szCs w:val="20"/>
        </w:rPr>
      </w:pPr>
      <w:r>
        <w:rPr>
          <w:b/>
          <w:bCs/>
          <w:sz w:val="10"/>
          <w:szCs w:val="10"/>
        </w:rPr>
        <w:t>​</w:t>
      </w:r>
    </w:p>
    <w:p w:rsidR="00000000" w:rsidRDefault="00C96329">
      <w:pPr>
        <w:pStyle w:val="a3"/>
        <w:spacing w:before="0" w:beforeAutospacing="0" w:after="0" w:afterAutospacing="0"/>
        <w:divId w:val="1124160193"/>
        <w:rPr>
          <w:sz w:val="20"/>
          <w:szCs w:val="20"/>
        </w:rPr>
      </w:pPr>
      <w:r>
        <w:rPr>
          <w:sz w:val="20"/>
          <w:szCs w:val="20"/>
        </w:rPr>
        <w:t>On F</w:t>
      </w:r>
      <w:r>
        <w:rPr>
          <w:sz w:val="20"/>
          <w:szCs w:val="20"/>
        </w:rPr>
        <w:t>ebruary 14, 2020, the Company sold 5,500,000 ordinary shares at a price to the public of $27.00 per share (the “Shares”). The gross proceeds to the Company from the offering were approximately $148.5 million, before deducting underwriting discounts and com</w:t>
      </w:r>
      <w:r>
        <w:rPr>
          <w:sz w:val="20"/>
          <w:szCs w:val="20"/>
        </w:rPr>
        <w:t>missions and offering expenses. The Shares were issued pursuant to the Company’s currently effective shelf registration statement on Form S-3 and an accompanying prospectus (File No. 333-235339) filed with the SEC, which became effective automatically on D</w:t>
      </w:r>
      <w:r>
        <w:rPr>
          <w:sz w:val="20"/>
          <w:szCs w:val="20"/>
        </w:rPr>
        <w:t>ecember 3, 2019, and a prospectus supplement filed with the SEC in connection with the offering.</w:t>
      </w:r>
    </w:p>
    <w:p w:rsidR="00000000" w:rsidRDefault="00C96329">
      <w:pPr>
        <w:pStyle w:val="a3"/>
        <w:spacing w:before="0" w:beforeAutospacing="0" w:after="0" w:afterAutospacing="0"/>
        <w:divId w:val="1124160193"/>
        <w:rPr>
          <w:sz w:val="20"/>
          <w:szCs w:val="20"/>
        </w:rPr>
      </w:pPr>
      <w:r>
        <w:rPr>
          <w:sz w:val="20"/>
          <w:szCs w:val="20"/>
        </w:rPr>
        <w:t>​</w:t>
      </w:r>
    </w:p>
    <w:p w:rsidR="00000000" w:rsidRDefault="00C96329">
      <w:pPr>
        <w:pStyle w:val="a3"/>
        <w:spacing w:before="0" w:beforeAutospacing="0" w:after="0" w:afterAutospacing="0"/>
        <w:divId w:val="1124160193"/>
        <w:rPr>
          <w:sz w:val="20"/>
          <w:szCs w:val="20"/>
        </w:rPr>
      </w:pPr>
      <w:r>
        <w:rPr>
          <w:sz w:val="20"/>
          <w:szCs w:val="20"/>
        </w:rPr>
        <w:t>​</w:t>
      </w:r>
    </w:p>
    <w:p w:rsidR="00000000" w:rsidRDefault="00C96329">
      <w:pPr>
        <w:pStyle w:val="a3"/>
        <w:spacing w:before="0" w:beforeAutospacing="0" w:after="0" w:afterAutospacing="0"/>
        <w:ind w:hanging="900"/>
        <w:divId w:val="1124160193"/>
        <w:rPr>
          <w:sz w:val="20"/>
          <w:szCs w:val="20"/>
        </w:rPr>
      </w:pPr>
      <w:r>
        <w:rPr>
          <w:b/>
          <w:bCs/>
          <w:sz w:val="20"/>
          <w:szCs w:val="20"/>
        </w:rPr>
        <w:t>ITEM 2.   MANAGEMENT’S DISCUSSION AND ANALYSIS OF FINANCIAL CONDITION AND RESULTS OF OPERATIONS</w:t>
      </w:r>
    </w:p>
    <w:p w:rsidR="00000000" w:rsidRDefault="00C96329">
      <w:pPr>
        <w:pStyle w:val="a3"/>
        <w:spacing w:before="0" w:beforeAutospacing="0" w:after="0" w:afterAutospacing="0"/>
        <w:divId w:val="1124160193"/>
        <w:rPr>
          <w:sz w:val="20"/>
          <w:szCs w:val="20"/>
        </w:rPr>
      </w:pPr>
      <w:r>
        <w:rPr>
          <w:b/>
          <w:bCs/>
          <w:sz w:val="20"/>
          <w:szCs w:val="20"/>
        </w:rPr>
        <w:t>​</w:t>
      </w:r>
    </w:p>
    <w:p w:rsidR="00000000" w:rsidRDefault="00C96329">
      <w:pPr>
        <w:pStyle w:val="a3"/>
        <w:spacing w:before="0" w:beforeAutospacing="0" w:after="0" w:afterAutospacing="0"/>
        <w:divId w:val="1124160193"/>
        <w:rPr>
          <w:sz w:val="20"/>
          <w:szCs w:val="20"/>
        </w:rPr>
      </w:pPr>
      <w:r>
        <w:rPr>
          <w:b/>
          <w:bCs/>
          <w:sz w:val="20"/>
          <w:szCs w:val="20"/>
        </w:rPr>
        <w:t>Forward-Looking Statements</w:t>
      </w:r>
    </w:p>
    <w:p w:rsidR="00000000" w:rsidRDefault="00C96329">
      <w:pPr>
        <w:pStyle w:val="a3"/>
        <w:spacing w:before="0" w:beforeAutospacing="0" w:after="0" w:afterAutospacing="0"/>
        <w:divId w:val="1124160193"/>
        <w:rPr>
          <w:sz w:val="20"/>
          <w:szCs w:val="20"/>
        </w:rPr>
      </w:pPr>
      <w:r>
        <w:rPr>
          <w:sz w:val="10"/>
          <w:szCs w:val="10"/>
        </w:rPr>
        <w:t>​</w:t>
      </w:r>
    </w:p>
    <w:p w:rsidR="00000000" w:rsidRDefault="00C96329">
      <w:pPr>
        <w:pStyle w:val="a3"/>
        <w:spacing w:before="0" w:beforeAutospacing="0" w:after="0" w:afterAutospacing="0"/>
        <w:ind w:firstLine="720"/>
        <w:divId w:val="1124160193"/>
        <w:rPr>
          <w:sz w:val="20"/>
          <w:szCs w:val="20"/>
        </w:rPr>
      </w:pPr>
      <w:r>
        <w:rPr>
          <w:sz w:val="20"/>
          <w:szCs w:val="20"/>
        </w:rPr>
        <w:t>You should read the followin</w:t>
      </w:r>
      <w:r>
        <w:rPr>
          <w:sz w:val="20"/>
          <w:szCs w:val="20"/>
        </w:rPr>
        <w:t>g discussion in conjunction with our condensed financial statements (unaudited) and related notes included elsewhere in this report. This report includes “forward-looking statements” within the meaning of Section 27A of the Securities Act of 1933, as amend</w:t>
      </w:r>
      <w:r>
        <w:rPr>
          <w:sz w:val="20"/>
          <w:szCs w:val="20"/>
        </w:rPr>
        <w:t>ed (the “Securities Act”), and Section 21E of the Securities Exchange Act of 1934, as amended (the “Exchange Act”), that involve risks and uncertainties. All statements in this report, other than statements of historical facts, including statements regardi</w:t>
      </w:r>
      <w:r>
        <w:rPr>
          <w:sz w:val="20"/>
          <w:szCs w:val="20"/>
        </w:rPr>
        <w:t>ng our strategy, future operations, future financial position, future revenues, projected costs, prospects, plans, intentions, expectations and objectives are forward-looking statements. The words “anticipate,” “assume,” “believe,” “contemplate,” “continue</w:t>
      </w:r>
      <w:r>
        <w:rPr>
          <w:sz w:val="20"/>
          <w:szCs w:val="20"/>
        </w:rPr>
        <w:t>,” “could,” “designed,” “developed,” “drive,” “estimate,” “expect,” “forecast,” “goal,” “intend,” “may,” “mission,” “opportunities,” “plan,” “potential,” “predict,” “project,” “pursue,” “seek,” “should,” “target,” “will,” “would,” and similar expressions (</w:t>
      </w:r>
      <w:r>
        <w:rPr>
          <w:sz w:val="20"/>
          <w:szCs w:val="20"/>
        </w:rPr>
        <w:t>including the negatives thereof) are intended to identify forward-looking statements, although not all forward-looking statements contain these identifying words. These statements reflect our current views with respect to future events or our future financ</w:t>
      </w:r>
      <w:r>
        <w:rPr>
          <w:sz w:val="20"/>
          <w:szCs w:val="20"/>
        </w:rPr>
        <w:t xml:space="preserve">ial performance, are based on assumptions, and involve known and unknown risks, uncertainties and other factors which may cause our actual results, performance or achievements to be materially different from any future results, performance or achievements </w:t>
      </w:r>
      <w:r>
        <w:rPr>
          <w:sz w:val="20"/>
          <w:szCs w:val="20"/>
        </w:rPr>
        <w:t>expressed or implied by the forward-looking statements. We may not actually achieve the plans, intentions, expectations or objectives disclosed in our forward-looking statements and the assumptions underlying our forward-looking statements may prove incorr</w:t>
      </w:r>
      <w:r>
        <w:rPr>
          <w:sz w:val="20"/>
          <w:szCs w:val="20"/>
        </w:rPr>
        <w:t>ect. Therefore, you should not place undue reliance on our forward-looking statements. Actual results or events could differ materially from the plans, intentions, expectations and objectives disclosed in the forward-looking statements that we make. Factor</w:t>
      </w:r>
      <w:r>
        <w:rPr>
          <w:sz w:val="20"/>
          <w:szCs w:val="20"/>
        </w:rPr>
        <w:t xml:space="preserve">s that we believe could cause actual results or events to differ materially from our forward-looking statements include, but are not limited to, those discussed in </w:t>
      </w:r>
      <w:r>
        <w:rPr>
          <w:i/>
          <w:iCs/>
          <w:sz w:val="20"/>
          <w:szCs w:val="20"/>
        </w:rPr>
        <w:t xml:space="preserve">“Risk Factors,” “Management’s Discussion and Analysis of Financial Condition and Results of </w:t>
      </w:r>
      <w:r>
        <w:rPr>
          <w:i/>
          <w:iCs/>
          <w:sz w:val="20"/>
          <w:szCs w:val="20"/>
        </w:rPr>
        <w:t>Operations”</w:t>
      </w:r>
      <w:r>
        <w:rPr>
          <w:sz w:val="20"/>
          <w:szCs w:val="20"/>
        </w:rPr>
        <w:t xml:space="preserve"> and elsewhere in this report and in our Annual Report on Form 10-K for the year ended December 31, 2019. </w:t>
      </w:r>
    </w:p>
    <w:p w:rsidR="00000000" w:rsidRDefault="00C96329">
      <w:pPr>
        <w:pStyle w:val="a3"/>
        <w:spacing w:before="360" w:beforeAutospacing="0" w:after="0" w:afterAutospacing="0"/>
        <w:jc w:val="center"/>
        <w:divId w:val="1242520539"/>
        <w:rPr>
          <w:sz w:val="20"/>
          <w:szCs w:val="20"/>
        </w:rPr>
      </w:pPr>
      <w:r>
        <w:rPr>
          <w:sz w:val="20"/>
          <w:szCs w:val="20"/>
        </w:rPr>
        <w:t>20</w:t>
      </w:r>
    </w:p>
    <w:p w:rsidR="00000000" w:rsidRDefault="00C96329">
      <w:pPr>
        <w:pStyle w:val="a3"/>
        <w:spacing w:before="0" w:beforeAutospacing="0" w:after="600" w:afterAutospacing="0"/>
        <w:divId w:val="538862256"/>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457338045"/>
        <w:rPr>
          <w:sz w:val="20"/>
          <w:szCs w:val="20"/>
        </w:rPr>
      </w:pPr>
      <w:r>
        <w:rPr>
          <w:sz w:val="20"/>
          <w:szCs w:val="20"/>
        </w:rPr>
        <w:t>Our forward-looking statements in this report are based on current expectations and we do n</w:t>
      </w:r>
      <w:r>
        <w:rPr>
          <w:sz w:val="20"/>
          <w:szCs w:val="20"/>
        </w:rPr>
        <w:t>ot assume any obligation to update any forward-looking statements for any reason, even if new information becomes available in the future. In addition, while we expect the effects of a novel strain of coronavirus, SARS-CoV-2, causing the Coronavirus Diseas</w:t>
      </w:r>
      <w:r>
        <w:rPr>
          <w:sz w:val="20"/>
          <w:szCs w:val="20"/>
        </w:rPr>
        <w:t>e 2019, also known as COVID-19 (the “COVID-19 pandemic”) to continue to adversely impact our business operations and financial results, the extent of the impact on our ability to generate revenue from YUPELR</w:t>
      </w:r>
      <w:r>
        <w:rPr>
          <w:sz w:val="20"/>
          <w:szCs w:val="20"/>
        </w:rPr>
        <w:t>I</w:t>
      </w:r>
      <w:r>
        <w:rPr>
          <w:sz w:val="15"/>
          <w:szCs w:val="15"/>
          <w:vertAlign w:val="superscript"/>
        </w:rPr>
        <w:t>®</w:t>
      </w:r>
      <w:r>
        <w:rPr>
          <w:sz w:val="20"/>
          <w:szCs w:val="20"/>
        </w:rPr>
        <w:t xml:space="preserve"> (revefenacin), our clinical development progra</w:t>
      </w:r>
      <w:r>
        <w:rPr>
          <w:sz w:val="20"/>
          <w:szCs w:val="20"/>
        </w:rPr>
        <w:t>ms (including but not limited to our later stage clinical programs for TD-1473 and ampreloxetine), and the value of and market for our common shares, will depend on future developments that are highly uncertain and cannot be predicted with confidence at th</w:t>
      </w:r>
      <w:r>
        <w:rPr>
          <w:sz w:val="20"/>
          <w:szCs w:val="20"/>
        </w:rPr>
        <w:t>is time. These potential future developments include, but are not limited to, the ultimate duration of the COVID-19 pandemic, travel restrictions, quarantines, social distancing and business closure requirements in the United States and in other countries,</w:t>
      </w:r>
      <w:r>
        <w:rPr>
          <w:sz w:val="20"/>
          <w:szCs w:val="20"/>
        </w:rPr>
        <w:t xml:space="preserve"> and the effectiveness of actions taken globally to contain and treat the disease.</w:t>
      </w:r>
    </w:p>
    <w:p w:rsidR="00000000" w:rsidRDefault="00C96329">
      <w:pPr>
        <w:pStyle w:val="a3"/>
        <w:spacing w:before="0" w:beforeAutospacing="0" w:after="0" w:afterAutospacing="0"/>
        <w:ind w:firstLine="720"/>
        <w:divId w:val="457338045"/>
        <w:rPr>
          <w:sz w:val="20"/>
          <w:szCs w:val="20"/>
        </w:rPr>
      </w:pPr>
      <w:r>
        <w:rPr>
          <w:sz w:val="20"/>
          <w:szCs w:val="20"/>
        </w:rPr>
        <w:t>​</w:t>
      </w:r>
    </w:p>
    <w:p w:rsidR="00000000" w:rsidRDefault="00C96329">
      <w:pPr>
        <w:pStyle w:val="a3"/>
        <w:spacing w:before="0" w:beforeAutospacing="0" w:after="0" w:afterAutospacing="0"/>
        <w:divId w:val="457338045"/>
        <w:rPr>
          <w:sz w:val="20"/>
          <w:szCs w:val="20"/>
        </w:rPr>
      </w:pPr>
      <w:r>
        <w:rPr>
          <w:b/>
          <w:bCs/>
          <w:sz w:val="20"/>
          <w:szCs w:val="20"/>
        </w:rPr>
        <w:t>Management Overview</w:t>
      </w:r>
    </w:p>
    <w:p w:rsidR="00000000" w:rsidRDefault="00C96329">
      <w:pPr>
        <w:pStyle w:val="a3"/>
        <w:spacing w:before="0" w:beforeAutospacing="0" w:after="0" w:afterAutospacing="0"/>
        <w:divId w:val="457338045"/>
        <w:rPr>
          <w:sz w:val="20"/>
          <w:szCs w:val="20"/>
        </w:rPr>
      </w:pPr>
      <w:r>
        <w:rPr>
          <w:sz w:val="10"/>
          <w:szCs w:val="10"/>
        </w:rPr>
        <w:t>​</w:t>
      </w:r>
    </w:p>
    <w:p w:rsidR="00000000" w:rsidRDefault="00C96329">
      <w:pPr>
        <w:pStyle w:val="a3"/>
        <w:spacing w:before="0" w:beforeAutospacing="0" w:after="0" w:afterAutospacing="0"/>
        <w:ind w:firstLine="720"/>
        <w:divId w:val="457338045"/>
        <w:rPr>
          <w:sz w:val="20"/>
          <w:szCs w:val="20"/>
        </w:rPr>
      </w:pPr>
      <w:r>
        <w:rPr>
          <w:sz w:val="20"/>
          <w:szCs w:val="20"/>
        </w:rPr>
        <w:t>Theravance Biopharma, Inc. (“we,” “our” or “Theravance Biopharma”) is a diversified biopharmaceutical company primarily focused on the discovery, dev</w:t>
      </w:r>
      <w:r>
        <w:rPr>
          <w:sz w:val="20"/>
          <w:szCs w:val="20"/>
        </w:rPr>
        <w:t>elopment and commercialization of organ-selective medicines. Our purpose is to create transformational medicines to improve the lives of patients suffering from serious illnesses. Our research is focused in the areas of inflammation and immunology.</w:t>
      </w:r>
    </w:p>
    <w:p w:rsidR="00000000" w:rsidRDefault="00C96329">
      <w:pPr>
        <w:pStyle w:val="a3"/>
        <w:spacing w:before="0" w:beforeAutospacing="0" w:after="0" w:afterAutospacing="0"/>
        <w:ind w:firstLine="720"/>
        <w:divId w:val="457338045"/>
        <w:rPr>
          <w:sz w:val="20"/>
          <w:szCs w:val="20"/>
        </w:rPr>
      </w:pPr>
      <w:r>
        <w:rPr>
          <w:sz w:val="20"/>
          <w:szCs w:val="20"/>
        </w:rPr>
        <w:t>​</w:t>
      </w:r>
    </w:p>
    <w:p w:rsidR="00000000" w:rsidRDefault="00C96329">
      <w:pPr>
        <w:pStyle w:val="a3"/>
        <w:spacing w:before="0" w:beforeAutospacing="0" w:after="0" w:afterAutospacing="0"/>
        <w:ind w:firstLine="720"/>
        <w:divId w:val="457338045"/>
        <w:rPr>
          <w:sz w:val="20"/>
          <w:szCs w:val="20"/>
        </w:rPr>
      </w:pPr>
      <w:r>
        <w:rPr>
          <w:sz w:val="20"/>
          <w:szCs w:val="20"/>
        </w:rPr>
        <w:t>In pu</w:t>
      </w:r>
      <w:r>
        <w:rPr>
          <w:sz w:val="20"/>
          <w:szCs w:val="20"/>
        </w:rPr>
        <w:t>rsuit of our purpose, we apply insights and innovation at each stage of our business and utilize our internal capabilities and those of partners around the world. We apply organ-selective expertise to biologically compelling targets to discover and develop</w:t>
      </w:r>
      <w:r>
        <w:rPr>
          <w:sz w:val="20"/>
          <w:szCs w:val="20"/>
        </w:rPr>
        <w:t xml:space="preserve"> medicines designed to treat underserved localized diseases and to limit systemic exposure, in order to maximize patient benefit and minimize risk. These efforts leverage years of experience in developing lung-selective medicines to treat respiratory disea</w:t>
      </w:r>
      <w:r>
        <w:rPr>
          <w:sz w:val="20"/>
          <w:szCs w:val="20"/>
        </w:rPr>
        <w:t>se, including the United States (“US”) Food and Drug Administration (the “FDA”) approved YUPELR</w:t>
      </w:r>
      <w:r>
        <w:rPr>
          <w:sz w:val="20"/>
          <w:szCs w:val="20"/>
        </w:rPr>
        <w:t>I</w:t>
      </w:r>
      <w:r>
        <w:rPr>
          <w:sz w:val="15"/>
          <w:szCs w:val="15"/>
          <w:vertAlign w:val="superscript"/>
        </w:rPr>
        <w:t>®</w:t>
      </w:r>
      <w:r>
        <w:rPr>
          <w:sz w:val="20"/>
          <w:szCs w:val="20"/>
        </w:rPr>
        <w:t xml:space="preserve"> (revefenacin) inhalation solution indicated for the maintenance treatment of patients with chronic obstructive pulmonary disease (“COPD”). Our pipeline of int</w:t>
      </w:r>
      <w:r>
        <w:rPr>
          <w:sz w:val="20"/>
          <w:szCs w:val="20"/>
        </w:rPr>
        <w:t>ernally discovered programs is targeted to address significant patient needs.</w:t>
      </w:r>
    </w:p>
    <w:p w:rsidR="00000000" w:rsidRDefault="00C96329">
      <w:pPr>
        <w:pStyle w:val="a3"/>
        <w:spacing w:before="0" w:beforeAutospacing="0" w:after="0" w:afterAutospacing="0"/>
        <w:ind w:firstLine="720"/>
        <w:divId w:val="457338045"/>
        <w:rPr>
          <w:sz w:val="20"/>
          <w:szCs w:val="20"/>
        </w:rPr>
      </w:pPr>
      <w:r>
        <w:rPr>
          <w:sz w:val="20"/>
          <w:szCs w:val="20"/>
        </w:rPr>
        <w:t>​</w:t>
      </w:r>
    </w:p>
    <w:p w:rsidR="00000000" w:rsidRDefault="00C96329">
      <w:pPr>
        <w:pStyle w:val="a3"/>
        <w:spacing w:before="0" w:beforeAutospacing="0" w:after="0" w:afterAutospacing="0"/>
        <w:divId w:val="457338045"/>
        <w:rPr>
          <w:sz w:val="20"/>
          <w:szCs w:val="20"/>
        </w:rPr>
      </w:pPr>
      <w:r>
        <w:rPr>
          <w:sz w:val="20"/>
          <w:szCs w:val="20"/>
        </w:rPr>
        <w:t>We have an economic interest in potential future payments from Glaxo Group Limited or one of its affiliates (“GSK”) pursuant to its agreements with Innoviva, Inc. (“Innoviva”) relating to certain programs, including TRELEGY.</w:t>
      </w:r>
    </w:p>
    <w:p w:rsidR="00000000" w:rsidRDefault="00C96329">
      <w:pPr>
        <w:pStyle w:val="a3"/>
        <w:spacing w:before="0" w:beforeAutospacing="0" w:after="0" w:afterAutospacing="0"/>
        <w:divId w:val="457338045"/>
        <w:rPr>
          <w:sz w:val="20"/>
          <w:szCs w:val="20"/>
        </w:rPr>
      </w:pPr>
      <w:r>
        <w:rPr>
          <w:sz w:val="20"/>
          <w:szCs w:val="20"/>
        </w:rPr>
        <w:t>​</w:t>
      </w:r>
    </w:p>
    <w:p w:rsidR="00000000" w:rsidRDefault="00C96329">
      <w:pPr>
        <w:pStyle w:val="a3"/>
        <w:spacing w:before="0" w:beforeAutospacing="0" w:after="0" w:afterAutospacing="0"/>
        <w:divId w:val="457338045"/>
        <w:rPr>
          <w:sz w:val="20"/>
          <w:szCs w:val="20"/>
        </w:rPr>
      </w:pPr>
      <w:r>
        <w:rPr>
          <w:b/>
          <w:bCs/>
          <w:sz w:val="20"/>
          <w:szCs w:val="20"/>
        </w:rPr>
        <w:t>Impact of COVID-19 Pandemic</w:t>
      </w:r>
    </w:p>
    <w:p w:rsidR="00000000" w:rsidRDefault="00C96329">
      <w:pPr>
        <w:pStyle w:val="a3"/>
        <w:spacing w:before="0" w:beforeAutospacing="0" w:after="0" w:afterAutospacing="0"/>
        <w:divId w:val="457338045"/>
        <w:rPr>
          <w:sz w:val="20"/>
          <w:szCs w:val="20"/>
        </w:rPr>
      </w:pPr>
      <w:r>
        <w:rPr>
          <w:b/>
          <w:bCs/>
          <w:color w:val="FF0000"/>
          <w:sz w:val="10"/>
          <w:szCs w:val="10"/>
        </w:rPr>
        <w:t>​</w:t>
      </w:r>
    </w:p>
    <w:p w:rsidR="00000000" w:rsidRDefault="00C96329">
      <w:pPr>
        <w:pStyle w:val="a3"/>
        <w:spacing w:before="0" w:beforeAutospacing="0" w:after="0" w:afterAutospacing="0"/>
        <w:ind w:firstLine="720"/>
        <w:divId w:val="457338045"/>
        <w:rPr>
          <w:sz w:val="20"/>
          <w:szCs w:val="20"/>
        </w:rPr>
      </w:pPr>
      <w:r>
        <w:rPr>
          <w:sz w:val="20"/>
          <w:szCs w:val="20"/>
        </w:rPr>
        <w:t>During the six months ended June 30, 2020, the effects of the COVID-19 pandemic and the related actions by governments, companies, and individuals around the world to attempt to contain the spread of the virus presented a substantial public health and eco</w:t>
      </w:r>
      <w:r>
        <w:rPr>
          <w:sz w:val="20"/>
          <w:szCs w:val="20"/>
        </w:rPr>
        <w:t>nomic challenge around the world and is affecting our employees, patients, communities, clinical trial sites, suppliers, business partners and business operations. The full extent to which the COVID-19 pandemic will directly or indirectly impact our busine</w:t>
      </w:r>
      <w:r>
        <w:rPr>
          <w:sz w:val="20"/>
          <w:szCs w:val="20"/>
        </w:rPr>
        <w:t>ss, results of operations and financial condition, including revenue, expenses, clinical trials and research and development costs, will depend on future developments that are highly uncertain and may be impacted by the emergence of new information concern</w:t>
      </w:r>
      <w:r>
        <w:rPr>
          <w:sz w:val="20"/>
          <w:szCs w:val="20"/>
        </w:rPr>
        <w:t>ing the COVID-19 pandemic and the actions taken to contain or treat the disease.</w:t>
      </w:r>
    </w:p>
    <w:p w:rsidR="00000000" w:rsidRDefault="00C96329">
      <w:pPr>
        <w:pStyle w:val="a3"/>
        <w:spacing w:before="0" w:beforeAutospacing="0" w:after="0" w:afterAutospacing="0"/>
        <w:divId w:val="457338045"/>
        <w:rPr>
          <w:sz w:val="20"/>
          <w:szCs w:val="20"/>
        </w:rPr>
      </w:pPr>
      <w:r>
        <w:rPr>
          <w:sz w:val="20"/>
          <w:szCs w:val="20"/>
        </w:rPr>
        <w:t>​</w:t>
      </w:r>
    </w:p>
    <w:p w:rsidR="00000000" w:rsidRDefault="00C96329">
      <w:pPr>
        <w:pStyle w:val="a3"/>
        <w:spacing w:before="0" w:beforeAutospacing="0" w:after="0" w:afterAutospacing="0"/>
        <w:divId w:val="457338045"/>
        <w:rPr>
          <w:sz w:val="20"/>
          <w:szCs w:val="20"/>
        </w:rPr>
      </w:pPr>
      <w:r>
        <w:rPr>
          <w:b/>
          <w:bCs/>
          <w:i/>
          <w:iCs/>
          <w:sz w:val="20"/>
          <w:szCs w:val="20"/>
        </w:rPr>
        <w:t>YUPELRI (revefenacin) Inhalation Solution</w:t>
      </w:r>
    </w:p>
    <w:p w:rsidR="00000000" w:rsidRDefault="00C96329">
      <w:pPr>
        <w:pStyle w:val="a3"/>
        <w:spacing w:before="0" w:beforeAutospacing="0" w:after="0" w:afterAutospacing="0"/>
        <w:ind w:firstLine="720"/>
        <w:divId w:val="457338045"/>
        <w:rPr>
          <w:sz w:val="20"/>
          <w:szCs w:val="20"/>
        </w:rPr>
      </w:pPr>
      <w:r>
        <w:rPr>
          <w:sz w:val="10"/>
          <w:szCs w:val="10"/>
        </w:rPr>
        <w:t>​</w:t>
      </w:r>
    </w:p>
    <w:p w:rsidR="00000000" w:rsidRDefault="00C96329">
      <w:pPr>
        <w:pStyle w:val="a3"/>
        <w:spacing w:before="0" w:beforeAutospacing="0" w:after="0" w:afterAutospacing="0"/>
        <w:ind w:firstLine="720"/>
        <w:divId w:val="457338045"/>
        <w:rPr>
          <w:sz w:val="20"/>
          <w:szCs w:val="20"/>
        </w:rPr>
      </w:pPr>
      <w:r>
        <w:rPr>
          <w:sz w:val="20"/>
          <w:szCs w:val="20"/>
        </w:rPr>
        <w:t>We and our collaboration partner, Mylan Ireland Limited (“Mylan”), continue to supply YUPELR</w:t>
      </w:r>
      <w:r>
        <w:rPr>
          <w:sz w:val="20"/>
          <w:szCs w:val="20"/>
        </w:rPr>
        <w:t>I</w:t>
      </w:r>
      <w:r>
        <w:rPr>
          <w:sz w:val="17"/>
          <w:szCs w:val="17"/>
          <w:vertAlign w:val="superscript"/>
        </w:rPr>
        <w:t>®</w:t>
      </w:r>
      <w:r>
        <w:rPr>
          <w:sz w:val="20"/>
          <w:szCs w:val="20"/>
        </w:rPr>
        <w:t xml:space="preserve"> (revefenacin) inhalation solution </w:t>
      </w:r>
      <w:r>
        <w:rPr>
          <w:sz w:val="20"/>
          <w:szCs w:val="20"/>
        </w:rPr>
        <w:t>to our patients and currently do not anticipate any interruptions in supply. The manufacture of YUPELRI continues at or near normal levels. While we currently do not anticipate any interruptions in the manufacturing and supply of YUPELRI, it is possible th</w:t>
      </w:r>
      <w:r>
        <w:rPr>
          <w:sz w:val="20"/>
          <w:szCs w:val="20"/>
        </w:rPr>
        <w:t>at the COVID-19 pandemic and response efforts may have an impact on the manufacture and supply of YUPELRI in the future.</w:t>
      </w:r>
    </w:p>
    <w:p w:rsidR="00000000" w:rsidRDefault="00C96329">
      <w:pPr>
        <w:pStyle w:val="a3"/>
        <w:spacing w:before="0" w:beforeAutospacing="0" w:after="0" w:afterAutospacing="0"/>
        <w:divId w:val="457338045"/>
        <w:rPr>
          <w:sz w:val="20"/>
          <w:szCs w:val="20"/>
        </w:rPr>
      </w:pPr>
      <w:r>
        <w:rPr>
          <w:sz w:val="20"/>
          <w:szCs w:val="20"/>
        </w:rPr>
        <w:t>​</w:t>
      </w:r>
    </w:p>
    <w:p w:rsidR="00000000" w:rsidRDefault="00C96329">
      <w:pPr>
        <w:pStyle w:val="a3"/>
        <w:spacing w:before="0" w:beforeAutospacing="0" w:after="0" w:afterAutospacing="0"/>
        <w:ind w:firstLine="720"/>
        <w:divId w:val="457338045"/>
        <w:rPr>
          <w:sz w:val="20"/>
          <w:szCs w:val="20"/>
        </w:rPr>
      </w:pPr>
      <w:r>
        <w:rPr>
          <w:sz w:val="20"/>
          <w:szCs w:val="20"/>
        </w:rPr>
        <w:t>Despite share gains within the nebulized long acting muscarinic antagonist market, YUPELRI’s net sales growth trajectory has been imp</w:t>
      </w:r>
      <w:r>
        <w:rPr>
          <w:sz w:val="20"/>
          <w:szCs w:val="20"/>
        </w:rPr>
        <w:t>acted by COVID-19 in the second quarter of 2020, and we have observed increased volatility in YUPELRI sales. In mid-March 2020, we suspended in-person sales calls to accounts in response to the COVID-19 pandemic, and we are engaging with these customers in</w:t>
      </w:r>
      <w:r>
        <w:rPr>
          <w:sz w:val="20"/>
          <w:szCs w:val="20"/>
        </w:rPr>
        <w:t>-person when certain criteria are met and remotely via telephone calls, electronic mail, digital outreach or video conferencing as we seek to continue to support healthcare professionals and patient care. We are monitoring the impact of the COVID-19 pandem</w:t>
      </w:r>
      <w:r>
        <w:rPr>
          <w:sz w:val="20"/>
          <w:szCs w:val="20"/>
        </w:rPr>
        <w:t xml:space="preserve">ic on demand for YUPELRI, including the duration and degree to which we may see declines in customer orders or delays in starting new patients on YUPELRI. </w:t>
      </w:r>
    </w:p>
    <w:p w:rsidR="00000000" w:rsidRDefault="00C96329">
      <w:pPr>
        <w:pStyle w:val="a3"/>
        <w:spacing w:before="360" w:beforeAutospacing="0" w:after="0" w:afterAutospacing="0"/>
        <w:jc w:val="center"/>
        <w:divId w:val="705369145"/>
        <w:rPr>
          <w:sz w:val="20"/>
          <w:szCs w:val="20"/>
        </w:rPr>
      </w:pPr>
      <w:r>
        <w:rPr>
          <w:sz w:val="20"/>
          <w:szCs w:val="20"/>
        </w:rPr>
        <w:t>21</w:t>
      </w:r>
    </w:p>
    <w:p w:rsidR="00000000" w:rsidRDefault="00C96329">
      <w:pPr>
        <w:pStyle w:val="a3"/>
        <w:spacing w:before="0" w:beforeAutospacing="0" w:after="600" w:afterAutospacing="0"/>
        <w:divId w:val="879630864"/>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2010398620"/>
        <w:rPr>
          <w:sz w:val="20"/>
          <w:szCs w:val="20"/>
        </w:rPr>
      </w:pPr>
      <w:r>
        <w:rPr>
          <w:sz w:val="20"/>
          <w:szCs w:val="20"/>
        </w:rPr>
        <w:t>​</w:t>
      </w:r>
    </w:p>
    <w:p w:rsidR="00000000" w:rsidRDefault="00C96329">
      <w:pPr>
        <w:pStyle w:val="a3"/>
        <w:spacing w:before="0" w:beforeAutospacing="0" w:after="0" w:afterAutospacing="0"/>
        <w:ind w:firstLine="720"/>
        <w:divId w:val="2010398620"/>
        <w:rPr>
          <w:sz w:val="20"/>
          <w:szCs w:val="20"/>
        </w:rPr>
      </w:pPr>
      <w:r>
        <w:rPr>
          <w:sz w:val="20"/>
          <w:szCs w:val="20"/>
        </w:rPr>
        <w:t>We are also preparing for a higher degree of volati</w:t>
      </w:r>
      <w:r>
        <w:rPr>
          <w:sz w:val="20"/>
          <w:szCs w:val="20"/>
        </w:rPr>
        <w:t xml:space="preserve">lity during the remainder of 2020 as disruptions of day-to-day operations of hospitals and clinics may continue. We currently expect our YUPELRI operations to be cash-flow positive by end of the year, and we will continue to assess and evaluate the impact </w:t>
      </w:r>
      <w:r>
        <w:rPr>
          <w:sz w:val="20"/>
          <w:szCs w:val="20"/>
        </w:rPr>
        <w:t>of COVID-19. At this stage, we are unable to predict with certainty</w:t>
      </w:r>
      <w:r>
        <w:rPr>
          <w:color w:val="FF0000"/>
          <w:sz w:val="20"/>
          <w:szCs w:val="20"/>
        </w:rPr>
        <w:t xml:space="preserve"> </w:t>
      </w:r>
      <w:r>
        <w:rPr>
          <w:sz w:val="20"/>
          <w:szCs w:val="20"/>
        </w:rPr>
        <w:t xml:space="preserve">the ultimate disruptive impact of the COVID-19 pandemic on both YUPELRI and the rest of our business. </w:t>
      </w:r>
    </w:p>
    <w:p w:rsidR="00000000" w:rsidRDefault="00C96329">
      <w:pPr>
        <w:pStyle w:val="a3"/>
        <w:spacing w:before="0" w:beforeAutospacing="0" w:after="0" w:afterAutospacing="0"/>
        <w:ind w:firstLine="720"/>
        <w:divId w:val="2010398620"/>
        <w:rPr>
          <w:sz w:val="20"/>
          <w:szCs w:val="20"/>
        </w:rPr>
      </w:pPr>
      <w:r>
        <w:rPr>
          <w:sz w:val="20"/>
          <w:szCs w:val="20"/>
        </w:rPr>
        <w:t>​</w:t>
      </w:r>
    </w:p>
    <w:p w:rsidR="00000000" w:rsidRDefault="00C96329">
      <w:pPr>
        <w:pStyle w:val="a3"/>
        <w:spacing w:before="0" w:beforeAutospacing="0" w:after="0" w:afterAutospacing="0"/>
        <w:divId w:val="2010398620"/>
        <w:rPr>
          <w:sz w:val="20"/>
          <w:szCs w:val="20"/>
        </w:rPr>
      </w:pPr>
      <w:r>
        <w:rPr>
          <w:b/>
          <w:bCs/>
          <w:i/>
          <w:iCs/>
          <w:sz w:val="20"/>
          <w:szCs w:val="20"/>
        </w:rPr>
        <w:t>Clinical Trial Activity</w:t>
      </w:r>
    </w:p>
    <w:p w:rsidR="00000000" w:rsidRDefault="00C96329">
      <w:pPr>
        <w:pStyle w:val="a3"/>
        <w:spacing w:before="0" w:beforeAutospacing="0" w:after="0" w:afterAutospacing="0"/>
        <w:ind w:firstLine="720"/>
        <w:divId w:val="2010398620"/>
        <w:rPr>
          <w:sz w:val="20"/>
          <w:szCs w:val="20"/>
        </w:rPr>
      </w:pPr>
      <w:r>
        <w:rPr>
          <w:sz w:val="10"/>
          <w:szCs w:val="10"/>
        </w:rPr>
        <w:t>​</w:t>
      </w:r>
    </w:p>
    <w:p w:rsidR="00000000" w:rsidRDefault="00C96329">
      <w:pPr>
        <w:pStyle w:val="a3"/>
        <w:spacing w:before="0" w:beforeAutospacing="0" w:after="0" w:afterAutospacing="0"/>
        <w:ind w:firstLine="720"/>
        <w:divId w:val="2010398620"/>
        <w:rPr>
          <w:sz w:val="20"/>
          <w:szCs w:val="20"/>
        </w:rPr>
      </w:pPr>
      <w:r>
        <w:rPr>
          <w:sz w:val="20"/>
          <w:szCs w:val="20"/>
        </w:rPr>
        <w:t xml:space="preserve">While we are currently continuing the clinical trials we </w:t>
      </w:r>
      <w:r>
        <w:rPr>
          <w:sz w:val="20"/>
          <w:szCs w:val="20"/>
        </w:rPr>
        <w:t>have underway in sites across the globe, the COVID-19 pandemic has impacted the timeline for our clinical trials. We have been evaluating each of our clinical trial programs to determine necessary modifications and have worked closely with regulators, site</w:t>
      </w:r>
      <w:r>
        <w:rPr>
          <w:sz w:val="20"/>
          <w:szCs w:val="20"/>
        </w:rPr>
        <w:t>s, clinical research organizations and data safety monitoring boards. Given the significant strains on the healthcare system across the globe, we made the decision in mid-March 2020 to temporarily suspend the screening of new patients for two of our clinic</w:t>
      </w:r>
      <w:r>
        <w:rPr>
          <w:sz w:val="20"/>
          <w:szCs w:val="20"/>
        </w:rPr>
        <w:t>al trials, TD-1473, a gut-selective oral Janus kinase inhibitor (“JAKi”) in development for inflammatory intestinal disease in Crohn’s and ulcerative colitis, and ampreloxetine, a norepinephrine reuptake inhibitor (“NRI”) under evaluation for the treatment</w:t>
      </w:r>
      <w:r>
        <w:rPr>
          <w:sz w:val="20"/>
          <w:szCs w:val="20"/>
        </w:rPr>
        <w:t xml:space="preserve"> of symptomatic neurogenic orthostatic hypotension (“nOH”), which are further discussed below. The screening of new patients into these two trials was temporarily suspended for 4 weeks in order to prioritize ongoing support for patients who were already in</w:t>
      </w:r>
      <w:r>
        <w:rPr>
          <w:sz w:val="20"/>
          <w:szCs w:val="20"/>
        </w:rPr>
        <w:t xml:space="preserve"> screening and those who were already randomized. We implemented mitigation plans to help ensure patients in the clinical trials have continued access to drug supply and regular visits with their physicians for study visits per trial protocols. We continue</w:t>
      </w:r>
      <w:r>
        <w:rPr>
          <w:sz w:val="20"/>
          <w:szCs w:val="20"/>
        </w:rPr>
        <w:t xml:space="preserve"> to work to find means of reducing patient needs to travel to sites in hopes of avoiding unnecessary exposure while balancing safety monitoring of investigational products. The studies were able to continue randomizing patients into the studies, and the ra</w:t>
      </w:r>
      <w:r>
        <w:rPr>
          <w:sz w:val="20"/>
          <w:szCs w:val="20"/>
        </w:rPr>
        <w:t xml:space="preserve">ndomized patients were able to continue to receive study medication per the protocol requirements. </w:t>
      </w:r>
    </w:p>
    <w:p w:rsidR="00000000" w:rsidRDefault="00C96329">
      <w:pPr>
        <w:pStyle w:val="a3"/>
        <w:spacing w:before="0" w:beforeAutospacing="0" w:after="0" w:afterAutospacing="0"/>
        <w:ind w:firstLine="720"/>
        <w:divId w:val="2010398620"/>
        <w:rPr>
          <w:sz w:val="20"/>
          <w:szCs w:val="20"/>
        </w:rPr>
      </w:pPr>
      <w:r>
        <w:rPr>
          <w:sz w:val="20"/>
          <w:szCs w:val="20"/>
        </w:rPr>
        <w:t>​</w:t>
      </w:r>
    </w:p>
    <w:p w:rsidR="00000000" w:rsidRDefault="00C96329">
      <w:pPr>
        <w:pStyle w:val="a3"/>
        <w:spacing w:before="0" w:beforeAutospacing="0" w:after="0" w:afterAutospacing="0"/>
        <w:ind w:firstLine="720"/>
        <w:divId w:val="2010398620"/>
        <w:rPr>
          <w:sz w:val="20"/>
          <w:szCs w:val="20"/>
        </w:rPr>
      </w:pPr>
      <w:r>
        <w:rPr>
          <w:sz w:val="20"/>
          <w:szCs w:val="20"/>
        </w:rPr>
        <w:t>Screening of new patients resumed in mid-April 2020 in a controlled and measured fashion as individual sites confirm their ability to support the study re</w:t>
      </w:r>
      <w:r>
        <w:rPr>
          <w:sz w:val="20"/>
          <w:szCs w:val="20"/>
        </w:rPr>
        <w:t>quirements, and new patients are able to be assessed for their eligibility to participate in the studies. Given the global nature of the TD-1473 and ampreloxetine clinical programs, this will allow for flexibility as COVID-19 control measures take effect i</w:t>
      </w:r>
      <w:r>
        <w:rPr>
          <w:sz w:val="20"/>
          <w:szCs w:val="20"/>
        </w:rPr>
        <w:t>n different countries. The situation is expected to continue to evolve at different rates in different countries around the world in response to COVID-19 interventions, and as a result, it is not possible to provide an accurate re-estimation of expected co</w:t>
      </w:r>
      <w:r>
        <w:rPr>
          <w:sz w:val="20"/>
          <w:szCs w:val="20"/>
        </w:rPr>
        <w:t>mpletion dates for these programs at this time. However, we have seen a significant percentage of sites reopen to new patients globally.</w:t>
      </w:r>
    </w:p>
    <w:p w:rsidR="00000000" w:rsidRDefault="00C96329">
      <w:pPr>
        <w:pStyle w:val="a3"/>
        <w:spacing w:before="0" w:beforeAutospacing="0" w:after="0" w:afterAutospacing="0"/>
        <w:ind w:firstLine="720"/>
        <w:divId w:val="2010398620"/>
        <w:rPr>
          <w:sz w:val="20"/>
          <w:szCs w:val="20"/>
        </w:rPr>
      </w:pPr>
      <w:r>
        <w:rPr>
          <w:sz w:val="20"/>
          <w:szCs w:val="20"/>
        </w:rPr>
        <w:t>​</w:t>
      </w:r>
    </w:p>
    <w:p w:rsidR="00000000" w:rsidRDefault="00C96329">
      <w:pPr>
        <w:pStyle w:val="a3"/>
        <w:spacing w:before="0" w:beforeAutospacing="0" w:after="0" w:afterAutospacing="0"/>
        <w:ind w:firstLine="720"/>
        <w:jc w:val="both"/>
        <w:divId w:val="2010398620"/>
        <w:rPr>
          <w:sz w:val="20"/>
          <w:szCs w:val="20"/>
        </w:rPr>
      </w:pPr>
      <w:r>
        <w:rPr>
          <w:sz w:val="20"/>
          <w:szCs w:val="20"/>
        </w:rPr>
        <w:t>These challenges have resulted in delays in our late stage clinical programs for ampreloxetine and TD-1473. Despite t</w:t>
      </w:r>
      <w:r>
        <w:rPr>
          <w:sz w:val="20"/>
          <w:szCs w:val="20"/>
        </w:rPr>
        <w:t xml:space="preserve">hese challenges and delays, we continue to expect readouts in 2021 for both programs. TD-8236, our lung-selective dry powder inhaled pan-JAK inhibitor in development for inflammatory lung disease, is expected to report data from the asthma Phase 2 program </w:t>
      </w:r>
      <w:r>
        <w:rPr>
          <w:sz w:val="20"/>
          <w:szCs w:val="20"/>
        </w:rPr>
        <w:t>in the fourth quarter 2020.</w:t>
      </w:r>
    </w:p>
    <w:p w:rsidR="00000000" w:rsidRDefault="00C96329">
      <w:pPr>
        <w:pStyle w:val="a3"/>
        <w:spacing w:before="0" w:beforeAutospacing="0" w:after="0" w:afterAutospacing="0"/>
        <w:jc w:val="both"/>
        <w:divId w:val="2010398620"/>
        <w:rPr>
          <w:sz w:val="20"/>
          <w:szCs w:val="20"/>
        </w:rPr>
      </w:pPr>
      <w:r>
        <w:rPr>
          <w:sz w:val="20"/>
          <w:szCs w:val="20"/>
        </w:rPr>
        <w:t>​</w:t>
      </w:r>
    </w:p>
    <w:p w:rsidR="00000000" w:rsidRDefault="00C96329">
      <w:pPr>
        <w:pStyle w:val="a3"/>
        <w:spacing w:before="0" w:beforeAutospacing="0" w:after="0" w:afterAutospacing="0"/>
        <w:divId w:val="2010398620"/>
      </w:pPr>
      <w:r>
        <w:rPr>
          <w:sz w:val="20"/>
          <w:szCs w:val="20"/>
        </w:rPr>
        <w:t>During the second quarter of 2020, we progressed our pre-clinical candidate TD-0903 into the clinic at an accelerated pace in response to the COVID-19 pandemic. We designed TD-0903 to be a lung-selective nebulized JAKi with the intent of addressing lung hy</w:t>
      </w:r>
      <w:r>
        <w:rPr>
          <w:sz w:val="20"/>
          <w:szCs w:val="20"/>
        </w:rPr>
        <w:t xml:space="preserve">perinflammation in both the acute and chronic setting. In June 2020, we completed Phase 1 and entered a Phase 2 study in the United Kingdom (“UK”) to explore the potential of TD-0903 to treat hospitalized patients with Acute Lung Injury caused by COVID-19 </w:t>
      </w:r>
      <w:r>
        <w:rPr>
          <w:sz w:val="20"/>
          <w:szCs w:val="20"/>
        </w:rPr>
        <w:t>and prevent progression to Acute Respiratory Distress Syndrome and the need for assisted ventilation. To expedite enrollment in the study, we are opening additional sites in other regions including Europe and the US, pending approval by the relevant regula</w:t>
      </w:r>
      <w:r>
        <w:rPr>
          <w:sz w:val="20"/>
          <w:szCs w:val="20"/>
        </w:rPr>
        <w:t>tory agencies and ethics committees. We expect data from the Phase 2 trial in the fourth quarter of 2020.</w:t>
      </w:r>
    </w:p>
    <w:p w:rsidR="00000000" w:rsidRDefault="00C96329">
      <w:pPr>
        <w:pStyle w:val="a3"/>
        <w:spacing w:before="0" w:beforeAutospacing="0" w:after="0" w:afterAutospacing="0"/>
        <w:divId w:val="2010398620"/>
      </w:pPr>
      <w:r>
        <w:rPr>
          <w:i/>
          <w:iCs/>
          <w:sz w:val="20"/>
          <w:szCs w:val="20"/>
        </w:rPr>
        <w:t>​</w:t>
      </w:r>
    </w:p>
    <w:p w:rsidR="00000000" w:rsidRDefault="00C96329">
      <w:pPr>
        <w:pStyle w:val="a3"/>
        <w:spacing w:before="0" w:beforeAutospacing="0" w:after="0" w:afterAutospacing="0"/>
        <w:jc w:val="both"/>
        <w:divId w:val="2010398620"/>
        <w:rPr>
          <w:sz w:val="20"/>
          <w:szCs w:val="20"/>
        </w:rPr>
      </w:pPr>
      <w:r>
        <w:rPr>
          <w:b/>
          <w:bCs/>
          <w:i/>
          <w:iCs/>
          <w:sz w:val="20"/>
          <w:szCs w:val="20"/>
        </w:rPr>
        <w:t>Business Operations</w:t>
      </w:r>
    </w:p>
    <w:p w:rsidR="00000000" w:rsidRDefault="00C96329">
      <w:pPr>
        <w:pStyle w:val="a3"/>
        <w:spacing w:before="0" w:beforeAutospacing="0" w:after="0" w:afterAutospacing="0"/>
        <w:jc w:val="both"/>
        <w:divId w:val="2010398620"/>
        <w:rPr>
          <w:sz w:val="20"/>
          <w:szCs w:val="20"/>
        </w:rPr>
      </w:pPr>
      <w:r>
        <w:rPr>
          <w:sz w:val="10"/>
          <w:szCs w:val="10"/>
        </w:rPr>
        <w:t>​</w:t>
      </w:r>
    </w:p>
    <w:p w:rsidR="00000000" w:rsidRDefault="00C96329">
      <w:pPr>
        <w:pStyle w:val="a3"/>
        <w:spacing w:before="0" w:beforeAutospacing="0" w:after="0" w:afterAutospacing="0"/>
        <w:ind w:firstLine="720"/>
        <w:divId w:val="2010398620"/>
        <w:rPr>
          <w:sz w:val="20"/>
          <w:szCs w:val="20"/>
        </w:rPr>
      </w:pPr>
      <w:r>
        <w:rPr>
          <w:sz w:val="20"/>
          <w:szCs w:val="20"/>
        </w:rPr>
        <w:t>We continue to monitor the COVID-19 pandemic </w:t>
      </w:r>
      <w:r>
        <w:rPr>
          <w:sz w:val="20"/>
          <w:szCs w:val="20"/>
        </w:rPr>
        <w:t>and plan to continue taking steps to identify and mitigate the adverse impacts on, and risks to, our business posed by its spread and actions taken by governmental and health authorities to address the COVID-19 pandemic. The spread of COVID-19 has caused u</w:t>
      </w:r>
      <w:r>
        <w:rPr>
          <w:sz w:val="20"/>
          <w:szCs w:val="20"/>
        </w:rPr>
        <w:t>s to modify our business practices, including implementing a work from home policy for all employees, with the exception of key operations and lab personnel, since early March 2020. We have restricted all non-essential business travel, and we expect to con</w:t>
      </w:r>
      <w:r>
        <w:rPr>
          <w:sz w:val="20"/>
          <w:szCs w:val="20"/>
        </w:rPr>
        <w:t>tinue to implement measures as may be required or recommended by government authorities or as we determine are in the best interests of our employees, the patients we serve and other business partners in light of COVID-19.</w:t>
      </w:r>
    </w:p>
    <w:p w:rsidR="00000000" w:rsidRDefault="00C96329">
      <w:pPr>
        <w:pStyle w:val="a3"/>
        <w:spacing w:before="0" w:beforeAutospacing="0" w:after="0" w:afterAutospacing="0"/>
        <w:ind w:firstLine="720"/>
        <w:divId w:val="2010398620"/>
        <w:rPr>
          <w:sz w:val="20"/>
          <w:szCs w:val="20"/>
        </w:rPr>
      </w:pPr>
      <w:r>
        <w:rPr>
          <w:sz w:val="20"/>
          <w:szCs w:val="20"/>
        </w:rPr>
        <w:t>​</w:t>
      </w:r>
    </w:p>
    <w:p w:rsidR="00000000" w:rsidRDefault="00C96329">
      <w:pPr>
        <w:pStyle w:val="a3"/>
        <w:spacing w:before="360" w:beforeAutospacing="0" w:after="0" w:afterAutospacing="0"/>
        <w:jc w:val="center"/>
        <w:divId w:val="1816724395"/>
        <w:rPr>
          <w:sz w:val="20"/>
          <w:szCs w:val="20"/>
        </w:rPr>
      </w:pPr>
      <w:r>
        <w:rPr>
          <w:sz w:val="20"/>
          <w:szCs w:val="20"/>
        </w:rPr>
        <w:t>22</w:t>
      </w:r>
    </w:p>
    <w:p w:rsidR="00000000" w:rsidRDefault="00C96329">
      <w:pPr>
        <w:pStyle w:val="a3"/>
        <w:spacing w:before="0" w:beforeAutospacing="0" w:after="600" w:afterAutospacing="0"/>
        <w:divId w:val="267542800"/>
        <w:rPr>
          <w:sz w:val="20"/>
          <w:szCs w:val="20"/>
        </w:rPr>
      </w:pPr>
      <w:hyperlink w:anchor="TOC" w:history="1">
        <w:r>
          <w:rPr>
            <w:rStyle w:val="a4"/>
            <w:sz w:val="20"/>
            <w:szCs w:val="20"/>
          </w:rPr>
          <w:t>Ta</w:t>
        </w:r>
        <w:r>
          <w:rPr>
            <w:rStyle w:val="a4"/>
            <w:sz w:val="20"/>
            <w:szCs w:val="20"/>
          </w:rPr>
          <w:t>ble of Contents</w:t>
        </w:r>
      </w:hyperlink>
    </w:p>
    <w:p w:rsidR="00000000" w:rsidRDefault="00C96329">
      <w:pPr>
        <w:pStyle w:val="a3"/>
        <w:spacing w:before="0" w:beforeAutospacing="0" w:after="0" w:afterAutospacing="0"/>
        <w:divId w:val="1152988818"/>
        <w:rPr>
          <w:sz w:val="20"/>
          <w:szCs w:val="20"/>
        </w:rPr>
      </w:pPr>
      <w:r>
        <w:rPr>
          <w:sz w:val="20"/>
          <w:szCs w:val="20"/>
        </w:rPr>
        <w:t>We are well capitalized as of June 30, 2020, with $438.3 million in cash, cash equivalents, and investments in marketable securities (excluding restricted cash).</w:t>
      </w:r>
    </w:p>
    <w:p w:rsidR="00000000" w:rsidRDefault="00C96329">
      <w:pPr>
        <w:pStyle w:val="a3"/>
        <w:spacing w:before="0" w:beforeAutospacing="0" w:after="0" w:afterAutospacing="0"/>
        <w:divId w:val="1152988818"/>
        <w:rPr>
          <w:sz w:val="20"/>
          <w:szCs w:val="20"/>
        </w:rPr>
      </w:pPr>
      <w:r>
        <w:rPr>
          <w:sz w:val="20"/>
          <w:szCs w:val="20"/>
        </w:rPr>
        <w:t>​</w:t>
      </w:r>
    </w:p>
    <w:p w:rsidR="00000000" w:rsidRDefault="00C96329">
      <w:pPr>
        <w:pStyle w:val="a3"/>
        <w:spacing w:before="0" w:beforeAutospacing="0" w:after="0" w:afterAutospacing="0"/>
        <w:divId w:val="1152988818"/>
        <w:rPr>
          <w:sz w:val="20"/>
          <w:szCs w:val="20"/>
        </w:rPr>
      </w:pPr>
      <w:r>
        <w:rPr>
          <w:b/>
          <w:bCs/>
          <w:sz w:val="20"/>
          <w:szCs w:val="20"/>
        </w:rPr>
        <w:t>Program Highlights</w:t>
      </w:r>
    </w:p>
    <w:p w:rsidR="00000000" w:rsidRDefault="00C96329">
      <w:pPr>
        <w:pStyle w:val="a3"/>
        <w:spacing w:before="0" w:beforeAutospacing="0" w:after="0" w:afterAutospacing="0"/>
        <w:ind w:hanging="200"/>
        <w:divId w:val="1152988818"/>
        <w:rPr>
          <w:sz w:val="20"/>
          <w:szCs w:val="20"/>
        </w:rPr>
      </w:pPr>
      <w:r>
        <w:rPr>
          <w:b/>
          <w:bCs/>
          <w:i/>
          <w:iCs/>
          <w:sz w:val="20"/>
          <w:szCs w:val="20"/>
        </w:rPr>
        <w:t>​</w:t>
      </w:r>
    </w:p>
    <w:p w:rsidR="00000000" w:rsidRDefault="00C96329">
      <w:pPr>
        <w:pStyle w:val="a3"/>
        <w:spacing w:before="0" w:beforeAutospacing="0" w:after="0" w:afterAutospacing="0"/>
        <w:ind w:hanging="200"/>
        <w:divId w:val="1152988818"/>
        <w:rPr>
          <w:sz w:val="20"/>
          <w:szCs w:val="20"/>
        </w:rPr>
      </w:pPr>
      <w:r>
        <w:rPr>
          <w:b/>
          <w:bCs/>
          <w:i/>
          <w:iCs/>
          <w:sz w:val="20"/>
          <w:szCs w:val="20"/>
        </w:rPr>
        <w:t>YUPELR</w:t>
      </w:r>
      <w:r>
        <w:rPr>
          <w:b/>
          <w:bCs/>
          <w:i/>
          <w:iCs/>
          <w:sz w:val="20"/>
          <w:szCs w:val="20"/>
        </w:rPr>
        <w:t>I</w:t>
      </w:r>
      <w:r>
        <w:rPr>
          <w:b/>
          <w:bCs/>
          <w:i/>
          <w:iCs/>
          <w:sz w:val="15"/>
          <w:szCs w:val="15"/>
          <w:vertAlign w:val="superscript"/>
        </w:rPr>
        <w:t xml:space="preserve"> </w:t>
      </w:r>
      <w:r>
        <w:rPr>
          <w:b/>
          <w:bCs/>
          <w:i/>
          <w:iCs/>
          <w:sz w:val="20"/>
          <w:szCs w:val="20"/>
        </w:rPr>
        <w:t>(revefenacin) Inhalation Solution</w:t>
      </w:r>
    </w:p>
    <w:p w:rsidR="00000000" w:rsidRDefault="00C96329">
      <w:pPr>
        <w:pStyle w:val="a3"/>
        <w:spacing w:before="0" w:beforeAutospacing="0" w:after="0" w:afterAutospacing="0"/>
        <w:divId w:val="1152988818"/>
        <w:rPr>
          <w:sz w:val="20"/>
          <w:szCs w:val="20"/>
        </w:rPr>
      </w:pPr>
      <w:r>
        <w:rPr>
          <w:sz w:val="10"/>
          <w:szCs w:val="10"/>
        </w:rPr>
        <w:t>​</w:t>
      </w:r>
    </w:p>
    <w:p w:rsidR="00000000" w:rsidRDefault="00C96329">
      <w:pPr>
        <w:pStyle w:val="a3"/>
        <w:spacing w:before="0" w:beforeAutospacing="0" w:after="0" w:afterAutospacing="0"/>
        <w:ind w:firstLine="720"/>
        <w:divId w:val="1152988818"/>
        <w:rPr>
          <w:sz w:val="20"/>
          <w:szCs w:val="20"/>
        </w:rPr>
      </w:pPr>
      <w:r>
        <w:rPr>
          <w:sz w:val="20"/>
          <w:szCs w:val="20"/>
        </w:rPr>
        <w:t>YUPELRI (re</w:t>
      </w:r>
      <w:r>
        <w:rPr>
          <w:sz w:val="20"/>
          <w:szCs w:val="20"/>
        </w:rPr>
        <w:t>vefenacin) inhalation solution is a once-daily, nebulized long-acting muscarinic antagonist (“LAMA”) approved for the maintenance treatment of COPD in the US. LAMAs are recognized by international COPD treatment guidelines as a cornerstone of maintenance t</w:t>
      </w:r>
      <w:r>
        <w:rPr>
          <w:sz w:val="20"/>
          <w:szCs w:val="20"/>
        </w:rPr>
        <w:t>herapy for COPD, regardless of severity of disease. Our market research indicates there is an enduring population of COPD patients in the US that either need or prefer nebulized delivery for maintenance therapy. The stability of revefenacin in both metered</w:t>
      </w:r>
      <w:r>
        <w:rPr>
          <w:sz w:val="20"/>
          <w:szCs w:val="20"/>
        </w:rPr>
        <w:t xml:space="preserve"> dose inhaler and dry powder inhaler (“MDI/DPI”) formulations suggests that revefenacin could also serve as a foundation for novel handheld combination products. </w:t>
      </w:r>
    </w:p>
    <w:p w:rsidR="00000000" w:rsidRDefault="00C96329">
      <w:pPr>
        <w:pStyle w:val="a3"/>
        <w:spacing w:before="0" w:beforeAutospacing="0" w:after="0" w:afterAutospacing="0"/>
        <w:ind w:firstLine="720"/>
        <w:divId w:val="1152988818"/>
        <w:rPr>
          <w:sz w:val="20"/>
          <w:szCs w:val="20"/>
        </w:rPr>
      </w:pPr>
      <w:r>
        <w:rPr>
          <w:sz w:val="20"/>
          <w:szCs w:val="20"/>
        </w:rPr>
        <w:t>​</w:t>
      </w:r>
    </w:p>
    <w:p w:rsidR="00000000" w:rsidRDefault="00C96329">
      <w:pPr>
        <w:pStyle w:val="a3"/>
        <w:spacing w:before="0" w:beforeAutospacing="0" w:after="0" w:afterAutospacing="0"/>
        <w:ind w:firstLine="720"/>
        <w:divId w:val="1152988818"/>
        <w:rPr>
          <w:sz w:val="20"/>
          <w:szCs w:val="20"/>
        </w:rPr>
      </w:pPr>
      <w:r>
        <w:rPr>
          <w:sz w:val="20"/>
          <w:szCs w:val="20"/>
        </w:rPr>
        <w:t>In November 2018, YUPELRI was approved by the FDA for the maintenance treatment of patients</w:t>
      </w:r>
      <w:r>
        <w:rPr>
          <w:sz w:val="20"/>
          <w:szCs w:val="20"/>
        </w:rPr>
        <w:t xml:space="preserve"> with COPD. Following shipments into commercial channel in late 2018, we and Mylan formally launched our sales and marketing efforts in early 2019. As described above and in </w:t>
      </w:r>
      <w:r>
        <w:rPr>
          <w:i/>
          <w:iCs/>
          <w:sz w:val="20"/>
          <w:szCs w:val="20"/>
        </w:rPr>
        <w:t>Item 1A.</w:t>
      </w:r>
      <w:r>
        <w:rPr>
          <w:sz w:val="20"/>
          <w:szCs w:val="20"/>
        </w:rPr>
        <w:t xml:space="preserve"> </w:t>
      </w:r>
      <w:r>
        <w:rPr>
          <w:i/>
          <w:iCs/>
          <w:sz w:val="20"/>
          <w:szCs w:val="20"/>
        </w:rPr>
        <w:t>Risk Factor</w:t>
      </w:r>
      <w:r>
        <w:rPr>
          <w:sz w:val="20"/>
          <w:szCs w:val="20"/>
        </w:rPr>
        <w:t xml:space="preserve"> </w:t>
      </w:r>
      <w:r>
        <w:rPr>
          <w:i/>
          <w:iCs/>
          <w:sz w:val="20"/>
          <w:szCs w:val="20"/>
        </w:rPr>
        <w:t>entitled</w:t>
      </w:r>
      <w:r>
        <w:rPr>
          <w:sz w:val="20"/>
          <w:szCs w:val="20"/>
        </w:rPr>
        <w:t xml:space="preserve"> </w:t>
      </w:r>
      <w:r>
        <w:rPr>
          <w:i/>
          <w:iCs/>
          <w:sz w:val="20"/>
          <w:szCs w:val="20"/>
        </w:rPr>
        <w:t>“We face risks related to health epidemics, includin</w:t>
      </w:r>
      <w:r>
        <w:rPr>
          <w:i/>
          <w:iCs/>
          <w:sz w:val="20"/>
          <w:szCs w:val="20"/>
        </w:rPr>
        <w:t>g the recent COVID-19 pandemic, which could have a material adverse effect on our business and results of operations,”</w:t>
      </w:r>
      <w:r>
        <w:rPr>
          <w:sz w:val="20"/>
          <w:szCs w:val="20"/>
        </w:rPr>
        <w:t xml:space="preserve"> although YUPELRI net sales growth continued for the six months ended June 30, 2020 compared to the same period in 2019, the trajectory wa</w:t>
      </w:r>
      <w:r>
        <w:rPr>
          <w:sz w:val="20"/>
          <w:szCs w:val="20"/>
        </w:rPr>
        <w:t>s impacted by COVID-19, and we have observed increased volatility in YUPELRI sales. We are tracking several key performance metrics to gauge success in building early market acceptance, including formulary reviews, formulary wins and market access. Since l</w:t>
      </w:r>
      <w:r>
        <w:rPr>
          <w:sz w:val="20"/>
          <w:szCs w:val="20"/>
        </w:rPr>
        <w:t>aunch, YUPELRI has been accepted on 181 formularies that account for a total of approximately 350 institutional accounts. With respect to market access, we have confirmed commercial coverage of approximately 72% and Medicare Part B coverage for 100% of pat</w:t>
      </w:r>
      <w:r>
        <w:rPr>
          <w:sz w:val="20"/>
          <w:szCs w:val="20"/>
        </w:rPr>
        <w:t>ients. In May 2019, we announced that YUPELRI had been assigned a permanent unique Healthcare Common Procedure Coding System (“J-CODE”) ahead of schedule. The permanent J-CODE allows for full automation of prescription adjudication, simplifying the process</w:t>
      </w:r>
      <w:r>
        <w:rPr>
          <w:sz w:val="20"/>
          <w:szCs w:val="20"/>
        </w:rPr>
        <w:t xml:space="preserve"> for pharmacists and patients. </w:t>
      </w:r>
    </w:p>
    <w:p w:rsidR="00000000" w:rsidRDefault="00C96329">
      <w:pPr>
        <w:pStyle w:val="a3"/>
        <w:spacing w:before="0" w:beforeAutospacing="0" w:after="0" w:afterAutospacing="0"/>
        <w:divId w:val="1152988818"/>
        <w:rPr>
          <w:sz w:val="20"/>
          <w:szCs w:val="20"/>
        </w:rPr>
      </w:pPr>
      <w:r>
        <w:rPr>
          <w:sz w:val="20"/>
          <w:szCs w:val="20"/>
        </w:rPr>
        <w:t>​</w:t>
      </w:r>
    </w:p>
    <w:p w:rsidR="00000000" w:rsidRDefault="00C96329">
      <w:pPr>
        <w:pStyle w:val="a3"/>
        <w:spacing w:before="0" w:beforeAutospacing="0" w:after="0" w:afterAutospacing="0"/>
        <w:divId w:val="1152988818"/>
        <w:rPr>
          <w:sz w:val="20"/>
          <w:szCs w:val="20"/>
        </w:rPr>
      </w:pPr>
      <w:r>
        <w:rPr>
          <w:i/>
          <w:iCs/>
          <w:sz w:val="20"/>
          <w:szCs w:val="20"/>
        </w:rPr>
        <w:t>Mylan Collaboration</w:t>
      </w:r>
    </w:p>
    <w:p w:rsidR="00000000" w:rsidRDefault="00C96329">
      <w:pPr>
        <w:pStyle w:val="a3"/>
        <w:spacing w:before="0" w:beforeAutospacing="0" w:after="0" w:afterAutospacing="0"/>
        <w:divId w:val="1152988818"/>
        <w:rPr>
          <w:sz w:val="20"/>
          <w:szCs w:val="20"/>
        </w:rPr>
      </w:pPr>
      <w:r>
        <w:rPr>
          <w:sz w:val="10"/>
          <w:szCs w:val="10"/>
        </w:rPr>
        <w:t>​</w:t>
      </w:r>
    </w:p>
    <w:p w:rsidR="00000000" w:rsidRDefault="00C96329">
      <w:pPr>
        <w:pStyle w:val="a3"/>
        <w:spacing w:before="0" w:beforeAutospacing="0" w:after="0" w:afterAutospacing="0"/>
        <w:ind w:firstLine="720"/>
        <w:divId w:val="1152988818"/>
        <w:rPr>
          <w:sz w:val="20"/>
          <w:szCs w:val="20"/>
        </w:rPr>
      </w:pPr>
      <w:r>
        <w:rPr>
          <w:sz w:val="20"/>
          <w:szCs w:val="20"/>
        </w:rPr>
        <w:t>In January </w:t>
      </w:r>
      <w:r>
        <w:rPr>
          <w:sz w:val="20"/>
          <w:szCs w:val="20"/>
        </w:rPr>
        <w:t>2015, Mylan and we established a strategic collaboration for the development and commercialization of revefenacin. Partnering with a world leader in nebulized respiratory therapies enables us to expand the breadth of our revefenacin development program and</w:t>
      </w:r>
      <w:r>
        <w:rPr>
          <w:sz w:val="20"/>
          <w:szCs w:val="20"/>
        </w:rPr>
        <w:t xml:space="preserve"> extend our commercial reach beyond the acute care setting. Mylan funded the Phase 3 development program of YUPELRI, enabling us to advance other high value pipeline assets alongside YUPELRI.</w:t>
      </w:r>
    </w:p>
    <w:p w:rsidR="00000000" w:rsidRDefault="00C96329">
      <w:pPr>
        <w:pStyle w:val="a3"/>
        <w:spacing w:before="0" w:beforeAutospacing="0" w:after="0" w:afterAutospacing="0"/>
        <w:divId w:val="1152988818"/>
        <w:rPr>
          <w:sz w:val="20"/>
          <w:szCs w:val="20"/>
        </w:rPr>
      </w:pPr>
      <w:r>
        <w:rPr>
          <w:sz w:val="20"/>
          <w:szCs w:val="20"/>
        </w:rPr>
        <w:t>​</w:t>
      </w:r>
    </w:p>
    <w:p w:rsidR="00000000" w:rsidRDefault="00C96329">
      <w:pPr>
        <w:pStyle w:val="a3"/>
        <w:spacing w:before="0" w:beforeAutospacing="0" w:after="0" w:afterAutospacing="0"/>
        <w:ind w:firstLine="720"/>
        <w:divId w:val="1152988818"/>
        <w:rPr>
          <w:sz w:val="20"/>
          <w:szCs w:val="20"/>
        </w:rPr>
      </w:pPr>
      <w:r>
        <w:rPr>
          <w:sz w:val="20"/>
          <w:szCs w:val="20"/>
        </w:rPr>
        <w:t>Under the terms of the Mylan Development and Commercialization</w:t>
      </w:r>
      <w:r>
        <w:rPr>
          <w:sz w:val="20"/>
          <w:szCs w:val="20"/>
        </w:rPr>
        <w:t xml:space="preserve"> Agreement (the “Mylan Agreement”), Mylan and we co-develop revefenacin for COPD and other respiratory diseases. We led the US Phase 3 development program for YUPELRI in COPD, and Mylan was responsible for reimbursement of our costs related to the registra</w:t>
      </w:r>
      <w:r>
        <w:rPr>
          <w:sz w:val="20"/>
          <w:szCs w:val="20"/>
        </w:rPr>
        <w:t>tional program up until the approval of the first new drug application (“NDA”), after which costs are shared. With YUPELRI approved in the US, Mylan is leading commercialization, and we co-promote the product in the US under a profit and loss sharing arran</w:t>
      </w:r>
      <w:r>
        <w:rPr>
          <w:sz w:val="20"/>
          <w:szCs w:val="20"/>
        </w:rPr>
        <w:t>gement (65% to Mylan; 35% to Theravance Biopharma). Outside the US, Mylan is responsible for development and commercialization and will pay us a tiered royalty on net sales at percentage royalty rates ranging from low double-digits to mid-teens. As describ</w:t>
      </w:r>
      <w:r>
        <w:rPr>
          <w:sz w:val="20"/>
          <w:szCs w:val="20"/>
        </w:rPr>
        <w:t xml:space="preserve">ed above and in </w:t>
      </w:r>
      <w:r>
        <w:rPr>
          <w:i/>
          <w:iCs/>
          <w:sz w:val="20"/>
          <w:szCs w:val="20"/>
        </w:rPr>
        <w:t>Item 1A. Risk Factors,</w:t>
      </w:r>
      <w:r>
        <w:rPr>
          <w:sz w:val="20"/>
          <w:szCs w:val="20"/>
        </w:rPr>
        <w:t xml:space="preserve"> we currently expect to be cash-flow positive in the YUPELRI business by end-of the year, and we will continue to assess and evaluate the impact of the COVID-19 pandemic. At this stage, we are unable to predict the ult</w:t>
      </w:r>
      <w:r>
        <w:rPr>
          <w:sz w:val="20"/>
          <w:szCs w:val="20"/>
        </w:rPr>
        <w:t>imate disruptive impact of the COVID-19 pandemic on both YUPELRI and the rest of our business.</w:t>
      </w:r>
    </w:p>
    <w:p w:rsidR="00000000" w:rsidRDefault="00C96329">
      <w:pPr>
        <w:pStyle w:val="a3"/>
        <w:spacing w:before="0" w:beforeAutospacing="0" w:after="0" w:afterAutospacing="0"/>
        <w:divId w:val="1152988818"/>
        <w:rPr>
          <w:sz w:val="20"/>
          <w:szCs w:val="20"/>
        </w:rPr>
      </w:pPr>
      <w:r>
        <w:rPr>
          <w:sz w:val="20"/>
          <w:szCs w:val="20"/>
        </w:rPr>
        <w:t>​</w:t>
      </w:r>
    </w:p>
    <w:p w:rsidR="00000000" w:rsidRDefault="00C96329">
      <w:pPr>
        <w:pStyle w:val="a3"/>
        <w:spacing w:before="0" w:beforeAutospacing="0" w:after="0" w:afterAutospacing="0"/>
        <w:ind w:firstLine="720"/>
        <w:divId w:val="1152988818"/>
        <w:rPr>
          <w:sz w:val="20"/>
          <w:szCs w:val="20"/>
        </w:rPr>
      </w:pPr>
      <w:r>
        <w:rPr>
          <w:sz w:val="20"/>
          <w:szCs w:val="20"/>
        </w:rPr>
        <w:t xml:space="preserve">In February 2016, we earned a $15.0 million development milestone payment for achieving 50% enrollment in the Phase 3 twelve-month safety study, and </w:t>
      </w:r>
      <w:r>
        <w:rPr>
          <w:sz w:val="20"/>
          <w:szCs w:val="20"/>
          <w:shd w:val="clear" w:color="auto" w:fill="FFFFFF"/>
        </w:rPr>
        <w:t>in June 20</w:t>
      </w:r>
      <w:r>
        <w:rPr>
          <w:sz w:val="20"/>
          <w:szCs w:val="20"/>
          <w:shd w:val="clear" w:color="auto" w:fill="FFFFFF"/>
        </w:rPr>
        <w:t>19, we announced the expansion of the Mylan Agreement to grant Mylan exclusive development and commercialization rights to nebulized revefenacin in China and adjacent territories, which include Hong Kong SAR, the Macau SAR, and Taiwan. In exchange, we rece</w:t>
      </w:r>
      <w:r>
        <w:rPr>
          <w:sz w:val="20"/>
          <w:szCs w:val="20"/>
          <w:shd w:val="clear" w:color="auto" w:fill="FFFFFF"/>
        </w:rPr>
        <w:t>ived an upfront payment of $18.5 million (before a required tax withholding) and will be eligible to receive additional potential development and sales milestones totaling $54.0 million and low double-digit tiered royalties on net sales of nebulized revefe</w:t>
      </w:r>
      <w:r>
        <w:rPr>
          <w:sz w:val="20"/>
          <w:szCs w:val="20"/>
          <w:shd w:val="clear" w:color="auto" w:fill="FFFFFF"/>
        </w:rPr>
        <w:t>nacin, if approved. In March 2020, we earned a $1.5 million development milestone for the acceptance of a clinical trial application associated with the use of YUPELRI monotherapy in China and adjacent territories. Mylan is responsible for all aspects of d</w:t>
      </w:r>
      <w:r>
        <w:rPr>
          <w:sz w:val="20"/>
          <w:szCs w:val="20"/>
          <w:shd w:val="clear" w:color="auto" w:fill="FFFFFF"/>
        </w:rPr>
        <w:t xml:space="preserve">evelopment and commercialization in </w:t>
      </w:r>
    </w:p>
    <w:p w:rsidR="00000000" w:rsidRDefault="00C96329">
      <w:pPr>
        <w:pStyle w:val="a3"/>
        <w:spacing w:before="360" w:beforeAutospacing="0" w:after="0" w:afterAutospacing="0"/>
        <w:jc w:val="center"/>
        <w:divId w:val="232738281"/>
        <w:rPr>
          <w:sz w:val="20"/>
          <w:szCs w:val="20"/>
        </w:rPr>
      </w:pPr>
      <w:r>
        <w:rPr>
          <w:sz w:val="20"/>
          <w:szCs w:val="20"/>
        </w:rPr>
        <w:t>23</w:t>
      </w:r>
    </w:p>
    <w:p w:rsidR="00000000" w:rsidRDefault="00C96329">
      <w:pPr>
        <w:pStyle w:val="a3"/>
        <w:spacing w:before="0" w:beforeAutospacing="0" w:after="600" w:afterAutospacing="0"/>
        <w:divId w:val="159275279"/>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694574567"/>
        <w:rPr>
          <w:sz w:val="20"/>
          <w:szCs w:val="20"/>
        </w:rPr>
      </w:pPr>
      <w:r>
        <w:rPr>
          <w:sz w:val="20"/>
          <w:szCs w:val="20"/>
          <w:shd w:val="clear" w:color="auto" w:fill="FFFFFF"/>
        </w:rPr>
        <w:t xml:space="preserve">the partnered regions, including pre- and post-launch activities and product registration and all associated costs. </w:t>
      </w:r>
      <w:r>
        <w:rPr>
          <w:sz w:val="20"/>
          <w:szCs w:val="20"/>
        </w:rPr>
        <w:t>We retain worldwide rights to revefenacin delivered thro</w:t>
      </w:r>
      <w:r>
        <w:rPr>
          <w:sz w:val="20"/>
          <w:szCs w:val="20"/>
        </w:rPr>
        <w:t>ugh other dosage forms, such as a MDI/DPI.</w:t>
      </w:r>
    </w:p>
    <w:p w:rsidR="00000000" w:rsidRDefault="00C96329">
      <w:pPr>
        <w:pStyle w:val="a3"/>
        <w:spacing w:before="0" w:beforeAutospacing="0" w:after="0" w:afterAutospacing="0"/>
        <w:divId w:val="694574567"/>
        <w:rPr>
          <w:sz w:val="20"/>
          <w:szCs w:val="20"/>
        </w:rPr>
      </w:pPr>
      <w:r>
        <w:rPr>
          <w:sz w:val="20"/>
          <w:szCs w:val="20"/>
        </w:rPr>
        <w:t>​</w:t>
      </w:r>
    </w:p>
    <w:p w:rsidR="00000000" w:rsidRDefault="00C96329">
      <w:pPr>
        <w:pStyle w:val="a3"/>
        <w:spacing w:before="0" w:beforeAutospacing="0" w:after="0" w:afterAutospacing="0"/>
        <w:ind w:firstLine="720"/>
        <w:divId w:val="694574567"/>
        <w:rPr>
          <w:sz w:val="20"/>
          <w:szCs w:val="20"/>
        </w:rPr>
      </w:pPr>
      <w:r>
        <w:rPr>
          <w:sz w:val="20"/>
          <w:szCs w:val="20"/>
        </w:rPr>
        <w:t>Under the Mylan Agreement, as of June 30, 2020, we are eligible to receive from Mylan potential global development, regulatory and sales milestone payments totaling up to $257.5 million in the aggregate (excludi</w:t>
      </w:r>
      <w:r>
        <w:rPr>
          <w:sz w:val="20"/>
          <w:szCs w:val="20"/>
        </w:rPr>
        <w:t>ng the aggregate $16.5 million in earned milestones noted above) with $205.0 million associated with YUPELRI monotherapy and $52.5 million associated with future potential combination products. Of the $205.0 million associated with monotherapy, $187.5 mill</w:t>
      </w:r>
      <w:r>
        <w:rPr>
          <w:sz w:val="20"/>
          <w:szCs w:val="20"/>
        </w:rPr>
        <w:t>ion relates to sales milestones based on achieving certain levels of net sales and $17.5 million relates to global development and regulatory actions. The $52.5 million associated with future potential combination products relates solely to global developm</w:t>
      </w:r>
      <w:r>
        <w:rPr>
          <w:sz w:val="20"/>
          <w:szCs w:val="20"/>
        </w:rPr>
        <w:t>ent and regulatory actions. We do not expect to earn any additional development milestone or sales milestone payments from Mylan in 2020.</w:t>
      </w:r>
    </w:p>
    <w:p w:rsidR="00000000" w:rsidRDefault="00C96329">
      <w:pPr>
        <w:pStyle w:val="a3"/>
        <w:spacing w:before="0" w:beforeAutospacing="0" w:after="0" w:afterAutospacing="0"/>
        <w:ind w:firstLine="720"/>
        <w:divId w:val="694574567"/>
        <w:rPr>
          <w:sz w:val="20"/>
          <w:szCs w:val="20"/>
        </w:rPr>
      </w:pPr>
      <w:r>
        <w:rPr>
          <w:sz w:val="20"/>
          <w:szCs w:val="20"/>
        </w:rPr>
        <w:t>​</w:t>
      </w:r>
    </w:p>
    <w:p w:rsidR="00000000" w:rsidRDefault="00C96329">
      <w:pPr>
        <w:pStyle w:val="a3"/>
        <w:spacing w:before="0" w:beforeAutospacing="0" w:after="0" w:afterAutospacing="0"/>
        <w:divId w:val="694574567"/>
        <w:rPr>
          <w:sz w:val="20"/>
          <w:szCs w:val="20"/>
        </w:rPr>
      </w:pPr>
      <w:r>
        <w:rPr>
          <w:b/>
          <w:bCs/>
          <w:i/>
          <w:iCs/>
          <w:sz w:val="20"/>
          <w:szCs w:val="20"/>
        </w:rPr>
        <w:t>Lung-selective, Nebulized Pan-Janus Kinase (JAK) Inhibitor (TD-0903)</w:t>
      </w:r>
    </w:p>
    <w:p w:rsidR="00000000" w:rsidRDefault="00C96329">
      <w:pPr>
        <w:pStyle w:val="a3"/>
        <w:spacing w:before="0" w:beforeAutospacing="0" w:after="0" w:afterAutospacing="0"/>
        <w:ind w:firstLine="720"/>
        <w:divId w:val="694574567"/>
        <w:rPr>
          <w:sz w:val="20"/>
          <w:szCs w:val="20"/>
        </w:rPr>
      </w:pPr>
      <w:r>
        <w:rPr>
          <w:sz w:val="10"/>
          <w:szCs w:val="10"/>
        </w:rPr>
        <w:t>​</w:t>
      </w:r>
    </w:p>
    <w:p w:rsidR="00000000" w:rsidRDefault="00C96329">
      <w:pPr>
        <w:pStyle w:val="a3"/>
        <w:spacing w:before="0" w:beforeAutospacing="0" w:after="0" w:afterAutospacing="0"/>
        <w:ind w:firstLine="720"/>
        <w:divId w:val="694574567"/>
        <w:rPr>
          <w:sz w:val="20"/>
          <w:szCs w:val="20"/>
        </w:rPr>
      </w:pPr>
      <w:r>
        <w:rPr>
          <w:sz w:val="20"/>
          <w:szCs w:val="20"/>
        </w:rPr>
        <w:t xml:space="preserve">TD-0903 is a lung-selective, nebulized Janus </w:t>
      </w:r>
      <w:r>
        <w:rPr>
          <w:sz w:val="20"/>
          <w:szCs w:val="20"/>
        </w:rPr>
        <w:t>kinase inhibitor (“JAKi”), in clinical development for the potential treatment of hospitalized patients with Acute Lung Injury (“ALI”) caused by COVID-19. We believe TD-0903 has the potential to inhibit the cytokine storm associated with ALI and prevent pr</w:t>
      </w:r>
      <w:r>
        <w:rPr>
          <w:sz w:val="20"/>
          <w:szCs w:val="20"/>
        </w:rPr>
        <w:t>ogression to Acute Respiratory Distress Syndrome (“ARDS”). The first healthy volunteer was dosed in a Phase 1 study of TD-0903 on April 23, 2020, and in June 2020, we completed Phase 1 and entered a Phase 2 study in the UK. Phase 2 is designed to explore t</w:t>
      </w:r>
      <w:r>
        <w:rPr>
          <w:sz w:val="20"/>
          <w:szCs w:val="20"/>
        </w:rPr>
        <w:t>he potential of TD-0903 to treat hospitalized patients with ALI caused by COVID-19 and prevent progression to ARDS and the need for assisted ventilation. To expedite enrollment in the study, we are opening additional sites in other regions including Europe</w:t>
      </w:r>
      <w:r>
        <w:rPr>
          <w:sz w:val="20"/>
          <w:szCs w:val="20"/>
        </w:rPr>
        <w:t xml:space="preserve"> and the US, pending approval by the relevant regulatory agencies and ethics committees. We expect data from the Phase 2 trial in the fourth quarter of 2020.</w:t>
      </w:r>
    </w:p>
    <w:p w:rsidR="00000000" w:rsidRDefault="00C96329">
      <w:pPr>
        <w:pStyle w:val="a3"/>
        <w:spacing w:before="0" w:beforeAutospacing="0" w:after="0" w:afterAutospacing="0"/>
        <w:ind w:firstLine="720"/>
        <w:divId w:val="694574567"/>
        <w:rPr>
          <w:sz w:val="20"/>
          <w:szCs w:val="20"/>
        </w:rPr>
      </w:pPr>
      <w:r>
        <w:rPr>
          <w:sz w:val="20"/>
          <w:szCs w:val="20"/>
        </w:rPr>
        <w:t>​</w:t>
      </w:r>
    </w:p>
    <w:p w:rsidR="00000000" w:rsidRDefault="00C96329">
      <w:pPr>
        <w:pStyle w:val="a3"/>
        <w:spacing w:before="0" w:beforeAutospacing="0" w:after="0" w:afterAutospacing="0"/>
        <w:ind w:firstLine="720"/>
        <w:divId w:val="694574567"/>
        <w:rPr>
          <w:sz w:val="20"/>
          <w:szCs w:val="20"/>
        </w:rPr>
      </w:pPr>
      <w:r>
        <w:rPr>
          <w:sz w:val="20"/>
          <w:szCs w:val="20"/>
        </w:rPr>
        <w:t>We discovered and developed TD-0903, and it has been shown in experimental murine models to have</w:t>
      </w:r>
      <w:r>
        <w:rPr>
          <w:sz w:val="20"/>
          <w:szCs w:val="20"/>
        </w:rPr>
        <w:t xml:space="preserve"> potent, broad inhibition of JAK-STAT signaling in the airways following challenges with multiple cytokines. By its mechanism, TD-0903 has the potential to block release of cytokines and chemokines that may be associated with ALI and the initiation of a cy</w:t>
      </w:r>
      <w:r>
        <w:rPr>
          <w:sz w:val="20"/>
          <w:szCs w:val="20"/>
        </w:rPr>
        <w:t>tokine storm syndrome. Preclinical studies suggest that TD-0903 has a very high lung to plasma ratio and rapid metabolic clearance resulting in low systemic exposure, compatible with its lung selectivity. TD-0903 is administered via nebulized inhalation so</w:t>
      </w:r>
      <w:r>
        <w:rPr>
          <w:sz w:val="20"/>
          <w:szCs w:val="20"/>
        </w:rPr>
        <w:t xml:space="preserve">lution, which further enhances its lung selectivity. Preclinical pharmacodynamic studies indicate that TD-0903 has an extended duration of action that should enable once or twice daily dosing in humans. </w:t>
      </w:r>
    </w:p>
    <w:p w:rsidR="00000000" w:rsidRDefault="00C96329">
      <w:pPr>
        <w:pStyle w:val="a3"/>
        <w:spacing w:before="0" w:beforeAutospacing="0" w:after="0" w:afterAutospacing="0"/>
        <w:divId w:val="694574567"/>
        <w:rPr>
          <w:sz w:val="20"/>
          <w:szCs w:val="20"/>
        </w:rPr>
      </w:pPr>
      <w:r>
        <w:rPr>
          <w:sz w:val="20"/>
          <w:szCs w:val="20"/>
        </w:rPr>
        <w:t>​</w:t>
      </w:r>
    </w:p>
    <w:p w:rsidR="00000000" w:rsidRDefault="00C96329">
      <w:pPr>
        <w:pStyle w:val="a3"/>
        <w:spacing w:before="0" w:beforeAutospacing="0" w:after="0" w:afterAutospacing="0"/>
        <w:divId w:val="694574567"/>
        <w:rPr>
          <w:sz w:val="20"/>
          <w:szCs w:val="20"/>
        </w:rPr>
      </w:pPr>
      <w:r>
        <w:rPr>
          <w:b/>
          <w:bCs/>
          <w:i/>
          <w:iCs/>
          <w:sz w:val="20"/>
          <w:szCs w:val="20"/>
        </w:rPr>
        <w:t>Ampreloxetine (TD-9855)</w:t>
      </w:r>
    </w:p>
    <w:p w:rsidR="00000000" w:rsidRDefault="00C96329">
      <w:pPr>
        <w:pStyle w:val="a3"/>
        <w:spacing w:before="0" w:beforeAutospacing="0" w:after="0" w:afterAutospacing="0"/>
        <w:divId w:val="694574567"/>
        <w:rPr>
          <w:sz w:val="20"/>
          <w:szCs w:val="20"/>
        </w:rPr>
      </w:pPr>
      <w:r>
        <w:rPr>
          <w:b/>
          <w:bCs/>
          <w:sz w:val="10"/>
          <w:szCs w:val="10"/>
        </w:rPr>
        <w:t>​</w:t>
      </w:r>
    </w:p>
    <w:p w:rsidR="00000000" w:rsidRDefault="00C96329">
      <w:pPr>
        <w:pStyle w:val="a3"/>
        <w:spacing w:before="0" w:beforeAutospacing="0" w:after="0" w:afterAutospacing="0"/>
        <w:ind w:firstLine="720"/>
        <w:divId w:val="694574567"/>
        <w:rPr>
          <w:sz w:val="20"/>
          <w:szCs w:val="20"/>
        </w:rPr>
      </w:pPr>
      <w:r>
        <w:rPr>
          <w:sz w:val="20"/>
          <w:szCs w:val="20"/>
        </w:rPr>
        <w:t>Ampreloxetine is an inve</w:t>
      </w:r>
      <w:r>
        <w:rPr>
          <w:sz w:val="20"/>
          <w:szCs w:val="20"/>
        </w:rPr>
        <w:t>stigational, once-daily norepinephrine reuptake inhibitor (“NRI”) being developed for the treatment of patients with symptomatic neurogenic orthostatic hypotension (“nOH”). nOH is caused by primary autonomic failure conditions, including multiple system at</w:t>
      </w:r>
      <w:r>
        <w:rPr>
          <w:sz w:val="20"/>
          <w:szCs w:val="20"/>
        </w:rPr>
        <w:t>rophy, Parkinson’s disease and pure autonomic failure. The compound has high affinity for binding to norepinephrine transporters. By blocking the action of these transporters, ampreloxetine causes an increase in extracellular concentrations of norepinephri</w:t>
      </w:r>
      <w:r>
        <w:rPr>
          <w:sz w:val="20"/>
          <w:szCs w:val="20"/>
        </w:rPr>
        <w:t>ne.</w:t>
      </w:r>
    </w:p>
    <w:p w:rsidR="00000000" w:rsidRDefault="00C96329">
      <w:pPr>
        <w:pStyle w:val="a3"/>
        <w:spacing w:before="0" w:beforeAutospacing="0" w:after="0" w:afterAutospacing="0"/>
        <w:divId w:val="694574567"/>
        <w:rPr>
          <w:sz w:val="20"/>
          <w:szCs w:val="20"/>
        </w:rPr>
      </w:pPr>
      <w:r>
        <w:rPr>
          <w:sz w:val="20"/>
          <w:szCs w:val="20"/>
        </w:rPr>
        <w:t>​</w:t>
      </w:r>
    </w:p>
    <w:p w:rsidR="00000000" w:rsidRDefault="00C96329">
      <w:pPr>
        <w:pStyle w:val="a3"/>
        <w:spacing w:before="0" w:beforeAutospacing="0" w:after="0" w:afterAutospacing="0"/>
        <w:ind w:firstLine="720"/>
        <w:divId w:val="694574567"/>
        <w:rPr>
          <w:sz w:val="20"/>
          <w:szCs w:val="20"/>
        </w:rPr>
      </w:pPr>
      <w:r>
        <w:rPr>
          <w:sz w:val="20"/>
          <w:szCs w:val="20"/>
        </w:rPr>
        <w:t>Based on positive top-line four-week results from a small exploratory Phase 2 study in nOH and discussions with the FDA, we advanced ampreloxetine into a Phase 3 program. The Phase 3 program includes two studies. The first study (SEQUOIA) is a four-w</w:t>
      </w:r>
      <w:r>
        <w:rPr>
          <w:sz w:val="20"/>
          <w:szCs w:val="20"/>
        </w:rPr>
        <w:t xml:space="preserve">eek, randomized double-blind, placebo-controlled study designed to evaluate the efficacy and safety of ampreloxetine in patients with symptomatic nOH. The second study (REDWOOD) is a four-month open label study followed by a six-week randomized withdrawal </w:t>
      </w:r>
      <w:r>
        <w:rPr>
          <w:sz w:val="20"/>
          <w:szCs w:val="20"/>
        </w:rPr>
        <w:t xml:space="preserve">phase to evaluate the durability of patient response of ampreloxetine. We announced the initiation of patient dosing in each Phase 3 study in early 2019. As described above and in </w:t>
      </w:r>
      <w:r>
        <w:rPr>
          <w:i/>
          <w:iCs/>
          <w:sz w:val="20"/>
          <w:szCs w:val="20"/>
        </w:rPr>
        <w:t>Item 1A. Risk Factors</w:t>
      </w:r>
      <w:r>
        <w:rPr>
          <w:sz w:val="20"/>
          <w:szCs w:val="20"/>
        </w:rPr>
        <w:t>, the COVID-19 pandemic has impacted the timeline for o</w:t>
      </w:r>
      <w:r>
        <w:rPr>
          <w:sz w:val="20"/>
          <w:szCs w:val="20"/>
        </w:rPr>
        <w:t>ur clinical trials. Given the ongoing COVID-19 pandemic and the fragility of the patient population, we, with input from the FDA and other regulators and ethics committees, are working to amend the protocols for these clinical trials to accommodate a decen</w:t>
      </w:r>
      <w:r>
        <w:rPr>
          <w:sz w:val="20"/>
          <w:szCs w:val="20"/>
        </w:rPr>
        <w:t>tralized approach in which patients can participate in the studies from home without needing to attend clinic visits. While results from the Phase 3 four-week efficacy study were originally planned for late 2020, we now expect the SEQUOIA study to report d</w:t>
      </w:r>
      <w:r>
        <w:rPr>
          <w:sz w:val="20"/>
          <w:szCs w:val="20"/>
        </w:rPr>
        <w:t>ata in 2021, and we are evaluating the impact on the REDWOOD study that follows it.</w:t>
      </w:r>
    </w:p>
    <w:p w:rsidR="00000000" w:rsidRDefault="00C96329">
      <w:pPr>
        <w:pStyle w:val="a3"/>
        <w:spacing w:before="0" w:beforeAutospacing="0" w:after="0" w:afterAutospacing="0"/>
        <w:ind w:firstLine="720"/>
        <w:divId w:val="694574567"/>
        <w:rPr>
          <w:sz w:val="20"/>
          <w:szCs w:val="20"/>
        </w:rPr>
      </w:pPr>
      <w:r>
        <w:rPr>
          <w:sz w:val="20"/>
          <w:szCs w:val="20"/>
        </w:rPr>
        <w:t>​</w:t>
      </w:r>
    </w:p>
    <w:p w:rsidR="00000000" w:rsidRDefault="00C96329">
      <w:pPr>
        <w:pStyle w:val="a3"/>
        <w:spacing w:before="360" w:beforeAutospacing="0" w:after="0" w:afterAutospacing="0"/>
        <w:jc w:val="center"/>
        <w:divId w:val="471797091"/>
        <w:rPr>
          <w:sz w:val="20"/>
          <w:szCs w:val="20"/>
        </w:rPr>
      </w:pPr>
      <w:r>
        <w:rPr>
          <w:sz w:val="20"/>
          <w:szCs w:val="20"/>
        </w:rPr>
        <w:t>24</w:t>
      </w:r>
    </w:p>
    <w:p w:rsidR="00000000" w:rsidRDefault="00C96329">
      <w:pPr>
        <w:pStyle w:val="a3"/>
        <w:spacing w:before="0" w:beforeAutospacing="0" w:after="600" w:afterAutospacing="0"/>
        <w:divId w:val="216400455"/>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1927153862"/>
        <w:rPr>
          <w:sz w:val="20"/>
          <w:szCs w:val="20"/>
        </w:rPr>
      </w:pPr>
      <w:r>
        <w:rPr>
          <w:b/>
          <w:bCs/>
          <w:i/>
          <w:iCs/>
          <w:sz w:val="20"/>
          <w:szCs w:val="20"/>
        </w:rPr>
        <w:t xml:space="preserve">Gut-selective Pan-JAK Inhibitor Program (TD-1473) </w:t>
      </w:r>
    </w:p>
    <w:p w:rsidR="00000000" w:rsidRDefault="00C96329">
      <w:pPr>
        <w:pStyle w:val="a3"/>
        <w:spacing w:before="0" w:beforeAutospacing="0" w:after="0" w:afterAutospacing="0"/>
        <w:divId w:val="1927153862"/>
        <w:rPr>
          <w:sz w:val="20"/>
          <w:szCs w:val="20"/>
        </w:rPr>
      </w:pPr>
      <w:r>
        <w:rPr>
          <w:b/>
          <w:bCs/>
          <w:sz w:val="10"/>
          <w:szCs w:val="10"/>
        </w:rPr>
        <w:t>​</w:t>
      </w:r>
    </w:p>
    <w:p w:rsidR="00000000" w:rsidRDefault="00C96329">
      <w:pPr>
        <w:pStyle w:val="a3"/>
        <w:spacing w:before="0" w:beforeAutospacing="0" w:after="0" w:afterAutospacing="0"/>
        <w:ind w:firstLine="720"/>
        <w:divId w:val="1927153862"/>
        <w:rPr>
          <w:sz w:val="20"/>
          <w:szCs w:val="20"/>
        </w:rPr>
      </w:pPr>
      <w:r>
        <w:rPr>
          <w:sz w:val="20"/>
          <w:szCs w:val="20"/>
        </w:rPr>
        <w:t>JAK inhibitors function by inhibiting the activity of one or more of the Janus kinase family of enzymes (JAK1, JAK2, JAK3, TYK2) that play a key role in cytokine signaling. Inhibiting these JAK enzymes interferes with the JAK/STAT signaling pathway and, in</w:t>
      </w:r>
      <w:r>
        <w:rPr>
          <w:sz w:val="20"/>
          <w:szCs w:val="20"/>
        </w:rPr>
        <w:t xml:space="preserve"> turn, modulates the activity of a wide range of pro-inflammatory cytokines. JAK inhibitors are currently approved for the treatment of rheumatoid arthritis, myelofibrosis, and ulcerative colitis and have demonstrated therapeutic benefit for patients with </w:t>
      </w:r>
      <w:r>
        <w:rPr>
          <w:sz w:val="20"/>
          <w:szCs w:val="20"/>
        </w:rPr>
        <w:t xml:space="preserve">Crohn’s disease. However, these products are known to have side effects based on their systemic exposure. In TD-1473, our program goal is to develop an orally administered, gut-selective pan-JAK inhibitor specifically designed to distribute adequately and </w:t>
      </w:r>
      <w:r>
        <w:rPr>
          <w:sz w:val="20"/>
          <w:szCs w:val="20"/>
        </w:rPr>
        <w:t>predominantly to the tissues of the intestinal tract, treating inflammation in those tissues while minimizing systemic exposure. We believe TD-1473 could be a potential treatment for a range of inflammatory intestinal diseases, and it is in development for</w:t>
      </w:r>
      <w:r>
        <w:rPr>
          <w:sz w:val="20"/>
          <w:szCs w:val="20"/>
        </w:rPr>
        <w:t xml:space="preserve"> the treatment of ulcerative colitis and Crohn’s disease. </w:t>
      </w:r>
    </w:p>
    <w:p w:rsidR="00000000" w:rsidRDefault="00C96329">
      <w:pPr>
        <w:pStyle w:val="a3"/>
        <w:spacing w:before="0" w:beforeAutospacing="0" w:after="0" w:afterAutospacing="0"/>
        <w:ind w:firstLine="720"/>
        <w:divId w:val="1927153862"/>
        <w:rPr>
          <w:sz w:val="20"/>
          <w:szCs w:val="20"/>
        </w:rPr>
      </w:pPr>
      <w:r>
        <w:rPr>
          <w:sz w:val="20"/>
          <w:szCs w:val="20"/>
        </w:rPr>
        <w:t>​</w:t>
      </w:r>
    </w:p>
    <w:p w:rsidR="00000000" w:rsidRDefault="00C96329">
      <w:pPr>
        <w:pStyle w:val="a3"/>
        <w:spacing w:before="0" w:beforeAutospacing="0" w:after="0" w:afterAutospacing="0"/>
        <w:ind w:firstLine="720"/>
        <w:divId w:val="1927153862"/>
        <w:rPr>
          <w:sz w:val="20"/>
          <w:szCs w:val="20"/>
        </w:rPr>
      </w:pPr>
      <w:r>
        <w:rPr>
          <w:sz w:val="20"/>
          <w:szCs w:val="20"/>
        </w:rPr>
        <w:t>Based on positive results from a Phase 1b exploratory study in ulcerative colitis and following dialogues with the FDA and European Medicines Agency (“EMA”) regarding study design, we advanced TD</w:t>
      </w:r>
      <w:r>
        <w:rPr>
          <w:sz w:val="20"/>
          <w:szCs w:val="20"/>
        </w:rPr>
        <w:t>-1473 into two clinical studies in inflammatory intestinal diseases. The Phase 2 (DIONE) study is a twelve-week randomized, double-blind, placebo-controlled study designed to evaluate the efficacy and safety of patients with Crohn’s disease, which began do</w:t>
      </w:r>
      <w:r>
        <w:rPr>
          <w:sz w:val="20"/>
          <w:szCs w:val="20"/>
        </w:rPr>
        <w:t>sing patients in late 2018. The Phase 2b/3 (RHEA) study is a randomized, double-blind, placebo-controlled study to evaluate the efficacy and safety of eight weeks induction and 44 weeks maintenance therapy in patients with ulcerative colitis, which began d</w:t>
      </w:r>
      <w:r>
        <w:rPr>
          <w:sz w:val="20"/>
          <w:szCs w:val="20"/>
        </w:rPr>
        <w:t xml:space="preserve">osing patients in early 2019. As described above and in </w:t>
      </w:r>
      <w:r>
        <w:rPr>
          <w:i/>
          <w:iCs/>
          <w:sz w:val="20"/>
          <w:szCs w:val="20"/>
        </w:rPr>
        <w:t>Item 1A. Risk Factors,</w:t>
      </w:r>
      <w:r>
        <w:rPr>
          <w:sz w:val="20"/>
          <w:szCs w:val="20"/>
        </w:rPr>
        <w:t xml:space="preserve"> the COVID-19 pandemic has impacted the timeline for our clinical trials. Data from the Phase 2b portion of the ulcerative colitis and Phase 2 Crohn’s disease studies is expected</w:t>
      </w:r>
      <w:r>
        <w:rPr>
          <w:sz w:val="20"/>
          <w:szCs w:val="20"/>
        </w:rPr>
        <w:t xml:space="preserve"> in 2021.</w:t>
      </w:r>
    </w:p>
    <w:p w:rsidR="00000000" w:rsidRDefault="00C96329">
      <w:pPr>
        <w:pStyle w:val="a3"/>
        <w:spacing w:before="0" w:beforeAutospacing="0" w:after="0" w:afterAutospacing="0"/>
        <w:ind w:firstLine="720"/>
        <w:divId w:val="1927153862"/>
        <w:rPr>
          <w:sz w:val="20"/>
          <w:szCs w:val="20"/>
        </w:rPr>
      </w:pPr>
      <w:r>
        <w:rPr>
          <w:sz w:val="20"/>
          <w:szCs w:val="20"/>
        </w:rPr>
        <w:t>​</w:t>
      </w:r>
    </w:p>
    <w:p w:rsidR="00000000" w:rsidRDefault="00C96329">
      <w:pPr>
        <w:pStyle w:val="a3"/>
        <w:spacing w:before="0" w:beforeAutospacing="0" w:after="0" w:afterAutospacing="0"/>
        <w:divId w:val="1927153862"/>
        <w:rPr>
          <w:sz w:val="20"/>
          <w:szCs w:val="20"/>
        </w:rPr>
      </w:pPr>
      <w:r>
        <w:rPr>
          <w:b/>
          <w:bCs/>
          <w:i/>
          <w:iCs/>
          <w:sz w:val="20"/>
          <w:szCs w:val="20"/>
        </w:rPr>
        <w:t>Irreversible JAK3 Inhibitor (TD-5202)</w:t>
      </w:r>
    </w:p>
    <w:p w:rsidR="00000000" w:rsidRDefault="00C96329">
      <w:pPr>
        <w:pStyle w:val="a3"/>
        <w:spacing w:before="0" w:beforeAutospacing="0" w:after="0" w:afterAutospacing="0"/>
        <w:divId w:val="1927153862"/>
        <w:rPr>
          <w:sz w:val="20"/>
          <w:szCs w:val="20"/>
        </w:rPr>
      </w:pPr>
      <w:r>
        <w:rPr>
          <w:b/>
          <w:bCs/>
          <w:i/>
          <w:iCs/>
          <w:sz w:val="10"/>
          <w:szCs w:val="10"/>
        </w:rPr>
        <w:t>​</w:t>
      </w:r>
    </w:p>
    <w:p w:rsidR="00000000" w:rsidRDefault="00C96329">
      <w:pPr>
        <w:pStyle w:val="a3"/>
        <w:spacing w:before="0" w:beforeAutospacing="0" w:after="0" w:afterAutospacing="0"/>
        <w:divId w:val="1927153862"/>
        <w:rPr>
          <w:sz w:val="20"/>
          <w:szCs w:val="20"/>
        </w:rPr>
      </w:pPr>
      <w:r>
        <w:rPr>
          <w:sz w:val="20"/>
          <w:szCs w:val="20"/>
        </w:rPr>
        <w:t xml:space="preserve">TD-5202 is an investigational, orally administered, gut-selective, irreversible JAK3 inhibitor that has demonstrated a high affinity for the JAK3 enzyme. Through the selective inhibition of JAK3, TD-5202 interferes with the JAK/STAT signaling pathway and, </w:t>
      </w:r>
      <w:r>
        <w:rPr>
          <w:sz w:val="20"/>
          <w:szCs w:val="20"/>
        </w:rPr>
        <w:t>in turn, modulates the activity of select pro-inflammatory cytokines, including IL-2, IL-15, and IL-21 which play a central role in the pathogenesis of T-cell mediated disease, including inflammatory intestinal disease, such as celiac disease. Importantly,</w:t>
      </w:r>
      <w:r>
        <w:rPr>
          <w:sz w:val="20"/>
          <w:szCs w:val="20"/>
        </w:rPr>
        <w:t xml:space="preserve"> TD-5202 is specifically designed to act locally within the intestinal wall thereby limiting systemic exposure.</w:t>
      </w:r>
      <w:r>
        <w:rPr>
          <w:sz w:val="20"/>
          <w:szCs w:val="20"/>
        </w:rPr>
        <w:t xml:space="preserve"> </w:t>
      </w:r>
    </w:p>
    <w:p w:rsidR="00000000" w:rsidRDefault="00C96329">
      <w:pPr>
        <w:pStyle w:val="a3"/>
        <w:spacing w:before="0" w:beforeAutospacing="0" w:after="0" w:afterAutospacing="0"/>
        <w:divId w:val="1927153862"/>
        <w:rPr>
          <w:sz w:val="20"/>
          <w:szCs w:val="20"/>
        </w:rPr>
      </w:pPr>
      <w:r>
        <w:rPr>
          <w:sz w:val="20"/>
          <w:szCs w:val="20"/>
        </w:rPr>
        <w:t>​</w:t>
      </w:r>
    </w:p>
    <w:p w:rsidR="00000000" w:rsidRDefault="00C96329">
      <w:pPr>
        <w:pStyle w:val="a3"/>
        <w:spacing w:before="0" w:beforeAutospacing="0" w:after="0" w:afterAutospacing="0"/>
        <w:divId w:val="1927153862"/>
        <w:rPr>
          <w:sz w:val="20"/>
          <w:szCs w:val="20"/>
        </w:rPr>
      </w:pPr>
      <w:r>
        <w:rPr>
          <w:sz w:val="20"/>
          <w:szCs w:val="20"/>
        </w:rPr>
        <w:t xml:space="preserve">In September 2019, we announced the initiation of a Phase 1 single ascending dose and multiple ascending dose trial designed to evaluate the </w:t>
      </w:r>
      <w:r>
        <w:rPr>
          <w:sz w:val="20"/>
          <w:szCs w:val="20"/>
        </w:rPr>
        <w:t>safety and tolerability of TD-5202 in healthy subjects, plus assess plasma pharmacokinetics of TD-5202 to confirm circulating levels are low, consistent with a gut-selective approach. In February 2020, we announced that data from the Phase 1 study indicate</w:t>
      </w:r>
      <w:r>
        <w:rPr>
          <w:sz w:val="20"/>
          <w:szCs w:val="20"/>
        </w:rPr>
        <w:t xml:space="preserve">d that TD-5202 was generally well tolerated as a single oral dose up to 2000 milligrams and as a twice-daily oral dose up 2000 milligrams total per day given for ten consecutive days in healthy subjects. </w:t>
      </w:r>
    </w:p>
    <w:p w:rsidR="00000000" w:rsidRDefault="00C96329">
      <w:pPr>
        <w:pStyle w:val="a3"/>
        <w:spacing w:before="0" w:beforeAutospacing="0" w:after="0" w:afterAutospacing="0"/>
        <w:divId w:val="1927153862"/>
        <w:rPr>
          <w:sz w:val="20"/>
          <w:szCs w:val="20"/>
        </w:rPr>
      </w:pPr>
      <w:r>
        <w:rPr>
          <w:sz w:val="20"/>
          <w:szCs w:val="20"/>
        </w:rPr>
        <w:t>​</w:t>
      </w:r>
    </w:p>
    <w:p w:rsidR="00000000" w:rsidRDefault="00C96329">
      <w:pPr>
        <w:pStyle w:val="a3"/>
        <w:spacing w:before="0" w:beforeAutospacing="0" w:after="0" w:afterAutospacing="0"/>
        <w:divId w:val="1927153862"/>
        <w:rPr>
          <w:sz w:val="20"/>
          <w:szCs w:val="20"/>
        </w:rPr>
      </w:pPr>
      <w:r>
        <w:rPr>
          <w:sz w:val="20"/>
          <w:szCs w:val="20"/>
        </w:rPr>
        <w:t>We are developing TD-1473 and TD-5202 in collabor</w:t>
      </w:r>
      <w:r>
        <w:rPr>
          <w:sz w:val="20"/>
          <w:szCs w:val="20"/>
        </w:rPr>
        <w:t xml:space="preserve">ation with Janssen as part of the companies’ global co-development and commercialization agreement for novel, gut-selective JAK inhibitors. </w:t>
      </w:r>
    </w:p>
    <w:p w:rsidR="00000000" w:rsidRDefault="00C96329">
      <w:pPr>
        <w:pStyle w:val="a3"/>
        <w:spacing w:before="0" w:beforeAutospacing="0" w:after="0" w:afterAutospacing="0"/>
        <w:divId w:val="1927153862"/>
        <w:rPr>
          <w:sz w:val="20"/>
          <w:szCs w:val="20"/>
        </w:rPr>
      </w:pPr>
      <w:r>
        <w:rPr>
          <w:sz w:val="20"/>
          <w:szCs w:val="20"/>
        </w:rPr>
        <w:t>​</w:t>
      </w:r>
    </w:p>
    <w:p w:rsidR="00000000" w:rsidRDefault="00C96329">
      <w:pPr>
        <w:pStyle w:val="a3"/>
        <w:spacing w:before="0" w:beforeAutospacing="0" w:after="0" w:afterAutospacing="0"/>
        <w:divId w:val="1927153862"/>
        <w:rPr>
          <w:sz w:val="20"/>
          <w:szCs w:val="20"/>
        </w:rPr>
      </w:pPr>
      <w:r>
        <w:rPr>
          <w:i/>
          <w:iCs/>
          <w:sz w:val="20"/>
          <w:szCs w:val="20"/>
        </w:rPr>
        <w:t>Janssen Biotech Collaboration</w:t>
      </w:r>
    </w:p>
    <w:p w:rsidR="00000000" w:rsidRDefault="00C96329">
      <w:pPr>
        <w:pStyle w:val="a3"/>
        <w:spacing w:before="0" w:beforeAutospacing="0" w:after="0" w:afterAutospacing="0"/>
        <w:divId w:val="1927153862"/>
        <w:rPr>
          <w:sz w:val="20"/>
          <w:szCs w:val="20"/>
        </w:rPr>
      </w:pPr>
      <w:r>
        <w:rPr>
          <w:i/>
          <w:iCs/>
          <w:sz w:val="10"/>
          <w:szCs w:val="10"/>
        </w:rPr>
        <w:t>​</w:t>
      </w:r>
    </w:p>
    <w:p w:rsidR="00000000" w:rsidRDefault="00C96329">
      <w:pPr>
        <w:pStyle w:val="a3"/>
        <w:spacing w:before="0" w:beforeAutospacing="0" w:after="0" w:afterAutospacing="0"/>
        <w:ind w:firstLine="720"/>
        <w:divId w:val="1927153862"/>
        <w:rPr>
          <w:sz w:val="20"/>
          <w:szCs w:val="20"/>
        </w:rPr>
      </w:pPr>
      <w:r>
        <w:rPr>
          <w:sz w:val="20"/>
          <w:szCs w:val="20"/>
        </w:rPr>
        <w:t>In February 2018, we announced a global co-development and commercialization agre</w:t>
      </w:r>
      <w:r>
        <w:rPr>
          <w:sz w:val="20"/>
          <w:szCs w:val="20"/>
        </w:rPr>
        <w:t xml:space="preserve">ement with Janssen for TD-1473 and related back-up compounds for inflammatory intestinal diseases, including ulcerative colitis and Crohn's disease. Under the terms of the agreement, we received an upfront payment of $100.0 million and will be eligible to </w:t>
      </w:r>
      <w:r>
        <w:rPr>
          <w:sz w:val="20"/>
          <w:szCs w:val="20"/>
        </w:rPr>
        <w:t xml:space="preserve">receive up to an additional $900.0 million in potential payments, inclusive of a potential opt-in payment following completion of the Phase 2 Crohn’s study and the Phase 2b induction portion of the ulcerative colitis study. At that time, Janssen can elect </w:t>
      </w:r>
      <w:r>
        <w:rPr>
          <w:sz w:val="20"/>
          <w:szCs w:val="20"/>
        </w:rPr>
        <w:t>to obtain an exclusive license to develop and commercialize TD-1473 and certain related compounds by paying us a fee of $200.0 million. Upon such election, we and Janssen will jointly develop and commercialize TD-1473 in inflammatory intestinal diseases, a</w:t>
      </w:r>
      <w:r>
        <w:rPr>
          <w:sz w:val="20"/>
          <w:szCs w:val="20"/>
        </w:rPr>
        <w:t>nd we and Janssen will share profits and losses in the US and expenses related to a potential Phase 3 program (67% to Janssen; 33% to Theravance Biopharma). In addition, we would receive royalties on ex-US sales at double-digit tiered percentage royalty ra</w:t>
      </w:r>
      <w:r>
        <w:rPr>
          <w:sz w:val="20"/>
          <w:szCs w:val="20"/>
        </w:rPr>
        <w:t>tes.</w:t>
      </w:r>
    </w:p>
    <w:p w:rsidR="00000000" w:rsidRDefault="00C96329">
      <w:pPr>
        <w:pStyle w:val="a3"/>
        <w:spacing w:before="0" w:beforeAutospacing="0" w:after="0" w:afterAutospacing="0"/>
        <w:ind w:firstLine="720"/>
        <w:divId w:val="1927153862"/>
        <w:rPr>
          <w:sz w:val="20"/>
          <w:szCs w:val="20"/>
        </w:rPr>
      </w:pPr>
      <w:r>
        <w:rPr>
          <w:sz w:val="20"/>
          <w:szCs w:val="20"/>
        </w:rPr>
        <w:t>​</w:t>
      </w:r>
    </w:p>
    <w:p w:rsidR="00000000" w:rsidRDefault="00C96329">
      <w:pPr>
        <w:pStyle w:val="a3"/>
        <w:spacing w:before="0" w:beforeAutospacing="0" w:after="0" w:afterAutospacing="0"/>
        <w:ind w:firstLine="720"/>
        <w:divId w:val="1927153862"/>
        <w:rPr>
          <w:sz w:val="20"/>
          <w:szCs w:val="20"/>
        </w:rPr>
      </w:pPr>
      <w:r>
        <w:rPr>
          <w:sz w:val="20"/>
          <w:szCs w:val="20"/>
        </w:rPr>
        <w:t xml:space="preserve">The closing of the opt-in portion of the transaction is subject to clearance under the Hart-Scott-Rodino Antitrust Improvements Act (“HSR Act”). After Phase 2, Janssen would lead subsequent development of TD-1473 in Crohn’s disease if it makes such </w:t>
      </w:r>
      <w:r>
        <w:rPr>
          <w:sz w:val="20"/>
          <w:szCs w:val="20"/>
        </w:rPr>
        <w:t xml:space="preserve">an election. We will lead development of TD-1473 in ulcerative colitis through completion of the Phase 2b/3 </w:t>
      </w:r>
    </w:p>
    <w:p w:rsidR="00000000" w:rsidRDefault="00C96329">
      <w:pPr>
        <w:pStyle w:val="a3"/>
        <w:spacing w:before="360" w:beforeAutospacing="0" w:after="0" w:afterAutospacing="0"/>
        <w:jc w:val="center"/>
        <w:divId w:val="497305944"/>
        <w:rPr>
          <w:sz w:val="20"/>
          <w:szCs w:val="20"/>
        </w:rPr>
      </w:pPr>
      <w:r>
        <w:rPr>
          <w:sz w:val="20"/>
          <w:szCs w:val="20"/>
        </w:rPr>
        <w:t>25</w:t>
      </w:r>
    </w:p>
    <w:p w:rsidR="00000000" w:rsidRDefault="00C96329">
      <w:pPr>
        <w:pStyle w:val="a3"/>
        <w:spacing w:before="0" w:beforeAutospacing="0" w:after="600" w:afterAutospacing="0"/>
        <w:divId w:val="389770921"/>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2023849173"/>
        <w:rPr>
          <w:sz w:val="20"/>
          <w:szCs w:val="20"/>
        </w:rPr>
      </w:pPr>
      <w:r>
        <w:rPr>
          <w:sz w:val="20"/>
          <w:szCs w:val="20"/>
        </w:rPr>
        <w:t>study. </w:t>
      </w:r>
      <w:r>
        <w:rPr>
          <w:sz w:val="20"/>
          <w:szCs w:val="20"/>
        </w:rPr>
        <w:t>If TD-1473 is commercialized, we have the option to co-commercialize in the US, and Janssen would have sole commercialization responsibilities outside the US. </w:t>
      </w:r>
    </w:p>
    <w:p w:rsidR="00000000" w:rsidRDefault="00C96329">
      <w:pPr>
        <w:pStyle w:val="a3"/>
        <w:spacing w:before="0" w:beforeAutospacing="0" w:after="0" w:afterAutospacing="0"/>
        <w:divId w:val="2023849173"/>
        <w:rPr>
          <w:sz w:val="20"/>
          <w:szCs w:val="20"/>
        </w:rPr>
      </w:pPr>
      <w:r>
        <w:rPr>
          <w:sz w:val="20"/>
          <w:szCs w:val="20"/>
        </w:rPr>
        <w:t>​</w:t>
      </w:r>
    </w:p>
    <w:p w:rsidR="00000000" w:rsidRDefault="00C96329">
      <w:pPr>
        <w:pStyle w:val="a3"/>
        <w:spacing w:before="0" w:beforeAutospacing="0" w:after="0" w:afterAutospacing="0"/>
        <w:divId w:val="2023849173"/>
        <w:rPr>
          <w:sz w:val="20"/>
          <w:szCs w:val="20"/>
        </w:rPr>
      </w:pPr>
      <w:r>
        <w:rPr>
          <w:b/>
          <w:bCs/>
          <w:i/>
          <w:iCs/>
          <w:sz w:val="20"/>
          <w:szCs w:val="20"/>
        </w:rPr>
        <w:t>Lung-selective Pan-JAK Inhibitor Program (TD-8236)</w:t>
      </w:r>
    </w:p>
    <w:p w:rsidR="00000000" w:rsidRDefault="00C96329">
      <w:pPr>
        <w:pStyle w:val="a3"/>
        <w:spacing w:before="0" w:beforeAutospacing="0" w:after="0" w:afterAutospacing="0"/>
        <w:divId w:val="2023849173"/>
        <w:rPr>
          <w:sz w:val="20"/>
          <w:szCs w:val="20"/>
        </w:rPr>
      </w:pPr>
      <w:r>
        <w:rPr>
          <w:b/>
          <w:bCs/>
          <w:i/>
          <w:iCs/>
          <w:sz w:val="10"/>
          <w:szCs w:val="10"/>
        </w:rPr>
        <w:t>​</w:t>
      </w:r>
    </w:p>
    <w:p w:rsidR="00000000" w:rsidRDefault="00C96329">
      <w:pPr>
        <w:pStyle w:val="a3"/>
        <w:spacing w:before="0" w:beforeAutospacing="0" w:after="0" w:afterAutospacing="0"/>
        <w:ind w:firstLine="720"/>
        <w:divId w:val="2023849173"/>
        <w:rPr>
          <w:sz w:val="20"/>
          <w:szCs w:val="20"/>
        </w:rPr>
      </w:pPr>
      <w:r>
        <w:rPr>
          <w:sz w:val="20"/>
          <w:szCs w:val="20"/>
        </w:rPr>
        <w:t>TD-8236 is an investigational, inhaled lu</w:t>
      </w:r>
      <w:r>
        <w:rPr>
          <w:sz w:val="20"/>
          <w:szCs w:val="20"/>
        </w:rPr>
        <w:t>ng-selective pan-JAK inhibitor that has demonstrated a high affinity for each of the JAK family of enzymes (JAK1, JAK2, JAK3 and TYK2) that play a key role in cytokine signaling. Inhibiting these JAK enzymes interferes with the JAK/STAT signaling pathway a</w:t>
      </w:r>
      <w:r>
        <w:rPr>
          <w:sz w:val="20"/>
          <w:szCs w:val="20"/>
        </w:rPr>
        <w:t>nd, in turn, modulates the activity of a wide range of pro-inflammatory cytokines. While orally-administered JAK inhibitors are currently approved for the treatment of a range of inflammatory diseases, no inhaled JAK inhibitor is approved for the treatment</w:t>
      </w:r>
      <w:r>
        <w:rPr>
          <w:sz w:val="20"/>
          <w:szCs w:val="20"/>
        </w:rPr>
        <w:t xml:space="preserve"> of airway disease, including asthma. The pan-JAK activity of TD-8236 suggests that it may impact a broad range of cytokines that have been associated both T2-high and T2-low asthma. Many moderate to severe asthma patients comprising both T2 phenotypes rem</w:t>
      </w:r>
      <w:r>
        <w:rPr>
          <w:sz w:val="20"/>
          <w:szCs w:val="20"/>
        </w:rPr>
        <w:t>ain symptomatic despite being compliant on high doses of inhaled steroids. Importantly, TD-8236 is designed to distribute and exert its anti-inflammatory effect within the lungs following dry powder inhalation, with the potential to treat inflammation with</w:t>
      </w:r>
      <w:r>
        <w:rPr>
          <w:sz w:val="20"/>
          <w:szCs w:val="20"/>
        </w:rPr>
        <w:t xml:space="preserve">in that organ while minimizing systemic exposure. In preclinical assessments, TD-8236 has shown to potently inhibit targeted mediators of T2-high and T2-low asthma in human cells. </w:t>
      </w:r>
    </w:p>
    <w:p w:rsidR="00000000" w:rsidRDefault="00C96329">
      <w:pPr>
        <w:pStyle w:val="a3"/>
        <w:spacing w:before="0" w:beforeAutospacing="0" w:after="0" w:afterAutospacing="0"/>
        <w:ind w:firstLine="720"/>
        <w:divId w:val="2023849173"/>
        <w:rPr>
          <w:sz w:val="20"/>
          <w:szCs w:val="20"/>
        </w:rPr>
      </w:pPr>
      <w:r>
        <w:rPr>
          <w:sz w:val="20"/>
          <w:szCs w:val="20"/>
        </w:rPr>
        <w:t>​</w:t>
      </w:r>
    </w:p>
    <w:p w:rsidR="00000000" w:rsidRDefault="00C96329">
      <w:pPr>
        <w:pStyle w:val="a3"/>
        <w:spacing w:before="0" w:beforeAutospacing="0" w:after="0" w:afterAutospacing="0"/>
        <w:ind w:firstLine="720"/>
        <w:divId w:val="2023849173"/>
        <w:rPr>
          <w:sz w:val="20"/>
          <w:szCs w:val="20"/>
        </w:rPr>
      </w:pPr>
      <w:r>
        <w:rPr>
          <w:sz w:val="20"/>
          <w:szCs w:val="20"/>
        </w:rPr>
        <w:t>In September 2019, we announced positive results from a Phase 1 single-as</w:t>
      </w:r>
      <w:r>
        <w:rPr>
          <w:sz w:val="20"/>
          <w:szCs w:val="20"/>
        </w:rPr>
        <w:t>cending dose and multiple-ascending dose clinical trial of TD-8236. The Part C extension portion of the Phase 1 trial, assessing additional biomarkers in patients with moderate to severe asthma, is underway with results expected in the second half of 2020.</w:t>
      </w:r>
      <w:r>
        <w:rPr>
          <w:sz w:val="20"/>
          <w:szCs w:val="20"/>
        </w:rPr>
        <w:t xml:space="preserve"> In December 2019, we announced the initiation of a Phase 2 allergen challenge study of TD-8236 in asthma patients, and we expect to report results from Part C and the lung allergen challenge study in the fourth quarter of 2020.</w:t>
      </w:r>
    </w:p>
    <w:p w:rsidR="00000000" w:rsidRDefault="00C96329">
      <w:pPr>
        <w:pStyle w:val="a3"/>
        <w:spacing w:before="0" w:beforeAutospacing="0" w:after="0" w:afterAutospacing="0"/>
        <w:divId w:val="2023849173"/>
        <w:rPr>
          <w:sz w:val="20"/>
          <w:szCs w:val="20"/>
        </w:rPr>
      </w:pPr>
      <w:r>
        <w:rPr>
          <w:sz w:val="20"/>
          <w:szCs w:val="20"/>
        </w:rPr>
        <w:t>​</w:t>
      </w:r>
    </w:p>
    <w:p w:rsidR="00000000" w:rsidRDefault="00C96329">
      <w:pPr>
        <w:pStyle w:val="a3"/>
        <w:spacing w:before="0" w:beforeAutospacing="0" w:after="120" w:afterAutospacing="0"/>
        <w:divId w:val="2023849173"/>
        <w:rPr>
          <w:sz w:val="20"/>
          <w:szCs w:val="20"/>
        </w:rPr>
      </w:pPr>
      <w:r>
        <w:rPr>
          <w:b/>
          <w:bCs/>
          <w:sz w:val="20"/>
          <w:szCs w:val="20"/>
        </w:rPr>
        <w:t>Economic Interest in GSK-</w:t>
      </w:r>
      <w:r>
        <w:rPr>
          <w:b/>
          <w:bCs/>
          <w:sz w:val="20"/>
          <w:szCs w:val="20"/>
        </w:rPr>
        <w:t>Partnered Respiratory Programs</w:t>
      </w:r>
    </w:p>
    <w:p w:rsidR="00000000" w:rsidRDefault="00C96329">
      <w:pPr>
        <w:pStyle w:val="a3"/>
        <w:spacing w:before="0" w:beforeAutospacing="0" w:after="0" w:afterAutospacing="0"/>
        <w:ind w:firstLine="720"/>
        <w:divId w:val="2023849173"/>
        <w:rPr>
          <w:sz w:val="20"/>
          <w:szCs w:val="20"/>
        </w:rPr>
      </w:pPr>
      <w:r>
        <w:rPr>
          <w:sz w:val="20"/>
          <w:szCs w:val="20"/>
        </w:rPr>
        <w:t>We hold an 85% economic interest in any future payments that may be made by GSK to Theravance Respiratory Company, LLC (“TRC”) pursuant to its agreements with Innoviva (net of TRC expenses paid and the amount of cash, if any,</w:t>
      </w:r>
      <w:r>
        <w:rPr>
          <w:sz w:val="20"/>
          <w:szCs w:val="20"/>
        </w:rPr>
        <w:t xml:space="preserve"> expected to be used by TRC pursuant to the TRC LLC Agreement over the next four fiscal quarters) relating to the GSK-Partnered Respiratory Programs, which Innoviva partnered with GSK and assigned to TRC in connection with Innoviva’s separation of its biop</w:t>
      </w:r>
      <w:r>
        <w:rPr>
          <w:sz w:val="20"/>
          <w:szCs w:val="20"/>
        </w:rPr>
        <w:t>harmaceutical operations into its then wholly-owned subsidiary Theravance Biopharma in June 2014. The GSK-Partnered Respiratory Programs consist primarily of the TRELEGY program, which is described in more detail below, and the inhaled Bifunctional Muscari</w:t>
      </w:r>
      <w:r>
        <w:rPr>
          <w:sz w:val="20"/>
          <w:szCs w:val="20"/>
        </w:rPr>
        <w:t>nic Antagonist-Beta2 Agonist (“MABA”) program. We are entitled to this economic interest through our equity ownership in TRC. Our economic interest does not include any payments associated with RELVAR ELLIPTA/BREO ELLIPTA, ANORO ELLIPTA or vilanterol monot</w:t>
      </w:r>
      <w:r>
        <w:rPr>
          <w:sz w:val="20"/>
          <w:szCs w:val="20"/>
        </w:rPr>
        <w:t xml:space="preserve">herapy. </w:t>
      </w:r>
    </w:p>
    <w:p w:rsidR="00000000" w:rsidRDefault="00C96329">
      <w:pPr>
        <w:pStyle w:val="a3"/>
        <w:spacing w:before="0" w:beforeAutospacing="0" w:after="0" w:afterAutospacing="0"/>
        <w:divId w:val="2023849173"/>
        <w:rPr>
          <w:sz w:val="20"/>
          <w:szCs w:val="20"/>
        </w:rPr>
      </w:pPr>
      <w:r>
        <w:rPr>
          <w:sz w:val="20"/>
          <w:szCs w:val="20"/>
        </w:rPr>
        <w:t>​</w:t>
      </w:r>
    </w:p>
    <w:p w:rsidR="00000000" w:rsidRDefault="00C96329">
      <w:pPr>
        <w:pStyle w:val="a3"/>
        <w:spacing w:before="0" w:beforeAutospacing="0" w:after="0" w:afterAutospacing="0"/>
        <w:ind w:firstLine="720"/>
        <w:divId w:val="2023849173"/>
        <w:rPr>
          <w:sz w:val="20"/>
          <w:szCs w:val="20"/>
        </w:rPr>
      </w:pPr>
      <w:r>
        <w:rPr>
          <w:sz w:val="20"/>
          <w:szCs w:val="20"/>
        </w:rPr>
        <w:t>The following information regarding the TRELEGY program is based solely upon publicly available information and may not reflect the most recent developments under the programs.</w:t>
      </w:r>
    </w:p>
    <w:p w:rsidR="00000000" w:rsidRDefault="00C96329">
      <w:pPr>
        <w:pStyle w:val="a3"/>
        <w:spacing w:before="0" w:beforeAutospacing="0" w:after="0" w:afterAutospacing="0"/>
        <w:ind w:firstLine="720"/>
        <w:divId w:val="2023849173"/>
        <w:rPr>
          <w:sz w:val="20"/>
          <w:szCs w:val="20"/>
        </w:rPr>
      </w:pPr>
      <w:r>
        <w:rPr>
          <w:sz w:val="20"/>
          <w:szCs w:val="20"/>
        </w:rPr>
        <w:t>​</w:t>
      </w:r>
    </w:p>
    <w:p w:rsidR="00000000" w:rsidRDefault="00C96329">
      <w:pPr>
        <w:pStyle w:val="a3"/>
        <w:spacing w:before="0" w:beforeAutospacing="0" w:after="120" w:afterAutospacing="0"/>
        <w:divId w:val="2023849173"/>
        <w:rPr>
          <w:sz w:val="20"/>
          <w:szCs w:val="20"/>
        </w:rPr>
      </w:pPr>
      <w:r>
        <w:rPr>
          <w:b/>
          <w:bCs/>
          <w:i/>
          <w:iCs/>
          <w:sz w:val="20"/>
          <w:szCs w:val="20"/>
        </w:rPr>
        <w:t>TRELEGY (the combination of fluticasone furoate/umeclidinium bromi</w:t>
      </w:r>
      <w:r>
        <w:rPr>
          <w:b/>
          <w:bCs/>
          <w:i/>
          <w:iCs/>
          <w:sz w:val="20"/>
          <w:szCs w:val="20"/>
        </w:rPr>
        <w:t>de/vilanterol)</w:t>
      </w:r>
    </w:p>
    <w:p w:rsidR="00000000" w:rsidRDefault="00C96329">
      <w:pPr>
        <w:pStyle w:val="a3"/>
        <w:spacing w:before="0" w:beforeAutospacing="0" w:after="0" w:afterAutospacing="0"/>
        <w:ind w:firstLine="720"/>
        <w:divId w:val="2023849173"/>
        <w:rPr>
          <w:sz w:val="20"/>
          <w:szCs w:val="20"/>
        </w:rPr>
      </w:pPr>
      <w:r>
        <w:rPr>
          <w:sz w:val="20"/>
          <w:szCs w:val="20"/>
        </w:rPr>
        <w:t xml:space="preserve">TRELEGY provides the activity of an inhaled corticosteroid (FF) plus two bronchodilators (UMEC, a LAMA, and VI, a long-acting beta2 agonist, or LABA) in a single delivery device administered once-daily. TRELEGY is approved for use in the US </w:t>
      </w:r>
      <w:r>
        <w:rPr>
          <w:sz w:val="20"/>
          <w:szCs w:val="20"/>
        </w:rPr>
        <w:t>and European Union (“EU”) for the long-term, once-daily, maintenance treatment of patients with COPD. We hold an 85% economic interest in the royalties payable by GSK to TRC on worldwide net sales (net of TRC expenses paid and the amount of cash, if any, e</w:t>
      </w:r>
      <w:r>
        <w:rPr>
          <w:sz w:val="20"/>
          <w:szCs w:val="20"/>
        </w:rPr>
        <w:t>xpected to be used by TRC pursuant to the TRC LLC Agreement over the next four fiscal quarters) through our interest in TRC. Those royalties are upward-tiering from 6.5% to 10%, resulting in cash flows to us of approximately 5.5% to 8.5% of worldwide net s</w:t>
      </w:r>
      <w:r>
        <w:rPr>
          <w:sz w:val="20"/>
          <w:szCs w:val="20"/>
        </w:rPr>
        <w:t>ales of TRELEGY (net of TRC expenses paid and the amount of cash, if any, expected to be used by TRC pursuant to the TRC LLC Agreement over the next four fiscal quarters). Theravance Biopharma is not responsible for any of GSK’s costs related to the develo</w:t>
      </w:r>
      <w:r>
        <w:rPr>
          <w:sz w:val="20"/>
          <w:szCs w:val="20"/>
        </w:rPr>
        <w:t>pment or commercialization of TRELEGY.</w:t>
      </w:r>
    </w:p>
    <w:p w:rsidR="00000000" w:rsidRDefault="00C96329">
      <w:pPr>
        <w:pStyle w:val="a3"/>
        <w:spacing w:before="0" w:beforeAutospacing="0" w:after="0" w:afterAutospacing="0"/>
        <w:ind w:firstLine="720"/>
        <w:divId w:val="2023849173"/>
        <w:rPr>
          <w:sz w:val="20"/>
          <w:szCs w:val="20"/>
        </w:rPr>
      </w:pPr>
      <w:r>
        <w:rPr>
          <w:sz w:val="20"/>
          <w:szCs w:val="20"/>
        </w:rPr>
        <w:t>​</w:t>
      </w:r>
    </w:p>
    <w:p w:rsidR="00000000" w:rsidRDefault="00C96329">
      <w:pPr>
        <w:pStyle w:val="a3"/>
        <w:spacing w:before="0" w:beforeAutospacing="0" w:after="0" w:afterAutospacing="0"/>
        <w:ind w:firstLine="720"/>
        <w:divId w:val="2023849173"/>
        <w:rPr>
          <w:sz w:val="20"/>
          <w:szCs w:val="20"/>
        </w:rPr>
      </w:pPr>
      <w:r>
        <w:rPr>
          <w:sz w:val="20"/>
          <w:szCs w:val="20"/>
        </w:rPr>
        <w:t>GSK and Innoviva conducted two global pivotal Phase 3 studies of TRELEGY in COPD, the IMPACT study and the FULFIL study. In September 2017, GSK and Innoviva announced that the FDA approved TRELEGY for the long-term,</w:t>
      </w:r>
      <w:r>
        <w:rPr>
          <w:sz w:val="20"/>
          <w:szCs w:val="20"/>
        </w:rPr>
        <w:t xml:space="preserve"> once-daily, maintenance treatment of appropriate patients with COPD. In August 2019, GSK announced that it had filed a supplemental new drug application (“sNDA”) to the FDA supporting revised labelling for TRELEGY on reduction in risk of all-cause mortali</w:t>
      </w:r>
      <w:r>
        <w:rPr>
          <w:sz w:val="20"/>
          <w:szCs w:val="20"/>
        </w:rPr>
        <w:t xml:space="preserve">ty compared with ANORO ELLIPTA in patients with COPD. The FDA postponed an Advisory Committee </w:t>
      </w:r>
    </w:p>
    <w:p w:rsidR="00000000" w:rsidRDefault="00C96329">
      <w:pPr>
        <w:pStyle w:val="a3"/>
        <w:spacing w:before="360" w:beforeAutospacing="0" w:after="0" w:afterAutospacing="0"/>
        <w:jc w:val="center"/>
        <w:divId w:val="574508830"/>
        <w:rPr>
          <w:sz w:val="20"/>
          <w:szCs w:val="20"/>
        </w:rPr>
      </w:pPr>
      <w:r>
        <w:rPr>
          <w:sz w:val="20"/>
          <w:szCs w:val="20"/>
        </w:rPr>
        <w:t>26</w:t>
      </w:r>
    </w:p>
    <w:p w:rsidR="00000000" w:rsidRDefault="00C96329">
      <w:pPr>
        <w:pStyle w:val="a3"/>
        <w:spacing w:before="0" w:beforeAutospacing="0" w:after="600" w:afterAutospacing="0"/>
        <w:divId w:val="1467553839"/>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1129933941"/>
        <w:rPr>
          <w:sz w:val="20"/>
          <w:szCs w:val="20"/>
        </w:rPr>
      </w:pPr>
      <w:r>
        <w:rPr>
          <w:sz w:val="20"/>
          <w:szCs w:val="20"/>
        </w:rPr>
        <w:t>meeting that was previously scheduled for April 21, 2020 related to this sNDA, and there has been no further publi</w:t>
      </w:r>
      <w:r>
        <w:rPr>
          <w:sz w:val="20"/>
          <w:szCs w:val="20"/>
        </w:rPr>
        <w:t>c update provided.</w:t>
      </w:r>
    </w:p>
    <w:p w:rsidR="00000000" w:rsidRDefault="00C96329">
      <w:pPr>
        <w:pStyle w:val="a3"/>
        <w:spacing w:before="0" w:beforeAutospacing="0" w:after="0" w:afterAutospacing="0"/>
        <w:ind w:firstLine="720"/>
        <w:divId w:val="1129933941"/>
        <w:rPr>
          <w:sz w:val="20"/>
          <w:szCs w:val="20"/>
        </w:rPr>
      </w:pPr>
      <w:r>
        <w:rPr>
          <w:sz w:val="20"/>
          <w:szCs w:val="20"/>
        </w:rPr>
        <w:t>​</w:t>
      </w:r>
    </w:p>
    <w:p w:rsidR="00000000" w:rsidRDefault="00C96329">
      <w:pPr>
        <w:pStyle w:val="a3"/>
        <w:spacing w:before="0" w:beforeAutospacing="0" w:after="0" w:afterAutospacing="0"/>
        <w:ind w:firstLine="720"/>
        <w:divId w:val="1129933941"/>
        <w:rPr>
          <w:sz w:val="20"/>
          <w:szCs w:val="20"/>
        </w:rPr>
      </w:pPr>
      <w:r>
        <w:rPr>
          <w:sz w:val="20"/>
          <w:szCs w:val="20"/>
        </w:rPr>
        <w:t>Additionally, GSK and Innoviva conducted a Phase 3 (CAPTAIN) study of TRELEGY in patients with asthma. In May 2019, GSK and Innoviva announced that the study had met its primary endpoint, and in October 2019, GSK announced it had filed</w:t>
      </w:r>
      <w:r>
        <w:rPr>
          <w:sz w:val="20"/>
          <w:szCs w:val="20"/>
        </w:rPr>
        <w:t xml:space="preserve"> a sNDA with the FDA seeking an additional indication for the use of once-daily, single-inhaler triple therapy, TRELEGY, for the treatment of asthma in adults. The FDA’s decision on the asthma application is expected in the second half of 2020.</w:t>
      </w:r>
    </w:p>
    <w:p w:rsidR="00000000" w:rsidRDefault="00C96329">
      <w:pPr>
        <w:pStyle w:val="a3"/>
        <w:spacing w:before="0" w:beforeAutospacing="0" w:after="0" w:afterAutospacing="0"/>
        <w:ind w:firstLine="720"/>
        <w:divId w:val="1129933941"/>
        <w:rPr>
          <w:sz w:val="20"/>
          <w:szCs w:val="20"/>
        </w:rPr>
      </w:pPr>
      <w:r>
        <w:rPr>
          <w:i/>
          <w:iCs/>
          <w:sz w:val="20"/>
          <w:szCs w:val="20"/>
        </w:rPr>
        <w:t>​</w:t>
      </w:r>
    </w:p>
    <w:p w:rsidR="00000000" w:rsidRDefault="00C96329">
      <w:pPr>
        <w:pStyle w:val="a3"/>
        <w:spacing w:before="0" w:beforeAutospacing="0" w:after="120" w:afterAutospacing="0"/>
        <w:divId w:val="1129933941"/>
        <w:rPr>
          <w:sz w:val="20"/>
          <w:szCs w:val="20"/>
        </w:rPr>
      </w:pPr>
      <w:r>
        <w:rPr>
          <w:b/>
          <w:bCs/>
          <w:i/>
          <w:iCs/>
          <w:sz w:val="20"/>
          <w:szCs w:val="20"/>
        </w:rPr>
        <w:t>Theravance Respiratory Company, LLC</w:t>
      </w:r>
    </w:p>
    <w:p w:rsidR="00000000" w:rsidRDefault="00C96329">
      <w:pPr>
        <w:pStyle w:val="a3"/>
        <w:spacing w:before="0" w:beforeAutospacing="0" w:after="0" w:afterAutospacing="0"/>
        <w:ind w:firstLine="720"/>
        <w:divId w:val="1129933941"/>
        <w:rPr>
          <w:sz w:val="20"/>
          <w:szCs w:val="20"/>
        </w:rPr>
      </w:pPr>
      <w:r>
        <w:rPr>
          <w:sz w:val="20"/>
          <w:szCs w:val="20"/>
        </w:rPr>
        <w:t xml:space="preserve">Prior to the June 2014 spin-off from Innoviva, our former parent company, Innoviva assigned to Theravance Respiratory Company, LLC (“TRC”), a Delaware limited liability company formed by Innoviva, its strategic alliance </w:t>
      </w:r>
      <w:r>
        <w:rPr>
          <w:sz w:val="20"/>
          <w:szCs w:val="20"/>
        </w:rPr>
        <w:t xml:space="preserve">agreement with GSK and all of its rights and obligations under its collaboration agreement with GSK, other than with respect to RELVAR ELLIPTA/BREO ELLIPTA, ANORO ELLIPTA and vilanterol monotherapy. </w:t>
      </w:r>
    </w:p>
    <w:p w:rsidR="00000000" w:rsidRDefault="00C96329">
      <w:pPr>
        <w:pStyle w:val="a3"/>
        <w:spacing w:before="0" w:beforeAutospacing="0" w:after="0" w:afterAutospacing="0"/>
        <w:ind w:firstLine="720"/>
        <w:divId w:val="1129933941"/>
        <w:rPr>
          <w:sz w:val="20"/>
          <w:szCs w:val="20"/>
        </w:rPr>
      </w:pPr>
      <w:r>
        <w:rPr>
          <w:sz w:val="20"/>
          <w:szCs w:val="20"/>
        </w:rPr>
        <w:t>​</w:t>
      </w:r>
    </w:p>
    <w:p w:rsidR="00000000" w:rsidRDefault="00C96329">
      <w:pPr>
        <w:pStyle w:val="a3"/>
        <w:spacing w:before="0" w:beforeAutospacing="0" w:after="0" w:afterAutospacing="0"/>
        <w:ind w:firstLine="720"/>
        <w:divId w:val="1129933941"/>
        <w:rPr>
          <w:sz w:val="20"/>
          <w:szCs w:val="20"/>
        </w:rPr>
      </w:pPr>
      <w:r>
        <w:rPr>
          <w:sz w:val="20"/>
          <w:szCs w:val="20"/>
        </w:rPr>
        <w:t>Our equity interest in TRC is the mechanism by which w</w:t>
      </w:r>
      <w:r>
        <w:rPr>
          <w:sz w:val="20"/>
          <w:szCs w:val="20"/>
        </w:rPr>
        <w:t>e are entitled to the 85% economic interest in any future payments made by GSK under the strategic alliance agreement and under the portion of the collaboration agreement assigned to TRC by Innoviva (net of TRC expenses paid and the amount of cash, if any,</w:t>
      </w:r>
      <w:r>
        <w:rPr>
          <w:sz w:val="20"/>
          <w:szCs w:val="20"/>
        </w:rPr>
        <w:t xml:space="preserve"> expected to be used by TRC pursuant to the TRC LLC Agreement over the next four fiscal quarters). Royalty payments from GSK to TRC arising from the net sales of </w:t>
      </w:r>
      <w:r>
        <w:rPr>
          <w:caps/>
          <w:sz w:val="20"/>
          <w:szCs w:val="20"/>
        </w:rPr>
        <w:t xml:space="preserve">Trelegy </w:t>
      </w:r>
      <w:r>
        <w:rPr>
          <w:sz w:val="20"/>
          <w:szCs w:val="20"/>
        </w:rPr>
        <w:t>are presented in our condensed consolidated statements of operations within “Income fr</w:t>
      </w:r>
      <w:r>
        <w:rPr>
          <w:sz w:val="20"/>
          <w:szCs w:val="20"/>
        </w:rPr>
        <w:t xml:space="preserve">om investment in TRC, LLC” and is classified as non-operating income. During the three months ended June 30, 2020, we also recorded $8.5 million within “Income from investment in TRC, LLC” representing our share of a </w:t>
      </w:r>
      <w:r>
        <w:rPr>
          <w:color w:val="212529"/>
          <w:sz w:val="20"/>
          <w:szCs w:val="20"/>
          <w:shd w:val="clear" w:color="auto" w:fill="FFFFFF"/>
        </w:rPr>
        <w:t>$10.0 million fee that GSK agreed to pa</w:t>
      </w:r>
      <w:r>
        <w:rPr>
          <w:color w:val="212529"/>
          <w:sz w:val="20"/>
          <w:szCs w:val="20"/>
          <w:shd w:val="clear" w:color="auto" w:fill="FFFFFF"/>
        </w:rPr>
        <w:t xml:space="preserve">y TRC upon termination of the MABA program in June 2020. </w:t>
      </w:r>
      <w:r>
        <w:rPr>
          <w:sz w:val="20"/>
          <w:szCs w:val="20"/>
        </w:rPr>
        <w:t xml:space="preserve">Seventy-five percent of the “Income from investment in TRC, LLC,” as evidenced by the Issuer II Class C Units (defined below), is available only for payment of the $400.0 million aggregate amount of </w:t>
      </w:r>
      <w:r>
        <w:rPr>
          <w:sz w:val="20"/>
          <w:szCs w:val="20"/>
        </w:rPr>
        <w:t xml:space="preserve">9.5% fixed-rate non-recourse term notes due 2035 (the “Non-Recourse 2035 Notes”) and is not available to pay our other obligations or the claims of our other creditors. </w:t>
      </w:r>
    </w:p>
    <w:p w:rsidR="00000000" w:rsidRDefault="00C96329">
      <w:pPr>
        <w:pStyle w:val="a3"/>
        <w:spacing w:before="0" w:beforeAutospacing="0" w:after="0" w:afterAutospacing="0"/>
        <w:ind w:firstLine="720"/>
        <w:divId w:val="1129933941"/>
        <w:rPr>
          <w:sz w:val="20"/>
          <w:szCs w:val="20"/>
        </w:rPr>
      </w:pPr>
      <w:r>
        <w:rPr>
          <w:sz w:val="20"/>
          <w:szCs w:val="20"/>
        </w:rPr>
        <w:t>​</w:t>
      </w:r>
    </w:p>
    <w:p w:rsidR="00000000" w:rsidRDefault="00C96329">
      <w:pPr>
        <w:pStyle w:val="a3"/>
        <w:spacing w:before="0" w:beforeAutospacing="0" w:after="0" w:afterAutospacing="0"/>
        <w:ind w:firstLine="720"/>
        <w:divId w:val="1129933941"/>
        <w:rPr>
          <w:sz w:val="20"/>
          <w:szCs w:val="20"/>
        </w:rPr>
      </w:pPr>
      <w:r>
        <w:rPr>
          <w:sz w:val="20"/>
          <w:szCs w:val="20"/>
        </w:rPr>
        <w:t>Our special purpose subsidiary Triple Royalty Sub II LLC (the “Issuer II”) issued th</w:t>
      </w:r>
      <w:r>
        <w:rPr>
          <w:sz w:val="20"/>
          <w:szCs w:val="20"/>
        </w:rPr>
        <w:t>e Non-Recourse 2035 Notes in February 2020, which proceeds were used in part to repay the outstanding balance of our 9.0% non-recourse notes, due on or before 2033 (the “Non-Recourse 2033 Notes”) that were issued in November 2018. The Non-Recourse 2035 Not</w:t>
      </w:r>
      <w:r>
        <w:rPr>
          <w:sz w:val="20"/>
          <w:szCs w:val="20"/>
        </w:rPr>
        <w:t>es are secured by all of the Issuer II’s rights, title and interest as a holder of certain membership interests (the “Issuer II Class C Units”) in TRC. The Issuer II Class C Units entitle the Issuer II to receive 63.75% of the economic interest that TRC re</w:t>
      </w:r>
      <w:r>
        <w:rPr>
          <w:sz w:val="20"/>
          <w:szCs w:val="20"/>
        </w:rPr>
        <w:t xml:space="preserve">ceives in any future payments made by GSK under the agreements described above, or 75% of the income from our 85% ownership interest in TRC. </w:t>
      </w:r>
    </w:p>
    <w:p w:rsidR="00000000" w:rsidRDefault="00C96329">
      <w:pPr>
        <w:pStyle w:val="a3"/>
        <w:spacing w:before="0" w:beforeAutospacing="0" w:after="0" w:afterAutospacing="0"/>
        <w:divId w:val="1129933941"/>
        <w:rPr>
          <w:sz w:val="20"/>
          <w:szCs w:val="20"/>
        </w:rPr>
      </w:pPr>
      <w:r>
        <w:rPr>
          <w:b/>
          <w:bCs/>
          <w:sz w:val="20"/>
          <w:szCs w:val="20"/>
        </w:rPr>
        <w:t>​</w:t>
      </w:r>
    </w:p>
    <w:p w:rsidR="00000000" w:rsidRDefault="00C96329">
      <w:pPr>
        <w:pStyle w:val="a3"/>
        <w:spacing w:before="0" w:beforeAutospacing="0" w:after="0" w:afterAutospacing="0"/>
        <w:ind w:firstLine="720"/>
        <w:divId w:val="1129933941"/>
        <w:rPr>
          <w:sz w:val="20"/>
          <w:szCs w:val="20"/>
        </w:rPr>
      </w:pPr>
      <w:r>
        <w:rPr>
          <w:sz w:val="20"/>
          <w:szCs w:val="20"/>
        </w:rPr>
        <w:t>On June 10, 2020, we disclosed in a Form 8-K our objections to TRC and Innoviva, as the manager of TRC, regardin</w:t>
      </w:r>
      <w:r>
        <w:rPr>
          <w:sz w:val="20"/>
          <w:szCs w:val="20"/>
        </w:rPr>
        <w:t>g TRC’s proposed use of funds to invest in certain privately-held companies. We have objected to the withholding of funds by TRC for these and similar investments. On July 16, 2020, Innoviva and TRC filed a complaint in Delaware Chancery Court seeking an o</w:t>
      </w:r>
      <w:r>
        <w:rPr>
          <w:sz w:val="20"/>
          <w:szCs w:val="20"/>
        </w:rPr>
        <w:t>rder establishing that the arbitration award from the parties’ 2019 dispute conclusively established that (a) Innoviva possesses the authority as manager of TRC to cause TRC to make such investments and (b) Innoviva possesses the authority as manager of TR</w:t>
      </w:r>
      <w:r>
        <w:rPr>
          <w:sz w:val="20"/>
          <w:szCs w:val="20"/>
        </w:rPr>
        <w:t xml:space="preserve">C to cause TRC to reserve cash to make such investments. The Court directed the parties to refer certain relevant questions raised by the complaint to the arbitrator in the 2019 dispute between the parties, who in turn determined that the 2019 proceedings </w:t>
      </w:r>
      <w:r>
        <w:rPr>
          <w:sz w:val="20"/>
          <w:szCs w:val="20"/>
        </w:rPr>
        <w:t>did not resolve the issues currently in dispute. On August 5, 2020, Innoviva and TRC voluntarily dismissed the complaint, without prejudice. We are pursuing and intend to continue to pursue the protection of our interests in this matter consistent with the</w:t>
      </w:r>
      <w:r>
        <w:rPr>
          <w:sz w:val="20"/>
          <w:szCs w:val="20"/>
        </w:rPr>
        <w:t xml:space="preserve"> dispute resolution procedures of the TRC LLC Agreement, including, if necessary, the initiation of a new arbitration proceeding.</w:t>
      </w:r>
    </w:p>
    <w:p w:rsidR="00000000" w:rsidRDefault="00C96329">
      <w:pPr>
        <w:pStyle w:val="a3"/>
        <w:spacing w:before="0" w:beforeAutospacing="0" w:after="0" w:afterAutospacing="0"/>
        <w:divId w:val="1129933941"/>
        <w:rPr>
          <w:sz w:val="20"/>
          <w:szCs w:val="20"/>
        </w:rPr>
      </w:pPr>
      <w:r>
        <w:rPr>
          <w:b/>
          <w:bCs/>
          <w:sz w:val="20"/>
          <w:szCs w:val="20"/>
        </w:rPr>
        <w:t>​</w:t>
      </w:r>
    </w:p>
    <w:p w:rsidR="00000000" w:rsidRDefault="00C96329">
      <w:pPr>
        <w:pStyle w:val="a3"/>
        <w:spacing w:before="0" w:beforeAutospacing="0" w:after="120" w:afterAutospacing="0"/>
        <w:divId w:val="1129933941"/>
        <w:rPr>
          <w:sz w:val="20"/>
          <w:szCs w:val="20"/>
        </w:rPr>
      </w:pPr>
      <w:r>
        <w:rPr>
          <w:b/>
          <w:bCs/>
          <w:sz w:val="20"/>
          <w:szCs w:val="20"/>
        </w:rPr>
        <w:t>Other Economic Interests</w:t>
      </w:r>
    </w:p>
    <w:p w:rsidR="00000000" w:rsidRDefault="00C96329">
      <w:pPr>
        <w:pStyle w:val="a3"/>
        <w:spacing w:before="0" w:beforeAutospacing="0" w:after="120" w:afterAutospacing="0"/>
        <w:divId w:val="1129933941"/>
        <w:rPr>
          <w:sz w:val="20"/>
          <w:szCs w:val="20"/>
        </w:rPr>
      </w:pPr>
      <w:r>
        <w:rPr>
          <w:b/>
          <w:bCs/>
          <w:i/>
          <w:iCs/>
          <w:sz w:val="20"/>
          <w:szCs w:val="20"/>
        </w:rPr>
        <w:t>VIBATI</w:t>
      </w:r>
      <w:r>
        <w:rPr>
          <w:b/>
          <w:bCs/>
          <w:i/>
          <w:iCs/>
          <w:sz w:val="20"/>
          <w:szCs w:val="20"/>
        </w:rPr>
        <w:t>V</w:t>
      </w:r>
      <w:r>
        <w:rPr>
          <w:b/>
          <w:bCs/>
          <w:i/>
          <w:iCs/>
          <w:sz w:val="15"/>
          <w:szCs w:val="15"/>
          <w:vertAlign w:val="superscript"/>
        </w:rPr>
        <w:t>®</w:t>
      </w:r>
      <w:r>
        <w:rPr>
          <w:b/>
          <w:bCs/>
          <w:i/>
          <w:iCs/>
          <w:sz w:val="20"/>
          <w:szCs w:val="20"/>
        </w:rPr>
        <w:t xml:space="preserve"> (telavancin)</w:t>
      </w:r>
    </w:p>
    <w:p w:rsidR="00000000" w:rsidRDefault="00C96329">
      <w:pPr>
        <w:pStyle w:val="a3"/>
        <w:spacing w:before="0" w:beforeAutospacing="0" w:after="0" w:afterAutospacing="0"/>
        <w:ind w:firstLine="720"/>
        <w:divId w:val="1129933941"/>
        <w:rPr>
          <w:sz w:val="20"/>
          <w:szCs w:val="20"/>
        </w:rPr>
      </w:pPr>
      <w:r>
        <w:rPr>
          <w:sz w:val="20"/>
          <w:szCs w:val="20"/>
        </w:rPr>
        <w:t xml:space="preserve">VIBATIV is </w:t>
      </w:r>
      <w:r>
        <w:rPr>
          <w:sz w:val="20"/>
          <w:szCs w:val="20"/>
          <w:shd w:val="clear" w:color="auto" w:fill="FFFFFF"/>
        </w:rPr>
        <w:t>an FDA-approved injectable antibiotic used in the treatment of cer</w:t>
      </w:r>
      <w:r>
        <w:rPr>
          <w:sz w:val="20"/>
          <w:szCs w:val="20"/>
          <w:shd w:val="clear" w:color="auto" w:fill="FFFFFF"/>
        </w:rPr>
        <w:t>tain serious bacterial infections including hospital-acquired and ventilator-associated bacterial pneumonia (“HABP”/”VABP”), as well as complicated skin and skin structure infections (“cSSSI”). This life-saving antibiotic was discovered and developed by us</w:t>
      </w:r>
      <w:r>
        <w:rPr>
          <w:sz w:val="20"/>
          <w:szCs w:val="20"/>
          <w:shd w:val="clear" w:color="auto" w:fill="FFFFFF"/>
        </w:rPr>
        <w:t xml:space="preserve"> and is designed for </w:t>
      </w:r>
    </w:p>
    <w:p w:rsidR="00000000" w:rsidRDefault="00C96329">
      <w:pPr>
        <w:pStyle w:val="a3"/>
        <w:spacing w:before="360" w:beforeAutospacing="0" w:after="0" w:afterAutospacing="0"/>
        <w:jc w:val="center"/>
        <w:divId w:val="2126078694"/>
        <w:rPr>
          <w:sz w:val="20"/>
          <w:szCs w:val="20"/>
        </w:rPr>
      </w:pPr>
      <w:r>
        <w:rPr>
          <w:sz w:val="20"/>
          <w:szCs w:val="20"/>
        </w:rPr>
        <w:t>27</w:t>
      </w:r>
    </w:p>
    <w:p w:rsidR="00000000" w:rsidRDefault="00C96329">
      <w:pPr>
        <w:pStyle w:val="a3"/>
        <w:spacing w:before="0" w:beforeAutospacing="0" w:after="600" w:afterAutospacing="0"/>
        <w:divId w:val="1529679675"/>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1579637340"/>
        <w:rPr>
          <w:sz w:val="20"/>
          <w:szCs w:val="20"/>
        </w:rPr>
      </w:pPr>
      <w:r>
        <w:rPr>
          <w:sz w:val="20"/>
          <w:szCs w:val="20"/>
          <w:shd w:val="clear" w:color="auto" w:fill="FFFFFF"/>
        </w:rPr>
        <w:t>difficult to treat Gram-positive bacterial infections, including those that are classified as methicillin-resistant (“MRSA”) or multidrug-resistant.</w:t>
      </w:r>
    </w:p>
    <w:p w:rsidR="00000000" w:rsidRDefault="00C96329">
      <w:pPr>
        <w:pStyle w:val="a3"/>
        <w:spacing w:before="0" w:beforeAutospacing="0" w:after="0" w:afterAutospacing="0"/>
        <w:ind w:firstLine="720"/>
        <w:divId w:val="1579637340"/>
        <w:rPr>
          <w:sz w:val="20"/>
          <w:szCs w:val="20"/>
        </w:rPr>
      </w:pPr>
      <w:r>
        <w:rPr>
          <w:sz w:val="20"/>
          <w:szCs w:val="20"/>
        </w:rPr>
        <w:t>​</w:t>
      </w:r>
    </w:p>
    <w:p w:rsidR="00000000" w:rsidRDefault="00C96329">
      <w:pPr>
        <w:pStyle w:val="a3"/>
        <w:spacing w:before="0" w:beforeAutospacing="0" w:after="0" w:afterAutospacing="0"/>
        <w:ind w:firstLine="720"/>
        <w:divId w:val="1579637340"/>
        <w:rPr>
          <w:sz w:val="20"/>
          <w:szCs w:val="20"/>
        </w:rPr>
      </w:pPr>
      <w:r>
        <w:rPr>
          <w:sz w:val="20"/>
          <w:szCs w:val="20"/>
        </w:rPr>
        <w:t>In November 2018, we sold VIBATIV to</w:t>
      </w:r>
      <w:r>
        <w:rPr>
          <w:sz w:val="20"/>
          <w:szCs w:val="20"/>
        </w:rPr>
        <w:t xml:space="preserve"> Cumberland Pharmaceuticals Inc. (“Cumberland”) pursuant to an Asset Purchase Agreement (the “Agreement”). Under the Agreement, Cumberland paid us $20.0 million at the closing of the transaction and $5.0 million in April 2019. In addition, Cumberland pays </w:t>
      </w:r>
      <w:r>
        <w:rPr>
          <w:sz w:val="20"/>
          <w:szCs w:val="20"/>
        </w:rPr>
        <w:t>us tiered royalties of up to 20% of US net sales of VIBATIV until such time as royalties cumulatively total $100.0 million. In 2019, we earned $0.8 million in VIBATIV royalty income, and for the six months ended June 30, 2020, we earned $0.6 million in VIB</w:t>
      </w:r>
      <w:r>
        <w:rPr>
          <w:sz w:val="20"/>
          <w:szCs w:val="20"/>
        </w:rPr>
        <w:t xml:space="preserve">ATIV royalty income. </w:t>
      </w:r>
    </w:p>
    <w:p w:rsidR="00000000" w:rsidRDefault="00C96329">
      <w:pPr>
        <w:pStyle w:val="a3"/>
        <w:spacing w:before="0" w:beforeAutospacing="0" w:after="0" w:afterAutospacing="0"/>
        <w:ind w:firstLine="720"/>
        <w:divId w:val="1579637340"/>
        <w:rPr>
          <w:sz w:val="20"/>
          <w:szCs w:val="20"/>
        </w:rPr>
      </w:pPr>
      <w:r>
        <w:rPr>
          <w:b/>
          <w:bCs/>
          <w:sz w:val="20"/>
          <w:szCs w:val="20"/>
        </w:rPr>
        <w:t>​</w:t>
      </w:r>
    </w:p>
    <w:p w:rsidR="00000000" w:rsidRDefault="00C96329">
      <w:pPr>
        <w:pStyle w:val="a3"/>
        <w:spacing w:before="0" w:beforeAutospacing="0" w:after="120" w:afterAutospacing="0"/>
        <w:divId w:val="1579637340"/>
        <w:rPr>
          <w:sz w:val="20"/>
          <w:szCs w:val="20"/>
        </w:rPr>
      </w:pPr>
      <w:r>
        <w:rPr>
          <w:b/>
          <w:bCs/>
          <w:i/>
          <w:iCs/>
          <w:sz w:val="20"/>
          <w:szCs w:val="20"/>
        </w:rPr>
        <w:t>Velusetrag (TD-5108)</w:t>
      </w:r>
    </w:p>
    <w:p w:rsidR="00000000" w:rsidRDefault="00C96329">
      <w:pPr>
        <w:pStyle w:val="a3"/>
        <w:spacing w:before="0" w:beforeAutospacing="0" w:after="0" w:afterAutospacing="0"/>
        <w:ind w:firstLine="720"/>
        <w:divId w:val="1579637340"/>
        <w:rPr>
          <w:sz w:val="20"/>
          <w:szCs w:val="20"/>
        </w:rPr>
      </w:pPr>
      <w:r>
        <w:rPr>
          <w:sz w:val="20"/>
          <w:szCs w:val="20"/>
        </w:rPr>
        <w:t xml:space="preserve">Velusetrag is an oral, investigational medicine developed for gastrointestinal motility disorders. It is a highly selective agonist with high intrinsic activity at the human 5-HT4 receptor. </w:t>
      </w:r>
    </w:p>
    <w:p w:rsidR="00000000" w:rsidRDefault="00C96329">
      <w:pPr>
        <w:pStyle w:val="a3"/>
        <w:spacing w:before="0" w:beforeAutospacing="0" w:after="0" w:afterAutospacing="0"/>
        <w:divId w:val="1579637340"/>
        <w:rPr>
          <w:sz w:val="20"/>
          <w:szCs w:val="20"/>
        </w:rPr>
      </w:pPr>
      <w:r>
        <w:rPr>
          <w:sz w:val="20"/>
          <w:szCs w:val="20"/>
        </w:rPr>
        <w:t>​</w:t>
      </w:r>
    </w:p>
    <w:p w:rsidR="00000000" w:rsidRDefault="00C96329">
      <w:pPr>
        <w:pStyle w:val="a3"/>
        <w:spacing w:before="0" w:beforeAutospacing="0" w:after="0" w:afterAutospacing="0"/>
        <w:divId w:val="1579637340"/>
        <w:rPr>
          <w:sz w:val="20"/>
          <w:szCs w:val="20"/>
        </w:rPr>
      </w:pPr>
      <w:r>
        <w:rPr>
          <w:i/>
          <w:iCs/>
          <w:sz w:val="20"/>
          <w:szCs w:val="20"/>
        </w:rPr>
        <w:t>Alfasigma S.p.A. C</w:t>
      </w:r>
      <w:r>
        <w:rPr>
          <w:i/>
          <w:iCs/>
          <w:sz w:val="20"/>
          <w:szCs w:val="20"/>
        </w:rPr>
        <w:t>ollaboration</w:t>
      </w:r>
    </w:p>
    <w:p w:rsidR="00000000" w:rsidRDefault="00C96329">
      <w:pPr>
        <w:pStyle w:val="a3"/>
        <w:spacing w:before="0" w:beforeAutospacing="0" w:after="0" w:afterAutospacing="0"/>
        <w:divId w:val="1579637340"/>
        <w:rPr>
          <w:sz w:val="20"/>
          <w:szCs w:val="20"/>
        </w:rPr>
      </w:pPr>
      <w:r>
        <w:rPr>
          <w:i/>
          <w:iCs/>
          <w:sz w:val="10"/>
          <w:szCs w:val="10"/>
        </w:rPr>
        <w:t>​</w:t>
      </w:r>
    </w:p>
    <w:p w:rsidR="00000000" w:rsidRDefault="00C96329">
      <w:pPr>
        <w:pStyle w:val="a3"/>
        <w:spacing w:before="0" w:beforeAutospacing="0" w:after="0" w:afterAutospacing="0"/>
        <w:ind w:firstLine="720"/>
        <w:divId w:val="1579637340"/>
        <w:rPr>
          <w:sz w:val="20"/>
          <w:szCs w:val="20"/>
        </w:rPr>
      </w:pPr>
      <w:r>
        <w:rPr>
          <w:sz w:val="20"/>
          <w:szCs w:val="20"/>
        </w:rPr>
        <w:t>In 2012, we partnered with Alfasigma S.p.A. (“Alfasigma”</w:t>
      </w:r>
      <w:r>
        <w:rPr>
          <w:sz w:val="20"/>
          <w:szCs w:val="20"/>
        </w:rPr>
        <w:t>) in the development of velusetrag and its commercialization in certain countries. In April 2018, Alfasigma exercised its option to develop and commercialize velusetrag, and we elected not to pursue further development. Global rights to develop, manufactur</w:t>
      </w:r>
      <w:r>
        <w:rPr>
          <w:sz w:val="20"/>
          <w:szCs w:val="20"/>
        </w:rPr>
        <w:t xml:space="preserve">e and commercialize velusetrag have been transferred to Alfasigma under the terms of the collaboration agreement. Also, under the terms of the collaboration with Alfasigma, we are entitled to receive future potential development, regulatory and commercial </w:t>
      </w:r>
      <w:r>
        <w:rPr>
          <w:sz w:val="20"/>
          <w:szCs w:val="20"/>
        </w:rPr>
        <w:t>milestone payments of up to $26.8 million and tiered royalties on global net sales ranging from high single digits to the mid-teens.</w:t>
      </w:r>
    </w:p>
    <w:p w:rsidR="00000000" w:rsidRDefault="00C96329">
      <w:pPr>
        <w:pStyle w:val="a3"/>
        <w:spacing w:before="0" w:beforeAutospacing="0" w:after="0" w:afterAutospacing="0"/>
        <w:ind w:firstLine="720"/>
        <w:divId w:val="1579637340"/>
        <w:rPr>
          <w:sz w:val="20"/>
          <w:szCs w:val="20"/>
        </w:rPr>
      </w:pPr>
      <w:r>
        <w:rPr>
          <w:b/>
          <w:bCs/>
          <w:sz w:val="20"/>
          <w:szCs w:val="20"/>
        </w:rPr>
        <w:t>​</w:t>
      </w:r>
    </w:p>
    <w:p w:rsidR="00000000" w:rsidRDefault="00C96329">
      <w:pPr>
        <w:pStyle w:val="a3"/>
        <w:spacing w:before="0" w:beforeAutospacing="0" w:after="0" w:afterAutospacing="0"/>
        <w:divId w:val="1579637340"/>
        <w:rPr>
          <w:sz w:val="20"/>
          <w:szCs w:val="20"/>
        </w:rPr>
      </w:pPr>
      <w:r>
        <w:rPr>
          <w:b/>
          <w:bCs/>
          <w:i/>
          <w:iCs/>
          <w:sz w:val="20"/>
          <w:szCs w:val="20"/>
        </w:rPr>
        <w:t>Selective 5-HT4 Agonist (TD-8954)</w:t>
      </w:r>
    </w:p>
    <w:p w:rsidR="00000000" w:rsidRDefault="00C96329">
      <w:pPr>
        <w:pStyle w:val="a3"/>
        <w:spacing w:before="0" w:beforeAutospacing="0" w:after="0" w:afterAutospacing="0"/>
        <w:divId w:val="1579637340"/>
        <w:rPr>
          <w:sz w:val="20"/>
          <w:szCs w:val="20"/>
        </w:rPr>
      </w:pPr>
      <w:r>
        <w:rPr>
          <w:sz w:val="10"/>
          <w:szCs w:val="10"/>
        </w:rPr>
        <w:t>​</w:t>
      </w:r>
    </w:p>
    <w:p w:rsidR="00000000" w:rsidRDefault="00C96329">
      <w:pPr>
        <w:pStyle w:val="a3"/>
        <w:spacing w:before="0" w:beforeAutospacing="0" w:after="0" w:afterAutospacing="0"/>
        <w:ind w:firstLine="720"/>
        <w:divId w:val="1579637340"/>
        <w:rPr>
          <w:sz w:val="20"/>
          <w:szCs w:val="20"/>
        </w:rPr>
      </w:pPr>
      <w:r>
        <w:rPr>
          <w:sz w:val="20"/>
          <w:szCs w:val="20"/>
        </w:rPr>
        <w:t>TD-8954 is a selective 5-HT4 receptor agonist being developed for potential use in th</w:t>
      </w:r>
      <w:r>
        <w:rPr>
          <w:sz w:val="20"/>
          <w:szCs w:val="20"/>
        </w:rPr>
        <w:t xml:space="preserve">e treatment of gastrointestinal motility disorders. </w:t>
      </w:r>
    </w:p>
    <w:p w:rsidR="00000000" w:rsidRDefault="00C96329">
      <w:pPr>
        <w:pStyle w:val="a3"/>
        <w:spacing w:before="0" w:beforeAutospacing="0" w:after="0" w:afterAutospacing="0"/>
        <w:divId w:val="1579637340"/>
        <w:rPr>
          <w:sz w:val="20"/>
          <w:szCs w:val="20"/>
        </w:rPr>
      </w:pPr>
      <w:r>
        <w:rPr>
          <w:sz w:val="20"/>
          <w:szCs w:val="20"/>
        </w:rPr>
        <w:t>​</w:t>
      </w:r>
    </w:p>
    <w:p w:rsidR="00000000" w:rsidRDefault="00C96329">
      <w:pPr>
        <w:pStyle w:val="a3"/>
        <w:spacing w:before="0" w:beforeAutospacing="0" w:after="0" w:afterAutospacing="0"/>
        <w:divId w:val="1579637340"/>
        <w:rPr>
          <w:sz w:val="20"/>
          <w:szCs w:val="20"/>
        </w:rPr>
      </w:pPr>
      <w:r>
        <w:rPr>
          <w:i/>
          <w:iCs/>
          <w:sz w:val="20"/>
          <w:szCs w:val="20"/>
        </w:rPr>
        <w:t>Takeda Collaborative Arrangement</w:t>
      </w:r>
    </w:p>
    <w:p w:rsidR="00000000" w:rsidRDefault="00C96329">
      <w:pPr>
        <w:pStyle w:val="a3"/>
        <w:spacing w:before="0" w:beforeAutospacing="0" w:after="0" w:afterAutospacing="0"/>
        <w:divId w:val="1579637340"/>
        <w:rPr>
          <w:sz w:val="20"/>
          <w:szCs w:val="20"/>
        </w:rPr>
      </w:pPr>
      <w:r>
        <w:rPr>
          <w:sz w:val="10"/>
          <w:szCs w:val="10"/>
        </w:rPr>
        <w:t>​</w:t>
      </w:r>
    </w:p>
    <w:p w:rsidR="00000000" w:rsidRDefault="00C96329">
      <w:pPr>
        <w:pStyle w:val="a3"/>
        <w:spacing w:before="0" w:beforeAutospacing="0" w:after="0" w:afterAutospacing="0"/>
        <w:ind w:firstLine="720"/>
        <w:divId w:val="1579637340"/>
        <w:rPr>
          <w:sz w:val="20"/>
          <w:szCs w:val="20"/>
        </w:rPr>
      </w:pPr>
      <w:r>
        <w:rPr>
          <w:sz w:val="20"/>
          <w:szCs w:val="20"/>
        </w:rPr>
        <w:t>In June 2016, we entered into a License and Collaboration Agreement (the “Takeda Agreement”) with Millennium Pharmaceuticals, Inc. (“Millennium”), in order to establi</w:t>
      </w:r>
      <w:r>
        <w:rPr>
          <w:sz w:val="20"/>
          <w:szCs w:val="20"/>
        </w:rPr>
        <w:t>sh a collaboration for the development and commercialization of TD-8954 (TAK-954). Millennium is an indirect wholly-owned subsidiary of Takeda Pharmaceutical Company Limited (“Takeda”). TD-8954 is currently in a Phase 2 study as a potential treatment for p</w:t>
      </w:r>
      <w:r>
        <w:rPr>
          <w:sz w:val="20"/>
          <w:szCs w:val="20"/>
        </w:rPr>
        <w:t>ost-operative gastrointestinal dysfunction. Under the terms of the Takeda Agreement, Takeda is responsible for worldwide development and commercialization of TD-8954. We received an upfront cash payment of $15.0 million and will be eligible to receive succ</w:t>
      </w:r>
      <w:r>
        <w:rPr>
          <w:sz w:val="20"/>
          <w:szCs w:val="20"/>
        </w:rPr>
        <w:t>ess-based development, regulatory and sales milestone payments from Takeda. We will also be eligible to receive a tiered royalty on worldwide net sales by Takeda at percentage royalty rates ranging from low double-digits to mid-teens.</w:t>
      </w:r>
    </w:p>
    <w:p w:rsidR="00000000" w:rsidRDefault="00C96329">
      <w:pPr>
        <w:pStyle w:val="a3"/>
        <w:spacing w:before="0" w:beforeAutospacing="0" w:after="0" w:afterAutospacing="0"/>
        <w:ind w:firstLine="720"/>
        <w:divId w:val="1579637340"/>
        <w:rPr>
          <w:sz w:val="20"/>
          <w:szCs w:val="20"/>
        </w:rPr>
      </w:pPr>
      <w:r>
        <w:rPr>
          <w:b/>
          <w:bCs/>
          <w:sz w:val="20"/>
          <w:szCs w:val="20"/>
        </w:rPr>
        <w:t>​</w:t>
      </w:r>
    </w:p>
    <w:p w:rsidR="00000000" w:rsidRDefault="00C96329">
      <w:pPr>
        <w:pStyle w:val="a3"/>
        <w:spacing w:before="0" w:beforeAutospacing="0" w:after="120" w:afterAutospacing="0"/>
        <w:divId w:val="1579637340"/>
        <w:rPr>
          <w:sz w:val="20"/>
          <w:szCs w:val="20"/>
        </w:rPr>
      </w:pPr>
      <w:r>
        <w:rPr>
          <w:b/>
          <w:bCs/>
          <w:i/>
          <w:iCs/>
          <w:sz w:val="20"/>
          <w:szCs w:val="20"/>
        </w:rPr>
        <w:t>Skin-selective Pan-</w:t>
      </w:r>
      <w:r>
        <w:rPr>
          <w:b/>
          <w:bCs/>
          <w:i/>
          <w:iCs/>
          <w:sz w:val="20"/>
          <w:szCs w:val="20"/>
        </w:rPr>
        <w:t xml:space="preserve">JAK inhibitor program </w:t>
      </w:r>
    </w:p>
    <w:p w:rsidR="00000000" w:rsidRDefault="00C96329">
      <w:pPr>
        <w:pStyle w:val="a3"/>
        <w:spacing w:before="0" w:beforeAutospacing="0" w:after="0" w:afterAutospacing="0"/>
        <w:divId w:val="1579637340"/>
        <w:rPr>
          <w:sz w:val="20"/>
          <w:szCs w:val="20"/>
        </w:rPr>
      </w:pPr>
      <w:r>
        <w:rPr>
          <w:sz w:val="20"/>
          <w:szCs w:val="20"/>
        </w:rPr>
        <w:t>In December 2019, we entered into a global license agreement with Pfizer Inc. (“Pfizer”) for our preclinical skin-selective, locally-acting pan-JAK inhibitor program (the “Pfizer Agreement”). The compounds in this program are designe</w:t>
      </w:r>
      <w:r>
        <w:rPr>
          <w:sz w:val="20"/>
          <w:szCs w:val="20"/>
        </w:rPr>
        <w:t>d to target validated pro-inflammatory pathways and are specifically designed to possess skin-selective activity with minimal systemic exposure.</w:t>
      </w:r>
    </w:p>
    <w:p w:rsidR="00000000" w:rsidRDefault="00C96329">
      <w:pPr>
        <w:pStyle w:val="a3"/>
        <w:spacing w:before="0" w:beforeAutospacing="0" w:after="0" w:afterAutospacing="0"/>
        <w:divId w:val="1579637340"/>
        <w:rPr>
          <w:sz w:val="20"/>
          <w:szCs w:val="20"/>
        </w:rPr>
      </w:pPr>
      <w:r>
        <w:rPr>
          <w:sz w:val="20"/>
          <w:szCs w:val="20"/>
        </w:rPr>
        <w:t>​</w:t>
      </w:r>
    </w:p>
    <w:p w:rsidR="00000000" w:rsidRDefault="00C96329">
      <w:pPr>
        <w:pStyle w:val="a3"/>
        <w:spacing w:before="0" w:beforeAutospacing="0" w:after="0" w:afterAutospacing="0"/>
        <w:ind w:firstLine="720"/>
        <w:divId w:val="1579637340"/>
        <w:rPr>
          <w:sz w:val="20"/>
          <w:szCs w:val="20"/>
        </w:rPr>
      </w:pPr>
      <w:r>
        <w:rPr>
          <w:sz w:val="20"/>
          <w:szCs w:val="20"/>
        </w:rPr>
        <w:t>Under the Pfizer Agreement, Pfizer has an exclusive license to develop, manufacture and commercialize certain</w:t>
      </w:r>
      <w:r>
        <w:rPr>
          <w:sz w:val="20"/>
          <w:szCs w:val="20"/>
        </w:rPr>
        <w:t xml:space="preserve"> compounds for all uses other than gastrointestinal, ophthalmic and respiratory applications. We received an upfront cash payment of $10.0 million and are eligible to receive up to an additional $240.0 million in development and sales milestone payments fr</w:t>
      </w:r>
      <w:r>
        <w:rPr>
          <w:sz w:val="20"/>
          <w:szCs w:val="20"/>
        </w:rPr>
        <w:t>om Pfizer. In addition, we are eligible to receive a tiered royalty on worldwide net sales of any potential products under the license at percentage royalty rates ranging from middle single-digits to low double-digits.</w:t>
      </w:r>
    </w:p>
    <w:p w:rsidR="00000000" w:rsidRDefault="00C96329">
      <w:pPr>
        <w:pStyle w:val="a3"/>
        <w:spacing w:before="0" w:beforeAutospacing="0" w:after="0" w:afterAutospacing="0"/>
        <w:ind w:firstLine="720"/>
        <w:divId w:val="1579637340"/>
        <w:rPr>
          <w:sz w:val="20"/>
          <w:szCs w:val="20"/>
        </w:rPr>
      </w:pPr>
      <w:r>
        <w:rPr>
          <w:b/>
          <w:bCs/>
          <w:sz w:val="20"/>
          <w:szCs w:val="20"/>
        </w:rPr>
        <w:t>​</w:t>
      </w:r>
    </w:p>
    <w:p w:rsidR="00000000" w:rsidRDefault="00C96329">
      <w:pPr>
        <w:pStyle w:val="a3"/>
        <w:spacing w:before="0" w:beforeAutospacing="0" w:after="120" w:afterAutospacing="0"/>
        <w:divId w:val="1579637340"/>
        <w:rPr>
          <w:sz w:val="20"/>
          <w:szCs w:val="20"/>
        </w:rPr>
      </w:pPr>
      <w:r>
        <w:rPr>
          <w:b/>
          <w:bCs/>
          <w:sz w:val="20"/>
          <w:szCs w:val="20"/>
        </w:rPr>
        <w:t>Research Projects</w:t>
      </w:r>
    </w:p>
    <w:p w:rsidR="00000000" w:rsidRDefault="00C96329">
      <w:pPr>
        <w:pStyle w:val="a3"/>
        <w:spacing w:before="0" w:beforeAutospacing="0" w:after="0" w:afterAutospacing="0"/>
        <w:ind w:firstLine="720"/>
        <w:divId w:val="1579637340"/>
        <w:rPr>
          <w:sz w:val="20"/>
          <w:szCs w:val="20"/>
        </w:rPr>
      </w:pPr>
      <w:r>
        <w:rPr>
          <w:sz w:val="20"/>
          <w:szCs w:val="20"/>
        </w:rPr>
        <w:t>Our research goal</w:t>
      </w:r>
      <w:r>
        <w:rPr>
          <w:sz w:val="20"/>
          <w:szCs w:val="20"/>
        </w:rPr>
        <w:t xml:space="preserve"> is to design organ-selective medicines that target diseased tissues, without systemic exposure, in order to maximize patient benefit and minimize risk. The intention is to expand the therapeutic index of our potential medicines compared to conventional sy</w:t>
      </w:r>
      <w:r>
        <w:rPr>
          <w:sz w:val="20"/>
          <w:szCs w:val="20"/>
        </w:rPr>
        <w:t>stemic therapies. Our efforts leverage years of experience in developing lung-</w:t>
      </w:r>
    </w:p>
    <w:p w:rsidR="00000000" w:rsidRDefault="00C96329">
      <w:pPr>
        <w:pStyle w:val="a3"/>
        <w:spacing w:before="360" w:beforeAutospacing="0" w:after="0" w:afterAutospacing="0"/>
        <w:jc w:val="center"/>
        <w:divId w:val="618534382"/>
        <w:rPr>
          <w:sz w:val="20"/>
          <w:szCs w:val="20"/>
        </w:rPr>
      </w:pPr>
      <w:r>
        <w:rPr>
          <w:sz w:val="20"/>
          <w:szCs w:val="20"/>
        </w:rPr>
        <w:t>28</w:t>
      </w:r>
    </w:p>
    <w:p w:rsidR="00000000" w:rsidRDefault="00C96329">
      <w:pPr>
        <w:pStyle w:val="a3"/>
        <w:spacing w:before="0" w:beforeAutospacing="0" w:after="600" w:afterAutospacing="0"/>
        <w:divId w:val="111751610"/>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1910725455"/>
        <w:rPr>
          <w:sz w:val="20"/>
          <w:szCs w:val="20"/>
        </w:rPr>
      </w:pPr>
      <w:r>
        <w:rPr>
          <w:sz w:val="20"/>
          <w:szCs w:val="20"/>
        </w:rPr>
        <w:t>selective medicines, such as YUPELRI, to treat respiratory diseases, and have led to the discovery of the gut-selective pan-JAK in</w:t>
      </w:r>
      <w:r>
        <w:rPr>
          <w:sz w:val="20"/>
          <w:szCs w:val="20"/>
        </w:rPr>
        <w:t xml:space="preserve">hibitor TD-1473 and irreversible JAK3 inhibitor TD-5202 for inflammatory intestinal diseases and the lung-selective inhaled JAK inhibitor TD-8236 and nebulized pan JAK inhibitor TD-0903 in serious respiratory disease. We plan to advance towards the clinic </w:t>
      </w:r>
      <w:r>
        <w:rPr>
          <w:sz w:val="20"/>
          <w:szCs w:val="20"/>
        </w:rPr>
        <w:t>other research projects with various mechanisms of action, each specifically tailored for the organ of interest, as we identify and validate potentially appropriate compounds. Our research is focused in the areas of inflammation and immunology, and our pip</w:t>
      </w:r>
      <w:r>
        <w:rPr>
          <w:sz w:val="20"/>
          <w:szCs w:val="20"/>
        </w:rPr>
        <w:t xml:space="preserve">eline of internally discovered programs is targeted to address significant patient needs. </w:t>
      </w:r>
    </w:p>
    <w:p w:rsidR="00000000" w:rsidRDefault="00C96329">
      <w:pPr>
        <w:pStyle w:val="a3"/>
        <w:spacing w:before="0" w:beforeAutospacing="0" w:after="0" w:afterAutospacing="0"/>
        <w:divId w:val="1910725455"/>
        <w:rPr>
          <w:sz w:val="20"/>
          <w:szCs w:val="20"/>
        </w:rPr>
      </w:pPr>
      <w:r>
        <w:rPr>
          <w:sz w:val="20"/>
          <w:szCs w:val="20"/>
        </w:rPr>
        <w:t>​</w:t>
      </w:r>
    </w:p>
    <w:p w:rsidR="00000000" w:rsidRDefault="00C96329">
      <w:pPr>
        <w:pStyle w:val="a3"/>
        <w:spacing w:before="0" w:beforeAutospacing="0" w:after="0" w:afterAutospacing="0"/>
        <w:divId w:val="1910725455"/>
        <w:rPr>
          <w:sz w:val="20"/>
          <w:szCs w:val="20"/>
        </w:rPr>
      </w:pPr>
      <w:r>
        <w:rPr>
          <w:b/>
          <w:bCs/>
          <w:sz w:val="20"/>
          <w:szCs w:val="20"/>
        </w:rPr>
        <w:t>Critical Accounting Policies and Estimates</w:t>
      </w:r>
    </w:p>
    <w:p w:rsidR="00000000" w:rsidRDefault="00C96329">
      <w:pPr>
        <w:pStyle w:val="a3"/>
        <w:spacing w:before="0" w:beforeAutospacing="0" w:after="0" w:afterAutospacing="0"/>
        <w:divId w:val="1910725455"/>
        <w:rPr>
          <w:sz w:val="20"/>
          <w:szCs w:val="20"/>
        </w:rPr>
      </w:pPr>
      <w:r>
        <w:rPr>
          <w:sz w:val="10"/>
          <w:szCs w:val="10"/>
        </w:rPr>
        <w:t>​</w:t>
      </w:r>
    </w:p>
    <w:p w:rsidR="00000000" w:rsidRDefault="00C96329">
      <w:pPr>
        <w:pStyle w:val="a3"/>
        <w:spacing w:before="0" w:beforeAutospacing="0" w:after="0" w:afterAutospacing="0"/>
        <w:ind w:firstLine="720"/>
        <w:divId w:val="1910725455"/>
        <w:rPr>
          <w:sz w:val="20"/>
          <w:szCs w:val="20"/>
        </w:rPr>
      </w:pPr>
      <w:r>
        <w:rPr>
          <w:sz w:val="20"/>
          <w:szCs w:val="20"/>
        </w:rPr>
        <w:t>Our management’</w:t>
      </w:r>
      <w:r>
        <w:rPr>
          <w:sz w:val="20"/>
          <w:szCs w:val="20"/>
        </w:rPr>
        <w:t>s discussion and analysis of our financial condition and results of operations is based on our financial statements, which have been prepared in accordance with US generally accepted accounting principles (“GAAP”). The preparation of these financial statem</w:t>
      </w:r>
      <w:r>
        <w:rPr>
          <w:sz w:val="20"/>
          <w:szCs w:val="20"/>
        </w:rPr>
        <w:t>ents requires us to make estimates and assumptions that affect the reported amounts of assets and liabilities and the disclosure of contingent assets and liabilities at the date of the financial statements, as well as the reported revenue generated and exp</w:t>
      </w:r>
      <w:r>
        <w:rPr>
          <w:sz w:val="20"/>
          <w:szCs w:val="20"/>
        </w:rPr>
        <w:t>enses incurred during the reporting periods. Our estimates are based on our historical experience and on various other factors that we believe are reasonable under the circumstances, the results of which form the basis for making judgments about the carryi</w:t>
      </w:r>
      <w:r>
        <w:rPr>
          <w:sz w:val="20"/>
          <w:szCs w:val="20"/>
        </w:rPr>
        <w:t xml:space="preserve">ng value of assets and liabilities, revenue recognition and clinical trial expenses that are not readily apparent from other sources. The full extent to which the COVID-19 pandemic will directly or indirectly impact our business, results of operations and </w:t>
      </w:r>
      <w:r>
        <w:rPr>
          <w:sz w:val="20"/>
          <w:szCs w:val="20"/>
        </w:rPr>
        <w:t>financial condition, including these estimates, will depend on future developments that are highly uncertain.</w:t>
      </w:r>
      <w:r>
        <w:rPr>
          <w:rFonts w:ascii="Franklin Gothic Book" w:hAnsi="Franklin Gothic Book"/>
          <w:color w:val="212529"/>
          <w:sz w:val="20"/>
          <w:szCs w:val="20"/>
          <w:shd w:val="clear" w:color="auto" w:fill="FFFFFF"/>
        </w:rPr>
        <w:t xml:space="preserve"> </w:t>
      </w:r>
      <w:r>
        <w:rPr>
          <w:sz w:val="20"/>
          <w:szCs w:val="20"/>
        </w:rPr>
        <w:t>Actual results may differ from these estimates under different assumptions or conditions. There have been no material changes to the critical acco</w:t>
      </w:r>
      <w:r>
        <w:rPr>
          <w:sz w:val="20"/>
          <w:szCs w:val="20"/>
        </w:rPr>
        <w:t>unting policies and estimates discussed in our Annual Report on Form 10-K for the year ended December 31, 2019.</w:t>
      </w:r>
    </w:p>
    <w:p w:rsidR="00000000" w:rsidRDefault="00C96329">
      <w:pPr>
        <w:pStyle w:val="a3"/>
        <w:spacing w:before="0" w:beforeAutospacing="0" w:after="0" w:afterAutospacing="0"/>
        <w:divId w:val="1910725455"/>
        <w:rPr>
          <w:sz w:val="20"/>
          <w:szCs w:val="20"/>
        </w:rPr>
      </w:pPr>
      <w:r>
        <w:rPr>
          <w:sz w:val="20"/>
          <w:szCs w:val="20"/>
        </w:rPr>
        <w:t>​</w:t>
      </w:r>
    </w:p>
    <w:p w:rsidR="00000000" w:rsidRDefault="00C96329">
      <w:pPr>
        <w:pStyle w:val="a3"/>
        <w:spacing w:before="0" w:beforeAutospacing="0" w:after="0" w:afterAutospacing="0"/>
        <w:divId w:val="1910725455"/>
        <w:rPr>
          <w:sz w:val="20"/>
          <w:szCs w:val="20"/>
        </w:rPr>
      </w:pPr>
      <w:r>
        <w:rPr>
          <w:b/>
          <w:bCs/>
          <w:sz w:val="20"/>
          <w:szCs w:val="20"/>
        </w:rPr>
        <w:t>Results of Operations</w:t>
      </w:r>
    </w:p>
    <w:p w:rsidR="00000000" w:rsidRDefault="00C96329">
      <w:pPr>
        <w:pStyle w:val="a3"/>
        <w:spacing w:before="0" w:beforeAutospacing="0" w:after="0" w:afterAutospacing="0"/>
        <w:divId w:val="1910725455"/>
        <w:rPr>
          <w:sz w:val="20"/>
          <w:szCs w:val="20"/>
        </w:rPr>
      </w:pPr>
      <w:r>
        <w:rPr>
          <w:b/>
          <w:bCs/>
          <w:sz w:val="10"/>
          <w:szCs w:val="10"/>
        </w:rPr>
        <w:t>​</w:t>
      </w:r>
    </w:p>
    <w:p w:rsidR="00000000" w:rsidRDefault="00C96329">
      <w:pPr>
        <w:pStyle w:val="a3"/>
        <w:spacing w:before="0" w:beforeAutospacing="0" w:after="0" w:afterAutospacing="0"/>
        <w:divId w:val="1910725455"/>
        <w:rPr>
          <w:sz w:val="20"/>
          <w:szCs w:val="20"/>
        </w:rPr>
      </w:pPr>
      <w:r>
        <w:rPr>
          <w:b/>
          <w:bCs/>
          <w:i/>
          <w:iCs/>
          <w:sz w:val="20"/>
          <w:szCs w:val="20"/>
        </w:rPr>
        <w:t>Revenue</w:t>
      </w:r>
    </w:p>
    <w:p w:rsidR="00000000" w:rsidRDefault="00C96329">
      <w:pPr>
        <w:pStyle w:val="a3"/>
        <w:spacing w:before="0" w:beforeAutospacing="0" w:after="0" w:afterAutospacing="0"/>
        <w:divId w:val="1910725455"/>
        <w:rPr>
          <w:sz w:val="20"/>
          <w:szCs w:val="20"/>
        </w:rPr>
      </w:pPr>
      <w:r>
        <w:rPr>
          <w:b/>
          <w:bCs/>
          <w:sz w:val="10"/>
          <w:szCs w:val="10"/>
        </w:rPr>
        <w:t>​</w:t>
      </w:r>
    </w:p>
    <w:p w:rsidR="00000000" w:rsidRDefault="00C96329">
      <w:pPr>
        <w:pStyle w:val="a3"/>
        <w:spacing w:before="0" w:beforeAutospacing="0" w:after="0" w:afterAutospacing="0"/>
        <w:ind w:firstLine="720"/>
        <w:divId w:val="1910725455"/>
        <w:rPr>
          <w:sz w:val="20"/>
          <w:szCs w:val="20"/>
        </w:rPr>
      </w:pPr>
      <w:r>
        <w:rPr>
          <w:sz w:val="20"/>
          <w:szCs w:val="20"/>
        </w:rPr>
        <w:t>Revenue, as compared to the comparable periods in the prior year, was as follows:</w:t>
      </w:r>
    </w:p>
    <w:p w:rsidR="00000000" w:rsidRDefault="00C96329">
      <w:pPr>
        <w:pStyle w:val="a3"/>
        <w:spacing w:before="0" w:beforeAutospacing="0" w:after="0" w:afterAutospacing="0"/>
        <w:ind w:firstLine="720"/>
        <w:divId w:val="1910725455"/>
        <w:rPr>
          <w:sz w:val="20"/>
          <w:szCs w:val="20"/>
        </w:rPr>
      </w:pPr>
      <w:r>
        <w:rPr>
          <w:sz w:val="20"/>
          <w:szCs w:val="20"/>
        </w:rPr>
        <w:t>​</w:t>
      </w:r>
    </w:p>
    <w:tbl>
      <w:tblPr>
        <w:tblW w:w="5128" w:type="pct"/>
        <w:tblInd w:w="-1" w:type="dxa"/>
        <w:tblCellMar>
          <w:top w:w="15" w:type="dxa"/>
          <w:left w:w="0" w:type="dxa"/>
          <w:bottom w:w="15" w:type="dxa"/>
          <w:right w:w="0" w:type="dxa"/>
        </w:tblCellMar>
        <w:tblLook w:val="04A0" w:firstRow="1" w:lastRow="0" w:firstColumn="1" w:lastColumn="0" w:noHBand="0" w:noVBand="1"/>
      </w:tblPr>
      <w:tblGrid>
        <w:gridCol w:w="1471"/>
        <w:gridCol w:w="160"/>
        <w:gridCol w:w="100"/>
        <w:gridCol w:w="620"/>
        <w:gridCol w:w="160"/>
        <w:gridCol w:w="100"/>
        <w:gridCol w:w="620"/>
        <w:gridCol w:w="160"/>
        <w:gridCol w:w="100"/>
        <w:gridCol w:w="684"/>
        <w:gridCol w:w="160"/>
        <w:gridCol w:w="393"/>
        <w:gridCol w:w="267"/>
        <w:gridCol w:w="160"/>
        <w:gridCol w:w="100"/>
        <w:gridCol w:w="620"/>
        <w:gridCol w:w="160"/>
        <w:gridCol w:w="100"/>
        <w:gridCol w:w="620"/>
        <w:gridCol w:w="160"/>
        <w:gridCol w:w="100"/>
        <w:gridCol w:w="684"/>
        <w:gridCol w:w="160"/>
        <w:gridCol w:w="393"/>
        <w:gridCol w:w="267"/>
      </w:tblGrid>
      <w:tr w:rsidR="00000000">
        <w:trPr>
          <w:divId w:val="1910725455"/>
          <w:trHeight w:val="20"/>
        </w:trPr>
        <w:tc>
          <w:tcPr>
            <w:tcW w:w="1446" w:type="pct"/>
            <w:tcMar>
              <w:top w:w="0" w:type="dxa"/>
              <w:left w:w="0" w:type="dxa"/>
              <w:bottom w:w="0" w:type="dxa"/>
              <w:right w:w="0" w:type="dxa"/>
            </w:tcMar>
            <w:vAlign w:val="bottom"/>
            <w:hideMark/>
          </w:tcPr>
          <w:p w:rsidR="00000000" w:rsidRDefault="00C96329">
            <w:pPr>
              <w:pStyle w:val="a3"/>
              <w:spacing w:before="0" w:beforeAutospacing="0" w:after="0" w:afterAutospacing="0"/>
              <w:divId w:val="1339651385"/>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80968998"/>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322517056"/>
              <w:rPr>
                <w:sz w:val="20"/>
                <w:szCs w:val="20"/>
              </w:rPr>
            </w:pPr>
            <w:r>
              <w:rPr>
                <w:sz w:val="2"/>
                <w:szCs w:val="2"/>
              </w:rPr>
              <w:t>​</w:t>
            </w:r>
          </w:p>
        </w:tc>
        <w:tc>
          <w:tcPr>
            <w:tcW w:w="323"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756439965"/>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179082044"/>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94762572"/>
              <w:rPr>
                <w:sz w:val="20"/>
                <w:szCs w:val="20"/>
              </w:rPr>
            </w:pPr>
            <w:r>
              <w:rPr>
                <w:sz w:val="2"/>
                <w:szCs w:val="2"/>
              </w:rPr>
              <w:t>​</w:t>
            </w:r>
          </w:p>
        </w:tc>
        <w:tc>
          <w:tcPr>
            <w:tcW w:w="323"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144540902"/>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766026099"/>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53164518"/>
              <w:rPr>
                <w:sz w:val="20"/>
                <w:szCs w:val="20"/>
              </w:rPr>
            </w:pPr>
            <w:r>
              <w:rPr>
                <w:sz w:val="2"/>
                <w:szCs w:val="2"/>
              </w:rPr>
              <w:t>​</w:t>
            </w:r>
          </w:p>
        </w:tc>
        <w:tc>
          <w:tcPr>
            <w:tcW w:w="35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47202262"/>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578948661"/>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774131613"/>
              <w:rPr>
                <w:sz w:val="20"/>
                <w:szCs w:val="20"/>
              </w:rPr>
            </w:pPr>
            <w:r>
              <w:rPr>
                <w:sz w:val="2"/>
                <w:szCs w:val="2"/>
              </w:rPr>
              <w:t>​</w:t>
            </w:r>
          </w:p>
        </w:tc>
        <w:tc>
          <w:tcPr>
            <w:tcW w:w="12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289624112"/>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566524532"/>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401562458"/>
              <w:rPr>
                <w:sz w:val="20"/>
                <w:szCs w:val="20"/>
              </w:rPr>
            </w:pPr>
            <w:r>
              <w:rPr>
                <w:sz w:val="2"/>
                <w:szCs w:val="2"/>
              </w:rPr>
              <w:t>​</w:t>
            </w:r>
          </w:p>
        </w:tc>
        <w:tc>
          <w:tcPr>
            <w:tcW w:w="323"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2079917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515702869"/>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87435657"/>
              <w:rPr>
                <w:sz w:val="20"/>
                <w:szCs w:val="20"/>
              </w:rPr>
            </w:pPr>
            <w:r>
              <w:rPr>
                <w:sz w:val="2"/>
                <w:szCs w:val="2"/>
              </w:rPr>
              <w:t>​</w:t>
            </w:r>
          </w:p>
        </w:tc>
        <w:tc>
          <w:tcPr>
            <w:tcW w:w="323"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87565303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767529782"/>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553930793"/>
              <w:rPr>
                <w:sz w:val="20"/>
                <w:szCs w:val="20"/>
              </w:rPr>
            </w:pPr>
            <w:r>
              <w:rPr>
                <w:sz w:val="2"/>
                <w:szCs w:val="2"/>
              </w:rPr>
              <w:t>​</w:t>
            </w:r>
          </w:p>
        </w:tc>
        <w:tc>
          <w:tcPr>
            <w:tcW w:w="35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7186239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060902742"/>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803187521"/>
              <w:rPr>
                <w:sz w:val="20"/>
                <w:szCs w:val="20"/>
              </w:rPr>
            </w:pPr>
            <w:r>
              <w:rPr>
                <w:sz w:val="2"/>
                <w:szCs w:val="2"/>
              </w:rPr>
              <w:t>​</w:t>
            </w:r>
          </w:p>
        </w:tc>
        <w:tc>
          <w:tcPr>
            <w:tcW w:w="12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62283983"/>
              <w:rPr>
                <w:sz w:val="20"/>
                <w:szCs w:val="20"/>
              </w:rPr>
            </w:pPr>
            <w:r>
              <w:rPr>
                <w:sz w:val="2"/>
                <w:szCs w:val="2"/>
              </w:rPr>
              <w:t>​</w:t>
            </w:r>
          </w:p>
        </w:tc>
      </w:tr>
      <w:tr w:rsidR="00000000">
        <w:trPr>
          <w:divId w:val="1910725455"/>
        </w:trPr>
        <w:tc>
          <w:tcPr>
            <w:tcW w:w="144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822" w:type="pct"/>
            <w:gridSpan w:val="5"/>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xml:space="preserve">Three Months Ended </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54"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90"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2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822" w:type="pct"/>
            <w:gridSpan w:val="5"/>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xml:space="preserve">Six Months Ended </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54"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90"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2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r>
      <w:tr w:rsidR="00000000">
        <w:trPr>
          <w:divId w:val="1910725455"/>
        </w:trPr>
        <w:tc>
          <w:tcPr>
            <w:tcW w:w="144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822"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June 30, </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670" w:type="pct"/>
            <w:gridSpan w:val="4"/>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Change</w:t>
            </w:r>
          </w:p>
        </w:tc>
        <w:tc>
          <w:tcPr>
            <w:tcW w:w="12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822"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June 30, </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670" w:type="pct"/>
            <w:gridSpan w:val="4"/>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Change</w:t>
            </w:r>
          </w:p>
        </w:tc>
        <w:tc>
          <w:tcPr>
            <w:tcW w:w="12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r>
      <w:tr w:rsidR="00000000">
        <w:trPr>
          <w:divId w:val="1910725455"/>
        </w:trPr>
        <w:tc>
          <w:tcPr>
            <w:tcW w:w="1446"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(In thousands)</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37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37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403"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12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37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37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403"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r>
              <w:rPr>
                <w:b/>
                <w:bCs/>
                <w:sz w:val="16"/>
                <w:szCs w:val="16"/>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12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r>
      <w:tr w:rsidR="00000000">
        <w:trPr>
          <w:divId w:val="1910725455"/>
        </w:trPr>
        <w:tc>
          <w:tcPr>
            <w:tcW w:w="144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Collaboration revenue</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23"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5,48</w:t>
            </w:r>
            <w:r>
              <w:rPr>
                <w:sz w:val="20"/>
                <w:szCs w:val="20"/>
              </w:rPr>
              <w:t>8</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23"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7,49</w:t>
            </w:r>
            <w:r>
              <w:rPr>
                <w:sz w:val="20"/>
                <w:szCs w:val="20"/>
              </w:rPr>
              <w:t>3</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5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(2,005</w:t>
            </w: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(27</w:t>
            </w:r>
            <w:r>
              <w:rPr>
                <w:sz w:val="20"/>
                <w:szCs w:val="20"/>
              </w:rPr>
              <w:t>)</w:t>
            </w:r>
          </w:p>
        </w:tc>
        <w:tc>
          <w:tcPr>
            <w:tcW w:w="12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23"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12,12</w:t>
            </w:r>
            <w:r>
              <w:rPr>
                <w:sz w:val="20"/>
                <w:szCs w:val="20"/>
              </w:rPr>
              <w:t>0</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23"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12,83</w:t>
            </w:r>
            <w:r>
              <w:rPr>
                <w:sz w:val="20"/>
                <w:szCs w:val="20"/>
              </w:rPr>
              <w:t>1</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5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(711</w:t>
            </w: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(6</w:t>
            </w:r>
            <w:r>
              <w:rPr>
                <w:sz w:val="20"/>
                <w:szCs w:val="20"/>
              </w:rPr>
              <w:t>)</w:t>
            </w:r>
          </w:p>
        </w:tc>
        <w:tc>
          <w:tcPr>
            <w:tcW w:w="12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r>
      <w:tr w:rsidR="00000000">
        <w:trPr>
          <w:divId w:val="1910725455"/>
        </w:trPr>
        <w:tc>
          <w:tcPr>
            <w:tcW w:w="1446"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Licensing revenue</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23"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23"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18,50</w:t>
            </w:r>
            <w:r>
              <w:rPr>
                <w:sz w:val="20"/>
                <w:szCs w:val="20"/>
              </w:rPr>
              <w:t>0</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54"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(18,500</w:t>
            </w:r>
            <w:r>
              <w:rPr>
                <w:sz w:val="20"/>
                <w:szCs w:val="20"/>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190"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NM</w:t>
            </w:r>
          </w:p>
        </w:tc>
        <w:tc>
          <w:tcPr>
            <w:tcW w:w="12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23"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1,50</w:t>
            </w:r>
            <w:r>
              <w:rPr>
                <w:sz w:val="20"/>
                <w:szCs w:val="20"/>
              </w:rPr>
              <w:t>0</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23"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18,50</w:t>
            </w:r>
            <w:r>
              <w:rPr>
                <w:sz w:val="20"/>
                <w:szCs w:val="20"/>
              </w:rPr>
              <w:t>0</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54"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(17,000</w:t>
            </w:r>
            <w:r>
              <w:rPr>
                <w:sz w:val="20"/>
                <w:szCs w:val="20"/>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190"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(92</w:t>
            </w:r>
            <w:r>
              <w:rPr>
                <w:sz w:val="20"/>
                <w:szCs w:val="20"/>
              </w:rPr>
              <w:t>)</w:t>
            </w:r>
          </w:p>
        </w:tc>
        <w:tc>
          <w:tcPr>
            <w:tcW w:w="12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r>
      <w:tr w:rsidR="00000000">
        <w:trPr>
          <w:divId w:val="1910725455"/>
        </w:trPr>
        <w:tc>
          <w:tcPr>
            <w:tcW w:w="1446"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Mylan collaboration agreement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9,52</w:t>
            </w:r>
            <w:r>
              <w:rPr>
                <w:sz w:val="20"/>
                <w:szCs w:val="20"/>
              </w:rPr>
              <w:t>0</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15</w:t>
            </w:r>
            <w:r>
              <w:rPr>
                <w:sz w:val="20"/>
                <w:szCs w:val="20"/>
              </w:rPr>
              <w:t>7</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9,36</w:t>
            </w:r>
            <w:r>
              <w:rPr>
                <w:sz w:val="20"/>
                <w:szCs w:val="20"/>
              </w:rPr>
              <w:t>3</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NM</w:t>
            </w:r>
          </w:p>
        </w:tc>
        <w:tc>
          <w:tcPr>
            <w:tcW w:w="12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21,25</w:t>
            </w:r>
            <w:r>
              <w:rPr>
                <w:sz w:val="20"/>
                <w:szCs w:val="20"/>
              </w:rPr>
              <w:t>0</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15</w:t>
            </w:r>
            <w:r>
              <w:rPr>
                <w:sz w:val="20"/>
                <w:szCs w:val="20"/>
              </w:rPr>
              <w:t>7</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21,09</w:t>
            </w:r>
            <w:r>
              <w:rPr>
                <w:sz w:val="20"/>
                <w:szCs w:val="20"/>
              </w:rPr>
              <w:t>3</w:t>
            </w:r>
          </w:p>
        </w:tc>
        <w:tc>
          <w:tcPr>
            <w:tcW w:w="7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NM</w:t>
            </w:r>
          </w:p>
        </w:tc>
        <w:tc>
          <w:tcPr>
            <w:tcW w:w="12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r>
      <w:tr w:rsidR="00000000">
        <w:trPr>
          <w:divId w:val="1910725455"/>
        </w:trPr>
        <w:tc>
          <w:tcPr>
            <w:tcW w:w="1446" w:type="pct"/>
            <w:tcMar>
              <w:top w:w="0" w:type="dxa"/>
              <w:left w:w="0" w:type="dxa"/>
              <w:bottom w:w="0" w:type="dxa"/>
              <w:right w:w="0" w:type="dxa"/>
            </w:tcMar>
            <w:vAlign w:val="bottom"/>
            <w:hideMark/>
          </w:tcPr>
          <w:p w:rsidR="00000000" w:rsidRDefault="00C96329">
            <w:pPr>
              <w:pStyle w:val="a3"/>
              <w:spacing w:before="0" w:beforeAutospacing="0" w:after="0" w:afterAutospacing="0"/>
              <w:ind w:left="120"/>
              <w:rPr>
                <w:sz w:val="20"/>
                <w:szCs w:val="20"/>
              </w:rPr>
            </w:pPr>
            <w:r>
              <w:rPr>
                <w:sz w:val="20"/>
                <w:szCs w:val="20"/>
              </w:rPr>
              <w:t>Total revenue</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23"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15,00</w:t>
            </w:r>
            <w:r>
              <w:rPr>
                <w:sz w:val="20"/>
                <w:szCs w:val="20"/>
              </w:rPr>
              <w:t>8</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23"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26,15</w:t>
            </w:r>
            <w:r>
              <w:rPr>
                <w:sz w:val="20"/>
                <w:szCs w:val="20"/>
              </w:rPr>
              <w:t>0</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54"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(11,142</w:t>
            </w:r>
            <w:r>
              <w:rPr>
                <w:sz w:val="20"/>
                <w:szCs w:val="20"/>
              </w:rPr>
              <w:t>)</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90"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(43</w:t>
            </w:r>
            <w:r>
              <w:rPr>
                <w:sz w:val="20"/>
                <w:szCs w:val="20"/>
              </w:rPr>
              <w:t>)</w:t>
            </w:r>
          </w:p>
        </w:tc>
        <w:tc>
          <w:tcPr>
            <w:tcW w:w="12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  </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23"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34,87</w:t>
            </w:r>
            <w:r>
              <w:rPr>
                <w:sz w:val="20"/>
                <w:szCs w:val="20"/>
              </w:rPr>
              <w:t>0</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23"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31,48</w:t>
            </w:r>
            <w:r>
              <w:rPr>
                <w:sz w:val="20"/>
                <w:szCs w:val="20"/>
              </w:rPr>
              <w:t>8</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54"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3,38</w:t>
            </w:r>
            <w:r>
              <w:rPr>
                <w:sz w:val="20"/>
                <w:szCs w:val="20"/>
              </w:rPr>
              <w:t>2</w:t>
            </w:r>
          </w:p>
        </w:tc>
        <w:tc>
          <w:tcPr>
            <w:tcW w:w="7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190" w:type="pct"/>
            <w:tcBorders>
              <w:bottom w:val="doub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w:t>
            </w:r>
            <w:r>
              <w:rPr>
                <w:sz w:val="20"/>
                <w:szCs w:val="20"/>
              </w:rPr>
              <w:t>1</w:t>
            </w:r>
          </w:p>
        </w:tc>
        <w:tc>
          <w:tcPr>
            <w:tcW w:w="12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r>
    </w:tbl>
    <w:p w:rsidR="00000000" w:rsidRDefault="00C96329">
      <w:pPr>
        <w:pStyle w:val="a3"/>
        <w:spacing w:before="0" w:beforeAutospacing="0" w:after="0" w:afterAutospacing="0"/>
        <w:divId w:val="1910725455"/>
        <w:rPr>
          <w:sz w:val="20"/>
          <w:szCs w:val="20"/>
        </w:rPr>
      </w:pPr>
      <w:r>
        <w:rPr>
          <w:sz w:val="20"/>
          <w:szCs w:val="20"/>
        </w:rPr>
        <w:t>NM: Not Mea</w:t>
      </w:r>
      <w:r>
        <w:rPr>
          <w:sz w:val="20"/>
          <w:szCs w:val="20"/>
        </w:rPr>
        <w:t>ningful</w:t>
      </w:r>
    </w:p>
    <w:p w:rsidR="00000000" w:rsidRDefault="00C96329">
      <w:pPr>
        <w:pStyle w:val="a3"/>
        <w:spacing w:before="0" w:beforeAutospacing="0" w:after="0" w:afterAutospacing="0"/>
        <w:divId w:val="1910725455"/>
        <w:rPr>
          <w:sz w:val="20"/>
          <w:szCs w:val="20"/>
        </w:rPr>
      </w:pPr>
      <w:r>
        <w:rPr>
          <w:sz w:val="20"/>
          <w:szCs w:val="20"/>
        </w:rPr>
        <w:t>​</w:t>
      </w:r>
    </w:p>
    <w:p w:rsidR="00000000" w:rsidRDefault="00C96329">
      <w:pPr>
        <w:pStyle w:val="a3"/>
        <w:spacing w:before="0" w:beforeAutospacing="0" w:after="0" w:afterAutospacing="0"/>
        <w:ind w:firstLine="720"/>
        <w:divId w:val="1910725455"/>
        <w:rPr>
          <w:sz w:val="20"/>
          <w:szCs w:val="20"/>
        </w:rPr>
      </w:pPr>
      <w:r>
        <w:rPr>
          <w:sz w:val="20"/>
          <w:szCs w:val="20"/>
        </w:rPr>
        <w:t>Collaboration revenue decreased by $2.0 million and $0.7 million for the three and six months ended June 30, 2020, respectively, compared to the same periods in 2019. Collaboration revenue is primarily comprised of recognized revenue related to t</w:t>
      </w:r>
      <w:r>
        <w:rPr>
          <w:sz w:val="20"/>
          <w:szCs w:val="20"/>
        </w:rPr>
        <w:t>he $100.0 million upfront payment from the Janssen collaboration agreement that was entered into in February 2018. For the three months ended June 30, 2020, the $2.0 million decrease was primarily attributed to a smaller portion of recognized revenue in th</w:t>
      </w:r>
      <w:r>
        <w:rPr>
          <w:sz w:val="20"/>
          <w:szCs w:val="20"/>
        </w:rPr>
        <w:t xml:space="preserve">e period resulting from delays in our clinical trials due to COVID-19. For the six months ended June 30, 2020, the negative impact of COVID-19 was partially offset by an increase in collaboration revenue during the first quarter of 2020 as compared to the </w:t>
      </w:r>
      <w:r>
        <w:rPr>
          <w:sz w:val="20"/>
          <w:szCs w:val="20"/>
        </w:rPr>
        <w:t xml:space="preserve">first quarter of 2019. </w:t>
      </w:r>
    </w:p>
    <w:p w:rsidR="00000000" w:rsidRDefault="00C96329">
      <w:pPr>
        <w:pStyle w:val="a3"/>
        <w:spacing w:before="0" w:beforeAutospacing="0" w:after="0" w:afterAutospacing="0"/>
        <w:ind w:firstLine="720"/>
        <w:divId w:val="1910725455"/>
        <w:rPr>
          <w:sz w:val="20"/>
          <w:szCs w:val="20"/>
        </w:rPr>
      </w:pPr>
      <w:r>
        <w:rPr>
          <w:sz w:val="20"/>
          <w:szCs w:val="20"/>
        </w:rPr>
        <w:t>​</w:t>
      </w:r>
    </w:p>
    <w:p w:rsidR="00000000" w:rsidRDefault="00C96329">
      <w:pPr>
        <w:pStyle w:val="a3"/>
        <w:spacing w:before="0" w:beforeAutospacing="0" w:after="0" w:afterAutospacing="0"/>
        <w:ind w:firstLine="720"/>
        <w:divId w:val="1910725455"/>
        <w:rPr>
          <w:sz w:val="20"/>
          <w:szCs w:val="20"/>
        </w:rPr>
      </w:pPr>
      <w:r>
        <w:rPr>
          <w:sz w:val="20"/>
          <w:szCs w:val="20"/>
        </w:rPr>
        <w:t>Licensing revenue decreased by $18.5 million and $17.0 million for the three and six months ended June 30, 2020, respectively, compared to the same periods in 2019. The $18.5 million recognized for the six months ended June 30, 20</w:t>
      </w:r>
      <w:r>
        <w:rPr>
          <w:sz w:val="20"/>
          <w:szCs w:val="20"/>
        </w:rPr>
        <w:t>19 represented an upfront payment</w:t>
      </w:r>
      <w:r>
        <w:rPr>
          <w:sz w:val="20"/>
          <w:szCs w:val="20"/>
          <w:shd w:val="clear" w:color="auto" w:fill="FFFFFF"/>
        </w:rPr>
        <w:t xml:space="preserve"> (before a required tax withholding) </w:t>
      </w:r>
      <w:r>
        <w:rPr>
          <w:sz w:val="20"/>
          <w:szCs w:val="20"/>
        </w:rPr>
        <w:t>from Mylan associated with the amendment signed in June 2019 for the commercialization and development r</w:t>
      </w:r>
      <w:r>
        <w:rPr>
          <w:sz w:val="20"/>
          <w:szCs w:val="20"/>
          <w:shd w:val="clear" w:color="auto" w:fill="FFFFFF"/>
        </w:rPr>
        <w:t>ights to nebulized revefenacin in China and adjacent territories (“Mylan China Ame</w:t>
      </w:r>
      <w:r>
        <w:rPr>
          <w:sz w:val="20"/>
          <w:szCs w:val="20"/>
          <w:shd w:val="clear" w:color="auto" w:fill="FFFFFF"/>
        </w:rPr>
        <w:t xml:space="preserve">ndment”). </w:t>
      </w:r>
      <w:r>
        <w:rPr>
          <w:sz w:val="20"/>
          <w:szCs w:val="20"/>
        </w:rPr>
        <w:t xml:space="preserve">For the six months ended June 30, 2020, we recognized $1.5 million in licensing revenue from the achievement of a </w:t>
      </w:r>
      <w:r>
        <w:rPr>
          <w:sz w:val="20"/>
          <w:szCs w:val="20"/>
          <w:shd w:val="clear" w:color="auto" w:fill="FFFFFF"/>
        </w:rPr>
        <w:t xml:space="preserve">milestone related to the acceptance of a clinical trial application </w:t>
      </w:r>
      <w:r>
        <w:rPr>
          <w:sz w:val="20"/>
          <w:szCs w:val="20"/>
        </w:rPr>
        <w:t>associated the Mylan China Amendment.</w:t>
      </w:r>
    </w:p>
    <w:p w:rsidR="00000000" w:rsidRDefault="00C96329">
      <w:pPr>
        <w:pStyle w:val="a3"/>
        <w:spacing w:before="0" w:beforeAutospacing="0" w:after="0" w:afterAutospacing="0"/>
        <w:divId w:val="1910725455"/>
        <w:rPr>
          <w:sz w:val="20"/>
          <w:szCs w:val="20"/>
        </w:rPr>
      </w:pPr>
      <w:r>
        <w:rPr>
          <w:sz w:val="20"/>
          <w:szCs w:val="20"/>
        </w:rPr>
        <w:t>​</w:t>
      </w:r>
    </w:p>
    <w:p w:rsidR="00000000" w:rsidRDefault="00C96329">
      <w:pPr>
        <w:pStyle w:val="a3"/>
        <w:spacing w:before="0" w:beforeAutospacing="0" w:after="0" w:afterAutospacing="0"/>
        <w:ind w:firstLine="720"/>
        <w:divId w:val="1910725455"/>
        <w:rPr>
          <w:sz w:val="20"/>
          <w:szCs w:val="20"/>
        </w:rPr>
      </w:pPr>
      <w:r>
        <w:rPr>
          <w:sz w:val="20"/>
          <w:szCs w:val="20"/>
        </w:rPr>
        <w:t>We are entitled to a sha</w:t>
      </w:r>
      <w:r>
        <w:rPr>
          <w:sz w:val="20"/>
          <w:szCs w:val="20"/>
        </w:rPr>
        <w:t xml:space="preserve">re of US profits and losses (65% to Mylan; 35% to Theravance Biopharma) received in connection with commercialization of YUPELRI. </w:t>
      </w:r>
      <w:r>
        <w:rPr>
          <w:sz w:val="20"/>
          <w:szCs w:val="20"/>
          <w:shd w:val="clear" w:color="auto" w:fill="FFFFFF"/>
        </w:rPr>
        <w:t>In accordance with the applicable accounting guidance, amounts receivable</w:t>
      </w:r>
      <w:r>
        <w:rPr>
          <w:sz w:val="20"/>
          <w:szCs w:val="20"/>
        </w:rPr>
        <w:t xml:space="preserve"> </w:t>
      </w:r>
    </w:p>
    <w:p w:rsidR="00000000" w:rsidRDefault="00C96329">
      <w:pPr>
        <w:pStyle w:val="a3"/>
        <w:spacing w:before="360" w:beforeAutospacing="0" w:after="0" w:afterAutospacing="0"/>
        <w:jc w:val="center"/>
        <w:divId w:val="431358305"/>
        <w:rPr>
          <w:sz w:val="20"/>
          <w:szCs w:val="20"/>
        </w:rPr>
      </w:pPr>
      <w:r>
        <w:rPr>
          <w:sz w:val="20"/>
          <w:szCs w:val="20"/>
        </w:rPr>
        <w:t>29</w:t>
      </w:r>
    </w:p>
    <w:p w:rsidR="00000000" w:rsidRDefault="00C96329">
      <w:pPr>
        <w:pStyle w:val="a3"/>
        <w:spacing w:before="0" w:beforeAutospacing="0" w:after="600" w:afterAutospacing="0"/>
        <w:divId w:val="1225221268"/>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169148683"/>
        <w:rPr>
          <w:sz w:val="20"/>
          <w:szCs w:val="20"/>
        </w:rPr>
      </w:pPr>
      <w:r>
        <w:rPr>
          <w:sz w:val="20"/>
          <w:szCs w:val="20"/>
        </w:rPr>
        <w:t>from Mylan in connection with the commercialization of YUPELRI are recorded within the condensed consolidated statements of operations as revenue from “Mylan collaboration agreement” irrespective of whether the overall collaboration is pr</w:t>
      </w:r>
      <w:r>
        <w:rPr>
          <w:sz w:val="20"/>
          <w:szCs w:val="20"/>
        </w:rPr>
        <w:t>ofitable. A</w:t>
      </w:r>
      <w:r>
        <w:rPr>
          <w:sz w:val="20"/>
          <w:szCs w:val="20"/>
          <w:shd w:val="clear" w:color="auto" w:fill="FFFFFF"/>
        </w:rPr>
        <w:t>mounts payable to Mylan in connection with the commercialization of YUPELRI, if any, are recorded within the condensed consolidated statements of operations as a collaboration loss within selling, general and administrative expenses. Any reimbur</w:t>
      </w:r>
      <w:r>
        <w:rPr>
          <w:sz w:val="20"/>
          <w:szCs w:val="20"/>
          <w:shd w:val="clear" w:color="auto" w:fill="FFFFFF"/>
        </w:rPr>
        <w:t>sement from Mylan attributed to the 65% cost-sharing of our R&amp;D expenses is characterized as a reduction of R&amp;D expense, as we do not consider performing research and development services for reimbursement to be a part of our ordinary operations.</w:t>
      </w:r>
    </w:p>
    <w:p w:rsidR="00000000" w:rsidRDefault="00C96329">
      <w:pPr>
        <w:pStyle w:val="a3"/>
        <w:spacing w:before="0" w:beforeAutospacing="0" w:after="0" w:afterAutospacing="0"/>
        <w:ind w:firstLine="720"/>
        <w:divId w:val="169148683"/>
        <w:rPr>
          <w:sz w:val="20"/>
          <w:szCs w:val="20"/>
        </w:rPr>
      </w:pPr>
      <w:r>
        <w:rPr>
          <w:sz w:val="20"/>
          <w:szCs w:val="20"/>
          <w:shd w:val="clear" w:color="auto" w:fill="FFFFFF"/>
        </w:rPr>
        <w:t>​</w:t>
      </w:r>
    </w:p>
    <w:p w:rsidR="00000000" w:rsidRDefault="00C96329">
      <w:pPr>
        <w:pStyle w:val="a3"/>
        <w:spacing w:before="0" w:beforeAutospacing="0" w:after="0" w:afterAutospacing="0"/>
        <w:ind w:firstLine="720"/>
        <w:divId w:val="169148683"/>
        <w:rPr>
          <w:sz w:val="20"/>
          <w:szCs w:val="20"/>
        </w:rPr>
      </w:pPr>
      <w:r>
        <w:rPr>
          <w:sz w:val="20"/>
          <w:szCs w:val="20"/>
          <w:shd w:val="clear" w:color="auto" w:fill="FFFFFF"/>
        </w:rPr>
        <w:t>For the</w:t>
      </w:r>
      <w:r>
        <w:rPr>
          <w:sz w:val="20"/>
          <w:szCs w:val="20"/>
          <w:shd w:val="clear" w:color="auto" w:fill="FFFFFF"/>
        </w:rPr>
        <w:t xml:space="preserve"> three and six months ended June 30, 2020, we </w:t>
      </w:r>
      <w:r>
        <w:rPr>
          <w:sz w:val="20"/>
          <w:szCs w:val="20"/>
        </w:rPr>
        <w:t>recognized $9.5 million and $21.3 million, respectively, in revenue from the Mylan collaboration agreement for YUPELRI which represented the receivables due from Mylan during the periods. Revenue from the Mylan</w:t>
      </w:r>
      <w:r>
        <w:rPr>
          <w:sz w:val="20"/>
          <w:szCs w:val="20"/>
        </w:rPr>
        <w:t xml:space="preserve"> collaboration agreement for YUPELRI for the three and six months ended June 30, 2019 was significantly lower due to the initial commercial launch of YUPELRI that formally began in the first quarter of 2019.</w:t>
      </w:r>
    </w:p>
    <w:p w:rsidR="00000000" w:rsidRDefault="00C96329">
      <w:pPr>
        <w:pStyle w:val="a3"/>
        <w:spacing w:before="0" w:beforeAutospacing="0" w:after="0" w:afterAutospacing="0"/>
        <w:ind w:firstLine="720"/>
        <w:divId w:val="169148683"/>
        <w:rPr>
          <w:sz w:val="20"/>
          <w:szCs w:val="20"/>
        </w:rPr>
      </w:pPr>
      <w:r>
        <w:rPr>
          <w:sz w:val="20"/>
          <w:szCs w:val="20"/>
          <w:shd w:val="clear" w:color="auto" w:fill="FFFFFF"/>
        </w:rPr>
        <w:t>​</w:t>
      </w:r>
    </w:p>
    <w:p w:rsidR="00000000" w:rsidRDefault="00C96329">
      <w:pPr>
        <w:pStyle w:val="a3"/>
        <w:spacing w:before="0" w:beforeAutospacing="0" w:after="0" w:afterAutospacing="0"/>
        <w:divId w:val="169148683"/>
        <w:rPr>
          <w:sz w:val="20"/>
          <w:szCs w:val="20"/>
        </w:rPr>
      </w:pPr>
      <w:r>
        <w:rPr>
          <w:b/>
          <w:bCs/>
          <w:i/>
          <w:iCs/>
          <w:sz w:val="20"/>
          <w:szCs w:val="20"/>
        </w:rPr>
        <w:t>Research and Development</w:t>
      </w:r>
    </w:p>
    <w:p w:rsidR="00000000" w:rsidRDefault="00C96329">
      <w:pPr>
        <w:pStyle w:val="a3"/>
        <w:spacing w:before="0" w:beforeAutospacing="0" w:after="0" w:afterAutospacing="0"/>
        <w:divId w:val="169148683"/>
        <w:rPr>
          <w:sz w:val="20"/>
          <w:szCs w:val="20"/>
        </w:rPr>
      </w:pPr>
      <w:r>
        <w:rPr>
          <w:sz w:val="10"/>
          <w:szCs w:val="10"/>
        </w:rPr>
        <w:t>​</w:t>
      </w:r>
    </w:p>
    <w:p w:rsidR="00000000" w:rsidRDefault="00C96329">
      <w:pPr>
        <w:pStyle w:val="a3"/>
        <w:spacing w:before="0" w:beforeAutospacing="0" w:after="0" w:afterAutospacing="0"/>
        <w:ind w:firstLine="720"/>
        <w:divId w:val="169148683"/>
        <w:rPr>
          <w:sz w:val="20"/>
          <w:szCs w:val="20"/>
        </w:rPr>
      </w:pPr>
      <w:r>
        <w:rPr>
          <w:sz w:val="20"/>
          <w:szCs w:val="20"/>
        </w:rPr>
        <w:t>Our R&amp;</w:t>
      </w:r>
      <w:r>
        <w:rPr>
          <w:sz w:val="20"/>
          <w:szCs w:val="20"/>
        </w:rPr>
        <w:t>D expenses consist primarily of employee-related costs, external costs, and various allocable expenses. We budget total R&amp;D expenses on an internal department level basis, and we manage and report our R&amp;D activities across the following four cost categorie</w:t>
      </w:r>
      <w:r>
        <w:rPr>
          <w:sz w:val="20"/>
          <w:szCs w:val="20"/>
        </w:rPr>
        <w:t>s:</w:t>
      </w:r>
    </w:p>
    <w:p w:rsidR="00000000" w:rsidRDefault="00C96329">
      <w:pPr>
        <w:pStyle w:val="a3"/>
        <w:spacing w:before="0" w:beforeAutospacing="0" w:after="0" w:afterAutospacing="0"/>
        <w:divId w:val="169148683"/>
        <w:rPr>
          <w:sz w:val="20"/>
          <w:szCs w:val="20"/>
        </w:rPr>
      </w:pPr>
      <w:r>
        <w:rPr>
          <w:sz w:val="20"/>
          <w:szCs w:val="20"/>
        </w:rPr>
        <w:t>​</w:t>
      </w:r>
    </w:p>
    <w:p w:rsidR="00000000" w:rsidRDefault="00C96329">
      <w:pPr>
        <w:ind w:hanging="360"/>
        <w:divId w:val="835802355"/>
        <w:rPr>
          <w:rFonts w:eastAsia="Times New Roman"/>
          <w:sz w:val="20"/>
          <w:szCs w:val="20"/>
        </w:rPr>
      </w:pPr>
      <w:r>
        <w:rPr>
          <w:rFonts w:eastAsia="Times New Roman"/>
          <w:sz w:val="20"/>
          <w:szCs w:val="20"/>
        </w:rPr>
        <w:t>1</w:t>
      </w:r>
      <w:r>
        <w:rPr>
          <w:rFonts w:eastAsia="Times New Roman"/>
          <w:sz w:val="20"/>
          <w:szCs w:val="20"/>
        </w:rPr>
        <w:t>)</w:t>
      </w:r>
      <w:r>
        <w:rPr>
          <w:rFonts w:eastAsia="Times New Roman"/>
          <w:sz w:val="20"/>
          <w:szCs w:val="20"/>
        </w:rPr>
        <w:t>Employee-related costs, which include salaries, wages and benefits;</w:t>
      </w:r>
    </w:p>
    <w:p w:rsidR="00000000" w:rsidRDefault="00C96329">
      <w:pPr>
        <w:pStyle w:val="a3"/>
        <w:spacing w:before="0" w:beforeAutospacing="0" w:after="0" w:afterAutospacing="0"/>
        <w:ind w:left="720" w:hanging="360"/>
        <w:divId w:val="169148683"/>
        <w:rPr>
          <w:sz w:val="20"/>
          <w:szCs w:val="20"/>
        </w:rPr>
      </w:pPr>
      <w:r>
        <w:rPr>
          <w:sz w:val="20"/>
          <w:szCs w:val="20"/>
        </w:rPr>
        <w:t>​</w:t>
      </w:r>
    </w:p>
    <w:p w:rsidR="00000000" w:rsidRDefault="00C96329">
      <w:pPr>
        <w:ind w:hanging="360"/>
        <w:divId w:val="203829760"/>
        <w:rPr>
          <w:rFonts w:eastAsia="Times New Roman"/>
          <w:sz w:val="20"/>
          <w:szCs w:val="20"/>
        </w:rPr>
      </w:pPr>
      <w:r>
        <w:rPr>
          <w:rFonts w:eastAsia="Times New Roman"/>
          <w:sz w:val="20"/>
          <w:szCs w:val="20"/>
        </w:rPr>
        <w:t>2</w:t>
      </w:r>
      <w:r>
        <w:rPr>
          <w:rFonts w:eastAsia="Times New Roman"/>
          <w:sz w:val="20"/>
          <w:szCs w:val="20"/>
        </w:rPr>
        <w:t>)</w:t>
      </w:r>
      <w:r>
        <w:rPr>
          <w:rFonts w:eastAsia="Times New Roman"/>
          <w:sz w:val="20"/>
          <w:szCs w:val="20"/>
        </w:rPr>
        <w:t>Share-based compensation, which includes expenses associated with our equity plans;</w:t>
      </w:r>
    </w:p>
    <w:p w:rsidR="00000000" w:rsidRDefault="00C96329">
      <w:pPr>
        <w:pStyle w:val="a3"/>
        <w:spacing w:before="0" w:beforeAutospacing="0" w:after="0" w:afterAutospacing="0"/>
        <w:ind w:left="720" w:hanging="360"/>
        <w:divId w:val="169148683"/>
        <w:rPr>
          <w:sz w:val="20"/>
          <w:szCs w:val="20"/>
        </w:rPr>
      </w:pPr>
      <w:r>
        <w:rPr>
          <w:sz w:val="20"/>
          <w:szCs w:val="20"/>
        </w:rPr>
        <w:t>​</w:t>
      </w:r>
    </w:p>
    <w:p w:rsidR="00000000" w:rsidRDefault="00C96329">
      <w:pPr>
        <w:ind w:hanging="360"/>
        <w:divId w:val="777407112"/>
        <w:rPr>
          <w:rFonts w:eastAsia="Times New Roman"/>
          <w:sz w:val="20"/>
          <w:szCs w:val="20"/>
        </w:rPr>
      </w:pPr>
      <w:r>
        <w:rPr>
          <w:rFonts w:eastAsia="Times New Roman"/>
          <w:sz w:val="20"/>
          <w:szCs w:val="20"/>
        </w:rPr>
        <w:t>3</w:t>
      </w:r>
      <w:r>
        <w:rPr>
          <w:rFonts w:eastAsia="Times New Roman"/>
          <w:sz w:val="20"/>
          <w:szCs w:val="20"/>
        </w:rPr>
        <w:t>)</w:t>
      </w:r>
      <w:r>
        <w:rPr>
          <w:rFonts w:eastAsia="Times New Roman"/>
          <w:sz w:val="20"/>
          <w:szCs w:val="20"/>
        </w:rPr>
        <w:t>External-related costs, which include clinical trial related expenses, other contract res</w:t>
      </w:r>
      <w:r>
        <w:rPr>
          <w:rFonts w:eastAsia="Times New Roman"/>
          <w:sz w:val="20"/>
          <w:szCs w:val="20"/>
        </w:rPr>
        <w:t>earch fees, consulting fees, and contract manufacturing fees; and</w:t>
      </w:r>
    </w:p>
    <w:p w:rsidR="00000000" w:rsidRDefault="00C96329">
      <w:pPr>
        <w:pStyle w:val="a3"/>
        <w:spacing w:before="0" w:beforeAutospacing="0" w:after="0" w:afterAutospacing="0"/>
        <w:ind w:left="720" w:hanging="360"/>
        <w:divId w:val="169148683"/>
        <w:rPr>
          <w:sz w:val="20"/>
          <w:szCs w:val="20"/>
        </w:rPr>
      </w:pPr>
      <w:r>
        <w:rPr>
          <w:sz w:val="20"/>
          <w:szCs w:val="20"/>
        </w:rPr>
        <w:t>​</w:t>
      </w:r>
    </w:p>
    <w:p w:rsidR="00000000" w:rsidRDefault="00C96329">
      <w:pPr>
        <w:ind w:hanging="360"/>
        <w:divId w:val="1842157055"/>
        <w:rPr>
          <w:rFonts w:eastAsia="Times New Roman"/>
          <w:sz w:val="20"/>
          <w:szCs w:val="20"/>
        </w:rPr>
      </w:pPr>
      <w:r>
        <w:rPr>
          <w:rFonts w:eastAsia="Times New Roman"/>
          <w:sz w:val="20"/>
          <w:szCs w:val="20"/>
        </w:rPr>
        <w:t>4</w:t>
      </w:r>
      <w:r>
        <w:rPr>
          <w:rFonts w:eastAsia="Times New Roman"/>
          <w:sz w:val="20"/>
          <w:szCs w:val="20"/>
        </w:rPr>
        <w:t>)</w:t>
      </w:r>
      <w:r>
        <w:rPr>
          <w:rFonts w:eastAsia="Times New Roman"/>
          <w:sz w:val="20"/>
          <w:szCs w:val="20"/>
        </w:rPr>
        <w:t>Facilities and other, which include laboratory and office supplies, depreciation and other allocated expenses, which include general and administrative support functions, insurance and g</w:t>
      </w:r>
      <w:r>
        <w:rPr>
          <w:rFonts w:eastAsia="Times New Roman"/>
          <w:sz w:val="20"/>
          <w:szCs w:val="20"/>
        </w:rPr>
        <w:t>eneral supplies.</w:t>
      </w:r>
    </w:p>
    <w:p w:rsidR="00000000" w:rsidRDefault="00C96329">
      <w:pPr>
        <w:pStyle w:val="a3"/>
        <w:spacing w:before="0" w:beforeAutospacing="0" w:after="0" w:afterAutospacing="0"/>
        <w:divId w:val="169148683"/>
        <w:rPr>
          <w:sz w:val="20"/>
          <w:szCs w:val="20"/>
        </w:rPr>
      </w:pPr>
      <w:r>
        <w:rPr>
          <w:sz w:val="20"/>
          <w:szCs w:val="20"/>
        </w:rPr>
        <w:t>​</w:t>
      </w:r>
    </w:p>
    <w:p w:rsidR="00000000" w:rsidRDefault="00C96329">
      <w:pPr>
        <w:pStyle w:val="a3"/>
        <w:spacing w:before="0" w:beforeAutospacing="0" w:after="0" w:afterAutospacing="0"/>
        <w:ind w:firstLine="720"/>
        <w:divId w:val="169148683"/>
        <w:rPr>
          <w:sz w:val="20"/>
          <w:szCs w:val="20"/>
        </w:rPr>
      </w:pPr>
      <w:r>
        <w:rPr>
          <w:sz w:val="20"/>
          <w:szCs w:val="20"/>
        </w:rPr>
        <w:t>The following table summarizes our R&amp;D expenses incurred, net of any reimbursements from collaboration partners, as compared to the prior year comparable periods:</w:t>
      </w:r>
    </w:p>
    <w:p w:rsidR="00000000" w:rsidRDefault="00C96329">
      <w:pPr>
        <w:pStyle w:val="a3"/>
        <w:spacing w:before="0" w:beforeAutospacing="0" w:after="0" w:afterAutospacing="0"/>
        <w:divId w:val="16914868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432"/>
        <w:gridCol w:w="160"/>
        <w:gridCol w:w="100"/>
        <w:gridCol w:w="620"/>
        <w:gridCol w:w="160"/>
        <w:gridCol w:w="100"/>
        <w:gridCol w:w="620"/>
        <w:gridCol w:w="160"/>
        <w:gridCol w:w="100"/>
        <w:gridCol w:w="620"/>
        <w:gridCol w:w="160"/>
        <w:gridCol w:w="270"/>
        <w:gridCol w:w="267"/>
        <w:gridCol w:w="160"/>
        <w:gridCol w:w="100"/>
        <w:gridCol w:w="720"/>
        <w:gridCol w:w="160"/>
        <w:gridCol w:w="100"/>
        <w:gridCol w:w="720"/>
        <w:gridCol w:w="160"/>
        <w:gridCol w:w="100"/>
        <w:gridCol w:w="620"/>
        <w:gridCol w:w="160"/>
        <w:gridCol w:w="270"/>
        <w:gridCol w:w="267"/>
      </w:tblGrid>
      <w:tr w:rsidR="00000000">
        <w:trPr>
          <w:divId w:val="169148683"/>
          <w:trHeight w:val="20"/>
        </w:trPr>
        <w:tc>
          <w:tcPr>
            <w:tcW w:w="1391" w:type="pct"/>
            <w:tcMar>
              <w:top w:w="0" w:type="dxa"/>
              <w:left w:w="0" w:type="dxa"/>
              <w:bottom w:w="0" w:type="dxa"/>
              <w:right w:w="0" w:type="dxa"/>
            </w:tcMar>
            <w:vAlign w:val="bottom"/>
            <w:hideMark/>
          </w:tcPr>
          <w:p w:rsidR="00000000" w:rsidRDefault="00C96329">
            <w:pPr>
              <w:pStyle w:val="a3"/>
              <w:spacing w:before="0" w:beforeAutospacing="0" w:after="0" w:afterAutospacing="0"/>
              <w:divId w:val="1867743144"/>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95023253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414815559"/>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046365406"/>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36057027"/>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628198260"/>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802651818"/>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66736586"/>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684941814"/>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956131082"/>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737781645"/>
              <w:rPr>
                <w:sz w:val="20"/>
                <w:szCs w:val="20"/>
              </w:rPr>
            </w:pPr>
            <w:r>
              <w:rPr>
                <w:sz w:val="2"/>
                <w:szCs w:val="2"/>
              </w:rPr>
              <w:t>​</w:t>
            </w:r>
          </w:p>
        </w:tc>
        <w:tc>
          <w:tcPr>
            <w:tcW w:w="15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805705302"/>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3154864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95586101"/>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635286758"/>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3243760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46040045"/>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87706711"/>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093621566"/>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77466752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587811490"/>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28529206"/>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313410192"/>
              <w:rPr>
                <w:sz w:val="20"/>
                <w:szCs w:val="20"/>
              </w:rPr>
            </w:pPr>
            <w:r>
              <w:rPr>
                <w:sz w:val="2"/>
                <w:szCs w:val="2"/>
              </w:rPr>
              <w:t>​</w:t>
            </w:r>
          </w:p>
        </w:tc>
        <w:tc>
          <w:tcPr>
            <w:tcW w:w="15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691376792"/>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023898943"/>
              <w:rPr>
                <w:sz w:val="20"/>
                <w:szCs w:val="20"/>
              </w:rPr>
            </w:pPr>
            <w:r>
              <w:rPr>
                <w:sz w:val="2"/>
                <w:szCs w:val="2"/>
              </w:rPr>
              <w:t>​</w:t>
            </w:r>
          </w:p>
        </w:tc>
      </w:tr>
      <w:tr w:rsidR="00000000">
        <w:trPr>
          <w:divId w:val="169148683"/>
        </w:trPr>
        <w:tc>
          <w:tcPr>
            <w:tcW w:w="1391"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843" w:type="pct"/>
            <w:gridSpan w:val="5"/>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xml:space="preserve">Three Months Ended </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3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5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3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942" w:type="pct"/>
            <w:gridSpan w:val="5"/>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xml:space="preserve">Six Months Ended </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3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5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3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r>
      <w:tr w:rsidR="00000000">
        <w:trPr>
          <w:divId w:val="169148683"/>
        </w:trPr>
        <w:tc>
          <w:tcPr>
            <w:tcW w:w="1391"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843"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June 30, </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620" w:type="pct"/>
            <w:gridSpan w:val="4"/>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942"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June 30, </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620" w:type="pct"/>
            <w:gridSpan w:val="4"/>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r>
      <w:tr w:rsidR="00000000">
        <w:trPr>
          <w:divId w:val="169148683"/>
        </w:trPr>
        <w:tc>
          <w:tcPr>
            <w:tcW w:w="1391"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(In thousands)</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158"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431"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431"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158"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r>
      <w:tr w:rsidR="00000000">
        <w:trPr>
          <w:divId w:val="169148683"/>
        </w:trPr>
        <w:tc>
          <w:tcPr>
            <w:tcW w:w="139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Employee-related</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13,10</w:t>
            </w:r>
            <w:r>
              <w:rPr>
                <w:sz w:val="20"/>
                <w:szCs w:val="20"/>
              </w:rPr>
              <w:t>4</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12,40</w:t>
            </w:r>
            <w:r>
              <w:rPr>
                <w:sz w:val="20"/>
                <w:szCs w:val="20"/>
              </w:rPr>
              <w:t>9</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69</w:t>
            </w:r>
            <w:r>
              <w:rPr>
                <w:sz w:val="20"/>
                <w:szCs w:val="20"/>
              </w:rPr>
              <w:t>5</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5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6</w:t>
            </w:r>
          </w:p>
        </w:tc>
        <w:tc>
          <w:tcPr>
            <w:tcW w:w="1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29,30</w:t>
            </w:r>
            <w:r>
              <w:rPr>
                <w:sz w:val="20"/>
                <w:szCs w:val="20"/>
              </w:rPr>
              <w:t>5</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30,80</w:t>
            </w:r>
            <w:r>
              <w:rPr>
                <w:sz w:val="20"/>
                <w:szCs w:val="20"/>
              </w:rPr>
              <w:t>4</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(1,499</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15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(5</w:t>
            </w: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r>
      <w:tr w:rsidR="00000000">
        <w:trPr>
          <w:divId w:val="169148683"/>
        </w:trPr>
        <w:tc>
          <w:tcPr>
            <w:tcW w:w="1391"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Share-based compensation</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32"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8,09</w:t>
            </w:r>
            <w:r>
              <w:rPr>
                <w:sz w:val="20"/>
                <w:szCs w:val="20"/>
              </w:rPr>
              <w:t>8</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32"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5,72</w:t>
            </w:r>
            <w:r>
              <w:rPr>
                <w:sz w:val="20"/>
                <w:szCs w:val="20"/>
              </w:rPr>
              <w:t>0</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32"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2,37</w:t>
            </w:r>
            <w:r>
              <w:rPr>
                <w:sz w:val="20"/>
                <w:szCs w:val="20"/>
              </w:rPr>
              <w:t>8</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58"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4</w:t>
            </w:r>
            <w:r>
              <w:rPr>
                <w:sz w:val="20"/>
                <w:szCs w:val="20"/>
              </w:rPr>
              <w:t>2</w:t>
            </w:r>
          </w:p>
        </w:tc>
        <w:tc>
          <w:tcPr>
            <w:tcW w:w="13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81"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15,96</w:t>
            </w:r>
            <w:r>
              <w:rPr>
                <w:sz w:val="20"/>
                <w:szCs w:val="20"/>
              </w:rPr>
              <w:t>3</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81"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11,88</w:t>
            </w:r>
            <w:r>
              <w:rPr>
                <w:sz w:val="20"/>
                <w:szCs w:val="20"/>
              </w:rPr>
              <w:t>0</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32"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4,08</w:t>
            </w:r>
            <w:r>
              <w:rPr>
                <w:sz w:val="20"/>
                <w:szCs w:val="20"/>
              </w:rPr>
              <w:t>3</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158" w:type="pct"/>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3</w:t>
            </w:r>
            <w:r>
              <w:rPr>
                <w:sz w:val="20"/>
                <w:szCs w:val="20"/>
              </w:rPr>
              <w:t>4</w:t>
            </w:r>
          </w:p>
        </w:tc>
        <w:tc>
          <w:tcPr>
            <w:tcW w:w="13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r>
      <w:tr w:rsidR="00000000">
        <w:trPr>
          <w:divId w:val="169148683"/>
        </w:trPr>
        <w:tc>
          <w:tcPr>
            <w:tcW w:w="139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External-related</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32,69</w:t>
            </w:r>
            <w:r>
              <w:rPr>
                <w:sz w:val="20"/>
                <w:szCs w:val="20"/>
              </w:rPr>
              <w:t>4</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19,91</w:t>
            </w:r>
            <w:r>
              <w:rPr>
                <w:sz w:val="20"/>
                <w:szCs w:val="20"/>
              </w:rPr>
              <w:t>4</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12,78</w:t>
            </w:r>
            <w:r>
              <w:rPr>
                <w:sz w:val="20"/>
                <w:szCs w:val="20"/>
              </w:rPr>
              <w:t>0</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5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6</w:t>
            </w:r>
            <w:r>
              <w:rPr>
                <w:sz w:val="20"/>
                <w:szCs w:val="20"/>
              </w:rPr>
              <w:t>4</w:t>
            </w:r>
          </w:p>
        </w:tc>
        <w:tc>
          <w:tcPr>
            <w:tcW w:w="1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8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65,79</w:t>
            </w:r>
            <w:r>
              <w:rPr>
                <w:sz w:val="20"/>
                <w:szCs w:val="20"/>
              </w:rPr>
              <w:t>8</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81"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40,58</w:t>
            </w:r>
            <w:r>
              <w:rPr>
                <w:sz w:val="20"/>
                <w:szCs w:val="20"/>
              </w:rPr>
              <w:t>2</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25,21</w:t>
            </w:r>
            <w:r>
              <w:rPr>
                <w:sz w:val="20"/>
                <w:szCs w:val="20"/>
              </w:rPr>
              <w:t>6</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15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6</w:t>
            </w:r>
            <w:r>
              <w:rPr>
                <w:sz w:val="20"/>
                <w:szCs w:val="20"/>
              </w:rPr>
              <w:t>2</w:t>
            </w:r>
          </w:p>
        </w:tc>
        <w:tc>
          <w:tcPr>
            <w:tcW w:w="1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r>
      <w:tr w:rsidR="00000000">
        <w:trPr>
          <w:divId w:val="169148683"/>
        </w:trPr>
        <w:tc>
          <w:tcPr>
            <w:tcW w:w="1391" w:type="pct"/>
            <w:tcMar>
              <w:top w:w="0" w:type="dxa"/>
              <w:left w:w="0" w:type="dxa"/>
              <w:bottom w:w="0" w:type="dxa"/>
              <w:right w:w="0" w:type="dxa"/>
            </w:tcMar>
            <w:vAlign w:val="bottom"/>
            <w:hideMark/>
          </w:tcPr>
          <w:p w:rsidR="00000000" w:rsidRDefault="00C96329">
            <w:pPr>
              <w:pStyle w:val="a3"/>
              <w:spacing w:before="0" w:beforeAutospacing="0" w:after="0" w:afterAutospacing="0"/>
              <w:ind w:hanging="180"/>
              <w:rPr>
                <w:sz w:val="20"/>
                <w:szCs w:val="20"/>
              </w:rPr>
            </w:pPr>
            <w:r>
              <w:rPr>
                <w:sz w:val="20"/>
                <w:szCs w:val="20"/>
              </w:rPr>
              <w:t>Facilities, depreciation and other allocated expenses</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32"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8,50</w:t>
            </w:r>
            <w:r>
              <w:rPr>
                <w:sz w:val="20"/>
                <w:szCs w:val="20"/>
              </w:rPr>
              <w:t>8</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32"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8,35</w:t>
            </w:r>
            <w:r>
              <w:rPr>
                <w:sz w:val="20"/>
                <w:szCs w:val="20"/>
              </w:rPr>
              <w:t>6</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32"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15</w:t>
            </w:r>
            <w:r>
              <w:rPr>
                <w:sz w:val="20"/>
                <w:szCs w:val="20"/>
              </w:rPr>
              <w:t>2</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58"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2</w:t>
            </w:r>
          </w:p>
        </w:tc>
        <w:tc>
          <w:tcPr>
            <w:tcW w:w="13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17,35</w:t>
            </w:r>
            <w:r>
              <w:rPr>
                <w:sz w:val="20"/>
                <w:szCs w:val="20"/>
              </w:rPr>
              <w:t>1</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16,95</w:t>
            </w:r>
            <w:r>
              <w:rPr>
                <w:sz w:val="20"/>
                <w:szCs w:val="20"/>
              </w:rPr>
              <w:t>1</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32"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40</w:t>
            </w:r>
            <w:r>
              <w:rPr>
                <w:sz w:val="20"/>
                <w:szCs w:val="20"/>
              </w:rPr>
              <w:t>0</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158"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2</w:t>
            </w:r>
          </w:p>
        </w:tc>
        <w:tc>
          <w:tcPr>
            <w:tcW w:w="13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r>
      <w:tr w:rsidR="00000000">
        <w:trPr>
          <w:divId w:val="169148683"/>
        </w:trPr>
        <w:tc>
          <w:tcPr>
            <w:tcW w:w="139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120"/>
              <w:rPr>
                <w:sz w:val="20"/>
                <w:szCs w:val="20"/>
              </w:rPr>
            </w:pPr>
            <w:r>
              <w:rPr>
                <w:sz w:val="20"/>
                <w:szCs w:val="20"/>
              </w:rPr>
              <w:t>Total research &amp; development</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62,40</w:t>
            </w:r>
            <w:r>
              <w:rPr>
                <w:sz w:val="20"/>
                <w:szCs w:val="20"/>
              </w:rPr>
              <w:t>4</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46,39</w:t>
            </w:r>
            <w:r>
              <w:rPr>
                <w:sz w:val="20"/>
                <w:szCs w:val="20"/>
              </w:rPr>
              <w:t>9</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16,00</w:t>
            </w:r>
            <w:r>
              <w:rPr>
                <w:sz w:val="20"/>
                <w:szCs w:val="20"/>
              </w:rPr>
              <w:t>5</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3</w:t>
            </w:r>
            <w:r>
              <w:rPr>
                <w:sz w:val="20"/>
                <w:szCs w:val="20"/>
              </w:rPr>
              <w:t>4</w:t>
            </w:r>
          </w:p>
        </w:tc>
        <w:tc>
          <w:tcPr>
            <w:tcW w:w="1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128,41</w:t>
            </w:r>
            <w:r>
              <w:rPr>
                <w:sz w:val="20"/>
                <w:szCs w:val="20"/>
              </w:rPr>
              <w:t>7</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100,21</w:t>
            </w:r>
            <w:r>
              <w:rPr>
                <w:sz w:val="20"/>
                <w:szCs w:val="20"/>
              </w:rPr>
              <w:t>7</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28,20</w:t>
            </w:r>
            <w:r>
              <w:rPr>
                <w:sz w:val="20"/>
                <w:szCs w:val="20"/>
              </w:rPr>
              <w:t>0</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1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2</w:t>
            </w:r>
            <w:r>
              <w:rPr>
                <w:sz w:val="20"/>
                <w:szCs w:val="20"/>
              </w:rPr>
              <w:t>8</w:t>
            </w:r>
          </w:p>
        </w:tc>
        <w:tc>
          <w:tcPr>
            <w:tcW w:w="1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r>
    </w:tbl>
    <w:p w:rsidR="00000000" w:rsidRDefault="00C96329">
      <w:pPr>
        <w:pStyle w:val="a3"/>
        <w:spacing w:before="0" w:beforeAutospacing="0" w:after="0" w:afterAutospacing="0"/>
        <w:divId w:val="169148683"/>
        <w:rPr>
          <w:sz w:val="20"/>
          <w:szCs w:val="20"/>
        </w:rPr>
      </w:pPr>
      <w:r>
        <w:rPr>
          <w:sz w:val="20"/>
          <w:szCs w:val="20"/>
        </w:rPr>
        <w:t>​</w:t>
      </w:r>
    </w:p>
    <w:p w:rsidR="00000000" w:rsidRDefault="00C96329">
      <w:pPr>
        <w:pStyle w:val="a3"/>
        <w:spacing w:before="0" w:beforeAutospacing="0" w:after="0" w:afterAutospacing="0"/>
        <w:ind w:firstLine="720"/>
        <w:divId w:val="169148683"/>
        <w:rPr>
          <w:sz w:val="20"/>
          <w:szCs w:val="20"/>
        </w:rPr>
      </w:pPr>
      <w:r>
        <w:rPr>
          <w:sz w:val="20"/>
          <w:szCs w:val="20"/>
        </w:rPr>
        <w:t>R&amp;</w:t>
      </w:r>
      <w:r>
        <w:rPr>
          <w:sz w:val="20"/>
          <w:szCs w:val="20"/>
        </w:rPr>
        <w:t>D expenses increased by $16.0 million for the three months ended June 30, 2020 compared to same period in 2019. The increase was primarily attributed to a $12.8 million increase in external-related expenses and a $2.4 million increase in share-based compen</w:t>
      </w:r>
      <w:r>
        <w:rPr>
          <w:sz w:val="20"/>
          <w:szCs w:val="20"/>
        </w:rPr>
        <w:t xml:space="preserve">sation expense. The increase in external-related expenses was primarily due to the advancement of our priority programs, notably the continued progression of ampreloxetine and TD-8236, and the initiation of TD-0903 in COVID-19. The increase in share-based </w:t>
      </w:r>
      <w:r>
        <w:rPr>
          <w:sz w:val="20"/>
          <w:szCs w:val="20"/>
        </w:rPr>
        <w:t>compensation expense was primarily due an increase in annual grants of share-based awards to employees.</w:t>
      </w:r>
    </w:p>
    <w:p w:rsidR="00000000" w:rsidRDefault="00C96329">
      <w:pPr>
        <w:pStyle w:val="a3"/>
        <w:spacing w:before="0" w:beforeAutospacing="0" w:after="0" w:afterAutospacing="0"/>
        <w:ind w:firstLine="720"/>
        <w:divId w:val="169148683"/>
        <w:rPr>
          <w:sz w:val="20"/>
          <w:szCs w:val="20"/>
        </w:rPr>
      </w:pPr>
      <w:r>
        <w:rPr>
          <w:sz w:val="20"/>
          <w:szCs w:val="20"/>
        </w:rPr>
        <w:t>​</w:t>
      </w:r>
    </w:p>
    <w:p w:rsidR="00000000" w:rsidRDefault="00C96329">
      <w:pPr>
        <w:pStyle w:val="a3"/>
        <w:spacing w:before="0" w:beforeAutospacing="0" w:after="0" w:afterAutospacing="0"/>
        <w:ind w:firstLine="720"/>
        <w:divId w:val="169148683"/>
        <w:rPr>
          <w:sz w:val="20"/>
          <w:szCs w:val="20"/>
        </w:rPr>
      </w:pPr>
      <w:r>
        <w:rPr>
          <w:sz w:val="20"/>
          <w:szCs w:val="20"/>
        </w:rPr>
        <w:t>R&amp;D expenses increased by $28.2 million for the six months ended June 30, 2020 compared to same period in 2019. The increase was primarily due to a $2</w:t>
      </w:r>
      <w:r>
        <w:rPr>
          <w:sz w:val="20"/>
          <w:szCs w:val="20"/>
        </w:rPr>
        <w:t>5.2 million increase in external-related expenses and a $4.1 million increase in share-based compensation expense. The increase in external-related expense was primarily related to our ongoing late-stage clinical programs in ampreloxetine, TD-8236, and TD-</w:t>
      </w:r>
      <w:r>
        <w:rPr>
          <w:sz w:val="20"/>
          <w:szCs w:val="20"/>
        </w:rPr>
        <w:t xml:space="preserve">1473, as well as the initiation of TD-0903 in COVID-19. The increase in share-based compensation expense was primarily due an increase in annual grants of share-based awards to employees. These </w:t>
      </w:r>
    </w:p>
    <w:p w:rsidR="00000000" w:rsidRDefault="00C96329">
      <w:pPr>
        <w:pStyle w:val="a3"/>
        <w:spacing w:before="360" w:beforeAutospacing="0" w:after="0" w:afterAutospacing="0"/>
        <w:jc w:val="center"/>
        <w:divId w:val="184250286"/>
        <w:rPr>
          <w:sz w:val="20"/>
          <w:szCs w:val="20"/>
        </w:rPr>
      </w:pPr>
      <w:r>
        <w:rPr>
          <w:sz w:val="20"/>
          <w:szCs w:val="20"/>
        </w:rPr>
        <w:t>30</w:t>
      </w:r>
    </w:p>
    <w:p w:rsidR="00000000" w:rsidRDefault="00C96329">
      <w:pPr>
        <w:pStyle w:val="a3"/>
        <w:spacing w:before="0" w:beforeAutospacing="0" w:after="600" w:afterAutospacing="0"/>
        <w:divId w:val="1049962110"/>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705060880"/>
        <w:rPr>
          <w:sz w:val="20"/>
          <w:szCs w:val="20"/>
        </w:rPr>
      </w:pPr>
      <w:r>
        <w:rPr>
          <w:sz w:val="20"/>
          <w:szCs w:val="20"/>
        </w:rPr>
        <w:t>increases were</w:t>
      </w:r>
      <w:r>
        <w:rPr>
          <w:sz w:val="20"/>
          <w:szCs w:val="20"/>
        </w:rPr>
        <w:t xml:space="preserve"> partially offset by a $1.5 million decrease in employee-related expenses primarily due to lower costs related to our workforce reduction in the first quarter of 2019.</w:t>
      </w:r>
    </w:p>
    <w:p w:rsidR="00000000" w:rsidRDefault="00C96329">
      <w:pPr>
        <w:pStyle w:val="a3"/>
        <w:spacing w:before="0" w:beforeAutospacing="0" w:after="0" w:afterAutospacing="0"/>
        <w:divId w:val="705060880"/>
        <w:rPr>
          <w:sz w:val="20"/>
          <w:szCs w:val="20"/>
        </w:rPr>
      </w:pPr>
      <w:r>
        <w:rPr>
          <w:sz w:val="20"/>
          <w:szCs w:val="20"/>
        </w:rPr>
        <w:t>​</w:t>
      </w:r>
    </w:p>
    <w:p w:rsidR="00000000" w:rsidRDefault="00C96329">
      <w:pPr>
        <w:pStyle w:val="a3"/>
        <w:spacing w:before="0" w:beforeAutospacing="0" w:after="0" w:afterAutospacing="0"/>
        <w:ind w:firstLine="720"/>
        <w:divId w:val="705060880"/>
        <w:rPr>
          <w:sz w:val="20"/>
          <w:szCs w:val="20"/>
        </w:rPr>
      </w:pPr>
      <w:r>
        <w:rPr>
          <w:sz w:val="20"/>
          <w:szCs w:val="20"/>
        </w:rPr>
        <w:t>Under certain of our collaborative arrangements, we receive partial reimbursement of e</w:t>
      </w:r>
      <w:r>
        <w:rPr>
          <w:sz w:val="20"/>
          <w:szCs w:val="20"/>
        </w:rPr>
        <w:t>mployee-related costs and external costs, which have been reflected as a reduction of R&amp;D expenses of $1.9 million and $0.8 million for three months ended June 30, 2020 and 2019, respectively, and $4.4 million and $2.4 million for the six months ended June</w:t>
      </w:r>
      <w:r>
        <w:rPr>
          <w:sz w:val="20"/>
          <w:szCs w:val="20"/>
        </w:rPr>
        <w:t xml:space="preserve"> 30, 2020 and 2019, respectively.</w:t>
      </w:r>
    </w:p>
    <w:p w:rsidR="00000000" w:rsidRDefault="00C96329">
      <w:pPr>
        <w:pStyle w:val="a3"/>
        <w:spacing w:before="0" w:beforeAutospacing="0" w:after="0" w:afterAutospacing="0"/>
        <w:ind w:firstLine="720"/>
        <w:divId w:val="705060880"/>
        <w:rPr>
          <w:sz w:val="20"/>
          <w:szCs w:val="20"/>
        </w:rPr>
      </w:pPr>
      <w:r>
        <w:rPr>
          <w:sz w:val="20"/>
          <w:szCs w:val="20"/>
        </w:rPr>
        <w:t>​</w:t>
      </w:r>
    </w:p>
    <w:p w:rsidR="00000000" w:rsidRDefault="00C96329">
      <w:pPr>
        <w:pStyle w:val="a3"/>
        <w:spacing w:before="0" w:beforeAutospacing="0" w:after="0" w:afterAutospacing="0"/>
        <w:ind w:firstLine="720"/>
        <w:divId w:val="705060880"/>
        <w:rPr>
          <w:sz w:val="20"/>
          <w:szCs w:val="20"/>
        </w:rPr>
      </w:pPr>
      <w:r>
        <w:rPr>
          <w:sz w:val="20"/>
          <w:szCs w:val="20"/>
        </w:rPr>
        <w:t>We anticipate our future R&amp;D expenses will increase from the current levels over the next 12 months due primarily to the progression of our priority programs and the advancement of our research programs into clinical tri</w:t>
      </w:r>
      <w:r>
        <w:rPr>
          <w:sz w:val="20"/>
          <w:szCs w:val="20"/>
        </w:rPr>
        <w:t>als.</w:t>
      </w:r>
    </w:p>
    <w:p w:rsidR="00000000" w:rsidRDefault="00C96329">
      <w:pPr>
        <w:pStyle w:val="a3"/>
        <w:spacing w:before="0" w:beforeAutospacing="0" w:after="0" w:afterAutospacing="0"/>
        <w:ind w:firstLine="720"/>
        <w:divId w:val="705060880"/>
        <w:rPr>
          <w:sz w:val="20"/>
          <w:szCs w:val="20"/>
        </w:rPr>
      </w:pPr>
      <w:r>
        <w:rPr>
          <w:sz w:val="20"/>
          <w:szCs w:val="20"/>
        </w:rPr>
        <w:t>​</w:t>
      </w:r>
    </w:p>
    <w:p w:rsidR="00000000" w:rsidRDefault="00C96329">
      <w:pPr>
        <w:pStyle w:val="a3"/>
        <w:spacing w:before="0" w:beforeAutospacing="0" w:after="0" w:afterAutospacing="0"/>
        <w:divId w:val="705060880"/>
        <w:rPr>
          <w:sz w:val="20"/>
          <w:szCs w:val="20"/>
        </w:rPr>
      </w:pPr>
      <w:r>
        <w:rPr>
          <w:b/>
          <w:bCs/>
          <w:i/>
          <w:iCs/>
          <w:sz w:val="20"/>
          <w:szCs w:val="20"/>
        </w:rPr>
        <w:t>Selling, General and Administrative Expenses</w:t>
      </w:r>
    </w:p>
    <w:p w:rsidR="00000000" w:rsidRDefault="00C96329">
      <w:pPr>
        <w:pStyle w:val="a3"/>
        <w:spacing w:before="0" w:beforeAutospacing="0" w:after="0" w:afterAutospacing="0"/>
        <w:divId w:val="705060880"/>
        <w:rPr>
          <w:sz w:val="20"/>
          <w:szCs w:val="20"/>
        </w:rPr>
      </w:pPr>
      <w:r>
        <w:rPr>
          <w:sz w:val="10"/>
          <w:szCs w:val="10"/>
        </w:rPr>
        <w:t>​</w:t>
      </w:r>
    </w:p>
    <w:p w:rsidR="00000000" w:rsidRDefault="00C96329">
      <w:pPr>
        <w:pStyle w:val="a3"/>
        <w:spacing w:before="0" w:beforeAutospacing="0" w:after="0" w:afterAutospacing="0"/>
        <w:ind w:firstLine="720"/>
        <w:divId w:val="705060880"/>
        <w:rPr>
          <w:sz w:val="20"/>
          <w:szCs w:val="20"/>
        </w:rPr>
      </w:pPr>
      <w:r>
        <w:rPr>
          <w:sz w:val="20"/>
          <w:szCs w:val="20"/>
        </w:rPr>
        <w:t>Selling, general and administrative expenses, as compared to the comparable periods in the prior year, were as follows:</w:t>
      </w:r>
    </w:p>
    <w:p w:rsidR="00000000" w:rsidRDefault="00C96329">
      <w:pPr>
        <w:pStyle w:val="a3"/>
        <w:spacing w:before="0" w:beforeAutospacing="0" w:after="0" w:afterAutospacing="0"/>
        <w:ind w:firstLine="720"/>
        <w:divId w:val="70506088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932"/>
        <w:gridCol w:w="160"/>
        <w:gridCol w:w="100"/>
        <w:gridCol w:w="620"/>
        <w:gridCol w:w="160"/>
        <w:gridCol w:w="100"/>
        <w:gridCol w:w="620"/>
        <w:gridCol w:w="160"/>
        <w:gridCol w:w="100"/>
        <w:gridCol w:w="520"/>
        <w:gridCol w:w="160"/>
        <w:gridCol w:w="270"/>
        <w:gridCol w:w="267"/>
        <w:gridCol w:w="160"/>
        <w:gridCol w:w="100"/>
        <w:gridCol w:w="620"/>
        <w:gridCol w:w="160"/>
        <w:gridCol w:w="100"/>
        <w:gridCol w:w="620"/>
        <w:gridCol w:w="160"/>
        <w:gridCol w:w="100"/>
        <w:gridCol w:w="520"/>
        <w:gridCol w:w="160"/>
        <w:gridCol w:w="170"/>
        <w:gridCol w:w="267"/>
      </w:tblGrid>
      <w:tr w:rsidR="00000000">
        <w:trPr>
          <w:divId w:val="705060880"/>
          <w:trHeight w:val="20"/>
        </w:trPr>
        <w:tc>
          <w:tcPr>
            <w:tcW w:w="1639" w:type="pct"/>
            <w:tcMar>
              <w:top w:w="0" w:type="dxa"/>
              <w:left w:w="0" w:type="dxa"/>
              <w:bottom w:w="0" w:type="dxa"/>
              <w:right w:w="0" w:type="dxa"/>
            </w:tcMar>
            <w:vAlign w:val="bottom"/>
            <w:hideMark/>
          </w:tcPr>
          <w:p w:rsidR="00000000" w:rsidRDefault="00C96329">
            <w:pPr>
              <w:pStyle w:val="a3"/>
              <w:spacing w:before="0" w:beforeAutospacing="0" w:after="0" w:afterAutospacing="0"/>
              <w:divId w:val="82274065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334381757"/>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42916448"/>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69747168"/>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682125645"/>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811050237"/>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142847327"/>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368678986"/>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0015823"/>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914507012"/>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31073636"/>
              <w:rPr>
                <w:sz w:val="20"/>
                <w:szCs w:val="20"/>
              </w:rPr>
            </w:pPr>
            <w:r>
              <w:rPr>
                <w:sz w:val="2"/>
                <w:szCs w:val="2"/>
              </w:rPr>
              <w:t>​</w:t>
            </w:r>
          </w:p>
        </w:tc>
        <w:tc>
          <w:tcPr>
            <w:tcW w:w="15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08923698"/>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020892491"/>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81313566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550216731"/>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654334549"/>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720931956"/>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933394084"/>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830094593"/>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33071731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32194389"/>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56658634"/>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1370161"/>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804276532"/>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958245989"/>
              <w:rPr>
                <w:sz w:val="20"/>
                <w:szCs w:val="20"/>
              </w:rPr>
            </w:pPr>
            <w:r>
              <w:rPr>
                <w:sz w:val="2"/>
                <w:szCs w:val="2"/>
              </w:rPr>
              <w:t>​</w:t>
            </w:r>
          </w:p>
        </w:tc>
      </w:tr>
      <w:tr w:rsidR="00000000">
        <w:trPr>
          <w:divId w:val="705060880"/>
        </w:trPr>
        <w:tc>
          <w:tcPr>
            <w:tcW w:w="1639"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43" w:type="pct"/>
            <w:gridSpan w:val="5"/>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xml:space="preserve">Three Months Ended </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28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5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3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843" w:type="pct"/>
            <w:gridSpan w:val="5"/>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xml:space="preserve">Six Months Ended </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28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0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3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r>
      <w:tr w:rsidR="00000000">
        <w:trPr>
          <w:divId w:val="705060880"/>
        </w:trPr>
        <w:tc>
          <w:tcPr>
            <w:tcW w:w="1639"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843"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June 30, </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570" w:type="pct"/>
            <w:gridSpan w:val="4"/>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843"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June 30, </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520" w:type="pct"/>
            <w:gridSpan w:val="4"/>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r>
      <w:tr w:rsidR="00000000">
        <w:trPr>
          <w:divId w:val="705060880"/>
        </w:trPr>
        <w:tc>
          <w:tcPr>
            <w:tcW w:w="1639"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(In thousands)</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33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158"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33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109"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r>
      <w:tr w:rsidR="00000000">
        <w:trPr>
          <w:divId w:val="705060880"/>
        </w:trPr>
        <w:tc>
          <w:tcPr>
            <w:tcW w:w="1639"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Selling, general and administrative</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24,78</w:t>
            </w:r>
            <w:r>
              <w:rPr>
                <w:sz w:val="20"/>
                <w:szCs w:val="20"/>
              </w:rPr>
              <w:t>0</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22,22</w:t>
            </w:r>
            <w:r>
              <w:rPr>
                <w:sz w:val="20"/>
                <w:szCs w:val="20"/>
              </w:rPr>
              <w:t>7</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2,55</w:t>
            </w:r>
            <w:r>
              <w:rPr>
                <w:sz w:val="20"/>
                <w:szCs w:val="20"/>
              </w:rPr>
              <w:t>3</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5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w:t>
            </w:r>
            <w:r>
              <w:rPr>
                <w:sz w:val="20"/>
                <w:szCs w:val="20"/>
              </w:rPr>
              <w:t>1</w:t>
            </w:r>
          </w:p>
        </w:tc>
        <w:tc>
          <w:tcPr>
            <w:tcW w:w="1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51,10</w:t>
            </w:r>
            <w:r>
              <w:rPr>
                <w:sz w:val="20"/>
                <w:szCs w:val="20"/>
              </w:rPr>
              <w:t>5</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47,41</w:t>
            </w:r>
            <w:r>
              <w:rPr>
                <w:sz w:val="20"/>
                <w:szCs w:val="20"/>
              </w:rPr>
              <w:t>3</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3,69</w:t>
            </w:r>
            <w:r>
              <w:rPr>
                <w:sz w:val="20"/>
                <w:szCs w:val="20"/>
              </w:rPr>
              <w:t>2</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8</w:t>
            </w:r>
          </w:p>
        </w:tc>
        <w:tc>
          <w:tcPr>
            <w:tcW w:w="1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r>
    </w:tbl>
    <w:p w:rsidR="00000000" w:rsidRDefault="00C96329">
      <w:pPr>
        <w:pStyle w:val="a3"/>
        <w:spacing w:before="0" w:beforeAutospacing="0" w:after="0" w:afterAutospacing="0"/>
        <w:ind w:firstLine="720"/>
        <w:divId w:val="705060880"/>
        <w:rPr>
          <w:sz w:val="20"/>
          <w:szCs w:val="20"/>
        </w:rPr>
      </w:pPr>
      <w:r>
        <w:rPr>
          <w:sz w:val="20"/>
          <w:szCs w:val="20"/>
        </w:rPr>
        <w:t>​</w:t>
      </w:r>
    </w:p>
    <w:p w:rsidR="00000000" w:rsidRDefault="00C96329">
      <w:pPr>
        <w:pStyle w:val="a3"/>
        <w:spacing w:before="0" w:beforeAutospacing="0" w:after="0" w:afterAutospacing="0"/>
        <w:ind w:firstLine="720"/>
        <w:divId w:val="705060880"/>
        <w:rPr>
          <w:sz w:val="20"/>
          <w:szCs w:val="20"/>
        </w:rPr>
      </w:pPr>
      <w:r>
        <w:rPr>
          <w:sz w:val="20"/>
          <w:szCs w:val="20"/>
        </w:rPr>
        <w:t>Selling, general and administrative expenses increased by $2.6 million and $3.7 million for the three months and six months ended June 30, 2020, respectively, compared to the same periods in 2019. The increases for both periods were primarily attributed to</w:t>
      </w:r>
      <w:r>
        <w:rPr>
          <w:sz w:val="20"/>
          <w:szCs w:val="20"/>
        </w:rPr>
        <w:t xml:space="preserve"> respective $2.9 million and $4.3 million increases in share-based compensation expense, respective $0.3 million and $1.1 million increases in employee-related expenses, and respective $0.3 million and $0.1 million increases in facilities and other expense</w:t>
      </w:r>
      <w:r>
        <w:rPr>
          <w:sz w:val="20"/>
          <w:szCs w:val="20"/>
        </w:rPr>
        <w:t>s. The increases in share-based compensation expense were primarily due to an increase in annual grants of share-based awards to employees, and the increases in employee-related expenses were primarily due to an increase in compensation-related expenses. T</w:t>
      </w:r>
      <w:r>
        <w:rPr>
          <w:sz w:val="20"/>
          <w:szCs w:val="20"/>
        </w:rPr>
        <w:t>he increases above were partially offset by respective $0.8 million and $0.2 million decreases in external-related expenses which were primarily due to a decrease in consulting services.</w:t>
      </w:r>
    </w:p>
    <w:p w:rsidR="00000000" w:rsidRDefault="00C96329">
      <w:pPr>
        <w:pStyle w:val="a3"/>
        <w:spacing w:before="0" w:beforeAutospacing="0" w:after="0" w:afterAutospacing="0"/>
        <w:ind w:firstLine="720"/>
        <w:divId w:val="705060880"/>
        <w:rPr>
          <w:sz w:val="20"/>
          <w:szCs w:val="20"/>
        </w:rPr>
      </w:pPr>
      <w:r>
        <w:rPr>
          <w:sz w:val="20"/>
          <w:szCs w:val="20"/>
        </w:rPr>
        <w:t>​</w:t>
      </w:r>
    </w:p>
    <w:p w:rsidR="00000000" w:rsidRDefault="00C96329">
      <w:pPr>
        <w:pStyle w:val="a3"/>
        <w:spacing w:before="0" w:beforeAutospacing="0" w:after="0" w:afterAutospacing="0"/>
        <w:ind w:firstLine="720"/>
        <w:divId w:val="705060880"/>
        <w:rPr>
          <w:sz w:val="20"/>
          <w:szCs w:val="20"/>
        </w:rPr>
      </w:pPr>
      <w:r>
        <w:rPr>
          <w:sz w:val="20"/>
          <w:szCs w:val="20"/>
        </w:rPr>
        <w:t>The increase noted above for the six months ended June 30, 2020 was</w:t>
      </w:r>
      <w:r>
        <w:rPr>
          <w:sz w:val="20"/>
          <w:szCs w:val="20"/>
        </w:rPr>
        <w:t xml:space="preserve"> partially offset by a $1.6 million decrease related to collaboration expenses payable to Mylan in connection with the commercialization of YUPELRI which was formally launched in the first quarter of 2019.</w:t>
      </w:r>
    </w:p>
    <w:p w:rsidR="00000000" w:rsidRDefault="00C96329">
      <w:pPr>
        <w:pStyle w:val="a3"/>
        <w:spacing w:before="0" w:beforeAutospacing="0" w:after="0" w:afterAutospacing="0"/>
        <w:divId w:val="705060880"/>
        <w:rPr>
          <w:sz w:val="20"/>
          <w:szCs w:val="20"/>
        </w:rPr>
      </w:pPr>
      <w:r>
        <w:rPr>
          <w:sz w:val="20"/>
          <w:szCs w:val="20"/>
        </w:rPr>
        <w:t>​</w:t>
      </w:r>
    </w:p>
    <w:p w:rsidR="00000000" w:rsidRDefault="00C96329">
      <w:pPr>
        <w:pStyle w:val="a3"/>
        <w:spacing w:before="0" w:beforeAutospacing="0" w:after="0" w:afterAutospacing="0"/>
        <w:divId w:val="705060880"/>
        <w:rPr>
          <w:sz w:val="20"/>
          <w:szCs w:val="20"/>
        </w:rPr>
      </w:pPr>
      <w:r>
        <w:rPr>
          <w:b/>
          <w:bCs/>
          <w:i/>
          <w:iCs/>
          <w:sz w:val="20"/>
          <w:szCs w:val="20"/>
        </w:rPr>
        <w:t>Income from Investment in TRC, LLC</w:t>
      </w:r>
    </w:p>
    <w:p w:rsidR="00000000" w:rsidRDefault="00C96329">
      <w:pPr>
        <w:pStyle w:val="a3"/>
        <w:spacing w:before="0" w:beforeAutospacing="0" w:after="0" w:afterAutospacing="0"/>
        <w:divId w:val="705060880"/>
        <w:rPr>
          <w:sz w:val="20"/>
          <w:szCs w:val="20"/>
        </w:rPr>
      </w:pPr>
      <w:r>
        <w:rPr>
          <w:sz w:val="12"/>
          <w:szCs w:val="12"/>
        </w:rPr>
        <w:t>​</w:t>
      </w:r>
    </w:p>
    <w:p w:rsidR="00000000" w:rsidRDefault="00C96329">
      <w:pPr>
        <w:pStyle w:val="a3"/>
        <w:spacing w:before="0" w:beforeAutospacing="0" w:after="0" w:afterAutospacing="0"/>
        <w:ind w:firstLine="720"/>
        <w:divId w:val="705060880"/>
        <w:rPr>
          <w:sz w:val="20"/>
          <w:szCs w:val="20"/>
        </w:rPr>
      </w:pPr>
      <w:r>
        <w:rPr>
          <w:sz w:val="20"/>
          <w:szCs w:val="20"/>
        </w:rPr>
        <w:t>Income from</w:t>
      </w:r>
      <w:r>
        <w:rPr>
          <w:sz w:val="20"/>
          <w:szCs w:val="20"/>
        </w:rPr>
        <w:t xml:space="preserve"> investment in TRC, as compared to the comparable periods in the prior year, was as follows:</w:t>
      </w:r>
    </w:p>
    <w:p w:rsidR="00000000" w:rsidRDefault="00C96329">
      <w:pPr>
        <w:pStyle w:val="a3"/>
        <w:spacing w:before="0" w:beforeAutospacing="0" w:after="0" w:afterAutospacing="0"/>
        <w:ind w:firstLine="720"/>
        <w:divId w:val="70506088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412"/>
        <w:gridCol w:w="200"/>
        <w:gridCol w:w="100"/>
        <w:gridCol w:w="620"/>
        <w:gridCol w:w="200"/>
        <w:gridCol w:w="100"/>
        <w:gridCol w:w="520"/>
        <w:gridCol w:w="200"/>
        <w:gridCol w:w="100"/>
        <w:gridCol w:w="620"/>
        <w:gridCol w:w="200"/>
        <w:gridCol w:w="300"/>
        <w:gridCol w:w="237"/>
        <w:gridCol w:w="200"/>
        <w:gridCol w:w="100"/>
        <w:gridCol w:w="620"/>
        <w:gridCol w:w="200"/>
        <w:gridCol w:w="100"/>
        <w:gridCol w:w="620"/>
        <w:gridCol w:w="200"/>
        <w:gridCol w:w="100"/>
        <w:gridCol w:w="620"/>
        <w:gridCol w:w="200"/>
        <w:gridCol w:w="300"/>
        <w:gridCol w:w="237"/>
      </w:tblGrid>
      <w:tr w:rsidR="00000000">
        <w:trPr>
          <w:divId w:val="705060880"/>
          <w:trHeight w:val="20"/>
        </w:trPr>
        <w:tc>
          <w:tcPr>
            <w:tcW w:w="1381" w:type="pct"/>
            <w:tcMar>
              <w:top w:w="0" w:type="dxa"/>
              <w:left w:w="0" w:type="dxa"/>
              <w:bottom w:w="0" w:type="dxa"/>
              <w:right w:w="0" w:type="dxa"/>
            </w:tcMar>
            <w:vAlign w:val="bottom"/>
            <w:hideMark/>
          </w:tcPr>
          <w:p w:rsidR="00000000" w:rsidRDefault="00C96329">
            <w:pPr>
              <w:pStyle w:val="a3"/>
              <w:spacing w:before="0" w:beforeAutospacing="0" w:after="0" w:afterAutospacing="0"/>
              <w:divId w:val="823426810"/>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88630955"/>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962805000"/>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545341400"/>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526793312"/>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165240949"/>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770543319"/>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873613739"/>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63079202"/>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6884270"/>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38366392"/>
              <w:rPr>
                <w:sz w:val="20"/>
                <w:szCs w:val="20"/>
              </w:rPr>
            </w:pPr>
            <w:r>
              <w:rPr>
                <w:sz w:val="2"/>
                <w:szCs w:val="2"/>
              </w:rPr>
              <w:t>​</w:t>
            </w:r>
          </w:p>
        </w:tc>
        <w:tc>
          <w:tcPr>
            <w:tcW w:w="173"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322589464"/>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863902412"/>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541086493"/>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615525822"/>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833712759"/>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041249779"/>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529102336"/>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56514283"/>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02553701"/>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121262165"/>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33204398"/>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80383775"/>
              <w:rPr>
                <w:sz w:val="20"/>
                <w:szCs w:val="20"/>
              </w:rPr>
            </w:pPr>
            <w:r>
              <w:rPr>
                <w:sz w:val="2"/>
                <w:szCs w:val="2"/>
              </w:rPr>
              <w:t>​</w:t>
            </w:r>
          </w:p>
        </w:tc>
        <w:tc>
          <w:tcPr>
            <w:tcW w:w="17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687416765"/>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647588059"/>
              <w:rPr>
                <w:sz w:val="20"/>
                <w:szCs w:val="20"/>
              </w:rPr>
            </w:pPr>
            <w:r>
              <w:rPr>
                <w:sz w:val="2"/>
                <w:szCs w:val="2"/>
              </w:rPr>
              <w:t>​</w:t>
            </w:r>
          </w:p>
        </w:tc>
      </w:tr>
      <w:tr w:rsidR="00000000">
        <w:trPr>
          <w:divId w:val="705060880"/>
        </w:trPr>
        <w:tc>
          <w:tcPr>
            <w:tcW w:w="1381"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813" w:type="pct"/>
            <w:gridSpan w:val="5"/>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xml:space="preserve">Three Months Ended </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3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73"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863" w:type="pct"/>
            <w:gridSpan w:val="5"/>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xml:space="preserve">Six Months Ended </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3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74"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r>
      <w:tr w:rsidR="00000000">
        <w:trPr>
          <w:divId w:val="705060880"/>
        </w:trPr>
        <w:tc>
          <w:tcPr>
            <w:tcW w:w="1381"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813"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June 30, </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654" w:type="pct"/>
            <w:gridSpan w:val="4"/>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Change</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863"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June 30, </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655" w:type="pct"/>
            <w:gridSpan w:val="4"/>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Change</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r>
      <w:tr w:rsidR="00000000">
        <w:trPr>
          <w:divId w:val="705060880"/>
        </w:trPr>
        <w:tc>
          <w:tcPr>
            <w:tcW w:w="1381"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(In thousands)</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33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173"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174"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r>
      <w:tr w:rsidR="00000000">
        <w:trPr>
          <w:divId w:val="705060880"/>
        </w:trPr>
        <w:tc>
          <w:tcPr>
            <w:tcW w:w="1381"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hanging="180"/>
              <w:rPr>
                <w:sz w:val="20"/>
                <w:szCs w:val="20"/>
              </w:rPr>
            </w:pPr>
            <w:r>
              <w:rPr>
                <w:sz w:val="20"/>
                <w:szCs w:val="20"/>
              </w:rPr>
              <w:t>Income from investment in TRC, LLC</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21,38</w:t>
            </w:r>
            <w:r>
              <w:rPr>
                <w:sz w:val="20"/>
                <w:szCs w:val="20"/>
              </w:rPr>
              <w:t>1</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8,36</w:t>
            </w:r>
            <w:r>
              <w:rPr>
                <w:sz w:val="20"/>
                <w:szCs w:val="20"/>
              </w:rPr>
              <w:t>6</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13,01</w:t>
            </w:r>
            <w:r>
              <w:rPr>
                <w:sz w:val="20"/>
                <w:szCs w:val="20"/>
              </w:rPr>
              <w:t>5</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73"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15</w:t>
            </w:r>
            <w:r>
              <w:rPr>
                <w:sz w:val="20"/>
                <w:szCs w:val="20"/>
              </w:rPr>
              <w:t>6</w:t>
            </w:r>
          </w:p>
        </w:tc>
        <w:tc>
          <w:tcPr>
            <w:tcW w:w="11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34,89</w:t>
            </w:r>
            <w:r>
              <w:rPr>
                <w:sz w:val="20"/>
                <w:szCs w:val="20"/>
              </w:rPr>
              <w:t>6</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14,59</w:t>
            </w:r>
            <w:r>
              <w:rPr>
                <w:sz w:val="20"/>
                <w:szCs w:val="20"/>
              </w:rPr>
              <w:t>5</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20,30</w:t>
            </w:r>
            <w:r>
              <w:rPr>
                <w:sz w:val="20"/>
                <w:szCs w:val="20"/>
              </w:rPr>
              <w:t>1</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17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13</w:t>
            </w:r>
            <w:r>
              <w:rPr>
                <w:sz w:val="20"/>
                <w:szCs w:val="20"/>
              </w:rPr>
              <w:t>9</w:t>
            </w:r>
          </w:p>
        </w:tc>
        <w:tc>
          <w:tcPr>
            <w:tcW w:w="11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w:t>
            </w:r>
          </w:p>
        </w:tc>
      </w:tr>
    </w:tbl>
    <w:p w:rsidR="00000000" w:rsidRDefault="00C96329">
      <w:pPr>
        <w:pStyle w:val="a3"/>
        <w:spacing w:before="0" w:beforeAutospacing="0" w:after="0" w:afterAutospacing="0"/>
        <w:ind w:firstLine="720"/>
        <w:divId w:val="705060880"/>
        <w:rPr>
          <w:sz w:val="20"/>
          <w:szCs w:val="20"/>
        </w:rPr>
      </w:pPr>
      <w:r>
        <w:rPr>
          <w:sz w:val="20"/>
          <w:szCs w:val="20"/>
        </w:rPr>
        <w:t>​</w:t>
      </w:r>
    </w:p>
    <w:p w:rsidR="00000000" w:rsidRDefault="00C96329">
      <w:pPr>
        <w:pStyle w:val="a3"/>
        <w:spacing w:before="0" w:beforeAutospacing="0" w:after="0" w:afterAutospacing="0"/>
        <w:ind w:firstLine="720"/>
        <w:divId w:val="705060880"/>
        <w:rPr>
          <w:sz w:val="20"/>
          <w:szCs w:val="20"/>
        </w:rPr>
      </w:pPr>
      <w:r>
        <w:rPr>
          <w:sz w:val="20"/>
          <w:szCs w:val="20"/>
        </w:rPr>
        <w:t>The income from investment in TRC, LLC represented our share of the royalty payments from GSK to TRC on the net sales of TRELEGY (net of our share of TRC expenses paid and the amount of cash, if any, expected to be used by TRC pursuant to the TRC LLC Agree</w:t>
      </w:r>
      <w:r>
        <w:rPr>
          <w:sz w:val="20"/>
          <w:szCs w:val="20"/>
        </w:rPr>
        <w:t xml:space="preserve">ment over the next four fiscal quarters). During the three months ended June 30, 2020, we also recorded $8.5 million within “Income from investment in TRC, LLC” representing our share of a </w:t>
      </w:r>
      <w:r>
        <w:rPr>
          <w:color w:val="212529"/>
          <w:sz w:val="20"/>
          <w:szCs w:val="20"/>
        </w:rPr>
        <w:t>$10.0 million fee that GSK agreed to pay TRC upon termination of th</w:t>
      </w:r>
      <w:r>
        <w:rPr>
          <w:color w:val="212529"/>
          <w:sz w:val="20"/>
          <w:szCs w:val="20"/>
        </w:rPr>
        <w:t xml:space="preserve">e MABA program in June 2020. </w:t>
      </w:r>
      <w:r>
        <w:rPr>
          <w:sz w:val="20"/>
          <w:szCs w:val="20"/>
        </w:rPr>
        <w:t>Income from investment in TRC, LLC increased by $13.0 million and $20.3 million for the three and six months ended June 30, 2020, respectively. The increases were attributed to the continued sales growth of TRELEGY and the MABA</w:t>
      </w:r>
      <w:r>
        <w:rPr>
          <w:sz w:val="20"/>
          <w:szCs w:val="20"/>
        </w:rPr>
        <w:t xml:space="preserve"> payment discussed above.</w:t>
      </w:r>
    </w:p>
    <w:p w:rsidR="00000000" w:rsidRDefault="00C96329">
      <w:pPr>
        <w:pStyle w:val="a3"/>
        <w:spacing w:before="0" w:beforeAutospacing="0" w:after="0" w:afterAutospacing="0"/>
        <w:divId w:val="705060880"/>
        <w:rPr>
          <w:sz w:val="20"/>
          <w:szCs w:val="20"/>
        </w:rPr>
      </w:pPr>
      <w:r>
        <w:rPr>
          <w:color w:val="FF0000"/>
          <w:sz w:val="20"/>
          <w:szCs w:val="20"/>
        </w:rPr>
        <w:t>​</w:t>
      </w:r>
    </w:p>
    <w:p w:rsidR="00000000" w:rsidRDefault="00C96329">
      <w:pPr>
        <w:pStyle w:val="a3"/>
        <w:spacing w:before="0" w:beforeAutospacing="0" w:after="0" w:afterAutospacing="0"/>
        <w:ind w:firstLine="720"/>
        <w:divId w:val="705060880"/>
        <w:rPr>
          <w:sz w:val="20"/>
          <w:szCs w:val="20"/>
        </w:rPr>
      </w:pPr>
      <w:r>
        <w:rPr>
          <w:sz w:val="20"/>
          <w:szCs w:val="20"/>
        </w:rPr>
        <w:t>In connection with the issuance of our $380.0 million net principal amount Non-Recourse 2035 Notes in February 2020, 75% of the income from our investment in TRC is available only for payment of the Non-Recourse 2035 Notes and i</w:t>
      </w:r>
      <w:r>
        <w:rPr>
          <w:sz w:val="20"/>
          <w:szCs w:val="20"/>
        </w:rPr>
        <w:t xml:space="preserve">s not available to pay other creditor obligations or claims. </w:t>
      </w:r>
    </w:p>
    <w:p w:rsidR="00000000" w:rsidRDefault="00C96329">
      <w:pPr>
        <w:pStyle w:val="a3"/>
        <w:spacing w:before="0" w:beforeAutospacing="0" w:after="0" w:afterAutospacing="0"/>
        <w:divId w:val="705060880"/>
        <w:rPr>
          <w:sz w:val="20"/>
          <w:szCs w:val="20"/>
        </w:rPr>
      </w:pPr>
      <w:r>
        <w:rPr>
          <w:sz w:val="20"/>
          <w:szCs w:val="20"/>
        </w:rPr>
        <w:t>​</w:t>
      </w:r>
    </w:p>
    <w:p w:rsidR="00000000" w:rsidRDefault="00C96329">
      <w:pPr>
        <w:pStyle w:val="a3"/>
        <w:spacing w:before="360" w:beforeAutospacing="0" w:after="0" w:afterAutospacing="0"/>
        <w:jc w:val="center"/>
        <w:divId w:val="1773359650"/>
        <w:rPr>
          <w:sz w:val="20"/>
          <w:szCs w:val="20"/>
        </w:rPr>
      </w:pPr>
      <w:r>
        <w:rPr>
          <w:sz w:val="20"/>
          <w:szCs w:val="20"/>
        </w:rPr>
        <w:t>31</w:t>
      </w:r>
    </w:p>
    <w:p w:rsidR="00000000" w:rsidRDefault="00C96329">
      <w:pPr>
        <w:pStyle w:val="a3"/>
        <w:spacing w:before="0" w:beforeAutospacing="0" w:after="600" w:afterAutospacing="0"/>
        <w:divId w:val="1763260934"/>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1986426144"/>
        <w:rPr>
          <w:sz w:val="20"/>
          <w:szCs w:val="20"/>
        </w:rPr>
      </w:pPr>
      <w:r>
        <w:rPr>
          <w:sz w:val="20"/>
          <w:szCs w:val="20"/>
        </w:rPr>
        <w:t xml:space="preserve">As previously disclosed, on June 1, 2020, Innoviva provided us the draft TRC quarterly financial plan for the quarter ending September 30, 2020. </w:t>
      </w:r>
      <w:r>
        <w:rPr>
          <w:sz w:val="20"/>
          <w:szCs w:val="20"/>
        </w:rPr>
        <w:t>The draft financial plan noted that Innoviva has caused TRC to sign non-binding letters of intent for the potential investment of TRC funds into certain privately held companies. We believe that, if TRC withholds funds to make these contemplated investment</w:t>
      </w:r>
      <w:r>
        <w:rPr>
          <w:sz w:val="20"/>
          <w:szCs w:val="20"/>
        </w:rPr>
        <w:t xml:space="preserve">s, any distributions by TRC to its members for at least the third quarter of 2020 will be reduced and possibly eliminated. We have objected to the withholding of funds by TRC for these and similar investments. See </w:t>
      </w:r>
      <w:r>
        <w:rPr>
          <w:i/>
          <w:iCs/>
          <w:sz w:val="20"/>
          <w:szCs w:val="20"/>
        </w:rPr>
        <w:t>“Risk Factors – We do not control the comm</w:t>
      </w:r>
      <w:r>
        <w:rPr>
          <w:i/>
          <w:iCs/>
          <w:sz w:val="20"/>
          <w:szCs w:val="20"/>
        </w:rPr>
        <w:t>ercialization of TRELEGY and we do not control TRC; accordingly the amount of royalties we receive will depend, among other factors, on GSK’s ability to further commercialize TRELEGY and TRC’s decisions concerning use of cash in accordance with the TRC LLC</w:t>
      </w:r>
      <w:r>
        <w:rPr>
          <w:i/>
          <w:iCs/>
          <w:sz w:val="20"/>
          <w:szCs w:val="20"/>
        </w:rPr>
        <w:t xml:space="preserve"> Agreement” </w:t>
      </w:r>
      <w:r>
        <w:rPr>
          <w:sz w:val="20"/>
          <w:szCs w:val="20"/>
        </w:rPr>
        <w:t>for additional information.</w:t>
      </w:r>
    </w:p>
    <w:p w:rsidR="00000000" w:rsidRDefault="00C96329">
      <w:pPr>
        <w:pStyle w:val="a3"/>
        <w:spacing w:before="0" w:beforeAutospacing="0" w:after="0" w:afterAutospacing="0"/>
        <w:divId w:val="1986426144"/>
        <w:rPr>
          <w:sz w:val="20"/>
          <w:szCs w:val="20"/>
        </w:rPr>
      </w:pPr>
      <w:r>
        <w:rPr>
          <w:color w:val="FF0000"/>
          <w:sz w:val="16"/>
          <w:szCs w:val="16"/>
        </w:rPr>
        <w:t>​</w:t>
      </w:r>
    </w:p>
    <w:p w:rsidR="00000000" w:rsidRDefault="00C96329">
      <w:pPr>
        <w:pStyle w:val="a3"/>
        <w:spacing w:before="0" w:beforeAutospacing="0" w:after="0" w:afterAutospacing="0"/>
        <w:divId w:val="1986426144"/>
        <w:rPr>
          <w:sz w:val="20"/>
          <w:szCs w:val="20"/>
        </w:rPr>
      </w:pPr>
      <w:r>
        <w:rPr>
          <w:b/>
          <w:bCs/>
          <w:i/>
          <w:iCs/>
          <w:sz w:val="20"/>
          <w:szCs w:val="20"/>
        </w:rPr>
        <w:t>Interest Expense</w:t>
      </w:r>
    </w:p>
    <w:p w:rsidR="00000000" w:rsidRDefault="00C96329">
      <w:pPr>
        <w:pStyle w:val="a3"/>
        <w:spacing w:before="0" w:beforeAutospacing="0" w:after="0" w:afterAutospacing="0"/>
        <w:divId w:val="1986426144"/>
        <w:rPr>
          <w:sz w:val="20"/>
          <w:szCs w:val="20"/>
        </w:rPr>
      </w:pPr>
      <w:r>
        <w:rPr>
          <w:sz w:val="10"/>
          <w:szCs w:val="10"/>
        </w:rPr>
        <w:t>​</w:t>
      </w:r>
    </w:p>
    <w:p w:rsidR="00000000" w:rsidRDefault="00C96329">
      <w:pPr>
        <w:pStyle w:val="a3"/>
        <w:spacing w:before="0" w:beforeAutospacing="0" w:after="0" w:afterAutospacing="0"/>
        <w:ind w:firstLine="720"/>
        <w:divId w:val="1986426144"/>
        <w:rPr>
          <w:sz w:val="20"/>
          <w:szCs w:val="20"/>
        </w:rPr>
      </w:pPr>
      <w:r>
        <w:rPr>
          <w:sz w:val="20"/>
          <w:szCs w:val="20"/>
        </w:rPr>
        <w:t>Interest expense primarily consisted of interest payments due on the Convertible Senior 2023 Notes, the retired Non-Recourse 2033 Notes, and the recently issued Non-Recourse 2035 Notes, as well a</w:t>
      </w:r>
      <w:r>
        <w:rPr>
          <w:sz w:val="20"/>
          <w:szCs w:val="20"/>
        </w:rPr>
        <w:t>s, the amortization of the associated debt issuance costs. Interest expense, as compared to the comparable periods in the prior year, was as follows:</w:t>
      </w:r>
    </w:p>
    <w:p w:rsidR="00000000" w:rsidRDefault="00C96329">
      <w:pPr>
        <w:pStyle w:val="a3"/>
        <w:spacing w:before="0" w:beforeAutospacing="0" w:after="0" w:afterAutospacing="0"/>
        <w:ind w:firstLine="720"/>
        <w:divId w:val="198642614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288"/>
        <w:gridCol w:w="200"/>
        <w:gridCol w:w="100"/>
        <w:gridCol w:w="684"/>
        <w:gridCol w:w="200"/>
        <w:gridCol w:w="100"/>
        <w:gridCol w:w="584"/>
        <w:gridCol w:w="200"/>
        <w:gridCol w:w="100"/>
        <w:gridCol w:w="584"/>
        <w:gridCol w:w="200"/>
        <w:gridCol w:w="270"/>
        <w:gridCol w:w="237"/>
        <w:gridCol w:w="200"/>
        <w:gridCol w:w="100"/>
        <w:gridCol w:w="684"/>
        <w:gridCol w:w="200"/>
        <w:gridCol w:w="100"/>
        <w:gridCol w:w="684"/>
        <w:gridCol w:w="200"/>
        <w:gridCol w:w="100"/>
        <w:gridCol w:w="584"/>
        <w:gridCol w:w="200"/>
        <w:gridCol w:w="270"/>
        <w:gridCol w:w="237"/>
      </w:tblGrid>
      <w:tr w:rsidR="00000000">
        <w:trPr>
          <w:divId w:val="1986426144"/>
          <w:trHeight w:val="20"/>
        </w:trPr>
        <w:tc>
          <w:tcPr>
            <w:tcW w:w="1319" w:type="pct"/>
            <w:tcMar>
              <w:top w:w="0" w:type="dxa"/>
              <w:left w:w="0" w:type="dxa"/>
              <w:bottom w:w="0" w:type="dxa"/>
              <w:right w:w="0" w:type="dxa"/>
            </w:tcMar>
            <w:vAlign w:val="bottom"/>
            <w:hideMark/>
          </w:tcPr>
          <w:p w:rsidR="00000000" w:rsidRDefault="00C96329">
            <w:pPr>
              <w:pStyle w:val="a3"/>
              <w:spacing w:before="0" w:beforeAutospacing="0" w:after="0" w:afterAutospacing="0"/>
              <w:divId w:val="298075862"/>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46343641"/>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58451324"/>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047635588"/>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8383991"/>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305008871"/>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53622240"/>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3077862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19571003"/>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49714413"/>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141271734"/>
              <w:rPr>
                <w:sz w:val="20"/>
                <w:szCs w:val="20"/>
              </w:rPr>
            </w:pPr>
            <w:r>
              <w:rPr>
                <w:sz w:val="2"/>
                <w:szCs w:val="2"/>
              </w:rPr>
              <w:t>​</w:t>
            </w:r>
          </w:p>
        </w:tc>
        <w:tc>
          <w:tcPr>
            <w:tcW w:w="15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94876045"/>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27458862"/>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118336951"/>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808548527"/>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22626645"/>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790003098"/>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654838201"/>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373234462"/>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13132058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804347371"/>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340160606"/>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08956975"/>
              <w:rPr>
                <w:sz w:val="20"/>
                <w:szCs w:val="20"/>
              </w:rPr>
            </w:pPr>
            <w:r>
              <w:rPr>
                <w:sz w:val="2"/>
                <w:szCs w:val="2"/>
              </w:rPr>
              <w:t>​</w:t>
            </w:r>
          </w:p>
        </w:tc>
        <w:tc>
          <w:tcPr>
            <w:tcW w:w="15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525558864"/>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61874272"/>
              <w:rPr>
                <w:sz w:val="20"/>
                <w:szCs w:val="20"/>
              </w:rPr>
            </w:pPr>
            <w:r>
              <w:rPr>
                <w:sz w:val="2"/>
                <w:szCs w:val="2"/>
              </w:rPr>
              <w:t>​</w:t>
            </w:r>
          </w:p>
        </w:tc>
      </w:tr>
      <w:tr w:rsidR="00000000">
        <w:trPr>
          <w:divId w:val="1986426144"/>
        </w:trPr>
        <w:tc>
          <w:tcPr>
            <w:tcW w:w="1319"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876" w:type="pct"/>
            <w:gridSpan w:val="5"/>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xml:space="preserve">Three Months Ended </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14"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5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926" w:type="pct"/>
            <w:gridSpan w:val="5"/>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xml:space="preserve">Six Months Ended </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14"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5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1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r>
      <w:tr w:rsidR="00000000">
        <w:trPr>
          <w:divId w:val="1986426144"/>
        </w:trPr>
        <w:tc>
          <w:tcPr>
            <w:tcW w:w="1319"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876"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June 30, </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622" w:type="pct"/>
            <w:gridSpan w:val="4"/>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Change</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926"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June 30, </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622" w:type="pct"/>
            <w:gridSpan w:val="4"/>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Change</w:t>
            </w:r>
          </w:p>
        </w:tc>
        <w:tc>
          <w:tcPr>
            <w:tcW w:w="11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r>
      <w:tr w:rsidR="00000000">
        <w:trPr>
          <w:divId w:val="1986426144"/>
        </w:trPr>
        <w:tc>
          <w:tcPr>
            <w:tcW w:w="1319"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(In thousands)</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413"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364"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364"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158"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413"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413"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364"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159"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11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r>
      <w:tr w:rsidR="00000000">
        <w:trPr>
          <w:divId w:val="1986426144"/>
        </w:trPr>
        <w:tc>
          <w:tcPr>
            <w:tcW w:w="1319"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Interest expense</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(11,391</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(7,901</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(3,490</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5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4</w:t>
            </w:r>
            <w:r>
              <w:rPr>
                <w:sz w:val="20"/>
                <w:szCs w:val="20"/>
              </w:rPr>
              <w:t>4</w:t>
            </w:r>
          </w:p>
        </w:tc>
        <w:tc>
          <w:tcPr>
            <w:tcW w:w="11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(21,332</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(15,759</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(5,573</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15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3</w:t>
            </w:r>
            <w:r>
              <w:rPr>
                <w:sz w:val="20"/>
                <w:szCs w:val="20"/>
              </w:rPr>
              <w:t>5</w:t>
            </w:r>
          </w:p>
        </w:tc>
        <w:tc>
          <w:tcPr>
            <w:tcW w:w="11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w:t>
            </w:r>
          </w:p>
        </w:tc>
      </w:tr>
    </w:tbl>
    <w:p w:rsidR="00000000" w:rsidRDefault="00C96329">
      <w:pPr>
        <w:pStyle w:val="a3"/>
        <w:spacing w:before="0" w:beforeAutospacing="0" w:after="0" w:afterAutospacing="0"/>
        <w:divId w:val="1986426144"/>
        <w:rPr>
          <w:sz w:val="20"/>
          <w:szCs w:val="20"/>
        </w:rPr>
      </w:pPr>
      <w:r>
        <w:rPr>
          <w:color w:val="FF0000"/>
          <w:sz w:val="20"/>
          <w:szCs w:val="20"/>
        </w:rPr>
        <w:t>​</w:t>
      </w:r>
    </w:p>
    <w:p w:rsidR="00000000" w:rsidRDefault="00C96329">
      <w:pPr>
        <w:pStyle w:val="a3"/>
        <w:spacing w:before="0" w:beforeAutospacing="0" w:after="0" w:afterAutospacing="0"/>
        <w:ind w:firstLine="720"/>
        <w:divId w:val="1986426144"/>
        <w:rPr>
          <w:sz w:val="20"/>
          <w:szCs w:val="20"/>
        </w:rPr>
      </w:pPr>
      <w:r>
        <w:rPr>
          <w:sz w:val="20"/>
          <w:szCs w:val="20"/>
        </w:rPr>
        <w:t>Interest expense increased by $3.5 million and $5.6 million for the three and six months ended June 30, 2020, respectively, compared to the same periods in 2019. The increases were attributed to additional interest expense related to the issuance of the No</w:t>
      </w:r>
      <w:r>
        <w:rPr>
          <w:sz w:val="20"/>
          <w:szCs w:val="20"/>
        </w:rPr>
        <w:t>n-Recourse 2035 Notes in February 2020. As of June 30, 2020, the Non-Recourse 2035 Notes had a net principal amount of $381.1 million and an interest rate of 9.5% compared to the retired Non-Recourse 2033 Notes which had an original net principal amount of</w:t>
      </w:r>
      <w:r>
        <w:rPr>
          <w:sz w:val="20"/>
          <w:szCs w:val="20"/>
        </w:rPr>
        <w:t xml:space="preserve"> $237.5 million and an interest rate of 9.0%.</w:t>
      </w:r>
    </w:p>
    <w:p w:rsidR="00000000" w:rsidRDefault="00C96329">
      <w:pPr>
        <w:pStyle w:val="a3"/>
        <w:spacing w:before="0" w:beforeAutospacing="0" w:after="0" w:afterAutospacing="0"/>
        <w:divId w:val="1986426144"/>
        <w:rPr>
          <w:sz w:val="20"/>
          <w:szCs w:val="20"/>
        </w:rPr>
      </w:pPr>
      <w:r>
        <w:rPr>
          <w:sz w:val="20"/>
          <w:szCs w:val="20"/>
        </w:rPr>
        <w:t>​</w:t>
      </w:r>
    </w:p>
    <w:p w:rsidR="00000000" w:rsidRDefault="00C96329">
      <w:pPr>
        <w:pStyle w:val="a3"/>
        <w:spacing w:before="0" w:beforeAutospacing="0" w:after="0" w:afterAutospacing="0"/>
        <w:divId w:val="1986426144"/>
        <w:rPr>
          <w:sz w:val="20"/>
          <w:szCs w:val="20"/>
        </w:rPr>
      </w:pPr>
      <w:r>
        <w:rPr>
          <w:b/>
          <w:bCs/>
          <w:i/>
          <w:iCs/>
          <w:sz w:val="20"/>
          <w:szCs w:val="20"/>
        </w:rPr>
        <w:t>Loss on Extinguishment of Debt</w:t>
      </w:r>
    </w:p>
    <w:p w:rsidR="00000000" w:rsidRDefault="00C96329">
      <w:pPr>
        <w:pStyle w:val="a3"/>
        <w:spacing w:before="0" w:beforeAutospacing="0" w:after="0" w:afterAutospacing="0"/>
        <w:divId w:val="1986426144"/>
        <w:rPr>
          <w:sz w:val="20"/>
          <w:szCs w:val="20"/>
        </w:rPr>
      </w:pPr>
      <w:r>
        <w:rPr>
          <w:i/>
          <w:iCs/>
          <w:sz w:val="10"/>
          <w:szCs w:val="10"/>
        </w:rPr>
        <w:t>​</w:t>
      </w:r>
    </w:p>
    <w:p w:rsidR="00000000" w:rsidRDefault="00C96329">
      <w:pPr>
        <w:pStyle w:val="a3"/>
        <w:spacing w:before="0" w:beforeAutospacing="0" w:after="0" w:afterAutospacing="0"/>
        <w:ind w:firstLine="720"/>
        <w:divId w:val="1986426144"/>
        <w:rPr>
          <w:sz w:val="20"/>
          <w:szCs w:val="20"/>
        </w:rPr>
      </w:pPr>
      <w:r>
        <w:rPr>
          <w:sz w:val="20"/>
          <w:szCs w:val="20"/>
        </w:rPr>
        <w:t>Loss on extinguishment of debt as compared to the comparable periods in the prior year, was as follows:</w:t>
      </w:r>
    </w:p>
    <w:p w:rsidR="00000000" w:rsidRDefault="00C96329">
      <w:pPr>
        <w:pStyle w:val="a3"/>
        <w:spacing w:before="0" w:beforeAutospacing="0" w:after="0" w:afterAutospacing="0"/>
        <w:ind w:firstLine="720"/>
        <w:divId w:val="198642614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522"/>
        <w:gridCol w:w="200"/>
        <w:gridCol w:w="128"/>
        <w:gridCol w:w="504"/>
        <w:gridCol w:w="201"/>
        <w:gridCol w:w="125"/>
        <w:gridCol w:w="509"/>
        <w:gridCol w:w="200"/>
        <w:gridCol w:w="100"/>
        <w:gridCol w:w="270"/>
        <w:gridCol w:w="200"/>
        <w:gridCol w:w="393"/>
        <w:gridCol w:w="237"/>
        <w:gridCol w:w="200"/>
        <w:gridCol w:w="100"/>
        <w:gridCol w:w="684"/>
        <w:gridCol w:w="200"/>
        <w:gridCol w:w="100"/>
        <w:gridCol w:w="270"/>
        <w:gridCol w:w="200"/>
        <w:gridCol w:w="100"/>
        <w:gridCol w:w="684"/>
        <w:gridCol w:w="200"/>
        <w:gridCol w:w="393"/>
        <w:gridCol w:w="237"/>
      </w:tblGrid>
      <w:tr w:rsidR="00000000">
        <w:trPr>
          <w:divId w:val="1986426144"/>
          <w:trHeight w:val="20"/>
        </w:trPr>
        <w:tc>
          <w:tcPr>
            <w:tcW w:w="1680"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540017753"/>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35275764"/>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74333369"/>
              <w:rPr>
                <w:sz w:val="20"/>
                <w:szCs w:val="20"/>
              </w:rPr>
            </w:pPr>
            <w:r>
              <w:rPr>
                <w:sz w:val="2"/>
                <w:szCs w:val="2"/>
              </w:rPr>
              <w:t>​</w:t>
            </w:r>
          </w:p>
        </w:tc>
        <w:tc>
          <w:tcPr>
            <w:tcW w:w="260"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738701846"/>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3988013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819879887"/>
              <w:rPr>
                <w:sz w:val="20"/>
                <w:szCs w:val="20"/>
              </w:rPr>
            </w:pPr>
            <w:r>
              <w:rPr>
                <w:sz w:val="2"/>
                <w:szCs w:val="2"/>
              </w:rPr>
              <w:t>​</w:t>
            </w:r>
          </w:p>
        </w:tc>
        <w:tc>
          <w:tcPr>
            <w:tcW w:w="26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78586937"/>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65948116"/>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680082476"/>
              <w:rPr>
                <w:sz w:val="20"/>
                <w:szCs w:val="20"/>
              </w:rPr>
            </w:pPr>
            <w:r>
              <w:rPr>
                <w:sz w:val="2"/>
                <w:szCs w:val="2"/>
              </w:rPr>
              <w:t>​</w:t>
            </w:r>
          </w:p>
        </w:tc>
        <w:tc>
          <w:tcPr>
            <w:tcW w:w="15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61498604"/>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59835963"/>
              <w:rPr>
                <w:sz w:val="20"/>
                <w:szCs w:val="20"/>
              </w:rPr>
            </w:pPr>
            <w:r>
              <w:rPr>
                <w:sz w:val="2"/>
                <w:szCs w:val="2"/>
              </w:rPr>
              <w:t>​</w:t>
            </w:r>
          </w:p>
        </w:tc>
        <w:tc>
          <w:tcPr>
            <w:tcW w:w="19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311327362"/>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598709393"/>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605575449"/>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1439226"/>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03956688"/>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63817077"/>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349529955"/>
              <w:rPr>
                <w:sz w:val="20"/>
                <w:szCs w:val="20"/>
              </w:rPr>
            </w:pPr>
            <w:r>
              <w:rPr>
                <w:sz w:val="2"/>
                <w:szCs w:val="2"/>
              </w:rPr>
              <w:t>​</w:t>
            </w:r>
          </w:p>
        </w:tc>
        <w:tc>
          <w:tcPr>
            <w:tcW w:w="15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368605512"/>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0589518"/>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557081749"/>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72677731"/>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571883835"/>
              <w:rPr>
                <w:sz w:val="20"/>
                <w:szCs w:val="20"/>
              </w:rPr>
            </w:pPr>
            <w:r>
              <w:rPr>
                <w:sz w:val="2"/>
                <w:szCs w:val="2"/>
              </w:rPr>
              <w:t>​</w:t>
            </w:r>
          </w:p>
        </w:tc>
        <w:tc>
          <w:tcPr>
            <w:tcW w:w="19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073550842"/>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113041970"/>
              <w:rPr>
                <w:sz w:val="20"/>
                <w:szCs w:val="20"/>
              </w:rPr>
            </w:pPr>
            <w:r>
              <w:rPr>
                <w:sz w:val="2"/>
                <w:szCs w:val="2"/>
              </w:rPr>
              <w:t>​</w:t>
            </w:r>
          </w:p>
        </w:tc>
      </w:tr>
      <w:tr w:rsidR="00000000">
        <w:trPr>
          <w:divId w:val="1986426144"/>
        </w:trPr>
        <w:tc>
          <w:tcPr>
            <w:tcW w:w="168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53" w:type="pct"/>
            <w:gridSpan w:val="5"/>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xml:space="preserve">Three Months Ended </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5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94"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722" w:type="pct"/>
            <w:gridSpan w:val="5"/>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xml:space="preserve">Six Months Ended </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50"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64"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94"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r>
      <w:tr w:rsidR="00000000">
        <w:trPr>
          <w:divId w:val="1986426144"/>
        </w:trPr>
        <w:tc>
          <w:tcPr>
            <w:tcW w:w="168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53"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June 30, </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502" w:type="pct"/>
            <w:gridSpan w:val="4"/>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Change</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22"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June 30, </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08" w:type="pct"/>
            <w:gridSpan w:val="4"/>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Change</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r>
      <w:tr w:rsidR="00000000">
        <w:trPr>
          <w:divId w:val="1986426144"/>
        </w:trPr>
        <w:tc>
          <w:tcPr>
            <w:tcW w:w="1680"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(In thousands)</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326"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327"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208"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194"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414"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209"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414"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194"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r>
      <w:tr w:rsidR="00000000">
        <w:trPr>
          <w:divId w:val="1986426144"/>
        </w:trPr>
        <w:tc>
          <w:tcPr>
            <w:tcW w:w="168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Loss on extinguishment of debt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26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26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15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9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NM</w:t>
            </w:r>
          </w:p>
        </w:tc>
        <w:tc>
          <w:tcPr>
            <w:tcW w:w="11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(15,464</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15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(15,464</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19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NM</w:t>
            </w:r>
          </w:p>
        </w:tc>
        <w:tc>
          <w:tcPr>
            <w:tcW w:w="11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w:t>
            </w:r>
          </w:p>
        </w:tc>
      </w:tr>
    </w:tbl>
    <w:p w:rsidR="00000000" w:rsidRDefault="00C96329">
      <w:pPr>
        <w:pStyle w:val="a3"/>
        <w:spacing w:before="0" w:beforeAutospacing="0" w:after="0" w:afterAutospacing="0"/>
        <w:divId w:val="1986426144"/>
        <w:rPr>
          <w:sz w:val="20"/>
          <w:szCs w:val="20"/>
        </w:rPr>
      </w:pPr>
      <w:r>
        <w:rPr>
          <w:sz w:val="20"/>
          <w:szCs w:val="20"/>
        </w:rPr>
        <w:t>NM: Not Meaningful</w:t>
      </w:r>
    </w:p>
    <w:p w:rsidR="00000000" w:rsidRDefault="00C96329">
      <w:pPr>
        <w:pStyle w:val="a3"/>
        <w:spacing w:before="0" w:beforeAutospacing="0" w:after="0" w:afterAutospacing="0"/>
        <w:divId w:val="1986426144"/>
        <w:rPr>
          <w:sz w:val="20"/>
          <w:szCs w:val="20"/>
        </w:rPr>
      </w:pPr>
      <w:r>
        <w:rPr>
          <w:sz w:val="20"/>
          <w:szCs w:val="20"/>
        </w:rPr>
        <w:t>​</w:t>
      </w:r>
    </w:p>
    <w:p w:rsidR="00000000" w:rsidRDefault="00C96329">
      <w:pPr>
        <w:pStyle w:val="a3"/>
        <w:spacing w:before="0" w:beforeAutospacing="0" w:after="0" w:afterAutospacing="0"/>
        <w:ind w:firstLine="720"/>
        <w:divId w:val="1986426144"/>
        <w:rPr>
          <w:sz w:val="20"/>
          <w:szCs w:val="20"/>
        </w:rPr>
      </w:pPr>
      <w:r>
        <w:rPr>
          <w:sz w:val="20"/>
          <w:szCs w:val="20"/>
        </w:rPr>
        <w:t>For the six months ended June 30, 2020, the $15.5 million loss on extinguishment of debt was related to the issuance of the Non-Recourse 2035 Notes in February 2020. A portion of the proceeds from the Non-Recourse 2035 Notes were used to repay the outstand</w:t>
      </w:r>
      <w:r>
        <w:rPr>
          <w:sz w:val="20"/>
          <w:szCs w:val="20"/>
        </w:rPr>
        <w:t>ing balance of the Non-Recourse 2033 Notes that were issued in November 2018. The $15.5 million loss was comprised of a redemption premium related to the early repayment of the Non-Recourse 2033 Notes and the write-off of the previously deferred debt issua</w:t>
      </w:r>
      <w:r>
        <w:rPr>
          <w:sz w:val="20"/>
          <w:szCs w:val="20"/>
        </w:rPr>
        <w:t>nce costs related to the portion of the Non-Recourse 2033 Notes that was considered extinguished.</w:t>
      </w:r>
    </w:p>
    <w:p w:rsidR="00000000" w:rsidRDefault="00C96329">
      <w:pPr>
        <w:pStyle w:val="a3"/>
        <w:spacing w:before="0" w:beforeAutospacing="0" w:after="0" w:afterAutospacing="0"/>
        <w:ind w:firstLine="720"/>
        <w:divId w:val="1986426144"/>
        <w:rPr>
          <w:sz w:val="20"/>
          <w:szCs w:val="20"/>
        </w:rPr>
      </w:pPr>
      <w:r>
        <w:rPr>
          <w:sz w:val="20"/>
          <w:szCs w:val="20"/>
        </w:rPr>
        <w:t>​</w:t>
      </w:r>
    </w:p>
    <w:p w:rsidR="00000000" w:rsidRDefault="00C96329">
      <w:pPr>
        <w:pStyle w:val="a3"/>
        <w:spacing w:before="0" w:beforeAutospacing="0" w:after="0" w:afterAutospacing="0"/>
        <w:divId w:val="1986426144"/>
        <w:rPr>
          <w:sz w:val="20"/>
          <w:szCs w:val="20"/>
        </w:rPr>
      </w:pPr>
      <w:r>
        <w:rPr>
          <w:b/>
          <w:bCs/>
          <w:i/>
          <w:iCs/>
          <w:sz w:val="20"/>
          <w:szCs w:val="20"/>
        </w:rPr>
        <w:t>Interest and Other Income (Expense), net</w:t>
      </w:r>
    </w:p>
    <w:p w:rsidR="00000000" w:rsidRDefault="00C96329">
      <w:pPr>
        <w:pStyle w:val="a3"/>
        <w:spacing w:before="0" w:beforeAutospacing="0" w:after="0" w:afterAutospacing="0"/>
        <w:divId w:val="1986426144"/>
        <w:rPr>
          <w:sz w:val="20"/>
          <w:szCs w:val="20"/>
        </w:rPr>
      </w:pPr>
      <w:r>
        <w:rPr>
          <w:i/>
          <w:iCs/>
          <w:sz w:val="10"/>
          <w:szCs w:val="10"/>
        </w:rPr>
        <w:t>​</w:t>
      </w:r>
    </w:p>
    <w:p w:rsidR="00000000" w:rsidRDefault="00C96329">
      <w:pPr>
        <w:pStyle w:val="a3"/>
        <w:spacing w:before="0" w:beforeAutospacing="0" w:after="0" w:afterAutospacing="0"/>
        <w:ind w:firstLine="720"/>
        <w:divId w:val="1986426144"/>
        <w:rPr>
          <w:sz w:val="20"/>
          <w:szCs w:val="20"/>
        </w:rPr>
      </w:pPr>
      <w:r>
        <w:rPr>
          <w:sz w:val="20"/>
          <w:szCs w:val="20"/>
        </w:rPr>
        <w:t>Interest and other income (expense), net, as compared to the comparable periods in the prior year, was as follows</w:t>
      </w:r>
      <w:r>
        <w:rPr>
          <w:sz w:val="20"/>
          <w:szCs w:val="20"/>
        </w:rPr>
        <w:t>:</w:t>
      </w:r>
    </w:p>
    <w:p w:rsidR="00000000" w:rsidRDefault="00C96329">
      <w:pPr>
        <w:pStyle w:val="a3"/>
        <w:spacing w:before="0" w:beforeAutospacing="0" w:after="0" w:afterAutospacing="0"/>
        <w:ind w:firstLine="720"/>
        <w:divId w:val="198642614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389"/>
        <w:gridCol w:w="200"/>
        <w:gridCol w:w="100"/>
        <w:gridCol w:w="584"/>
        <w:gridCol w:w="200"/>
        <w:gridCol w:w="100"/>
        <w:gridCol w:w="520"/>
        <w:gridCol w:w="200"/>
        <w:gridCol w:w="100"/>
        <w:gridCol w:w="584"/>
        <w:gridCol w:w="200"/>
        <w:gridCol w:w="393"/>
        <w:gridCol w:w="237"/>
        <w:gridCol w:w="200"/>
        <w:gridCol w:w="100"/>
        <w:gridCol w:w="584"/>
        <w:gridCol w:w="200"/>
        <w:gridCol w:w="100"/>
        <w:gridCol w:w="520"/>
        <w:gridCol w:w="200"/>
        <w:gridCol w:w="100"/>
        <w:gridCol w:w="584"/>
        <w:gridCol w:w="200"/>
        <w:gridCol w:w="393"/>
        <w:gridCol w:w="237"/>
      </w:tblGrid>
      <w:tr w:rsidR="00000000">
        <w:trPr>
          <w:divId w:val="1986426144"/>
          <w:trHeight w:val="20"/>
        </w:trPr>
        <w:tc>
          <w:tcPr>
            <w:tcW w:w="1460" w:type="pct"/>
            <w:tcMar>
              <w:top w:w="0" w:type="dxa"/>
              <w:left w:w="0" w:type="dxa"/>
              <w:bottom w:w="0" w:type="dxa"/>
              <w:right w:w="0" w:type="dxa"/>
            </w:tcMar>
            <w:vAlign w:val="bottom"/>
            <w:hideMark/>
          </w:tcPr>
          <w:p w:rsidR="00000000" w:rsidRDefault="00C96329">
            <w:pPr>
              <w:pStyle w:val="a3"/>
              <w:spacing w:before="0" w:beforeAutospacing="0" w:after="0" w:afterAutospacing="0"/>
              <w:divId w:val="192117792"/>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6019729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201821234"/>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330304859"/>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348750598"/>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107696906"/>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05647271"/>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77105122"/>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604799680"/>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47471625"/>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548104942"/>
              <w:rPr>
                <w:sz w:val="20"/>
                <w:szCs w:val="20"/>
              </w:rPr>
            </w:pPr>
            <w:r>
              <w:rPr>
                <w:sz w:val="2"/>
                <w:szCs w:val="2"/>
              </w:rPr>
              <w:t>​</w:t>
            </w:r>
          </w:p>
        </w:tc>
        <w:tc>
          <w:tcPr>
            <w:tcW w:w="19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839341137"/>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03187243"/>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011828125"/>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066948303"/>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44576789"/>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84635756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51211773"/>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957324892"/>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09019533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93072542"/>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076588820"/>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681081660"/>
              <w:rPr>
                <w:sz w:val="20"/>
                <w:szCs w:val="20"/>
              </w:rPr>
            </w:pPr>
            <w:r>
              <w:rPr>
                <w:sz w:val="2"/>
                <w:szCs w:val="2"/>
              </w:rPr>
              <w:t>​</w:t>
            </w:r>
          </w:p>
        </w:tc>
        <w:tc>
          <w:tcPr>
            <w:tcW w:w="19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07023369"/>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550576431"/>
              <w:rPr>
                <w:sz w:val="20"/>
                <w:szCs w:val="20"/>
              </w:rPr>
            </w:pPr>
            <w:r>
              <w:rPr>
                <w:sz w:val="2"/>
                <w:szCs w:val="2"/>
              </w:rPr>
              <w:t>​</w:t>
            </w:r>
          </w:p>
        </w:tc>
      </w:tr>
      <w:tr w:rsidR="00000000">
        <w:trPr>
          <w:divId w:val="1986426144"/>
        </w:trPr>
        <w:tc>
          <w:tcPr>
            <w:tcW w:w="146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95" w:type="pct"/>
            <w:gridSpan w:val="5"/>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xml:space="preserve">Three Months Ended </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14"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94"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795" w:type="pct"/>
            <w:gridSpan w:val="5"/>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xml:space="preserve">Six Months Ended </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14"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94"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r>
      <w:tr w:rsidR="00000000">
        <w:trPr>
          <w:divId w:val="1986426144"/>
        </w:trPr>
        <w:tc>
          <w:tcPr>
            <w:tcW w:w="1460"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795"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June 30, </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658" w:type="pct"/>
            <w:gridSpan w:val="4"/>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Change</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795"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June 30, </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658" w:type="pct"/>
            <w:gridSpan w:val="4"/>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Change</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r>
      <w:tr w:rsidR="00000000">
        <w:trPr>
          <w:divId w:val="1986426144"/>
        </w:trPr>
        <w:tc>
          <w:tcPr>
            <w:tcW w:w="1460"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(In thousands)</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364"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33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364"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194"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364"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332"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364"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    </w:t>
            </w:r>
          </w:p>
        </w:tc>
        <w:tc>
          <w:tcPr>
            <w:tcW w:w="194"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w:t>
            </w:r>
          </w:p>
        </w:tc>
      </w:tr>
      <w:tr w:rsidR="00000000">
        <w:trPr>
          <w:divId w:val="1986426144"/>
        </w:trPr>
        <w:tc>
          <w:tcPr>
            <w:tcW w:w="1460"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Interest and other income (expense)</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1,07</w:t>
            </w:r>
            <w:r>
              <w:rPr>
                <w:sz w:val="20"/>
                <w:szCs w:val="20"/>
              </w:rPr>
              <w:t>4</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2,37</w:t>
            </w:r>
            <w:r>
              <w:rPr>
                <w:sz w:val="20"/>
                <w:szCs w:val="20"/>
              </w:rPr>
              <w:t>4</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(1,300</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9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(55</w:t>
            </w: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2,53</w:t>
            </w:r>
            <w:r>
              <w:rPr>
                <w:sz w:val="20"/>
                <w:szCs w:val="20"/>
              </w:rPr>
              <w:t>4</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5,16</w:t>
            </w:r>
            <w:r>
              <w:rPr>
                <w:sz w:val="20"/>
                <w:szCs w:val="20"/>
              </w:rPr>
              <w:t>9</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(2,635</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9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(51</w:t>
            </w: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w:t>
            </w:r>
          </w:p>
        </w:tc>
      </w:tr>
      <w:tr w:rsidR="00000000">
        <w:trPr>
          <w:divId w:val="1986426144"/>
        </w:trPr>
        <w:tc>
          <w:tcPr>
            <w:tcW w:w="1460"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Costs related to GSK offering</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14"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(1,736</w:t>
            </w:r>
            <w:r>
              <w:rPr>
                <w:sz w:val="20"/>
                <w:szCs w:val="20"/>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282"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14"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(1,736</w:t>
            </w:r>
            <w:r>
              <w:rPr>
                <w:sz w:val="20"/>
                <w:szCs w:val="20"/>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94"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NM</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14"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(1,736</w:t>
            </w:r>
            <w:r>
              <w:rPr>
                <w:sz w:val="20"/>
                <w:szCs w:val="20"/>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282"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14"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(1,736</w:t>
            </w:r>
            <w:r>
              <w:rPr>
                <w:sz w:val="20"/>
                <w:szCs w:val="20"/>
              </w:rPr>
              <w:t>)</w:t>
            </w:r>
          </w:p>
        </w:tc>
        <w:tc>
          <w:tcPr>
            <w:tcW w:w="9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94"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NM</w:t>
            </w:r>
          </w:p>
        </w:tc>
        <w:tc>
          <w:tcPr>
            <w:tcW w:w="117"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r>
      <w:tr w:rsidR="00000000">
        <w:trPr>
          <w:divId w:val="1986426144"/>
        </w:trPr>
        <w:tc>
          <w:tcPr>
            <w:tcW w:w="1460"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ind w:left="120" w:hanging="150"/>
              <w:rPr>
                <w:sz w:val="20"/>
                <w:szCs w:val="20"/>
              </w:rPr>
            </w:pPr>
            <w:r>
              <w:rPr>
                <w:sz w:val="20"/>
                <w:szCs w:val="20"/>
              </w:rPr>
              <w:t>Total interest and other income (expense), net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(662</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2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2,37</w:t>
            </w:r>
            <w:r>
              <w:rPr>
                <w:sz w:val="20"/>
                <w:szCs w:val="20"/>
              </w:rPr>
              <w:t>4</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(3,036</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NM</w:t>
            </w:r>
          </w:p>
        </w:tc>
        <w:tc>
          <w:tcPr>
            <w:tcW w:w="11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79</w:t>
            </w:r>
            <w:r>
              <w:rPr>
                <w:sz w:val="20"/>
                <w:szCs w:val="20"/>
              </w:rPr>
              <w:t>8</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2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5,16</w:t>
            </w:r>
            <w:r>
              <w:rPr>
                <w:sz w:val="20"/>
                <w:szCs w:val="20"/>
              </w:rPr>
              <w:t>9</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(4,371</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NM</w:t>
            </w:r>
          </w:p>
        </w:tc>
        <w:tc>
          <w:tcPr>
            <w:tcW w:w="117"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w:t>
            </w:r>
          </w:p>
        </w:tc>
      </w:tr>
    </w:tbl>
    <w:p w:rsidR="00000000" w:rsidRDefault="00C96329">
      <w:pPr>
        <w:pStyle w:val="a3"/>
        <w:spacing w:before="0" w:beforeAutospacing="0" w:after="0" w:afterAutospacing="0"/>
        <w:divId w:val="1986426144"/>
        <w:rPr>
          <w:sz w:val="20"/>
          <w:szCs w:val="20"/>
        </w:rPr>
      </w:pPr>
      <w:r>
        <w:rPr>
          <w:sz w:val="20"/>
          <w:szCs w:val="20"/>
        </w:rPr>
        <w:t>NM: Not Meaningful</w:t>
      </w:r>
    </w:p>
    <w:p w:rsidR="00000000" w:rsidRDefault="00C96329">
      <w:pPr>
        <w:pStyle w:val="a3"/>
        <w:spacing w:before="360" w:beforeAutospacing="0" w:after="0" w:afterAutospacing="0"/>
        <w:jc w:val="center"/>
        <w:divId w:val="1969047100"/>
        <w:rPr>
          <w:sz w:val="20"/>
          <w:szCs w:val="20"/>
        </w:rPr>
      </w:pPr>
      <w:r>
        <w:rPr>
          <w:sz w:val="20"/>
          <w:szCs w:val="20"/>
        </w:rPr>
        <w:t>32</w:t>
      </w:r>
    </w:p>
    <w:p w:rsidR="00000000" w:rsidRDefault="00C96329">
      <w:pPr>
        <w:pStyle w:val="a3"/>
        <w:spacing w:before="0" w:beforeAutospacing="0" w:after="600" w:afterAutospacing="0"/>
        <w:divId w:val="1493377472"/>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1047339641"/>
        <w:rPr>
          <w:sz w:val="20"/>
          <w:szCs w:val="20"/>
        </w:rPr>
      </w:pPr>
      <w:r>
        <w:rPr>
          <w:sz w:val="20"/>
          <w:szCs w:val="20"/>
        </w:rPr>
        <w:t>​</w:t>
      </w:r>
    </w:p>
    <w:p w:rsidR="00000000" w:rsidRDefault="00C96329">
      <w:pPr>
        <w:pStyle w:val="a3"/>
        <w:spacing w:before="0" w:beforeAutospacing="0" w:after="0" w:afterAutospacing="0"/>
        <w:ind w:firstLine="720"/>
        <w:divId w:val="1047339641"/>
        <w:rPr>
          <w:sz w:val="20"/>
          <w:szCs w:val="20"/>
        </w:rPr>
      </w:pPr>
      <w:r>
        <w:rPr>
          <w:sz w:val="20"/>
          <w:szCs w:val="20"/>
        </w:rPr>
        <w:t>Inter</w:t>
      </w:r>
      <w:r>
        <w:rPr>
          <w:sz w:val="20"/>
          <w:szCs w:val="20"/>
        </w:rPr>
        <w:t>est and other income (expense) decreased by $1.3 million and $2.6 million for the three and six months ended June 30, 2020, respectively, compared to the same periods in 2019. The decreases were primarily attributed to lower interest income earned in the c</w:t>
      </w:r>
      <w:r>
        <w:rPr>
          <w:sz w:val="20"/>
          <w:szCs w:val="20"/>
        </w:rPr>
        <w:t>urrent year periods resulting from lower investment yields on our portfolio of marketable securities.</w:t>
      </w:r>
    </w:p>
    <w:p w:rsidR="00000000" w:rsidRDefault="00C96329">
      <w:pPr>
        <w:pStyle w:val="a3"/>
        <w:spacing w:before="0" w:beforeAutospacing="0" w:after="0" w:afterAutospacing="0"/>
        <w:ind w:firstLine="720"/>
        <w:divId w:val="1047339641"/>
        <w:rPr>
          <w:sz w:val="20"/>
          <w:szCs w:val="20"/>
        </w:rPr>
      </w:pPr>
      <w:r>
        <w:rPr>
          <w:sz w:val="20"/>
          <w:szCs w:val="20"/>
        </w:rPr>
        <w:t>​</w:t>
      </w:r>
    </w:p>
    <w:p w:rsidR="00000000" w:rsidRDefault="00C96329">
      <w:pPr>
        <w:pStyle w:val="a3"/>
        <w:spacing w:before="0" w:beforeAutospacing="0" w:after="0" w:afterAutospacing="0"/>
        <w:ind w:firstLine="720"/>
        <w:divId w:val="1047339641"/>
        <w:rPr>
          <w:sz w:val="20"/>
          <w:szCs w:val="20"/>
        </w:rPr>
      </w:pPr>
      <w:r>
        <w:rPr>
          <w:sz w:val="20"/>
          <w:szCs w:val="20"/>
        </w:rPr>
        <w:t xml:space="preserve">In addition, $1.7 million of costs related to the GlaxoSmithKline plc (“GSK”) offering in the second quarter of 2020 were incurred during the three and </w:t>
      </w:r>
      <w:r>
        <w:rPr>
          <w:sz w:val="20"/>
          <w:szCs w:val="20"/>
        </w:rPr>
        <w:t>six months ended June 30, 2020. On June 22, 2020, GSK completed its previously announced offering of $300 million of exchangeable senior notes due 2023, $280.3 million of which are exchangeable into ordinary shares of our Company that are held by GSK and i</w:t>
      </w:r>
      <w:r>
        <w:rPr>
          <w:sz w:val="20"/>
          <w:szCs w:val="20"/>
        </w:rPr>
        <w:t>ts affiliates for investment purposes. The $1.7 million in costs were primarily comprised of financial advisory and legal-related costs.</w:t>
      </w:r>
    </w:p>
    <w:p w:rsidR="00000000" w:rsidRDefault="00C96329">
      <w:pPr>
        <w:pStyle w:val="a3"/>
        <w:spacing w:before="0" w:beforeAutospacing="0" w:after="0" w:afterAutospacing="0"/>
        <w:divId w:val="1047339641"/>
        <w:rPr>
          <w:sz w:val="20"/>
          <w:szCs w:val="20"/>
        </w:rPr>
      </w:pPr>
      <w:r>
        <w:rPr>
          <w:sz w:val="20"/>
          <w:szCs w:val="20"/>
        </w:rPr>
        <w:t>​</w:t>
      </w:r>
    </w:p>
    <w:p w:rsidR="00000000" w:rsidRDefault="00C96329">
      <w:pPr>
        <w:pStyle w:val="a3"/>
        <w:spacing w:before="0" w:beforeAutospacing="0" w:after="0" w:afterAutospacing="0"/>
        <w:divId w:val="1047339641"/>
        <w:rPr>
          <w:sz w:val="20"/>
          <w:szCs w:val="20"/>
        </w:rPr>
      </w:pPr>
      <w:r>
        <w:rPr>
          <w:b/>
          <w:bCs/>
          <w:i/>
          <w:iCs/>
          <w:sz w:val="20"/>
          <w:szCs w:val="20"/>
        </w:rPr>
        <w:t>Provision for Income Tax Expense</w:t>
      </w:r>
    </w:p>
    <w:p w:rsidR="00000000" w:rsidRDefault="00C96329">
      <w:pPr>
        <w:pStyle w:val="a3"/>
        <w:spacing w:before="0" w:beforeAutospacing="0" w:after="0" w:afterAutospacing="0"/>
        <w:divId w:val="1047339641"/>
        <w:rPr>
          <w:sz w:val="20"/>
          <w:szCs w:val="20"/>
        </w:rPr>
      </w:pPr>
      <w:r>
        <w:rPr>
          <w:sz w:val="10"/>
          <w:szCs w:val="10"/>
        </w:rPr>
        <w:t>​</w:t>
      </w:r>
    </w:p>
    <w:p w:rsidR="00000000" w:rsidRDefault="00C96329">
      <w:pPr>
        <w:pStyle w:val="a3"/>
        <w:spacing w:before="0" w:beforeAutospacing="0" w:after="0" w:afterAutospacing="0"/>
        <w:ind w:firstLine="720"/>
        <w:divId w:val="1047339641"/>
        <w:rPr>
          <w:sz w:val="20"/>
          <w:szCs w:val="20"/>
        </w:rPr>
      </w:pPr>
      <w:r>
        <w:rPr>
          <w:sz w:val="20"/>
          <w:szCs w:val="20"/>
        </w:rPr>
        <w:t>The provision for income tax, as compared to the comparable periods in the prior y</w:t>
      </w:r>
      <w:r>
        <w:rPr>
          <w:sz w:val="20"/>
          <w:szCs w:val="20"/>
        </w:rPr>
        <w:t>ear, was as follows:</w:t>
      </w:r>
    </w:p>
    <w:p w:rsidR="00000000" w:rsidRDefault="00C96329">
      <w:pPr>
        <w:pStyle w:val="a3"/>
        <w:spacing w:before="0" w:beforeAutospacing="0" w:after="0" w:afterAutospacing="0"/>
        <w:ind w:firstLine="720"/>
        <w:divId w:val="104733964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760"/>
        <w:gridCol w:w="160"/>
        <w:gridCol w:w="132"/>
        <w:gridCol w:w="517"/>
        <w:gridCol w:w="160"/>
        <w:gridCol w:w="129"/>
        <w:gridCol w:w="524"/>
        <w:gridCol w:w="160"/>
        <w:gridCol w:w="100"/>
        <w:gridCol w:w="370"/>
        <w:gridCol w:w="160"/>
        <w:gridCol w:w="334"/>
        <w:gridCol w:w="167"/>
        <w:gridCol w:w="160"/>
        <w:gridCol w:w="101"/>
        <w:gridCol w:w="460"/>
        <w:gridCol w:w="161"/>
        <w:gridCol w:w="101"/>
        <w:gridCol w:w="459"/>
        <w:gridCol w:w="160"/>
        <w:gridCol w:w="100"/>
        <w:gridCol w:w="270"/>
        <w:gridCol w:w="160"/>
        <w:gridCol w:w="334"/>
        <w:gridCol w:w="167"/>
      </w:tblGrid>
      <w:tr w:rsidR="00000000">
        <w:trPr>
          <w:divId w:val="1047339641"/>
          <w:trHeight w:val="20"/>
        </w:trPr>
        <w:tc>
          <w:tcPr>
            <w:tcW w:w="2115" w:type="pct"/>
            <w:tcMar>
              <w:top w:w="0" w:type="dxa"/>
              <w:left w:w="0" w:type="dxa"/>
              <w:bottom w:w="0" w:type="dxa"/>
              <w:right w:w="0" w:type="dxa"/>
            </w:tcMar>
            <w:vAlign w:val="bottom"/>
            <w:hideMark/>
          </w:tcPr>
          <w:p w:rsidR="00000000" w:rsidRDefault="00C96329">
            <w:pPr>
              <w:pStyle w:val="a3"/>
              <w:spacing w:before="0" w:beforeAutospacing="0" w:after="0" w:afterAutospacing="0"/>
              <w:divId w:val="1499689833"/>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56311416"/>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329552072"/>
              <w:rPr>
                <w:sz w:val="20"/>
                <w:szCs w:val="20"/>
              </w:rPr>
            </w:pPr>
            <w:r>
              <w:rPr>
                <w:sz w:val="2"/>
                <w:szCs w:val="2"/>
              </w:rPr>
              <w:t>​</w:t>
            </w:r>
          </w:p>
        </w:tc>
        <w:tc>
          <w:tcPr>
            <w:tcW w:w="260"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96001773"/>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792672426"/>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942640090"/>
              <w:rPr>
                <w:sz w:val="20"/>
                <w:szCs w:val="20"/>
              </w:rPr>
            </w:pPr>
            <w:r>
              <w:rPr>
                <w:sz w:val="2"/>
                <w:szCs w:val="2"/>
              </w:rPr>
              <w:t>​</w:t>
            </w:r>
          </w:p>
        </w:tc>
        <w:tc>
          <w:tcPr>
            <w:tcW w:w="26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037077436"/>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846600843"/>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801848817"/>
              <w:rPr>
                <w:sz w:val="20"/>
                <w:szCs w:val="20"/>
              </w:rPr>
            </w:pPr>
            <w:r>
              <w:rPr>
                <w:sz w:val="2"/>
                <w:szCs w:val="2"/>
              </w:rPr>
              <w:t>​</w:t>
            </w:r>
          </w:p>
        </w:tc>
        <w:tc>
          <w:tcPr>
            <w:tcW w:w="20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14252907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492409707"/>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6034055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84565483"/>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125807495"/>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20601831"/>
              <w:rPr>
                <w:sz w:val="20"/>
                <w:szCs w:val="20"/>
              </w:rPr>
            </w:pPr>
            <w:r>
              <w:rPr>
                <w:sz w:val="2"/>
                <w:szCs w:val="2"/>
              </w:rPr>
              <w:t>​</w:t>
            </w:r>
          </w:p>
        </w:tc>
        <w:tc>
          <w:tcPr>
            <w:tcW w:w="240"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800802412"/>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522670487"/>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3286439"/>
              <w:rPr>
                <w:sz w:val="20"/>
                <w:szCs w:val="20"/>
              </w:rPr>
            </w:pPr>
            <w:r>
              <w:rPr>
                <w:sz w:val="2"/>
                <w:szCs w:val="2"/>
              </w:rPr>
              <w:t>​</w:t>
            </w:r>
          </w:p>
        </w:tc>
        <w:tc>
          <w:tcPr>
            <w:tcW w:w="240"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85441728"/>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050835232"/>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015810714"/>
              <w:rPr>
                <w:sz w:val="20"/>
                <w:szCs w:val="20"/>
              </w:rPr>
            </w:pPr>
            <w:r>
              <w:rPr>
                <w:sz w:val="2"/>
                <w:szCs w:val="2"/>
              </w:rPr>
              <w:t>​</w:t>
            </w:r>
          </w:p>
        </w:tc>
        <w:tc>
          <w:tcPr>
            <w:tcW w:w="15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41064406"/>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756782792"/>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13718522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580677993"/>
              <w:rPr>
                <w:sz w:val="20"/>
                <w:szCs w:val="20"/>
              </w:rPr>
            </w:pPr>
            <w:r>
              <w:rPr>
                <w:sz w:val="2"/>
                <w:szCs w:val="2"/>
              </w:rPr>
              <w:t>​</w:t>
            </w:r>
          </w:p>
        </w:tc>
      </w:tr>
      <w:tr w:rsidR="00000000">
        <w:trPr>
          <w:divId w:val="1047339641"/>
        </w:trPr>
        <w:tc>
          <w:tcPr>
            <w:tcW w:w="211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734" w:type="pct"/>
            <w:gridSpan w:val="5"/>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xml:space="preserve">Three Months Ended </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20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90"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659" w:type="pct"/>
            <w:gridSpan w:val="5"/>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xml:space="preserve">Six Months Ended </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50"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5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190"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r>
      <w:tr w:rsidR="00000000">
        <w:trPr>
          <w:divId w:val="1047339641"/>
        </w:trPr>
        <w:tc>
          <w:tcPr>
            <w:tcW w:w="211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734"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June 30, </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527" w:type="pct"/>
            <w:gridSpan w:val="4"/>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Change</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659"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June 30, </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479" w:type="pct"/>
            <w:gridSpan w:val="4"/>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Change</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r>
      <w:tr w:rsidR="00000000">
        <w:trPr>
          <w:divId w:val="1047339641"/>
        </w:trPr>
        <w:tc>
          <w:tcPr>
            <w:tcW w:w="2115"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(In thousands)</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326"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327"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257"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290"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290"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209"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79"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w:t>
            </w:r>
          </w:p>
        </w:tc>
        <w:tc>
          <w:tcPr>
            <w:tcW w:w="82"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r>
      <w:tr w:rsidR="00000000">
        <w:trPr>
          <w:divId w:val="1047339641"/>
        </w:trPr>
        <w:tc>
          <w:tcPr>
            <w:tcW w:w="2115"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Provision for income tax expense</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26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(39</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26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(201</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20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16</w:t>
            </w:r>
            <w:r>
              <w:rPr>
                <w:sz w:val="20"/>
                <w:szCs w:val="20"/>
              </w:rPr>
              <w:t>2</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(81</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(186</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(281</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15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9</w:t>
            </w:r>
            <w:r>
              <w:rPr>
                <w:sz w:val="20"/>
                <w:szCs w:val="20"/>
              </w:rPr>
              <w:t>5</w:t>
            </w:r>
          </w:p>
        </w:tc>
        <w:tc>
          <w:tcPr>
            <w:tcW w:w="79"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(34</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r>
    </w:tbl>
    <w:p w:rsidR="00000000" w:rsidRDefault="00C96329">
      <w:pPr>
        <w:pStyle w:val="a3"/>
        <w:spacing w:before="0" w:beforeAutospacing="0" w:after="0" w:afterAutospacing="0"/>
        <w:divId w:val="1047339641"/>
        <w:rPr>
          <w:sz w:val="20"/>
          <w:szCs w:val="20"/>
        </w:rPr>
      </w:pPr>
      <w:r>
        <w:rPr>
          <w:sz w:val="20"/>
          <w:szCs w:val="20"/>
        </w:rPr>
        <w:t>​</w:t>
      </w:r>
    </w:p>
    <w:p w:rsidR="00000000" w:rsidRDefault="00C96329">
      <w:pPr>
        <w:pStyle w:val="a3"/>
        <w:spacing w:before="0" w:beforeAutospacing="0" w:after="0" w:afterAutospacing="0"/>
        <w:ind w:firstLine="720"/>
        <w:divId w:val="1047339641"/>
        <w:rPr>
          <w:sz w:val="20"/>
          <w:szCs w:val="20"/>
        </w:rPr>
      </w:pPr>
      <w:r>
        <w:rPr>
          <w:sz w:val="20"/>
          <w:szCs w:val="20"/>
        </w:rPr>
        <w:t>For the three and six months ended June 30, 2020, the provision for income tax expense decreased by $162,000 and $95,000, respectively, compared to the same periods in 2019. Although we incurred operating losses on a consolidated basis, the provision for i</w:t>
      </w:r>
      <w:r>
        <w:rPr>
          <w:sz w:val="20"/>
          <w:szCs w:val="20"/>
        </w:rPr>
        <w:t xml:space="preserve">ncome taxes was due to the uncertain tax positions taken with respect to transfer pricing and tax credits. </w:t>
      </w:r>
    </w:p>
    <w:p w:rsidR="00000000" w:rsidRDefault="00C96329">
      <w:pPr>
        <w:pStyle w:val="a3"/>
        <w:spacing w:before="0" w:beforeAutospacing="0" w:after="0" w:afterAutospacing="0"/>
        <w:ind w:firstLine="720"/>
        <w:divId w:val="1047339641"/>
        <w:rPr>
          <w:sz w:val="20"/>
          <w:szCs w:val="20"/>
        </w:rPr>
      </w:pPr>
      <w:r>
        <w:rPr>
          <w:sz w:val="20"/>
          <w:szCs w:val="20"/>
        </w:rPr>
        <w:t>​</w:t>
      </w:r>
    </w:p>
    <w:p w:rsidR="00000000" w:rsidRDefault="00C96329">
      <w:pPr>
        <w:pStyle w:val="a3"/>
        <w:spacing w:before="0" w:beforeAutospacing="0" w:after="0" w:afterAutospacing="0"/>
        <w:ind w:firstLine="720"/>
        <w:divId w:val="1047339641"/>
        <w:rPr>
          <w:sz w:val="20"/>
          <w:szCs w:val="20"/>
        </w:rPr>
      </w:pPr>
      <w:r>
        <w:rPr>
          <w:sz w:val="20"/>
          <w:szCs w:val="20"/>
        </w:rPr>
        <w:t>We are currently under Internal Revenue Service (“IRS”) examination for the tax year ended December 31, 2017. We believe that an adequate provisio</w:t>
      </w:r>
      <w:r>
        <w:rPr>
          <w:sz w:val="20"/>
          <w:szCs w:val="20"/>
        </w:rPr>
        <w:t>n has been made for any adjustments that may result from the tax examination.</w:t>
      </w:r>
    </w:p>
    <w:p w:rsidR="00000000" w:rsidRDefault="00C96329">
      <w:pPr>
        <w:pStyle w:val="a3"/>
        <w:spacing w:before="0" w:beforeAutospacing="0" w:after="0" w:afterAutospacing="0"/>
        <w:divId w:val="1047339641"/>
        <w:rPr>
          <w:sz w:val="20"/>
          <w:szCs w:val="20"/>
        </w:rPr>
      </w:pPr>
      <w:r>
        <w:rPr>
          <w:color w:val="FF0000"/>
          <w:sz w:val="20"/>
          <w:szCs w:val="20"/>
        </w:rPr>
        <w:t>​</w:t>
      </w:r>
    </w:p>
    <w:p w:rsidR="00000000" w:rsidRDefault="00C96329">
      <w:pPr>
        <w:pStyle w:val="a3"/>
        <w:spacing w:before="0" w:beforeAutospacing="0" w:after="120" w:afterAutospacing="0"/>
        <w:divId w:val="1047339641"/>
        <w:rPr>
          <w:sz w:val="20"/>
          <w:szCs w:val="20"/>
        </w:rPr>
      </w:pPr>
      <w:r>
        <w:rPr>
          <w:b/>
          <w:bCs/>
          <w:sz w:val="20"/>
          <w:szCs w:val="20"/>
        </w:rPr>
        <w:t>Liquidity and Capital Resources</w:t>
      </w:r>
    </w:p>
    <w:p w:rsidR="00000000" w:rsidRDefault="00C96329">
      <w:pPr>
        <w:pStyle w:val="a3"/>
        <w:spacing w:before="0" w:beforeAutospacing="0" w:after="0" w:afterAutospacing="0"/>
        <w:ind w:firstLine="720"/>
        <w:divId w:val="1047339641"/>
        <w:rPr>
          <w:sz w:val="20"/>
          <w:szCs w:val="20"/>
        </w:rPr>
      </w:pPr>
      <w:r>
        <w:rPr>
          <w:sz w:val="20"/>
          <w:szCs w:val="20"/>
        </w:rPr>
        <w:t>To date, we have financed our operations primarily through public offering of equity and debt securities, private placements of equity and debt,</w:t>
      </w:r>
      <w:r>
        <w:rPr>
          <w:sz w:val="20"/>
          <w:szCs w:val="20"/>
        </w:rPr>
        <w:t xml:space="preserve"> revenue from collaboration and licensing arrangements and, to a lesser extent, revenue from product sales. As of June 30, 2020, we had approximately $438.3 million in cash, cash equivalents, and investments in marketable securities (excluding restricted c</w:t>
      </w:r>
      <w:r>
        <w:rPr>
          <w:sz w:val="20"/>
          <w:szCs w:val="20"/>
        </w:rPr>
        <w:t>ash). Also, as of June 30, 2020, we had outstanding (i) $230.0 million in principal Convertible Senior 2023 Notes and (ii) $381.1 million in principal Non-Recourse 2035 Notes which are stated net of a 5.0% retention by us in compliance with Regulation RR —</w:t>
      </w:r>
      <w:r>
        <w:rPr>
          <w:sz w:val="20"/>
          <w:szCs w:val="20"/>
        </w:rPr>
        <w:t xml:space="preserve"> Credit Risk Retention (17 C.F.R. Part 246). </w:t>
      </w:r>
    </w:p>
    <w:p w:rsidR="00000000" w:rsidRDefault="00C96329">
      <w:pPr>
        <w:pStyle w:val="a3"/>
        <w:spacing w:before="0" w:beforeAutospacing="0" w:after="0" w:afterAutospacing="0"/>
        <w:divId w:val="1047339641"/>
        <w:rPr>
          <w:sz w:val="20"/>
          <w:szCs w:val="20"/>
        </w:rPr>
      </w:pPr>
      <w:r>
        <w:rPr>
          <w:sz w:val="20"/>
          <w:szCs w:val="20"/>
        </w:rPr>
        <w:t>​</w:t>
      </w:r>
    </w:p>
    <w:p w:rsidR="00000000" w:rsidRDefault="00C96329">
      <w:pPr>
        <w:pStyle w:val="a3"/>
        <w:spacing w:before="0" w:beforeAutospacing="0" w:after="0" w:afterAutospacing="0"/>
        <w:ind w:firstLine="720"/>
        <w:divId w:val="1047339641"/>
        <w:rPr>
          <w:sz w:val="20"/>
          <w:szCs w:val="20"/>
        </w:rPr>
      </w:pPr>
      <w:r>
        <w:rPr>
          <w:sz w:val="20"/>
          <w:szCs w:val="20"/>
        </w:rPr>
        <w:t>The Non-Recourse 2035 Notes were issued on February 28, 2020 and are secured by all of the Triple Royalty Sub II LLC’s (the “Issuer II”) rights, title and interest as a holder of the Issuer II Class C Units i</w:t>
      </w:r>
      <w:r>
        <w:rPr>
          <w:sz w:val="20"/>
          <w:szCs w:val="20"/>
        </w:rPr>
        <w:t>n TRC. The primary source of funds to make payments on the Non-Recourse 2035 Notes is the 63.75% economic interest of the Issuer (evidenced by the Issuer II Class C Units) in any future payments that may be made by GSK to TRC under the strategic alliance a</w:t>
      </w:r>
      <w:r>
        <w:rPr>
          <w:sz w:val="20"/>
          <w:szCs w:val="20"/>
        </w:rPr>
        <w:t>greement and under the portion of the collaboration agreement assigned to TRC by Innoviva (net of TRC expenses paid and the amount of cash, if any, expected to be used by TRC pursuant to the TRC LLC Agreement over the next four fiscal quarters) relating to</w:t>
      </w:r>
      <w:r>
        <w:rPr>
          <w:sz w:val="20"/>
          <w:szCs w:val="20"/>
        </w:rPr>
        <w:t xml:space="preserve"> the GSK-Partnered Respiratory Programs, including the </w:t>
      </w:r>
      <w:r>
        <w:rPr>
          <w:caps/>
          <w:sz w:val="20"/>
          <w:szCs w:val="20"/>
        </w:rPr>
        <w:t xml:space="preserve">Trelegy </w:t>
      </w:r>
      <w:r>
        <w:rPr>
          <w:sz w:val="20"/>
          <w:szCs w:val="20"/>
        </w:rPr>
        <w:t xml:space="preserve">program. As a result, the holders of the Non-Recourse 2035 Notes have no recourse against Theravance Biopharma even if the TRELEGY payments are insufficient to cover the principal and interest </w:t>
      </w:r>
      <w:r>
        <w:rPr>
          <w:sz w:val="20"/>
          <w:szCs w:val="20"/>
        </w:rPr>
        <w:t>payments for the Non-Recourse 2035 Notes. Prior to and including the December 5, 2024 payment date, in the event that the distributions received by the Issuer II from TRC in a quarter is less than the interest accrued for that quarter, the principal amount</w:t>
      </w:r>
      <w:r>
        <w:rPr>
          <w:sz w:val="20"/>
          <w:szCs w:val="20"/>
        </w:rPr>
        <w:t xml:space="preserve"> of the Non-Recourse 2035 Notes will increase by the interest shortfall amount for that quarter. While the holders of the Non-Recourse 2035 Notes have no recourse against Theravance Biopharma, the terms of the Non-Recourse 2035 Notes also provide that Ther</w:t>
      </w:r>
      <w:r>
        <w:rPr>
          <w:sz w:val="20"/>
          <w:szCs w:val="20"/>
        </w:rPr>
        <w:t>avance Biopharma, at its option, may satisfy the quarterly interest payment obligations by making a capital contribution to the Issuer II.</w:t>
      </w:r>
    </w:p>
    <w:p w:rsidR="00000000" w:rsidRDefault="00C96329">
      <w:pPr>
        <w:pStyle w:val="a3"/>
        <w:spacing w:before="0" w:beforeAutospacing="0" w:after="0" w:afterAutospacing="0"/>
        <w:ind w:firstLine="720"/>
        <w:divId w:val="1047339641"/>
        <w:rPr>
          <w:sz w:val="20"/>
          <w:szCs w:val="20"/>
        </w:rPr>
      </w:pPr>
      <w:r>
        <w:rPr>
          <w:sz w:val="20"/>
          <w:szCs w:val="20"/>
        </w:rPr>
        <w:t>​</w:t>
      </w:r>
    </w:p>
    <w:p w:rsidR="00000000" w:rsidRDefault="00C96329">
      <w:pPr>
        <w:pStyle w:val="a3"/>
        <w:spacing w:before="0" w:beforeAutospacing="0" w:after="0" w:afterAutospacing="0"/>
        <w:ind w:firstLine="720"/>
        <w:divId w:val="1047339641"/>
        <w:rPr>
          <w:sz w:val="20"/>
          <w:szCs w:val="20"/>
        </w:rPr>
      </w:pPr>
      <w:r>
        <w:rPr>
          <w:sz w:val="20"/>
          <w:szCs w:val="20"/>
        </w:rPr>
        <w:t>A portion of the proceeds from the Non-Recourse 2035 Notes issuance were used to repay, in full, the remaining outs</w:t>
      </w:r>
      <w:r>
        <w:rPr>
          <w:sz w:val="20"/>
          <w:szCs w:val="20"/>
        </w:rPr>
        <w:t xml:space="preserve">tanding balance of the Non-Recourse 2033 Notes, as well as, a 5% premium on the early redemption of the Non-Recourse 2033 Notes. The Non-Recourse 2033 Notes were issued in November 2018 and were structured similarly to the Non-Recourse 2035 Notes. </w:t>
      </w:r>
    </w:p>
    <w:p w:rsidR="00000000" w:rsidRDefault="00C96329">
      <w:pPr>
        <w:pStyle w:val="a3"/>
        <w:spacing w:before="0" w:beforeAutospacing="0" w:after="0" w:afterAutospacing="0"/>
        <w:divId w:val="1047339641"/>
        <w:rPr>
          <w:sz w:val="20"/>
          <w:szCs w:val="20"/>
        </w:rPr>
      </w:pPr>
      <w:r>
        <w:rPr>
          <w:sz w:val="20"/>
          <w:szCs w:val="20"/>
        </w:rPr>
        <w:t>​</w:t>
      </w:r>
    </w:p>
    <w:p w:rsidR="00000000" w:rsidRDefault="00C96329">
      <w:pPr>
        <w:pStyle w:val="a3"/>
        <w:spacing w:before="360" w:beforeAutospacing="0" w:after="0" w:afterAutospacing="0"/>
        <w:jc w:val="center"/>
        <w:divId w:val="387922346"/>
        <w:rPr>
          <w:sz w:val="20"/>
          <w:szCs w:val="20"/>
        </w:rPr>
      </w:pPr>
      <w:r>
        <w:rPr>
          <w:sz w:val="20"/>
          <w:szCs w:val="20"/>
        </w:rPr>
        <w:t>33</w:t>
      </w:r>
    </w:p>
    <w:p w:rsidR="00000000" w:rsidRDefault="00C96329">
      <w:pPr>
        <w:pStyle w:val="a3"/>
        <w:spacing w:before="0" w:beforeAutospacing="0" w:after="600" w:afterAutospacing="0"/>
        <w:divId w:val="130513761"/>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ind w:firstLine="720"/>
        <w:divId w:val="2049840643"/>
        <w:rPr>
          <w:sz w:val="20"/>
          <w:szCs w:val="20"/>
        </w:rPr>
      </w:pPr>
      <w:r>
        <w:rPr>
          <w:sz w:val="20"/>
          <w:szCs w:val="20"/>
        </w:rPr>
        <w:t xml:space="preserve">We expect to continue to incur net losses over at least the next several years due to significant expenditures relating to our continuing drug discovery efforts, preclinical and clinical development of our current </w:t>
      </w:r>
      <w:r>
        <w:rPr>
          <w:sz w:val="20"/>
          <w:szCs w:val="20"/>
        </w:rPr>
        <w:t>product candidates and commercialization costs relating to YUPELRI. In particular, to the extent we advance our product candidates into and through later-stage clinical studies without a partner, we will incur substantial expenses. We expect the clinical d</w:t>
      </w:r>
      <w:r>
        <w:rPr>
          <w:sz w:val="20"/>
          <w:szCs w:val="20"/>
        </w:rPr>
        <w:t xml:space="preserve">evelopment of our key development programs will require significant investment in order to continue to advance in clinical development. In addition, we expect to invest strategically in our research efforts to continue to grow our development pipeline. In </w:t>
      </w:r>
      <w:r>
        <w:rPr>
          <w:sz w:val="20"/>
          <w:szCs w:val="20"/>
        </w:rPr>
        <w:t>the past, we have received a number of significant payments from collaboration agreements and other significant transactions. In the future, we may continue to receive potential substantial payments from future collaboration transactions if the drug candid</w:t>
      </w:r>
      <w:r>
        <w:rPr>
          <w:sz w:val="20"/>
          <w:szCs w:val="20"/>
        </w:rPr>
        <w:t>ates in our pipeline achieve positive clinical or regulatory outcomes or if our product candidates are approved and meet certain milestones. Our current business plan is subject to significant uncertainties and risks as a result of, among other factors, th</w:t>
      </w:r>
      <w:r>
        <w:rPr>
          <w:sz w:val="20"/>
          <w:szCs w:val="20"/>
        </w:rPr>
        <w:t>e COVID-19 pandemic, clinical program outcomes, whether, when and on what terms we are able to enter into new collaboration arrangements, expenses being higher than anticipated, the sales levels of any approved products, unplanned expenses, cash receipts b</w:t>
      </w:r>
      <w:r>
        <w:rPr>
          <w:sz w:val="20"/>
          <w:szCs w:val="20"/>
        </w:rPr>
        <w:t>eing lower than anticipated, and the need to satisfy contingent liabilities, including litigation matters and indemnification obligations.</w:t>
      </w:r>
    </w:p>
    <w:p w:rsidR="00000000" w:rsidRDefault="00C96329">
      <w:pPr>
        <w:pStyle w:val="a3"/>
        <w:spacing w:before="0" w:beforeAutospacing="0" w:after="0" w:afterAutospacing="0"/>
        <w:divId w:val="2049840643"/>
        <w:rPr>
          <w:sz w:val="20"/>
          <w:szCs w:val="20"/>
        </w:rPr>
      </w:pPr>
      <w:r>
        <w:rPr>
          <w:sz w:val="20"/>
          <w:szCs w:val="20"/>
        </w:rPr>
        <w:t>​</w:t>
      </w:r>
    </w:p>
    <w:p w:rsidR="00000000" w:rsidRDefault="00C96329">
      <w:pPr>
        <w:pStyle w:val="a3"/>
        <w:spacing w:before="0" w:beforeAutospacing="0" w:after="0" w:afterAutospacing="0"/>
        <w:divId w:val="2049840643"/>
        <w:rPr>
          <w:sz w:val="20"/>
          <w:szCs w:val="20"/>
        </w:rPr>
      </w:pPr>
      <w:r>
        <w:rPr>
          <w:i/>
          <w:iCs/>
          <w:sz w:val="20"/>
          <w:szCs w:val="20"/>
        </w:rPr>
        <w:t>Adequacy of cash resources to meet future needs</w:t>
      </w:r>
    </w:p>
    <w:p w:rsidR="00000000" w:rsidRDefault="00C96329">
      <w:pPr>
        <w:pStyle w:val="a3"/>
        <w:spacing w:before="0" w:beforeAutospacing="0" w:after="0" w:afterAutospacing="0"/>
        <w:divId w:val="2049840643"/>
        <w:rPr>
          <w:sz w:val="20"/>
          <w:szCs w:val="20"/>
        </w:rPr>
      </w:pPr>
      <w:r>
        <w:rPr>
          <w:sz w:val="10"/>
          <w:szCs w:val="10"/>
        </w:rPr>
        <w:t>​</w:t>
      </w:r>
    </w:p>
    <w:p w:rsidR="00000000" w:rsidRDefault="00C96329">
      <w:pPr>
        <w:pStyle w:val="a3"/>
        <w:spacing w:before="0" w:beforeAutospacing="0" w:after="0" w:afterAutospacing="0"/>
        <w:ind w:firstLine="720"/>
        <w:divId w:val="2049840643"/>
        <w:rPr>
          <w:sz w:val="20"/>
          <w:szCs w:val="20"/>
        </w:rPr>
      </w:pPr>
      <w:r>
        <w:rPr>
          <w:sz w:val="20"/>
          <w:szCs w:val="20"/>
        </w:rPr>
        <w:t>We expect our cash and cash equivalents and marketable securities will be sufficient to fund our operations for at least the next 12 months from the issuance date of these condensed consolidated financial statements based on current operating plans and fin</w:t>
      </w:r>
      <w:r>
        <w:rPr>
          <w:sz w:val="20"/>
          <w:szCs w:val="20"/>
        </w:rPr>
        <w:t>ancial forecasts.</w:t>
      </w:r>
    </w:p>
    <w:p w:rsidR="00000000" w:rsidRDefault="00C96329">
      <w:pPr>
        <w:pStyle w:val="a3"/>
        <w:spacing w:before="0" w:beforeAutospacing="0" w:after="0" w:afterAutospacing="0"/>
        <w:divId w:val="2049840643"/>
        <w:rPr>
          <w:sz w:val="20"/>
          <w:szCs w:val="20"/>
        </w:rPr>
      </w:pPr>
      <w:r>
        <w:rPr>
          <w:color w:val="FF0000"/>
          <w:sz w:val="20"/>
          <w:szCs w:val="20"/>
        </w:rPr>
        <w:t>​</w:t>
      </w:r>
    </w:p>
    <w:p w:rsidR="00000000" w:rsidRDefault="00C96329">
      <w:pPr>
        <w:pStyle w:val="a3"/>
        <w:spacing w:before="0" w:beforeAutospacing="0" w:after="0" w:afterAutospacing="0"/>
        <w:ind w:firstLine="720"/>
        <w:divId w:val="2049840643"/>
        <w:rPr>
          <w:sz w:val="20"/>
          <w:szCs w:val="20"/>
        </w:rPr>
      </w:pPr>
      <w:r>
        <w:rPr>
          <w:sz w:val="20"/>
          <w:szCs w:val="20"/>
        </w:rPr>
        <w:t>On February 14, 2020, we sold 5,500,000 ordinary shares at a price to the public of $27.00 per share (the “Shares”). The gross proceeds from the offering were approximately $148.5 million, before deducting underwriting discounts and com</w:t>
      </w:r>
      <w:r>
        <w:rPr>
          <w:sz w:val="20"/>
          <w:szCs w:val="20"/>
        </w:rPr>
        <w:t>missions and estimated offering expenses. The Shares were issued pursuant to our currently effective shelf registration statement on Form S-3, which became effective automatically on December 3, 2019, and a prospectus supplement filed with the SEC in conne</w:t>
      </w:r>
      <w:r>
        <w:rPr>
          <w:sz w:val="20"/>
          <w:szCs w:val="20"/>
        </w:rPr>
        <w:t>ction with the offering.</w:t>
      </w:r>
    </w:p>
    <w:p w:rsidR="00000000" w:rsidRDefault="00C96329">
      <w:pPr>
        <w:pStyle w:val="a3"/>
        <w:spacing w:before="0" w:beforeAutospacing="0" w:after="0" w:afterAutospacing="0"/>
        <w:ind w:firstLine="720"/>
        <w:divId w:val="2049840643"/>
        <w:rPr>
          <w:sz w:val="20"/>
          <w:szCs w:val="20"/>
        </w:rPr>
      </w:pPr>
      <w:r>
        <w:rPr>
          <w:sz w:val="20"/>
          <w:szCs w:val="20"/>
        </w:rPr>
        <w:t>​</w:t>
      </w:r>
    </w:p>
    <w:p w:rsidR="00000000" w:rsidRDefault="00C96329">
      <w:pPr>
        <w:pStyle w:val="a3"/>
        <w:spacing w:before="0" w:beforeAutospacing="0" w:after="0" w:afterAutospacing="0"/>
        <w:ind w:firstLine="720"/>
        <w:divId w:val="2049840643"/>
        <w:rPr>
          <w:sz w:val="20"/>
          <w:szCs w:val="20"/>
        </w:rPr>
      </w:pPr>
      <w:r>
        <w:rPr>
          <w:sz w:val="20"/>
          <w:szCs w:val="20"/>
        </w:rPr>
        <w:t>We may seek to obtain additional financing in the form of public or private equity offerings, debt financing or additional collaborations and licensing arrangements. However, future financing may not be available in amounts or on</w:t>
      </w:r>
      <w:r>
        <w:rPr>
          <w:sz w:val="20"/>
          <w:szCs w:val="20"/>
        </w:rPr>
        <w:t xml:space="preserve"> terms acceptable to us.</w:t>
      </w:r>
    </w:p>
    <w:p w:rsidR="00000000" w:rsidRDefault="00C96329">
      <w:pPr>
        <w:pStyle w:val="a3"/>
        <w:spacing w:before="0" w:beforeAutospacing="0" w:after="0" w:afterAutospacing="0"/>
        <w:divId w:val="2049840643"/>
        <w:rPr>
          <w:sz w:val="20"/>
          <w:szCs w:val="20"/>
        </w:rPr>
      </w:pPr>
      <w:r>
        <w:rPr>
          <w:sz w:val="20"/>
          <w:szCs w:val="20"/>
        </w:rPr>
        <w:t>​</w:t>
      </w:r>
    </w:p>
    <w:p w:rsidR="00000000" w:rsidRDefault="00C96329">
      <w:pPr>
        <w:pStyle w:val="a3"/>
        <w:spacing w:before="0" w:beforeAutospacing="0" w:after="0" w:afterAutospacing="0"/>
        <w:ind w:firstLine="720"/>
        <w:divId w:val="2049840643"/>
        <w:rPr>
          <w:sz w:val="20"/>
          <w:szCs w:val="20"/>
        </w:rPr>
      </w:pPr>
      <w:r>
        <w:rPr>
          <w:sz w:val="20"/>
          <w:szCs w:val="20"/>
        </w:rPr>
        <w:t>Without adequate financial resources to fund our operations as presently conducted, we may be required to relinquish rights to our technologies, product candidates or territories, or grant licenses on terms that are not favorable to us, in order to raise a</w:t>
      </w:r>
      <w:r>
        <w:rPr>
          <w:sz w:val="20"/>
          <w:szCs w:val="20"/>
        </w:rPr>
        <w:t>dditional funds through collaborations or licensing arrangements. We may also have to sequence preclinical and clinical studies as opposed to conducting them concomitantly in order to conserve resources, or delay, reduce or eliminate one or more of our res</w:t>
      </w:r>
      <w:r>
        <w:rPr>
          <w:sz w:val="20"/>
          <w:szCs w:val="20"/>
        </w:rPr>
        <w:t>earch or development programs and reduce overall overhead expenses. In addition, we may have to make reductions in our workforce and may be prevented from continuing our discovery, development and commercialization efforts and exploiting other corporate op</w:t>
      </w:r>
      <w:r>
        <w:rPr>
          <w:sz w:val="20"/>
          <w:szCs w:val="20"/>
        </w:rPr>
        <w:t>portunities.</w:t>
      </w:r>
    </w:p>
    <w:p w:rsidR="00000000" w:rsidRDefault="00C96329">
      <w:pPr>
        <w:pStyle w:val="a3"/>
        <w:spacing w:before="0" w:beforeAutospacing="0" w:after="0" w:afterAutospacing="0"/>
        <w:divId w:val="2049840643"/>
        <w:rPr>
          <w:sz w:val="20"/>
          <w:szCs w:val="20"/>
        </w:rPr>
      </w:pPr>
      <w:r>
        <w:rPr>
          <w:sz w:val="20"/>
          <w:szCs w:val="20"/>
        </w:rPr>
        <w:t>​</w:t>
      </w:r>
    </w:p>
    <w:p w:rsidR="00000000" w:rsidRDefault="00C96329">
      <w:pPr>
        <w:pStyle w:val="a3"/>
        <w:spacing w:before="0" w:beforeAutospacing="0" w:after="0" w:afterAutospacing="0"/>
        <w:divId w:val="2049840643"/>
        <w:rPr>
          <w:sz w:val="20"/>
          <w:szCs w:val="20"/>
        </w:rPr>
      </w:pPr>
      <w:r>
        <w:rPr>
          <w:b/>
          <w:bCs/>
          <w:i/>
          <w:iCs/>
          <w:sz w:val="20"/>
          <w:szCs w:val="20"/>
        </w:rPr>
        <w:t>Cash Flows</w:t>
      </w:r>
    </w:p>
    <w:p w:rsidR="00000000" w:rsidRDefault="00C96329">
      <w:pPr>
        <w:pStyle w:val="a3"/>
        <w:spacing w:before="0" w:beforeAutospacing="0" w:after="0" w:afterAutospacing="0"/>
        <w:divId w:val="2049840643"/>
        <w:rPr>
          <w:sz w:val="20"/>
          <w:szCs w:val="20"/>
        </w:rPr>
      </w:pPr>
      <w:r>
        <w:rPr>
          <w:sz w:val="10"/>
          <w:szCs w:val="10"/>
        </w:rPr>
        <w:t>​</w:t>
      </w:r>
    </w:p>
    <w:p w:rsidR="00000000" w:rsidRDefault="00C96329">
      <w:pPr>
        <w:pStyle w:val="a3"/>
        <w:spacing w:before="0" w:beforeAutospacing="0" w:after="0" w:afterAutospacing="0"/>
        <w:ind w:firstLine="720"/>
        <w:divId w:val="2049840643"/>
        <w:rPr>
          <w:sz w:val="20"/>
          <w:szCs w:val="20"/>
        </w:rPr>
      </w:pPr>
      <w:r>
        <w:rPr>
          <w:sz w:val="20"/>
          <w:szCs w:val="20"/>
        </w:rPr>
        <w:t>Cash flows, as compared to the comparable periods in the prior year, were as follows:</w:t>
      </w:r>
    </w:p>
    <w:p w:rsidR="00000000" w:rsidRDefault="00C96329">
      <w:pPr>
        <w:pStyle w:val="a3"/>
        <w:spacing w:before="0" w:beforeAutospacing="0" w:after="0" w:afterAutospacing="0"/>
        <w:ind w:firstLine="720"/>
        <w:divId w:val="204984064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238"/>
        <w:gridCol w:w="160"/>
        <w:gridCol w:w="100"/>
        <w:gridCol w:w="784"/>
        <w:gridCol w:w="160"/>
        <w:gridCol w:w="100"/>
        <w:gridCol w:w="784"/>
        <w:gridCol w:w="160"/>
        <w:gridCol w:w="100"/>
        <w:gridCol w:w="720"/>
      </w:tblGrid>
      <w:tr w:rsidR="00000000">
        <w:trPr>
          <w:divId w:val="2049840643"/>
          <w:trHeight w:val="20"/>
        </w:trPr>
        <w:tc>
          <w:tcPr>
            <w:tcW w:w="3187" w:type="pct"/>
            <w:tcMar>
              <w:top w:w="0" w:type="dxa"/>
              <w:left w:w="0" w:type="dxa"/>
              <w:bottom w:w="0" w:type="dxa"/>
              <w:right w:w="0" w:type="dxa"/>
            </w:tcMar>
            <w:vAlign w:val="bottom"/>
            <w:hideMark/>
          </w:tcPr>
          <w:p w:rsidR="00000000" w:rsidRDefault="00C96329">
            <w:pPr>
              <w:pStyle w:val="a3"/>
              <w:spacing w:before="0" w:beforeAutospacing="0" w:after="0" w:afterAutospacing="0"/>
              <w:divId w:val="1649939332"/>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435175356"/>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142770372"/>
              <w:rPr>
                <w:sz w:val="20"/>
                <w:szCs w:val="20"/>
              </w:rPr>
            </w:pPr>
            <w:r>
              <w:rPr>
                <w:sz w:val="2"/>
                <w:szCs w:val="2"/>
              </w:rPr>
              <w:t>​</w:t>
            </w:r>
          </w:p>
        </w:tc>
        <w:tc>
          <w:tcPr>
            <w:tcW w:w="413"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70282828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594315468"/>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231042015"/>
              <w:rPr>
                <w:sz w:val="20"/>
                <w:szCs w:val="20"/>
              </w:rPr>
            </w:pPr>
            <w:r>
              <w:rPr>
                <w:sz w:val="2"/>
                <w:szCs w:val="2"/>
              </w:rPr>
              <w:t>​</w:t>
            </w:r>
          </w:p>
        </w:tc>
        <w:tc>
          <w:tcPr>
            <w:tcW w:w="413"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1534340364"/>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94399024"/>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2102021278"/>
              <w:rPr>
                <w:sz w:val="20"/>
                <w:szCs w:val="20"/>
              </w:rPr>
            </w:pPr>
            <w:r>
              <w:rPr>
                <w:sz w:val="2"/>
                <w:szCs w:val="2"/>
              </w:rPr>
              <w:t>​</w:t>
            </w:r>
          </w:p>
        </w:tc>
        <w:tc>
          <w:tcPr>
            <w:tcW w:w="394" w:type="pct"/>
            <w:noWrap/>
            <w:tcMar>
              <w:top w:w="0" w:type="dxa"/>
              <w:left w:w="0" w:type="dxa"/>
              <w:bottom w:w="0" w:type="dxa"/>
              <w:right w:w="0" w:type="dxa"/>
            </w:tcMar>
            <w:vAlign w:val="bottom"/>
            <w:hideMark/>
          </w:tcPr>
          <w:p w:rsidR="00000000" w:rsidRDefault="00C96329">
            <w:pPr>
              <w:pStyle w:val="a3"/>
              <w:spacing w:before="0" w:beforeAutospacing="0" w:after="0" w:afterAutospacing="0"/>
              <w:divId w:val="60375610"/>
              <w:rPr>
                <w:sz w:val="20"/>
                <w:szCs w:val="20"/>
              </w:rPr>
            </w:pPr>
            <w:r>
              <w:rPr>
                <w:sz w:val="2"/>
                <w:szCs w:val="2"/>
              </w:rPr>
              <w:t>​</w:t>
            </w:r>
          </w:p>
        </w:tc>
      </w:tr>
      <w:tr w:rsidR="00000000">
        <w:trPr>
          <w:divId w:val="2049840643"/>
        </w:trPr>
        <w:tc>
          <w:tcPr>
            <w:tcW w:w="318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1122" w:type="pct"/>
            <w:gridSpan w:val="5"/>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Six Months Ended June 30, </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c>
          <w:tcPr>
            <w:tcW w:w="394"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16"/>
                <w:szCs w:val="16"/>
              </w:rPr>
              <w:t>​</w:t>
            </w:r>
          </w:p>
        </w:tc>
      </w:tr>
      <w:tr w:rsidR="00000000">
        <w:trPr>
          <w:divId w:val="2049840643"/>
        </w:trPr>
        <w:tc>
          <w:tcPr>
            <w:tcW w:w="3187"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(In thousands)</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2020</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2019</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Change</w:t>
            </w:r>
          </w:p>
        </w:tc>
      </w:tr>
      <w:tr w:rsidR="00000000">
        <w:trPr>
          <w:divId w:val="2049840643"/>
        </w:trPr>
        <w:tc>
          <w:tcPr>
            <w:tcW w:w="3187"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Net cash used in operating activities</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(108,447</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(129,223</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20,77</w:t>
            </w:r>
            <w:r>
              <w:rPr>
                <w:sz w:val="20"/>
                <w:szCs w:val="20"/>
              </w:rPr>
              <w:t>6</w:t>
            </w:r>
          </w:p>
        </w:tc>
      </w:tr>
      <w:tr w:rsidR="00000000">
        <w:trPr>
          <w:divId w:val="2049840643"/>
        </w:trPr>
        <w:tc>
          <w:tcPr>
            <w:tcW w:w="3187"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Net cash used in investing activities</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413"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(108,186</w:t>
            </w:r>
            <w:r>
              <w:rPr>
                <w:sz w:val="20"/>
                <w:szCs w:val="20"/>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413"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(73,456</w:t>
            </w:r>
            <w:r>
              <w:rPr>
                <w:sz w:val="20"/>
                <w:szCs w:val="20"/>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94" w:type="pct"/>
            <w:noWrap/>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(34,730</w:t>
            </w:r>
            <w:r>
              <w:rPr>
                <w:sz w:val="20"/>
                <w:szCs w:val="20"/>
              </w:rPr>
              <w:t>)</w:t>
            </w:r>
          </w:p>
        </w:tc>
      </w:tr>
      <w:tr w:rsidR="00000000">
        <w:trPr>
          <w:divId w:val="2049840643"/>
        </w:trPr>
        <w:tc>
          <w:tcPr>
            <w:tcW w:w="3187" w:type="pct"/>
            <w:shd w:val="clear" w:color="auto" w:fill="CCEEFF"/>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Net cash provided by financing activities</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263,30</w:t>
            </w:r>
            <w:r>
              <w:rPr>
                <w:sz w:val="20"/>
                <w:szCs w:val="20"/>
              </w:rPr>
              <w:t>5</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2,96</w:t>
            </w:r>
            <w:r>
              <w:rPr>
                <w:sz w:val="20"/>
                <w:szCs w:val="20"/>
              </w:rPr>
              <w:t>9</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 </w:t>
            </w:r>
          </w:p>
        </w:tc>
        <w:tc>
          <w:tcPr>
            <w:tcW w:w="394" w:type="pct"/>
            <w:shd w:val="clear" w:color="auto" w:fill="CCEEFF"/>
            <w:noWrap/>
            <w:tcMar>
              <w:top w:w="0" w:type="dxa"/>
              <w:left w:w="0" w:type="dxa"/>
              <w:bottom w:w="0" w:type="dxa"/>
              <w:right w:w="0" w:type="dxa"/>
            </w:tcMar>
            <w:vAlign w:val="bottom"/>
            <w:hideMark/>
          </w:tcPr>
          <w:p w:rsidR="00000000" w:rsidRDefault="00C96329">
            <w:pPr>
              <w:pStyle w:val="a3"/>
              <w:spacing w:before="0" w:beforeAutospacing="0" w:after="0" w:afterAutospacing="0"/>
              <w:ind w:right="70"/>
              <w:jc w:val="right"/>
              <w:rPr>
                <w:sz w:val="20"/>
                <w:szCs w:val="20"/>
              </w:rPr>
            </w:pPr>
            <w:r>
              <w:rPr>
                <w:sz w:val="20"/>
                <w:szCs w:val="20"/>
              </w:rPr>
              <w:t>260,33</w:t>
            </w:r>
            <w:r>
              <w:rPr>
                <w:sz w:val="20"/>
                <w:szCs w:val="20"/>
              </w:rPr>
              <w:t>6</w:t>
            </w:r>
          </w:p>
        </w:tc>
      </w:tr>
    </w:tbl>
    <w:p w:rsidR="00000000" w:rsidRDefault="00C96329">
      <w:pPr>
        <w:pStyle w:val="a3"/>
        <w:spacing w:before="0" w:beforeAutospacing="0" w:after="0" w:afterAutospacing="0"/>
        <w:divId w:val="2049840643"/>
        <w:rPr>
          <w:sz w:val="20"/>
          <w:szCs w:val="20"/>
        </w:rPr>
      </w:pPr>
      <w:r>
        <w:rPr>
          <w:sz w:val="20"/>
          <w:szCs w:val="20"/>
        </w:rPr>
        <w:t>​</w:t>
      </w:r>
    </w:p>
    <w:p w:rsidR="00000000" w:rsidRDefault="00C96329">
      <w:pPr>
        <w:pStyle w:val="a3"/>
        <w:spacing w:before="0" w:beforeAutospacing="0" w:after="0" w:afterAutospacing="0"/>
        <w:divId w:val="2049840643"/>
        <w:rPr>
          <w:sz w:val="20"/>
          <w:szCs w:val="20"/>
        </w:rPr>
      </w:pPr>
      <w:r>
        <w:rPr>
          <w:i/>
          <w:iCs/>
          <w:sz w:val="20"/>
          <w:szCs w:val="20"/>
        </w:rPr>
        <w:t>Cash flows used in operating activities</w:t>
      </w:r>
    </w:p>
    <w:p w:rsidR="00000000" w:rsidRDefault="00C96329">
      <w:pPr>
        <w:pStyle w:val="a3"/>
        <w:spacing w:before="0" w:beforeAutospacing="0" w:after="0" w:afterAutospacing="0"/>
        <w:divId w:val="2049840643"/>
        <w:rPr>
          <w:sz w:val="20"/>
          <w:szCs w:val="20"/>
        </w:rPr>
      </w:pPr>
      <w:r>
        <w:rPr>
          <w:sz w:val="10"/>
          <w:szCs w:val="10"/>
        </w:rPr>
        <w:t>​</w:t>
      </w:r>
    </w:p>
    <w:p w:rsidR="00000000" w:rsidRDefault="00C96329">
      <w:pPr>
        <w:pStyle w:val="a3"/>
        <w:spacing w:before="0" w:beforeAutospacing="0" w:after="0" w:afterAutospacing="0"/>
        <w:ind w:firstLine="720"/>
        <w:divId w:val="2049840643"/>
        <w:rPr>
          <w:sz w:val="20"/>
          <w:szCs w:val="20"/>
        </w:rPr>
      </w:pPr>
      <w:r>
        <w:rPr>
          <w:sz w:val="20"/>
          <w:szCs w:val="20"/>
        </w:rPr>
        <w:t xml:space="preserve">Net cash used in operating activities was $108.4 million for the six months ended June 30, 2020, consisting primarily of a net loss of $145.9 million, a net increase in cash resulting from adjustments for non-cash </w:t>
      </w:r>
      <w:r>
        <w:rPr>
          <w:sz w:val="20"/>
          <w:szCs w:val="20"/>
        </w:rPr>
        <w:t xml:space="preserve">and other reconciling items of $46.1 million and a net decrease in cash resulting from changes in operating assets and liabilities of $8.6 million. Overall, net cash used in operating activities decreased by $20.8 million compared to the comparable period </w:t>
      </w:r>
      <w:r>
        <w:rPr>
          <w:sz w:val="20"/>
          <w:szCs w:val="20"/>
        </w:rPr>
        <w:t xml:space="preserve">in 2019 and was primarily due to (i) the $15.5 million reconciling adjustment to net loss related to the loss on the extinguishment of debt; (ii) a </w:t>
      </w:r>
    </w:p>
    <w:p w:rsidR="00000000" w:rsidRDefault="00C96329">
      <w:pPr>
        <w:pStyle w:val="a3"/>
        <w:spacing w:before="360" w:beforeAutospacing="0" w:after="0" w:afterAutospacing="0"/>
        <w:jc w:val="center"/>
        <w:divId w:val="2127574957"/>
        <w:rPr>
          <w:sz w:val="20"/>
          <w:szCs w:val="20"/>
        </w:rPr>
      </w:pPr>
      <w:r>
        <w:rPr>
          <w:sz w:val="20"/>
          <w:szCs w:val="20"/>
        </w:rPr>
        <w:t>34</w:t>
      </w:r>
    </w:p>
    <w:p w:rsidR="00000000" w:rsidRDefault="00C96329">
      <w:pPr>
        <w:pStyle w:val="a3"/>
        <w:spacing w:before="0" w:beforeAutospacing="0" w:after="600" w:afterAutospacing="0"/>
        <w:divId w:val="686951696"/>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961419412"/>
        <w:rPr>
          <w:sz w:val="20"/>
          <w:szCs w:val="20"/>
        </w:rPr>
      </w:pPr>
      <w:r>
        <w:rPr>
          <w:sz w:val="20"/>
          <w:szCs w:val="20"/>
        </w:rPr>
        <w:t xml:space="preserve">$7.7 million increase in cash received related to amounts due from TRC, LLC; and (iii) a $20.4 million decrease in net cash used related to other operating assets and liabilities primarily due to an increase in accounts payable and accrued expenses. These </w:t>
      </w:r>
      <w:r>
        <w:rPr>
          <w:sz w:val="20"/>
          <w:szCs w:val="20"/>
        </w:rPr>
        <w:t xml:space="preserve">changes were partially offset by a $33.5 million increase in our net loss compared to the prior year period. </w:t>
      </w:r>
    </w:p>
    <w:p w:rsidR="00000000" w:rsidRDefault="00C96329">
      <w:pPr>
        <w:pStyle w:val="a3"/>
        <w:spacing w:before="0" w:beforeAutospacing="0" w:after="0" w:afterAutospacing="0"/>
        <w:divId w:val="961419412"/>
        <w:rPr>
          <w:sz w:val="20"/>
          <w:szCs w:val="20"/>
        </w:rPr>
      </w:pPr>
      <w:r>
        <w:rPr>
          <w:sz w:val="20"/>
          <w:szCs w:val="20"/>
        </w:rPr>
        <w:t>​</w:t>
      </w:r>
    </w:p>
    <w:p w:rsidR="00000000" w:rsidRDefault="00C96329">
      <w:pPr>
        <w:pStyle w:val="a3"/>
        <w:spacing w:before="0" w:beforeAutospacing="0" w:after="0" w:afterAutospacing="0"/>
        <w:ind w:firstLine="720"/>
        <w:divId w:val="961419412"/>
        <w:rPr>
          <w:sz w:val="20"/>
          <w:szCs w:val="20"/>
        </w:rPr>
      </w:pPr>
      <w:r>
        <w:rPr>
          <w:sz w:val="20"/>
          <w:szCs w:val="20"/>
        </w:rPr>
        <w:t>Net cash used in operating activities was $129.2 million for the six months ended June 30, 2019. The $129.2 million used in operating activities</w:t>
      </w:r>
      <w:r>
        <w:rPr>
          <w:sz w:val="20"/>
          <w:szCs w:val="20"/>
        </w:rPr>
        <w:t xml:space="preserve"> consisted primarily of net loss of $112.4 million, adjusted for non-cash items such as $23.5 million for share-based compensation expense, $14.6 million related to undistributed earnings from our investment in TRC, and $29.0 million of net cash outflow re</w:t>
      </w:r>
      <w:r>
        <w:rPr>
          <w:sz w:val="20"/>
          <w:szCs w:val="20"/>
        </w:rPr>
        <w:t xml:space="preserve">lated to changes in operating assets and liabilities. </w:t>
      </w:r>
    </w:p>
    <w:p w:rsidR="00000000" w:rsidRDefault="00C96329">
      <w:pPr>
        <w:pStyle w:val="a3"/>
        <w:spacing w:before="0" w:beforeAutospacing="0" w:after="0" w:afterAutospacing="0"/>
        <w:divId w:val="961419412"/>
        <w:rPr>
          <w:sz w:val="20"/>
          <w:szCs w:val="20"/>
        </w:rPr>
      </w:pPr>
      <w:r>
        <w:rPr>
          <w:sz w:val="20"/>
          <w:szCs w:val="20"/>
        </w:rPr>
        <w:t>​</w:t>
      </w:r>
    </w:p>
    <w:p w:rsidR="00000000" w:rsidRDefault="00C96329">
      <w:pPr>
        <w:pStyle w:val="a3"/>
        <w:spacing w:before="0" w:beforeAutospacing="0" w:after="0" w:afterAutospacing="0"/>
        <w:divId w:val="961419412"/>
        <w:rPr>
          <w:sz w:val="20"/>
          <w:szCs w:val="20"/>
        </w:rPr>
      </w:pPr>
      <w:r>
        <w:rPr>
          <w:i/>
          <w:iCs/>
          <w:sz w:val="20"/>
          <w:szCs w:val="20"/>
        </w:rPr>
        <w:t>Cash flows used in investing activities</w:t>
      </w:r>
    </w:p>
    <w:p w:rsidR="00000000" w:rsidRDefault="00C96329">
      <w:pPr>
        <w:pStyle w:val="a3"/>
        <w:spacing w:before="0" w:beforeAutospacing="0" w:after="0" w:afterAutospacing="0"/>
        <w:divId w:val="961419412"/>
        <w:rPr>
          <w:sz w:val="20"/>
          <w:szCs w:val="20"/>
        </w:rPr>
      </w:pPr>
      <w:r>
        <w:rPr>
          <w:sz w:val="10"/>
          <w:szCs w:val="10"/>
        </w:rPr>
        <w:t>​</w:t>
      </w:r>
    </w:p>
    <w:p w:rsidR="00000000" w:rsidRDefault="00C96329">
      <w:pPr>
        <w:pStyle w:val="a3"/>
        <w:spacing w:before="0" w:beforeAutospacing="0" w:after="0" w:afterAutospacing="0"/>
        <w:ind w:firstLine="720"/>
        <w:divId w:val="961419412"/>
        <w:rPr>
          <w:sz w:val="20"/>
          <w:szCs w:val="20"/>
        </w:rPr>
      </w:pPr>
      <w:r>
        <w:rPr>
          <w:sz w:val="20"/>
          <w:szCs w:val="20"/>
        </w:rPr>
        <w:t>Net cash used in investing activities was $108.2 million for the six months ended June 30, 2020, consisting primarily of cash outflows from the net purchase and maturities of marketable securities of $124.8 million and $19.9 million cash inflow from the sa</w:t>
      </w:r>
      <w:r>
        <w:rPr>
          <w:sz w:val="20"/>
          <w:szCs w:val="20"/>
        </w:rPr>
        <w:t xml:space="preserve">le of marketable securities. </w:t>
      </w:r>
    </w:p>
    <w:p w:rsidR="00000000" w:rsidRDefault="00C96329">
      <w:pPr>
        <w:pStyle w:val="a3"/>
        <w:spacing w:before="0" w:beforeAutospacing="0" w:after="0" w:afterAutospacing="0"/>
        <w:ind w:firstLine="720"/>
        <w:divId w:val="961419412"/>
        <w:rPr>
          <w:sz w:val="20"/>
          <w:szCs w:val="20"/>
        </w:rPr>
      </w:pPr>
      <w:r>
        <w:rPr>
          <w:color w:val="FF0000"/>
          <w:sz w:val="20"/>
          <w:szCs w:val="20"/>
        </w:rPr>
        <w:t>​</w:t>
      </w:r>
    </w:p>
    <w:p w:rsidR="00000000" w:rsidRDefault="00C96329">
      <w:pPr>
        <w:pStyle w:val="a3"/>
        <w:spacing w:before="0" w:beforeAutospacing="0" w:after="0" w:afterAutospacing="0"/>
        <w:ind w:firstLine="720"/>
        <w:divId w:val="961419412"/>
        <w:rPr>
          <w:sz w:val="20"/>
          <w:szCs w:val="20"/>
        </w:rPr>
      </w:pPr>
      <w:r>
        <w:rPr>
          <w:sz w:val="20"/>
          <w:szCs w:val="20"/>
        </w:rPr>
        <w:t xml:space="preserve">Net cash used in investing activities was $73.5 million for the six months ended June 30, 2019, consisting primarily of net cash outflows resulting from net purchases and maturities of marketable securities of $76.7 million </w:t>
      </w:r>
      <w:r>
        <w:rPr>
          <w:sz w:val="20"/>
          <w:szCs w:val="20"/>
        </w:rPr>
        <w:t>which was partially offset by $5.0 million in cash inflows related to final installment proceeds from the sale of the VIBATIV product to Cumberland in November 2018.</w:t>
      </w:r>
    </w:p>
    <w:p w:rsidR="00000000" w:rsidRDefault="00C96329">
      <w:pPr>
        <w:pStyle w:val="a3"/>
        <w:spacing w:before="0" w:beforeAutospacing="0" w:after="0" w:afterAutospacing="0"/>
        <w:divId w:val="961419412"/>
        <w:rPr>
          <w:sz w:val="20"/>
          <w:szCs w:val="20"/>
        </w:rPr>
      </w:pPr>
      <w:r>
        <w:rPr>
          <w:sz w:val="20"/>
          <w:szCs w:val="20"/>
        </w:rPr>
        <w:t>​</w:t>
      </w:r>
    </w:p>
    <w:p w:rsidR="00000000" w:rsidRDefault="00C96329">
      <w:pPr>
        <w:pStyle w:val="a3"/>
        <w:spacing w:before="0" w:beforeAutospacing="0" w:after="0" w:afterAutospacing="0"/>
        <w:divId w:val="961419412"/>
        <w:rPr>
          <w:sz w:val="20"/>
          <w:szCs w:val="20"/>
        </w:rPr>
      </w:pPr>
      <w:r>
        <w:rPr>
          <w:i/>
          <w:iCs/>
          <w:sz w:val="20"/>
          <w:szCs w:val="20"/>
        </w:rPr>
        <w:t>Cash flows provided by financing activities</w:t>
      </w:r>
    </w:p>
    <w:p w:rsidR="00000000" w:rsidRDefault="00C96329">
      <w:pPr>
        <w:pStyle w:val="a3"/>
        <w:spacing w:before="0" w:beforeAutospacing="0" w:after="0" w:afterAutospacing="0"/>
        <w:divId w:val="961419412"/>
        <w:rPr>
          <w:sz w:val="20"/>
          <w:szCs w:val="20"/>
        </w:rPr>
      </w:pPr>
      <w:r>
        <w:rPr>
          <w:sz w:val="10"/>
          <w:szCs w:val="10"/>
        </w:rPr>
        <w:t>​</w:t>
      </w:r>
    </w:p>
    <w:p w:rsidR="00000000" w:rsidRDefault="00C96329">
      <w:pPr>
        <w:pStyle w:val="a3"/>
        <w:spacing w:before="0" w:beforeAutospacing="0" w:after="0" w:afterAutospacing="0"/>
        <w:ind w:firstLine="720"/>
        <w:divId w:val="961419412"/>
        <w:rPr>
          <w:sz w:val="20"/>
          <w:szCs w:val="20"/>
        </w:rPr>
      </w:pPr>
      <w:r>
        <w:rPr>
          <w:sz w:val="20"/>
          <w:szCs w:val="20"/>
        </w:rPr>
        <w:t xml:space="preserve">Net cash provided by financing activities </w:t>
      </w:r>
      <w:r>
        <w:rPr>
          <w:sz w:val="20"/>
          <w:szCs w:val="20"/>
        </w:rPr>
        <w:t>was $263.3 million for the six months ended June 30, 2020, consisting primarily of the sale of 5,500,000 ordinary shares for total net proceeds of $139.9 million and the issuance of our Non-Recourse 2035 Notes for total net proceeds of $374.7 million. A po</w:t>
      </w:r>
      <w:r>
        <w:rPr>
          <w:sz w:val="20"/>
          <w:szCs w:val="20"/>
        </w:rPr>
        <w:t xml:space="preserve">rtion of the of the Non-Recourse 2035 Notes proceeds were used to repay, in full, the remaining $235.3 million outstanding balance of our Non-Recourse 2033 Notes and an $11.5 million redemption premium related to the payoff of the Non-Recourse 2033 Notes. </w:t>
      </w:r>
      <w:r>
        <w:rPr>
          <w:sz w:val="20"/>
          <w:szCs w:val="20"/>
        </w:rPr>
        <w:t>In addition to the above, net cash inflow provided by financing activities was partially offset by the repurchase of shares to satisfy tax withholding obligations in the amount of $7.9 million.</w:t>
      </w:r>
    </w:p>
    <w:p w:rsidR="00000000" w:rsidRDefault="00C96329">
      <w:pPr>
        <w:pStyle w:val="a3"/>
        <w:spacing w:before="0" w:beforeAutospacing="0" w:after="0" w:afterAutospacing="0"/>
        <w:ind w:firstLine="720"/>
        <w:divId w:val="961419412"/>
        <w:rPr>
          <w:sz w:val="20"/>
          <w:szCs w:val="20"/>
        </w:rPr>
      </w:pPr>
      <w:r>
        <w:rPr>
          <w:color w:val="FF0000"/>
          <w:sz w:val="20"/>
          <w:szCs w:val="20"/>
        </w:rPr>
        <w:t>​</w:t>
      </w:r>
    </w:p>
    <w:p w:rsidR="00000000" w:rsidRDefault="00C96329">
      <w:pPr>
        <w:pStyle w:val="a3"/>
        <w:spacing w:before="0" w:beforeAutospacing="0" w:after="0" w:afterAutospacing="0"/>
        <w:ind w:firstLine="720"/>
        <w:divId w:val="961419412"/>
        <w:rPr>
          <w:sz w:val="20"/>
          <w:szCs w:val="20"/>
        </w:rPr>
      </w:pPr>
      <w:r>
        <w:rPr>
          <w:sz w:val="20"/>
          <w:szCs w:val="20"/>
        </w:rPr>
        <w:t>Net cash provided by financing activities was $3.0 million f</w:t>
      </w:r>
      <w:r>
        <w:rPr>
          <w:sz w:val="20"/>
          <w:szCs w:val="20"/>
        </w:rPr>
        <w:t xml:space="preserve">or the six months ended June 30, 2019, consisting of $5.2 million of net cash inflows from employee share plan purchase proceeds and share option exercises which was partially offset by $2.2 million of net cash outflows related to the repurchase of shares </w:t>
      </w:r>
      <w:r>
        <w:rPr>
          <w:sz w:val="20"/>
          <w:szCs w:val="20"/>
        </w:rPr>
        <w:t>to satisfy tax withholding obligations.</w:t>
      </w:r>
    </w:p>
    <w:p w:rsidR="00000000" w:rsidRDefault="00C96329">
      <w:pPr>
        <w:pStyle w:val="a3"/>
        <w:spacing w:before="0" w:beforeAutospacing="0" w:after="0" w:afterAutospacing="0"/>
        <w:divId w:val="961419412"/>
        <w:rPr>
          <w:sz w:val="20"/>
          <w:szCs w:val="20"/>
        </w:rPr>
      </w:pPr>
      <w:r>
        <w:rPr>
          <w:sz w:val="20"/>
          <w:szCs w:val="20"/>
        </w:rPr>
        <w:t>​</w:t>
      </w:r>
    </w:p>
    <w:p w:rsidR="00000000" w:rsidRDefault="00C96329">
      <w:pPr>
        <w:pStyle w:val="a3"/>
        <w:spacing w:before="0" w:beforeAutospacing="0" w:after="0" w:afterAutospacing="0"/>
        <w:divId w:val="961419412"/>
        <w:rPr>
          <w:sz w:val="20"/>
          <w:szCs w:val="20"/>
        </w:rPr>
      </w:pPr>
      <w:r>
        <w:rPr>
          <w:b/>
          <w:bCs/>
          <w:i/>
          <w:iCs/>
          <w:sz w:val="20"/>
          <w:szCs w:val="20"/>
        </w:rPr>
        <w:t>Commitments and Contingencies</w:t>
      </w:r>
    </w:p>
    <w:p w:rsidR="00000000" w:rsidRDefault="00C96329">
      <w:pPr>
        <w:pStyle w:val="a3"/>
        <w:spacing w:before="0" w:beforeAutospacing="0" w:after="0" w:afterAutospacing="0"/>
        <w:divId w:val="961419412"/>
        <w:rPr>
          <w:sz w:val="20"/>
          <w:szCs w:val="20"/>
        </w:rPr>
      </w:pPr>
      <w:r>
        <w:rPr>
          <w:sz w:val="10"/>
          <w:szCs w:val="10"/>
        </w:rPr>
        <w:t>​</w:t>
      </w:r>
    </w:p>
    <w:p w:rsidR="00000000" w:rsidRDefault="00C96329">
      <w:pPr>
        <w:pStyle w:val="a3"/>
        <w:spacing w:before="0" w:beforeAutospacing="0" w:after="0" w:afterAutospacing="0"/>
        <w:ind w:firstLine="720"/>
        <w:divId w:val="961419412"/>
        <w:rPr>
          <w:sz w:val="20"/>
          <w:szCs w:val="20"/>
        </w:rPr>
      </w:pPr>
      <w:r>
        <w:rPr>
          <w:sz w:val="20"/>
          <w:szCs w:val="20"/>
        </w:rPr>
        <w:t>We indemnify our officers and directors for certain events or occurrences, subject to certain limits. We believe the fair value of these indemnification agreements is minimal. Accord</w:t>
      </w:r>
      <w:r>
        <w:rPr>
          <w:sz w:val="20"/>
          <w:szCs w:val="20"/>
        </w:rPr>
        <w:t>ingly, we have not recognized any liabilities relating to these agreements as of June 30, 2020.</w:t>
      </w:r>
    </w:p>
    <w:p w:rsidR="00000000" w:rsidRDefault="00C96329">
      <w:pPr>
        <w:pStyle w:val="a3"/>
        <w:spacing w:before="0" w:beforeAutospacing="0" w:after="0" w:afterAutospacing="0"/>
        <w:ind w:firstLine="720"/>
        <w:divId w:val="961419412"/>
        <w:rPr>
          <w:sz w:val="20"/>
          <w:szCs w:val="20"/>
        </w:rPr>
      </w:pPr>
      <w:r>
        <w:rPr>
          <w:sz w:val="20"/>
          <w:szCs w:val="20"/>
        </w:rPr>
        <w:t>​</w:t>
      </w:r>
    </w:p>
    <w:p w:rsidR="00000000" w:rsidRDefault="00C96329">
      <w:pPr>
        <w:pStyle w:val="a3"/>
        <w:spacing w:before="0" w:beforeAutospacing="0" w:after="0" w:afterAutospacing="0"/>
        <w:divId w:val="961419412"/>
        <w:rPr>
          <w:sz w:val="20"/>
          <w:szCs w:val="20"/>
        </w:rPr>
      </w:pPr>
      <w:r>
        <w:rPr>
          <w:i/>
          <w:iCs/>
          <w:sz w:val="20"/>
          <w:szCs w:val="20"/>
        </w:rPr>
        <w:t>Performance-Contingent Awards</w:t>
      </w:r>
    </w:p>
    <w:p w:rsidR="00000000" w:rsidRDefault="00C96329">
      <w:pPr>
        <w:pStyle w:val="a3"/>
        <w:spacing w:before="0" w:beforeAutospacing="0" w:after="0" w:afterAutospacing="0"/>
        <w:divId w:val="961419412"/>
        <w:rPr>
          <w:sz w:val="20"/>
          <w:szCs w:val="20"/>
        </w:rPr>
      </w:pPr>
      <w:r>
        <w:rPr>
          <w:sz w:val="12"/>
          <w:szCs w:val="12"/>
        </w:rPr>
        <w:t>​</w:t>
      </w:r>
    </w:p>
    <w:p w:rsidR="00000000" w:rsidRDefault="00C96329">
      <w:pPr>
        <w:pStyle w:val="a3"/>
        <w:spacing w:before="0" w:beforeAutospacing="0" w:after="0" w:afterAutospacing="0"/>
        <w:ind w:firstLine="720"/>
        <w:divId w:val="961419412"/>
        <w:rPr>
          <w:sz w:val="20"/>
          <w:szCs w:val="20"/>
        </w:rPr>
      </w:pPr>
      <w:r>
        <w:rPr>
          <w:sz w:val="20"/>
          <w:szCs w:val="20"/>
        </w:rPr>
        <w:t xml:space="preserve">In 2016, we granted long-term retention and incentive restricted share awards (“RSAs”) and restricted share units (“RSUs”) to </w:t>
      </w:r>
      <w:r>
        <w:rPr>
          <w:sz w:val="20"/>
          <w:szCs w:val="20"/>
        </w:rPr>
        <w:t>members of senior management and long-term retention and incentive cash bonus awards to certain employees. The vesting and payout of such awards is dependent on meeting certain operating goals and objectives during the five-year period from 2016 to Decembe</w:t>
      </w:r>
      <w:r>
        <w:rPr>
          <w:sz w:val="20"/>
          <w:szCs w:val="20"/>
        </w:rPr>
        <w:t>r 31, 2020. These goals are strategically important for us, and we believe the goals should increase shareholder value. The awards have dual triggers of vesting based upon the achievement of these goals and continued employment, and they are broken into th</w:t>
      </w:r>
      <w:r>
        <w:rPr>
          <w:sz w:val="20"/>
          <w:szCs w:val="20"/>
        </w:rPr>
        <w:t>ree separate tranches. We recognize compensation expense relating to awards subject to performance conditions if it is considered probable that the performance goals will be achieved. The probability of achievement is reassessed at each quarter-end reporti</w:t>
      </w:r>
      <w:r>
        <w:rPr>
          <w:sz w:val="20"/>
          <w:szCs w:val="20"/>
        </w:rPr>
        <w:t>ng period. Previously recognized expense is reversed in the period in which it becomes probable that the requisite service period will not be rendered.</w:t>
      </w:r>
    </w:p>
    <w:p w:rsidR="00000000" w:rsidRDefault="00C96329">
      <w:pPr>
        <w:pStyle w:val="a3"/>
        <w:spacing w:before="0" w:beforeAutospacing="0" w:after="0" w:afterAutospacing="0"/>
        <w:divId w:val="961419412"/>
        <w:rPr>
          <w:sz w:val="20"/>
          <w:szCs w:val="20"/>
        </w:rPr>
      </w:pPr>
      <w:r>
        <w:rPr>
          <w:sz w:val="20"/>
          <w:szCs w:val="20"/>
        </w:rPr>
        <w:t>​</w:t>
      </w:r>
    </w:p>
    <w:p w:rsidR="00000000" w:rsidRDefault="00C96329">
      <w:pPr>
        <w:pStyle w:val="a3"/>
        <w:spacing w:before="0" w:beforeAutospacing="0" w:after="0" w:afterAutospacing="0"/>
        <w:ind w:firstLine="720"/>
        <w:divId w:val="961419412"/>
        <w:rPr>
          <w:sz w:val="20"/>
          <w:szCs w:val="20"/>
        </w:rPr>
      </w:pPr>
      <w:r>
        <w:rPr>
          <w:sz w:val="20"/>
          <w:szCs w:val="20"/>
        </w:rPr>
        <w:t>We determined that achievement of the requisite performance conditions for the first tranche was compl</w:t>
      </w:r>
      <w:r>
        <w:rPr>
          <w:sz w:val="20"/>
          <w:szCs w:val="20"/>
        </w:rPr>
        <w:t>eted in June 2018, and the expense associated with this first tranche was fully recognized in 2018. We determined that achievement of the requisite performance conditions for the second tranche were completed in February 2019, and the expense associated wi</w:t>
      </w:r>
      <w:r>
        <w:rPr>
          <w:sz w:val="20"/>
          <w:szCs w:val="20"/>
        </w:rPr>
        <w:t xml:space="preserve">th this second tranche was fully recognized as of March 31, 2020. For the six months ended June 30, 2020, we recognized $0.4 </w:t>
      </w:r>
    </w:p>
    <w:p w:rsidR="00000000" w:rsidRDefault="00C96329">
      <w:pPr>
        <w:pStyle w:val="a3"/>
        <w:spacing w:before="360" w:beforeAutospacing="0" w:after="0" w:afterAutospacing="0"/>
        <w:jc w:val="center"/>
        <w:divId w:val="72748723"/>
        <w:rPr>
          <w:sz w:val="20"/>
          <w:szCs w:val="20"/>
        </w:rPr>
      </w:pPr>
      <w:r>
        <w:rPr>
          <w:sz w:val="20"/>
          <w:szCs w:val="20"/>
        </w:rPr>
        <w:t>35</w:t>
      </w:r>
    </w:p>
    <w:p w:rsidR="00000000" w:rsidRDefault="00C96329">
      <w:pPr>
        <w:pStyle w:val="a3"/>
        <w:spacing w:before="0" w:beforeAutospacing="0" w:after="600" w:afterAutospacing="0"/>
        <w:divId w:val="1470590814"/>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381910503"/>
        <w:rPr>
          <w:sz w:val="20"/>
          <w:szCs w:val="20"/>
        </w:rPr>
      </w:pPr>
      <w:r>
        <w:rPr>
          <w:sz w:val="20"/>
          <w:szCs w:val="20"/>
        </w:rPr>
        <w:t>million and $0.5 million of share-based compensation expense and cash bonus expense</w:t>
      </w:r>
      <w:r>
        <w:rPr>
          <w:sz w:val="20"/>
          <w:szCs w:val="20"/>
        </w:rPr>
        <w:t xml:space="preserve">, respectively, related to the second tranche of these awards. </w:t>
      </w:r>
    </w:p>
    <w:p w:rsidR="00000000" w:rsidRDefault="00C96329">
      <w:pPr>
        <w:pStyle w:val="a3"/>
        <w:spacing w:before="0" w:beforeAutospacing="0" w:after="0" w:afterAutospacing="0"/>
        <w:divId w:val="381910503"/>
        <w:rPr>
          <w:sz w:val="20"/>
          <w:szCs w:val="20"/>
        </w:rPr>
      </w:pPr>
      <w:r>
        <w:rPr>
          <w:sz w:val="20"/>
          <w:szCs w:val="20"/>
        </w:rPr>
        <w:t>​</w:t>
      </w:r>
    </w:p>
    <w:p w:rsidR="00000000" w:rsidRDefault="00C96329">
      <w:pPr>
        <w:pStyle w:val="a3"/>
        <w:spacing w:before="0" w:beforeAutospacing="0" w:after="0" w:afterAutospacing="0"/>
        <w:ind w:firstLine="720"/>
        <w:divId w:val="381910503"/>
        <w:rPr>
          <w:sz w:val="20"/>
          <w:szCs w:val="20"/>
        </w:rPr>
      </w:pPr>
      <w:r>
        <w:rPr>
          <w:sz w:val="20"/>
          <w:szCs w:val="20"/>
        </w:rPr>
        <w:t xml:space="preserve">In December 2019, we determined that the requisite performance conditions for the third tranche was probable of vesting. For the six months ended June 30, 2020, we recognized $1.3 million and $1.4 million of share-based compensation expense and cash bonus </w:t>
      </w:r>
      <w:r>
        <w:rPr>
          <w:sz w:val="20"/>
          <w:szCs w:val="20"/>
        </w:rPr>
        <w:t>expense, respectively, related to the third tranche of these awards. As of June 30, 2020, the maximum remaining share-based compensation expense and cash bonus expense associated with the third tranche was $1.7 million and $1.8 million, respectively.</w:t>
      </w:r>
    </w:p>
    <w:p w:rsidR="00000000" w:rsidRDefault="00C96329">
      <w:pPr>
        <w:pStyle w:val="a3"/>
        <w:spacing w:before="0" w:beforeAutospacing="0" w:after="0" w:afterAutospacing="0"/>
        <w:ind w:firstLine="720"/>
        <w:divId w:val="381910503"/>
        <w:rPr>
          <w:sz w:val="20"/>
          <w:szCs w:val="20"/>
        </w:rPr>
      </w:pPr>
      <w:r>
        <w:rPr>
          <w:rFonts w:ascii="Times" w:hAnsi="Times"/>
          <w:sz w:val="20"/>
          <w:szCs w:val="20"/>
          <w:shd w:val="clear" w:color="auto" w:fill="FFFFFF"/>
        </w:rPr>
        <w:t>​</w:t>
      </w:r>
    </w:p>
    <w:p w:rsidR="00000000" w:rsidRDefault="00C96329">
      <w:pPr>
        <w:pStyle w:val="a3"/>
        <w:spacing w:before="0" w:beforeAutospacing="0" w:after="0" w:afterAutospacing="0"/>
        <w:ind w:firstLine="720"/>
        <w:divId w:val="381910503"/>
        <w:rPr>
          <w:sz w:val="20"/>
          <w:szCs w:val="20"/>
        </w:rPr>
      </w:pPr>
      <w:r>
        <w:rPr>
          <w:sz w:val="20"/>
          <w:szCs w:val="20"/>
        </w:rPr>
        <w:t>Sep</w:t>
      </w:r>
      <w:r>
        <w:rPr>
          <w:sz w:val="20"/>
          <w:szCs w:val="20"/>
        </w:rPr>
        <w:t>arate from the performance-contingent awards described above, we periodically grant performance-contingent RSUs to individual employees. For the six months ended June 30, 2020, we recognized $0.7</w:t>
      </w:r>
      <w:r>
        <w:rPr>
          <w:b/>
          <w:bCs/>
          <w:sz w:val="20"/>
          <w:szCs w:val="20"/>
        </w:rPr>
        <w:t xml:space="preserve"> </w:t>
      </w:r>
      <w:r>
        <w:rPr>
          <w:sz w:val="20"/>
          <w:szCs w:val="20"/>
        </w:rPr>
        <w:t xml:space="preserve">million of share-based compensation expense related to such </w:t>
      </w:r>
      <w:r>
        <w:rPr>
          <w:sz w:val="20"/>
          <w:szCs w:val="20"/>
        </w:rPr>
        <w:t>awards. As of June 30, 2020, there were 120,000 shares of these performance-contingent RSUs outstanding that have a maximum remaining share-based compensation expense of $1.8 million with performance expiration dates ranging from December 2020 to June 2022</w:t>
      </w:r>
      <w:r>
        <w:rPr>
          <w:sz w:val="20"/>
          <w:szCs w:val="20"/>
        </w:rPr>
        <w:t>.</w:t>
      </w:r>
    </w:p>
    <w:p w:rsidR="00000000" w:rsidRDefault="00C96329">
      <w:pPr>
        <w:pStyle w:val="a3"/>
        <w:spacing w:before="0" w:beforeAutospacing="0" w:after="0" w:afterAutospacing="0"/>
        <w:divId w:val="381910503"/>
        <w:rPr>
          <w:sz w:val="20"/>
          <w:szCs w:val="20"/>
        </w:rPr>
      </w:pPr>
      <w:r>
        <w:rPr>
          <w:sz w:val="20"/>
          <w:szCs w:val="20"/>
        </w:rPr>
        <w:t>​</w:t>
      </w:r>
    </w:p>
    <w:p w:rsidR="00000000" w:rsidRDefault="00C96329">
      <w:pPr>
        <w:pStyle w:val="a3"/>
        <w:spacing w:before="0" w:beforeAutospacing="0" w:after="0" w:afterAutospacing="0"/>
        <w:divId w:val="381910503"/>
        <w:rPr>
          <w:sz w:val="20"/>
          <w:szCs w:val="20"/>
        </w:rPr>
      </w:pPr>
      <w:r>
        <w:rPr>
          <w:b/>
          <w:bCs/>
          <w:i/>
          <w:iCs/>
          <w:sz w:val="20"/>
          <w:szCs w:val="20"/>
        </w:rPr>
        <w:t>Off-Balance Sheet Arrangements</w:t>
      </w:r>
    </w:p>
    <w:p w:rsidR="00000000" w:rsidRDefault="00C96329">
      <w:pPr>
        <w:pStyle w:val="a3"/>
        <w:spacing w:before="0" w:beforeAutospacing="0" w:after="0" w:afterAutospacing="0"/>
        <w:divId w:val="381910503"/>
        <w:rPr>
          <w:sz w:val="20"/>
          <w:szCs w:val="20"/>
        </w:rPr>
      </w:pPr>
      <w:r>
        <w:rPr>
          <w:sz w:val="10"/>
          <w:szCs w:val="10"/>
        </w:rPr>
        <w:t>​</w:t>
      </w:r>
    </w:p>
    <w:p w:rsidR="00000000" w:rsidRDefault="00C96329">
      <w:pPr>
        <w:pStyle w:val="a3"/>
        <w:spacing w:before="0" w:beforeAutospacing="0" w:after="0" w:afterAutospacing="0"/>
        <w:ind w:firstLine="720"/>
        <w:divId w:val="381910503"/>
        <w:rPr>
          <w:sz w:val="20"/>
          <w:szCs w:val="20"/>
        </w:rPr>
      </w:pPr>
      <w:r>
        <w:rPr>
          <w:sz w:val="20"/>
          <w:szCs w:val="20"/>
        </w:rPr>
        <w:t>There have been no material changes in our off-balance sheet arrangements from those set forth in our Annual Report on Form 10-K for the year ended December 31, 2019, filed with the SEC on February 27, 2020.</w:t>
      </w:r>
    </w:p>
    <w:p w:rsidR="00000000" w:rsidRDefault="00C96329">
      <w:pPr>
        <w:pStyle w:val="a3"/>
        <w:spacing w:before="0" w:beforeAutospacing="0" w:after="0" w:afterAutospacing="0"/>
        <w:divId w:val="381910503"/>
        <w:rPr>
          <w:sz w:val="20"/>
          <w:szCs w:val="20"/>
        </w:rPr>
      </w:pPr>
      <w:r>
        <w:rPr>
          <w:sz w:val="20"/>
          <w:szCs w:val="20"/>
        </w:rPr>
        <w:t>​</w:t>
      </w:r>
    </w:p>
    <w:p w:rsidR="00000000" w:rsidRDefault="00C96329">
      <w:pPr>
        <w:pStyle w:val="a3"/>
        <w:spacing w:before="0" w:beforeAutospacing="0" w:after="0" w:afterAutospacing="0"/>
        <w:divId w:val="381910503"/>
        <w:rPr>
          <w:sz w:val="20"/>
          <w:szCs w:val="20"/>
        </w:rPr>
      </w:pPr>
      <w:r>
        <w:rPr>
          <w:b/>
          <w:bCs/>
          <w:i/>
          <w:iCs/>
          <w:sz w:val="20"/>
          <w:szCs w:val="20"/>
        </w:rPr>
        <w:t>Contractu</w:t>
      </w:r>
      <w:r>
        <w:rPr>
          <w:b/>
          <w:bCs/>
          <w:i/>
          <w:iCs/>
          <w:sz w:val="20"/>
          <w:szCs w:val="20"/>
        </w:rPr>
        <w:t>al Obligations and Commercial Commitments</w:t>
      </w:r>
    </w:p>
    <w:p w:rsidR="00000000" w:rsidRDefault="00C96329">
      <w:pPr>
        <w:pStyle w:val="a3"/>
        <w:spacing w:before="0" w:beforeAutospacing="0" w:after="0" w:afterAutospacing="0"/>
        <w:divId w:val="381910503"/>
        <w:rPr>
          <w:sz w:val="20"/>
          <w:szCs w:val="20"/>
        </w:rPr>
      </w:pPr>
      <w:r>
        <w:rPr>
          <w:sz w:val="10"/>
          <w:szCs w:val="10"/>
        </w:rPr>
        <w:t>​</w:t>
      </w:r>
    </w:p>
    <w:p w:rsidR="00000000" w:rsidRDefault="00C96329">
      <w:pPr>
        <w:pStyle w:val="a3"/>
        <w:spacing w:before="0" w:beforeAutospacing="0" w:after="0" w:afterAutospacing="0"/>
        <w:ind w:firstLine="720"/>
        <w:divId w:val="381910503"/>
        <w:rPr>
          <w:sz w:val="20"/>
          <w:szCs w:val="20"/>
        </w:rPr>
      </w:pPr>
      <w:r>
        <w:rPr>
          <w:sz w:val="20"/>
          <w:szCs w:val="20"/>
        </w:rPr>
        <w:t>There have been no material changes in our contractual obligations and commercial commitments from those set forth in our Annual Report on Form 10-K for the year ended December 31, 2019, filed with the SEC on Feb</w:t>
      </w:r>
      <w:r>
        <w:rPr>
          <w:sz w:val="20"/>
          <w:szCs w:val="20"/>
        </w:rPr>
        <w:t xml:space="preserve">ruary 27, 2020. </w:t>
      </w:r>
    </w:p>
    <w:p w:rsidR="00000000" w:rsidRDefault="00C96329">
      <w:pPr>
        <w:pStyle w:val="a3"/>
        <w:spacing w:before="0" w:beforeAutospacing="0" w:after="0" w:afterAutospacing="0"/>
        <w:divId w:val="381910503"/>
        <w:rPr>
          <w:sz w:val="20"/>
          <w:szCs w:val="20"/>
        </w:rPr>
      </w:pPr>
      <w:r>
        <w:rPr>
          <w:sz w:val="20"/>
          <w:szCs w:val="20"/>
        </w:rPr>
        <w:t>​</w:t>
      </w:r>
    </w:p>
    <w:p w:rsidR="00000000" w:rsidRDefault="00C96329">
      <w:pPr>
        <w:pStyle w:val="a3"/>
        <w:spacing w:before="0" w:beforeAutospacing="0" w:after="0" w:afterAutospacing="0"/>
        <w:divId w:val="381910503"/>
        <w:rPr>
          <w:sz w:val="20"/>
          <w:szCs w:val="20"/>
        </w:rPr>
      </w:pPr>
      <w:r>
        <w:rPr>
          <w:b/>
          <w:bCs/>
          <w:sz w:val="20"/>
          <w:szCs w:val="20"/>
        </w:rPr>
        <w:t xml:space="preserve">ITEM 3.   QUANTITATIVE AND QUALITATIVE DISCLOSURES ABOUT MARKET RISK </w:t>
      </w:r>
    </w:p>
    <w:p w:rsidR="00000000" w:rsidRDefault="00C96329">
      <w:pPr>
        <w:pStyle w:val="a3"/>
        <w:spacing w:before="0" w:beforeAutospacing="0" w:after="0" w:afterAutospacing="0"/>
        <w:divId w:val="381910503"/>
        <w:rPr>
          <w:sz w:val="20"/>
          <w:szCs w:val="20"/>
        </w:rPr>
      </w:pPr>
      <w:r>
        <w:rPr>
          <w:sz w:val="20"/>
          <w:szCs w:val="20"/>
        </w:rPr>
        <w:t>​</w:t>
      </w:r>
    </w:p>
    <w:p w:rsidR="00000000" w:rsidRDefault="00C96329">
      <w:pPr>
        <w:pStyle w:val="a3"/>
        <w:shd w:val="clear" w:color="auto" w:fill="FFFFFF"/>
        <w:spacing w:before="0" w:beforeAutospacing="0" w:after="0" w:afterAutospacing="0"/>
        <w:ind w:firstLine="720"/>
        <w:divId w:val="381910503"/>
        <w:rPr>
          <w:sz w:val="20"/>
          <w:szCs w:val="20"/>
        </w:rPr>
      </w:pPr>
      <w:r>
        <w:rPr>
          <w:sz w:val="20"/>
          <w:szCs w:val="20"/>
        </w:rPr>
        <w:t xml:space="preserve">Our market risks, as of June 30, 2020, have not changed materially from those discussed in </w:t>
      </w:r>
      <w:r>
        <w:rPr>
          <w:i/>
          <w:iCs/>
          <w:sz w:val="20"/>
          <w:szCs w:val="20"/>
        </w:rPr>
        <w:t>“Item 7A. Quantitative and Qualitative Disclosures About Market Risk”</w:t>
      </w:r>
      <w:r>
        <w:rPr>
          <w:sz w:val="20"/>
          <w:szCs w:val="20"/>
        </w:rPr>
        <w:t xml:space="preserve"> of o</w:t>
      </w:r>
      <w:r>
        <w:rPr>
          <w:sz w:val="20"/>
          <w:szCs w:val="20"/>
        </w:rPr>
        <w:t xml:space="preserve">ur Annual Report on Form 10-K for the year ended December 31, 2019, filed with the SEC on February 27, 2020. </w:t>
      </w:r>
    </w:p>
    <w:p w:rsidR="00000000" w:rsidRDefault="00C96329">
      <w:pPr>
        <w:pStyle w:val="a3"/>
        <w:spacing w:before="0" w:beforeAutospacing="0" w:after="0" w:afterAutospacing="0"/>
        <w:divId w:val="381910503"/>
        <w:rPr>
          <w:sz w:val="20"/>
          <w:szCs w:val="20"/>
        </w:rPr>
      </w:pPr>
      <w:r>
        <w:rPr>
          <w:sz w:val="20"/>
          <w:szCs w:val="20"/>
        </w:rPr>
        <w:t>​</w:t>
      </w:r>
    </w:p>
    <w:p w:rsidR="00000000" w:rsidRDefault="00C96329">
      <w:pPr>
        <w:pStyle w:val="a3"/>
        <w:spacing w:before="0" w:beforeAutospacing="0" w:after="0" w:afterAutospacing="0"/>
        <w:divId w:val="381910503"/>
        <w:rPr>
          <w:sz w:val="20"/>
          <w:szCs w:val="20"/>
        </w:rPr>
      </w:pPr>
      <w:r>
        <w:rPr>
          <w:b/>
          <w:bCs/>
          <w:sz w:val="20"/>
          <w:szCs w:val="20"/>
        </w:rPr>
        <w:t>ITEM 4.   CONTROLS AND PROCEDURES</w:t>
      </w:r>
    </w:p>
    <w:p w:rsidR="00000000" w:rsidRDefault="00C96329">
      <w:pPr>
        <w:pStyle w:val="a3"/>
        <w:spacing w:before="0" w:beforeAutospacing="0" w:after="0" w:afterAutospacing="0"/>
        <w:divId w:val="381910503"/>
        <w:rPr>
          <w:sz w:val="20"/>
          <w:szCs w:val="20"/>
        </w:rPr>
      </w:pPr>
      <w:r>
        <w:rPr>
          <w:sz w:val="20"/>
          <w:szCs w:val="20"/>
        </w:rPr>
        <w:t>​</w:t>
      </w:r>
    </w:p>
    <w:p w:rsidR="00000000" w:rsidRDefault="00C96329">
      <w:pPr>
        <w:pStyle w:val="a3"/>
        <w:spacing w:before="0" w:beforeAutospacing="0" w:after="0" w:afterAutospacing="0"/>
        <w:divId w:val="381910503"/>
        <w:rPr>
          <w:sz w:val="20"/>
          <w:szCs w:val="20"/>
        </w:rPr>
      </w:pPr>
      <w:r>
        <w:rPr>
          <w:b/>
          <w:bCs/>
          <w:i/>
          <w:iCs/>
          <w:sz w:val="20"/>
          <w:szCs w:val="20"/>
        </w:rPr>
        <w:t>Evaluation of Disclosure Controls and Procedures</w:t>
      </w:r>
    </w:p>
    <w:p w:rsidR="00000000" w:rsidRDefault="00C96329">
      <w:pPr>
        <w:pStyle w:val="a3"/>
        <w:spacing w:before="0" w:beforeAutospacing="0" w:after="0" w:afterAutospacing="0"/>
        <w:divId w:val="381910503"/>
        <w:rPr>
          <w:sz w:val="20"/>
          <w:szCs w:val="20"/>
        </w:rPr>
      </w:pPr>
      <w:r>
        <w:rPr>
          <w:sz w:val="10"/>
          <w:szCs w:val="10"/>
        </w:rPr>
        <w:t>​</w:t>
      </w:r>
    </w:p>
    <w:p w:rsidR="00000000" w:rsidRDefault="00C96329">
      <w:pPr>
        <w:pStyle w:val="a3"/>
        <w:spacing w:before="0" w:beforeAutospacing="0" w:after="0" w:afterAutospacing="0"/>
        <w:ind w:firstLine="720"/>
        <w:divId w:val="381910503"/>
        <w:rPr>
          <w:sz w:val="20"/>
          <w:szCs w:val="20"/>
        </w:rPr>
      </w:pPr>
      <w:r>
        <w:rPr>
          <w:sz w:val="20"/>
          <w:szCs w:val="20"/>
        </w:rPr>
        <w:t>We conducted an evaluation required by paragraph (d) of R</w:t>
      </w:r>
      <w:r>
        <w:rPr>
          <w:sz w:val="20"/>
          <w:szCs w:val="20"/>
        </w:rPr>
        <w:t>ule 13a-15 of the Exchange Act as of June 30, 2020, under the supervision and with the participation of our management, including our Chief Executive Officer and Chief Financial Officer, of the effectiveness of the design and operation of our disclosure co</w:t>
      </w:r>
      <w:r>
        <w:rPr>
          <w:sz w:val="20"/>
          <w:szCs w:val="20"/>
        </w:rPr>
        <w:t>ntrols and procedures (as defined under Rule 13a-15(e) of the Exchange Act), which are controls and other procedures of a company that are designed to ensure that information required to be disclosed by a company in the reports that it files under the Exch</w:t>
      </w:r>
      <w:r>
        <w:rPr>
          <w:sz w:val="20"/>
          <w:szCs w:val="20"/>
        </w:rPr>
        <w:t>ange Act is recorded, processed, summarized and reported within required time periods. Based upon that evaluation, our Chief Executive Officer and Chief Financial Officer concluded that, as of such date, our disclosure controls and procedures were effectiv</w:t>
      </w:r>
      <w:r>
        <w:rPr>
          <w:sz w:val="20"/>
          <w:szCs w:val="20"/>
        </w:rPr>
        <w:t>e at the reasonable assurance level.</w:t>
      </w:r>
    </w:p>
    <w:p w:rsidR="00000000" w:rsidRDefault="00C96329">
      <w:pPr>
        <w:pStyle w:val="a3"/>
        <w:spacing w:before="0" w:beforeAutospacing="0" w:after="0" w:afterAutospacing="0"/>
        <w:divId w:val="381910503"/>
        <w:rPr>
          <w:sz w:val="20"/>
          <w:szCs w:val="20"/>
        </w:rPr>
      </w:pPr>
      <w:r>
        <w:rPr>
          <w:sz w:val="20"/>
          <w:szCs w:val="20"/>
        </w:rPr>
        <w:t>​</w:t>
      </w:r>
    </w:p>
    <w:p w:rsidR="00000000" w:rsidRDefault="00C96329">
      <w:pPr>
        <w:pStyle w:val="a3"/>
        <w:spacing w:before="0" w:beforeAutospacing="0" w:after="0" w:afterAutospacing="0"/>
        <w:divId w:val="381910503"/>
        <w:rPr>
          <w:sz w:val="20"/>
          <w:szCs w:val="20"/>
        </w:rPr>
      </w:pPr>
      <w:r>
        <w:rPr>
          <w:b/>
          <w:bCs/>
          <w:i/>
          <w:iCs/>
          <w:sz w:val="20"/>
          <w:szCs w:val="20"/>
        </w:rPr>
        <w:t>Limitations on the Effectiveness of Controls</w:t>
      </w:r>
    </w:p>
    <w:p w:rsidR="00000000" w:rsidRDefault="00C96329">
      <w:pPr>
        <w:pStyle w:val="a3"/>
        <w:spacing w:before="0" w:beforeAutospacing="0" w:after="0" w:afterAutospacing="0"/>
        <w:divId w:val="381910503"/>
        <w:rPr>
          <w:sz w:val="20"/>
          <w:szCs w:val="20"/>
        </w:rPr>
      </w:pPr>
      <w:r>
        <w:rPr>
          <w:sz w:val="10"/>
          <w:szCs w:val="10"/>
        </w:rPr>
        <w:t>​</w:t>
      </w:r>
    </w:p>
    <w:p w:rsidR="00000000" w:rsidRDefault="00C96329">
      <w:pPr>
        <w:pStyle w:val="a3"/>
        <w:spacing w:before="0" w:beforeAutospacing="0" w:after="0" w:afterAutospacing="0"/>
        <w:ind w:firstLine="720"/>
        <w:divId w:val="381910503"/>
        <w:rPr>
          <w:sz w:val="20"/>
          <w:szCs w:val="20"/>
        </w:rPr>
      </w:pPr>
      <w:r>
        <w:rPr>
          <w:sz w:val="20"/>
          <w:szCs w:val="20"/>
        </w:rPr>
        <w:t>Our management, including our Chief Executive Officer and Chief Financial Officer, does not expect that our disclosure controls and procedures or our internal control over financial reporting will prevent all error and all fraud. A control system, no matte</w:t>
      </w:r>
      <w:r>
        <w:rPr>
          <w:sz w:val="20"/>
          <w:szCs w:val="20"/>
        </w:rPr>
        <w:t>r how well conceived and operated, can provide only reasonable, not absolute, assurance that the objectives of the control system are met. Further, the design of a control system must reflect the fact that there are resource constraints, and the benefit of</w:t>
      </w:r>
      <w:r>
        <w:rPr>
          <w:sz w:val="20"/>
          <w:szCs w:val="20"/>
        </w:rPr>
        <w:t xml:space="preserve"> controls must be considered relative to their costs. Because of the inherent limitations in all control systems, no evaluation of controls can provide absolute assurance that all control issues and instances of fraud, if any, within Theravance Biopharma h</w:t>
      </w:r>
      <w:r>
        <w:rPr>
          <w:sz w:val="20"/>
          <w:szCs w:val="20"/>
        </w:rPr>
        <w:t>ave been detected. Also, projections of any evaluation of effectiveness to future periods are subject to the risk that controls may become inadequate because of changes in conditions, or that the degree of compliance with the policies or procedures may det</w:t>
      </w:r>
      <w:r>
        <w:rPr>
          <w:sz w:val="20"/>
          <w:szCs w:val="20"/>
        </w:rPr>
        <w:t>eriorate.</w:t>
      </w:r>
    </w:p>
    <w:p w:rsidR="00000000" w:rsidRDefault="00C96329">
      <w:pPr>
        <w:pStyle w:val="a3"/>
        <w:spacing w:before="0" w:beforeAutospacing="0" w:after="0" w:afterAutospacing="0"/>
        <w:divId w:val="381910503"/>
        <w:rPr>
          <w:sz w:val="20"/>
          <w:szCs w:val="20"/>
        </w:rPr>
      </w:pPr>
      <w:r>
        <w:rPr>
          <w:sz w:val="20"/>
          <w:szCs w:val="20"/>
        </w:rPr>
        <w:t>​</w:t>
      </w:r>
    </w:p>
    <w:p w:rsidR="00000000" w:rsidRDefault="00C96329">
      <w:pPr>
        <w:pStyle w:val="a3"/>
        <w:spacing w:before="360" w:beforeAutospacing="0" w:after="0" w:afterAutospacing="0"/>
        <w:jc w:val="center"/>
        <w:divId w:val="861556809"/>
        <w:rPr>
          <w:sz w:val="20"/>
          <w:szCs w:val="20"/>
        </w:rPr>
      </w:pPr>
      <w:r>
        <w:rPr>
          <w:sz w:val="20"/>
          <w:szCs w:val="20"/>
        </w:rPr>
        <w:t>36</w:t>
      </w:r>
    </w:p>
    <w:p w:rsidR="00000000" w:rsidRDefault="00C96329">
      <w:pPr>
        <w:pStyle w:val="a3"/>
        <w:spacing w:before="0" w:beforeAutospacing="0" w:after="600" w:afterAutospacing="0"/>
        <w:divId w:val="210113335"/>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1749109482"/>
        <w:rPr>
          <w:sz w:val="20"/>
          <w:szCs w:val="20"/>
        </w:rPr>
      </w:pPr>
      <w:r>
        <w:rPr>
          <w:b/>
          <w:bCs/>
          <w:i/>
          <w:iCs/>
          <w:sz w:val="20"/>
          <w:szCs w:val="20"/>
        </w:rPr>
        <w:t>Changes in Internal Control over Financial Reporting</w:t>
      </w:r>
    </w:p>
    <w:p w:rsidR="00000000" w:rsidRDefault="00C96329">
      <w:pPr>
        <w:pStyle w:val="a3"/>
        <w:spacing w:before="0" w:beforeAutospacing="0" w:after="0" w:afterAutospacing="0"/>
        <w:divId w:val="1749109482"/>
        <w:rPr>
          <w:sz w:val="20"/>
          <w:szCs w:val="20"/>
        </w:rPr>
      </w:pPr>
      <w:r>
        <w:rPr>
          <w:sz w:val="10"/>
          <w:szCs w:val="10"/>
        </w:rPr>
        <w:t>​</w:t>
      </w:r>
    </w:p>
    <w:p w:rsidR="00000000" w:rsidRDefault="00C96329">
      <w:pPr>
        <w:pStyle w:val="a3"/>
        <w:spacing w:before="0" w:beforeAutospacing="0" w:after="240" w:afterAutospacing="0"/>
        <w:ind w:firstLine="720"/>
        <w:divId w:val="1749109482"/>
        <w:rPr>
          <w:sz w:val="20"/>
          <w:szCs w:val="20"/>
        </w:rPr>
      </w:pPr>
      <w:r>
        <w:rPr>
          <w:sz w:val="20"/>
          <w:szCs w:val="20"/>
        </w:rPr>
        <w:t>There was no change in our internal control over financial reporting (as defined in Rule 13a-15(f) of the Exchange Act) identified in connecti</w:t>
      </w:r>
      <w:r>
        <w:rPr>
          <w:sz w:val="20"/>
          <w:szCs w:val="20"/>
        </w:rPr>
        <w:t>on with the evaluation required by paragraph (d) of Rule 13a-15 of the Exchange Act, which occurred during the second quarter of the year ending December 31, 2020 which has materially affected, or is reasonably likely to materially affect, our internal con</w:t>
      </w:r>
      <w:r>
        <w:rPr>
          <w:sz w:val="20"/>
          <w:szCs w:val="20"/>
        </w:rPr>
        <w:t>trol over financial reporting.</w:t>
      </w:r>
    </w:p>
    <w:p w:rsidR="00000000" w:rsidRDefault="00C96329">
      <w:pPr>
        <w:pStyle w:val="a3"/>
        <w:spacing w:before="0" w:beforeAutospacing="0" w:after="0" w:afterAutospacing="0"/>
        <w:divId w:val="1749109482"/>
        <w:rPr>
          <w:sz w:val="20"/>
          <w:szCs w:val="20"/>
        </w:rPr>
      </w:pPr>
      <w:r>
        <w:rPr>
          <w:b/>
          <w:bCs/>
          <w:sz w:val="20"/>
          <w:szCs w:val="20"/>
        </w:rPr>
        <w:t>PART II.  OTHER INFORMATION</w:t>
      </w:r>
    </w:p>
    <w:p w:rsidR="00000000" w:rsidRDefault="00C96329">
      <w:pPr>
        <w:pStyle w:val="a3"/>
        <w:spacing w:before="0" w:beforeAutospacing="0" w:after="0" w:afterAutospacing="0"/>
        <w:divId w:val="1749109482"/>
        <w:rPr>
          <w:sz w:val="20"/>
          <w:szCs w:val="20"/>
        </w:rPr>
      </w:pPr>
      <w:r>
        <w:rPr>
          <w:sz w:val="20"/>
          <w:szCs w:val="20"/>
        </w:rPr>
        <w:t>​</w:t>
      </w:r>
    </w:p>
    <w:p w:rsidR="00000000" w:rsidRDefault="00C96329">
      <w:pPr>
        <w:pStyle w:val="a3"/>
        <w:spacing w:before="0" w:beforeAutospacing="0" w:after="0" w:afterAutospacing="0"/>
        <w:divId w:val="1749109482"/>
        <w:rPr>
          <w:sz w:val="20"/>
          <w:szCs w:val="20"/>
        </w:rPr>
      </w:pPr>
      <w:r>
        <w:rPr>
          <w:b/>
          <w:bCs/>
          <w:sz w:val="20"/>
          <w:szCs w:val="20"/>
        </w:rPr>
        <w:t xml:space="preserve">ITEM 1.   LEGAL PROCEEDINGS </w:t>
      </w:r>
    </w:p>
    <w:p w:rsidR="00000000" w:rsidRDefault="00C96329">
      <w:pPr>
        <w:pStyle w:val="a3"/>
        <w:spacing w:before="0" w:beforeAutospacing="0" w:after="0" w:afterAutospacing="0"/>
        <w:divId w:val="1749109482"/>
        <w:rPr>
          <w:sz w:val="20"/>
          <w:szCs w:val="20"/>
        </w:rPr>
      </w:pPr>
      <w:r>
        <w:rPr>
          <w:sz w:val="20"/>
          <w:szCs w:val="20"/>
        </w:rPr>
        <w:t>​</w:t>
      </w:r>
    </w:p>
    <w:p w:rsidR="00000000" w:rsidRDefault="00C96329">
      <w:pPr>
        <w:pStyle w:val="a3"/>
        <w:spacing w:before="0" w:beforeAutospacing="0" w:after="0" w:afterAutospacing="0"/>
        <w:ind w:firstLine="720"/>
        <w:divId w:val="1749109482"/>
        <w:rPr>
          <w:sz w:val="20"/>
          <w:szCs w:val="20"/>
        </w:rPr>
      </w:pPr>
      <w:r>
        <w:rPr>
          <w:sz w:val="20"/>
          <w:szCs w:val="20"/>
        </w:rPr>
        <w:t>On June 10, 2020, we disclosed in a Form 8-K our objections to TRC and Innoviva, as the manager of TRC, regarding TRC’s proposed use of funds to invest in certain privately-held companies. We have objected to the withholding of funds by TRC for these and s</w:t>
      </w:r>
      <w:r>
        <w:rPr>
          <w:sz w:val="20"/>
          <w:szCs w:val="20"/>
        </w:rPr>
        <w:t>imilar investments. On July 16, 2020, Innoviva and TRC filed a complaint in Delaware Chancery Court seeking an order establishing that the arbitration award from the parties’ 2019 dispute conclusively established that (a) Innoviva possesses the authority a</w:t>
      </w:r>
      <w:r>
        <w:rPr>
          <w:sz w:val="20"/>
          <w:szCs w:val="20"/>
        </w:rPr>
        <w:t>s manager of TRC to cause TRC to make such investments and (b) Innoviva possesses the authority as manager of TRC to cause TRC to reserve cash to make such investments. The Court directed the parties to refer certain relevant questions raised by the compla</w:t>
      </w:r>
      <w:r>
        <w:rPr>
          <w:sz w:val="20"/>
          <w:szCs w:val="20"/>
        </w:rPr>
        <w:t xml:space="preserve">int to the arbitrator in the 2019 dispute between the parties, who in turn determined that the 2019 proceedings did not resolve the issues currently in dispute. On August 5, 2020, Innoviva and TRC voluntarily dismissed the complaint, without prejudice. We </w:t>
      </w:r>
      <w:r>
        <w:rPr>
          <w:sz w:val="20"/>
          <w:szCs w:val="20"/>
        </w:rPr>
        <w:t xml:space="preserve">are pursuing and intend to continue to pursue the protection of our interests in this matter consistent with the dispute resolution procedures of the TRC LLC Agreement, including, if necessary, the initiation of a new arbitration proceeding. </w:t>
      </w:r>
    </w:p>
    <w:p w:rsidR="00000000" w:rsidRDefault="00C96329">
      <w:pPr>
        <w:pStyle w:val="a3"/>
        <w:spacing w:before="0" w:beforeAutospacing="0" w:after="0" w:afterAutospacing="0"/>
        <w:divId w:val="1749109482"/>
        <w:rPr>
          <w:sz w:val="20"/>
          <w:szCs w:val="20"/>
        </w:rPr>
      </w:pPr>
      <w:r>
        <w:rPr>
          <w:sz w:val="20"/>
          <w:szCs w:val="20"/>
        </w:rPr>
        <w:t>​</w:t>
      </w:r>
    </w:p>
    <w:p w:rsidR="00000000" w:rsidRDefault="00C96329">
      <w:pPr>
        <w:pStyle w:val="a3"/>
        <w:spacing w:before="0" w:beforeAutospacing="0" w:after="0" w:afterAutospacing="0"/>
        <w:divId w:val="1749109482"/>
        <w:rPr>
          <w:sz w:val="20"/>
          <w:szCs w:val="20"/>
        </w:rPr>
      </w:pPr>
      <w:r>
        <w:rPr>
          <w:b/>
          <w:bCs/>
          <w:sz w:val="20"/>
          <w:szCs w:val="20"/>
        </w:rPr>
        <w:t>ITEM 1A.  R</w:t>
      </w:r>
      <w:r>
        <w:rPr>
          <w:b/>
          <w:bCs/>
          <w:sz w:val="20"/>
          <w:szCs w:val="20"/>
        </w:rPr>
        <w:t>ISK FACTORS</w:t>
      </w:r>
    </w:p>
    <w:p w:rsidR="00000000" w:rsidRDefault="00C96329">
      <w:pPr>
        <w:pStyle w:val="a3"/>
        <w:spacing w:before="0" w:beforeAutospacing="0" w:after="0" w:afterAutospacing="0"/>
        <w:divId w:val="1749109482"/>
        <w:rPr>
          <w:sz w:val="20"/>
          <w:szCs w:val="20"/>
        </w:rPr>
      </w:pPr>
      <w:r>
        <w:rPr>
          <w:sz w:val="20"/>
          <w:szCs w:val="20"/>
        </w:rPr>
        <w:t>​</w:t>
      </w:r>
    </w:p>
    <w:p w:rsidR="00000000" w:rsidRDefault="00C96329">
      <w:pPr>
        <w:pStyle w:val="a3"/>
        <w:spacing w:before="0" w:beforeAutospacing="0" w:after="0" w:afterAutospacing="0"/>
        <w:divId w:val="1749109482"/>
        <w:rPr>
          <w:sz w:val="20"/>
          <w:szCs w:val="20"/>
        </w:rPr>
      </w:pPr>
      <w:r>
        <w:rPr>
          <w:b/>
          <w:bCs/>
          <w:sz w:val="20"/>
          <w:szCs w:val="20"/>
        </w:rPr>
        <w:t xml:space="preserve">RISKS RELATING TO THE COMPANY </w:t>
      </w:r>
    </w:p>
    <w:p w:rsidR="00000000" w:rsidRDefault="00C96329">
      <w:pPr>
        <w:pStyle w:val="a3"/>
        <w:spacing w:before="0" w:beforeAutospacing="0" w:after="0" w:afterAutospacing="0"/>
        <w:divId w:val="1749109482"/>
        <w:rPr>
          <w:sz w:val="20"/>
          <w:szCs w:val="20"/>
        </w:rPr>
      </w:pPr>
      <w:r>
        <w:rPr>
          <w:b/>
          <w:bCs/>
          <w:sz w:val="20"/>
          <w:szCs w:val="20"/>
        </w:rPr>
        <w:t>​</w:t>
      </w:r>
    </w:p>
    <w:p w:rsidR="00000000" w:rsidRDefault="00C96329">
      <w:pPr>
        <w:pStyle w:val="a3"/>
        <w:spacing w:before="0" w:beforeAutospacing="0" w:after="120" w:afterAutospacing="0"/>
        <w:divId w:val="1749109482"/>
        <w:rPr>
          <w:sz w:val="20"/>
          <w:szCs w:val="20"/>
        </w:rPr>
      </w:pPr>
      <w:r>
        <w:rPr>
          <w:b/>
          <w:bCs/>
          <w:i/>
          <w:iCs/>
          <w:sz w:val="20"/>
          <w:szCs w:val="20"/>
        </w:rPr>
        <w:t>We anticipate that we will incur losses for the foreseeable future. We may never achieve or sustain profitability.</w:t>
      </w:r>
    </w:p>
    <w:p w:rsidR="00000000" w:rsidRDefault="00C96329">
      <w:pPr>
        <w:pStyle w:val="a3"/>
        <w:spacing w:before="0" w:beforeAutospacing="0" w:after="200" w:afterAutospacing="0"/>
        <w:ind w:firstLine="720"/>
        <w:divId w:val="1749109482"/>
        <w:rPr>
          <w:sz w:val="20"/>
          <w:szCs w:val="20"/>
        </w:rPr>
      </w:pPr>
      <w:r>
        <w:rPr>
          <w:sz w:val="20"/>
          <w:szCs w:val="20"/>
        </w:rPr>
        <w:t xml:space="preserve">First as part of Innoviva, Inc., and since June 2, 2014 as Theravance Biopharma, we have been </w:t>
      </w:r>
      <w:r>
        <w:rPr>
          <w:sz w:val="20"/>
          <w:szCs w:val="20"/>
        </w:rPr>
        <w:t>engaged in discovery and development of compounds and product candidates since mid-1997. We may never generate sufficient revenue from the sale of medicines, royalties on sales by our partners or from our interest in Theravance Respiratory Company, LLC (“T</w:t>
      </w:r>
      <w:r>
        <w:rPr>
          <w:sz w:val="20"/>
          <w:szCs w:val="20"/>
        </w:rPr>
        <w:t xml:space="preserve">RC”) to achieve profitability. During the three and six months ended June 30, 2020 and years ended December 31, 2019 and 2018, we recognized net losses of $62.9 million, $145.9 million, $236.5 million, and $215.5 million, respectively, which are reflected </w:t>
      </w:r>
      <w:r>
        <w:rPr>
          <w:sz w:val="20"/>
          <w:szCs w:val="20"/>
        </w:rPr>
        <w:t>in the shareholders’ deficit on our condensed consolidated balance sheets. We reflect cumulative net loss incurred after June 2, 2014, the effective date of our spin-off from Innoviva, Inc. (the “Spin-Off”), as accumulated deficit on our condensed consolid</w:t>
      </w:r>
      <w:r>
        <w:rPr>
          <w:sz w:val="20"/>
          <w:szCs w:val="20"/>
        </w:rPr>
        <w:t>ated balance sheets, which was $1.4 billion as of June 30, 2020. We expect to continue to incur net losses at least over the next several years as we continue our drug discovery and development efforts and incur significant preclinical and clinical develop</w:t>
      </w:r>
      <w:r>
        <w:rPr>
          <w:sz w:val="20"/>
          <w:szCs w:val="20"/>
        </w:rPr>
        <w:t>ment costs related to our current product candidates and commercialization and development costs relating to YUPELRI. In particular, to the extent we continue to advance our product candidates into and through additional clinical studies, we will incur sub</w:t>
      </w:r>
      <w:r>
        <w:rPr>
          <w:sz w:val="20"/>
          <w:szCs w:val="20"/>
        </w:rPr>
        <w:t xml:space="preserve">stantial expenses. For example, we initiated a Phase 2b/3 induction and maintenance study of TD-1473 in ulcerative colitis, we initiated a Phase 2 induction study of TD-1473 in Crohn’s disease, and we have progressed ampreloxetine (TD-9855) into a Phase 3 </w:t>
      </w:r>
      <w:r>
        <w:rPr>
          <w:sz w:val="20"/>
          <w:szCs w:val="20"/>
        </w:rPr>
        <w:t xml:space="preserve">registrational program. The expenses associated with these clinical studies are substantial. We will incur costs and expenses associated with our co-promotion agreement with Mylan for commercialization of YUPELRI in the United States (“US”), including the </w:t>
      </w:r>
      <w:r>
        <w:rPr>
          <w:sz w:val="20"/>
          <w:szCs w:val="20"/>
        </w:rPr>
        <w:t>maintenance of an independent sales and marketing organization with appropriate technical expertise, a medical affairs presence and consultant support, and post-marketing studies. Our commitment of resources to the continued development of our existing pro</w:t>
      </w:r>
      <w:r>
        <w:rPr>
          <w:sz w:val="20"/>
          <w:szCs w:val="20"/>
        </w:rPr>
        <w:t>duct candidates, our discovery programs, and YUPELRI will require significant additional funding. Our operating expenses also will increase if, among other things: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49109482"/>
        </w:trPr>
        <w:tc>
          <w:tcPr>
            <w:tcW w:w="720" w:type="dxa"/>
            <w:tcMar>
              <w:top w:w="0" w:type="dxa"/>
              <w:left w:w="0" w:type="dxa"/>
              <w:bottom w:w="0" w:type="dxa"/>
              <w:right w:w="0" w:type="dxa"/>
            </w:tcMar>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our earlier stage potential products move into later-stage clinical development, which is generally more expensive than early stage development;</w:t>
            </w:r>
          </w:p>
        </w:tc>
      </w:tr>
    </w:tbl>
    <w:p w:rsidR="00000000" w:rsidRDefault="00C96329">
      <w:pPr>
        <w:divId w:val="174910948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298"/>
      </w:tblGrid>
      <w:tr w:rsidR="00000000">
        <w:trPr>
          <w:divId w:val="1749109482"/>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additional preclinical product candidates are selected for clinical development;</w:t>
            </w:r>
          </w:p>
        </w:tc>
      </w:tr>
    </w:tbl>
    <w:p w:rsidR="00000000" w:rsidRDefault="00C96329">
      <w:pPr>
        <w:divId w:val="174910948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965"/>
      </w:tblGrid>
      <w:tr w:rsidR="00000000">
        <w:trPr>
          <w:divId w:val="1749109482"/>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we pursue clinical d</w:t>
            </w:r>
            <w:r>
              <w:rPr>
                <w:sz w:val="20"/>
                <w:szCs w:val="20"/>
              </w:rPr>
              <w:t>evelopment of our potential or current products in new indications;</w:t>
            </w:r>
          </w:p>
        </w:tc>
      </w:tr>
    </w:tbl>
    <w:p w:rsidR="00000000" w:rsidRDefault="00C96329">
      <w:pPr>
        <w:pStyle w:val="a3"/>
        <w:spacing w:before="360" w:beforeAutospacing="0" w:after="0" w:afterAutospacing="0"/>
        <w:jc w:val="center"/>
        <w:divId w:val="580991454"/>
        <w:rPr>
          <w:sz w:val="20"/>
          <w:szCs w:val="20"/>
        </w:rPr>
      </w:pPr>
      <w:r>
        <w:rPr>
          <w:sz w:val="20"/>
          <w:szCs w:val="20"/>
        </w:rPr>
        <w:t>37</w:t>
      </w:r>
    </w:p>
    <w:p w:rsidR="00000000" w:rsidRDefault="00C96329">
      <w:pPr>
        <w:pStyle w:val="a3"/>
        <w:spacing w:before="0" w:beforeAutospacing="0" w:after="600" w:afterAutospacing="0"/>
        <w:divId w:val="1526677203"/>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8905157"/>
        </w:trPr>
        <w:tc>
          <w:tcPr>
            <w:tcW w:w="720" w:type="dxa"/>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C96329">
            <w:pPr>
              <w:spacing w:after="200"/>
              <w:rPr>
                <w:rFonts w:eastAsia="Times New Roman"/>
                <w:sz w:val="20"/>
                <w:szCs w:val="20"/>
              </w:rPr>
            </w:pPr>
            <w:r>
              <w:rPr>
                <w:rFonts w:eastAsia="Times New Roman"/>
                <w:color w:val="000000"/>
                <w:sz w:val="20"/>
                <w:szCs w:val="20"/>
              </w:rPr>
              <w:t xml:space="preserve">our clinical trials become more complicated due to the COVID-19 pandemic or other similar external factors; </w:t>
            </w:r>
          </w:p>
        </w:tc>
      </w:tr>
    </w:tbl>
    <w:p w:rsidR="00000000" w:rsidRDefault="00C96329">
      <w:pPr>
        <w:divId w:val="15289051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8905157"/>
        </w:trPr>
        <w:tc>
          <w:tcPr>
            <w:tcW w:w="720" w:type="dxa"/>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C96329">
            <w:pPr>
              <w:rPr>
                <w:rFonts w:eastAsia="Times New Roman"/>
                <w:sz w:val="20"/>
                <w:szCs w:val="20"/>
              </w:rPr>
            </w:pPr>
            <w:r>
              <w:rPr>
                <w:rFonts w:eastAsia="Times New Roman"/>
                <w:color w:val="000000"/>
                <w:sz w:val="20"/>
                <w:szCs w:val="20"/>
              </w:rPr>
              <w:t>we increase the number of patents we are prosecuting or otherwise expend additional resources on patent prosecution or defense; or</w:t>
            </w:r>
          </w:p>
        </w:tc>
      </w:tr>
    </w:tbl>
    <w:p w:rsidR="00000000" w:rsidRDefault="00C96329">
      <w:pPr>
        <w:divId w:val="152890515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8905157"/>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we acquire or in-license additional technologies, product candidates, products or businesses.</w:t>
            </w:r>
          </w:p>
        </w:tc>
      </w:tr>
    </w:tbl>
    <w:p w:rsidR="00000000" w:rsidRDefault="00C96329">
      <w:pPr>
        <w:pStyle w:val="a3"/>
        <w:spacing w:before="0" w:beforeAutospacing="0" w:after="200" w:afterAutospacing="0"/>
        <w:ind w:firstLine="720"/>
        <w:divId w:val="1528905157"/>
        <w:rPr>
          <w:sz w:val="20"/>
          <w:szCs w:val="20"/>
        </w:rPr>
      </w:pPr>
      <w:r>
        <w:rPr>
          <w:sz w:val="20"/>
          <w:szCs w:val="20"/>
        </w:rPr>
        <w:t>While we are generating r</w:t>
      </w:r>
      <w:r>
        <w:rPr>
          <w:sz w:val="20"/>
          <w:szCs w:val="20"/>
        </w:rPr>
        <w:t>evenues from (i) sales of YUPELRI, (ii) our economic interest in royalties from net sales of TRELEGY paid to TRC (63.75% of which amounts are used to make payments on the Non-Recourse 2035 Notes), (iii) payments under collaboration agreements, and (iv) min</w:t>
      </w:r>
      <w:r>
        <w:rPr>
          <w:sz w:val="20"/>
          <w:szCs w:val="20"/>
        </w:rPr>
        <w:t>or royalties from the net sales of VIBATIV, we do not expect to generate significant revenues or become profitable in the immediate future. As a result of the COVID-19 pandemic (defined below), we could experience declines in revenues from these sources. S</w:t>
      </w:r>
      <w:r>
        <w:rPr>
          <w:sz w:val="20"/>
          <w:szCs w:val="20"/>
        </w:rPr>
        <w:t>ince we or our collaborators or licensees may not successfully develop additional products, obtain required regulatory approvals, manufacture products at an acceptable cost or with appropriate quality, or successfully market and sell such products with des</w:t>
      </w:r>
      <w:r>
        <w:rPr>
          <w:sz w:val="20"/>
          <w:szCs w:val="20"/>
        </w:rPr>
        <w:t>ired margins, our expenses will continue to exceed any revenues we may receive for the foreseeable future.</w:t>
      </w:r>
    </w:p>
    <w:p w:rsidR="00000000" w:rsidRDefault="00C96329">
      <w:pPr>
        <w:pStyle w:val="a3"/>
        <w:spacing w:before="0" w:beforeAutospacing="0" w:after="200" w:afterAutospacing="0"/>
        <w:ind w:firstLine="720"/>
        <w:divId w:val="1528905157"/>
        <w:rPr>
          <w:sz w:val="20"/>
          <w:szCs w:val="20"/>
        </w:rPr>
      </w:pPr>
      <w:r>
        <w:rPr>
          <w:sz w:val="20"/>
          <w:szCs w:val="20"/>
        </w:rPr>
        <w:t>In the absence of substantial licensing payments, contingent payments or other revenues from third-party collaborators, royalties on sales of product</w:t>
      </w:r>
      <w:r>
        <w:rPr>
          <w:sz w:val="20"/>
          <w:szCs w:val="20"/>
        </w:rPr>
        <w:t>s licensed under our intellectual property rights, future revenues from those product candidates in development that receive regulatory approval or other sources of revenues, we will continue to incur operating losses and will require additional capital to</w:t>
      </w:r>
      <w:r>
        <w:rPr>
          <w:sz w:val="20"/>
          <w:szCs w:val="20"/>
        </w:rPr>
        <w:t xml:space="preserve"> execute our business strategy. The likelihood of reaching, and the time required to reach, and then to sustain, profitability are highly uncertain. As a result, we expect to continue to incur substantial losses for the foreseeable future. We are uncertain</w:t>
      </w:r>
      <w:r>
        <w:rPr>
          <w:sz w:val="20"/>
          <w:szCs w:val="20"/>
        </w:rPr>
        <w:t xml:space="preserve"> when or if we will ever be able to achieve or sustain profitability. Failure to become and remain profitable would adversely affect the price of our securities and our ability to raise capital and continue operations.</w:t>
      </w:r>
    </w:p>
    <w:p w:rsidR="00000000" w:rsidRDefault="00C96329">
      <w:pPr>
        <w:pStyle w:val="a3"/>
        <w:spacing w:before="0" w:beforeAutospacing="0" w:after="120" w:afterAutospacing="0"/>
        <w:divId w:val="1528905157"/>
        <w:rPr>
          <w:sz w:val="20"/>
          <w:szCs w:val="20"/>
        </w:rPr>
      </w:pPr>
      <w:r>
        <w:rPr>
          <w:b/>
          <w:bCs/>
          <w:i/>
          <w:iCs/>
          <w:sz w:val="20"/>
          <w:szCs w:val="20"/>
        </w:rPr>
        <w:t>We face risks related to health epide</w:t>
      </w:r>
      <w:r>
        <w:rPr>
          <w:b/>
          <w:bCs/>
          <w:i/>
          <w:iCs/>
          <w:sz w:val="20"/>
          <w:szCs w:val="20"/>
        </w:rPr>
        <w:t>mics, including the recent COVID-19 pandemic, which could have a material adverse effect on our business and results of operations.</w:t>
      </w:r>
    </w:p>
    <w:p w:rsidR="00000000" w:rsidRDefault="00C96329">
      <w:pPr>
        <w:pStyle w:val="a3"/>
        <w:spacing w:before="0" w:beforeAutospacing="0" w:after="200" w:afterAutospacing="0"/>
        <w:ind w:firstLine="720"/>
        <w:divId w:val="1528905157"/>
        <w:rPr>
          <w:sz w:val="20"/>
          <w:szCs w:val="20"/>
        </w:rPr>
      </w:pPr>
      <w:r>
        <w:rPr>
          <w:sz w:val="20"/>
          <w:szCs w:val="20"/>
        </w:rPr>
        <w:t>Our business has been and will continue to be adversely affected by the recent widespread and contagious outbreak of respira</w:t>
      </w:r>
      <w:r>
        <w:rPr>
          <w:sz w:val="20"/>
          <w:szCs w:val="20"/>
        </w:rPr>
        <w:t>tory illness caused by a novel strain of coronavirus, SARS-CoV-2, causing the Coronavirus Disease 2019, also known as COVID-19 (the “COVID-19 pandemic”). Global health concerns relating to the COVID-19 pandemic have been weighing on the macroeconomic envir</w:t>
      </w:r>
      <w:r>
        <w:rPr>
          <w:sz w:val="20"/>
          <w:szCs w:val="20"/>
        </w:rPr>
        <w:t>onment, and the pandemic has significantly increased economic volatility and uncertainty.</w:t>
      </w:r>
    </w:p>
    <w:p w:rsidR="00000000" w:rsidRDefault="00C96329">
      <w:pPr>
        <w:pStyle w:val="a3"/>
        <w:spacing w:before="0" w:beforeAutospacing="0" w:after="200" w:afterAutospacing="0"/>
        <w:ind w:firstLine="720"/>
        <w:divId w:val="1528905157"/>
        <w:rPr>
          <w:sz w:val="20"/>
          <w:szCs w:val="20"/>
        </w:rPr>
      </w:pPr>
      <w:r>
        <w:rPr>
          <w:sz w:val="20"/>
          <w:szCs w:val="20"/>
        </w:rPr>
        <w:t>The pandemic has resulted in government authorities implementing numerous measures to try to contain the virus, such as travel bans and restrictions, quarantines, she</w:t>
      </w:r>
      <w:r>
        <w:rPr>
          <w:sz w:val="20"/>
          <w:szCs w:val="20"/>
        </w:rPr>
        <w:t>lter-in-place or stay-at-home orders, and business shutdowns. These measures have adversely impacted and may further impact our employees and operations and the operations of our customers, suppliers and business partners, and may negatively impact spendin</w:t>
      </w:r>
      <w:r>
        <w:rPr>
          <w:sz w:val="20"/>
          <w:szCs w:val="20"/>
        </w:rPr>
        <w:t>g patterns, payment cycles and insurance coverage levels. In addition, certain aspects of our business, such as laboratory-based research, cannot be conducted remotely and other aspects of our business, like our hospital-based sales team, our field-based m</w:t>
      </w:r>
      <w:r>
        <w:rPr>
          <w:sz w:val="20"/>
          <w:szCs w:val="20"/>
        </w:rPr>
        <w:t>edical affairs team, and our support of sites in our clinical trials, cannot be accomplished as effectively or efficiently remotely. These measures by government authorities, as well as the precautions we will take in order to operate our business responsi</w:t>
      </w:r>
      <w:r>
        <w:rPr>
          <w:sz w:val="20"/>
          <w:szCs w:val="20"/>
        </w:rPr>
        <w:t>bly in light of the COVID-19 pandemic, may continue to remain in place for a significant period of time, and they are likely to continue to adversely affect our business and results of operations.</w:t>
      </w:r>
    </w:p>
    <w:p w:rsidR="00000000" w:rsidRDefault="00C96329">
      <w:pPr>
        <w:pStyle w:val="a3"/>
        <w:spacing w:before="0" w:beforeAutospacing="0" w:after="0" w:afterAutospacing="0"/>
        <w:ind w:firstLine="720"/>
        <w:divId w:val="1528905157"/>
        <w:rPr>
          <w:sz w:val="20"/>
          <w:szCs w:val="20"/>
        </w:rPr>
      </w:pPr>
      <w:r>
        <w:rPr>
          <w:sz w:val="20"/>
          <w:szCs w:val="20"/>
        </w:rPr>
        <w:t>In addition, we expect sales cycles, particularly for new c</w:t>
      </w:r>
      <w:r>
        <w:rPr>
          <w:sz w:val="20"/>
          <w:szCs w:val="20"/>
        </w:rPr>
        <w:t>ustomers, to be impacted as a result of the COVID-19 pandemic, and we have observed increased volatility in YUPELRI sales. Sales momentum has been affected by COVID-19 and may continue to be in the future. We market YUPELRI in the hospital setting, where h</w:t>
      </w:r>
      <w:r>
        <w:rPr>
          <w:sz w:val="20"/>
          <w:szCs w:val="20"/>
        </w:rPr>
        <w:t>ealthcare workers are prioritizing the treatment of patients with or suspected of COVID-19 disease. In mid-March 2020, we suspended in-person sales calls to accounts in response to the COVID-19 pandemic. We are currently engaging with these customers in-pe</w:t>
      </w:r>
      <w:r>
        <w:rPr>
          <w:sz w:val="20"/>
          <w:szCs w:val="20"/>
        </w:rPr>
        <w:t xml:space="preserve">rson when certain criteria are met and remotely via telephone calls, electronic mail, digital outreach or video conferencing as we seek to continue to support healthcare professionals and patient care. Customer orders or delays in starting new patients on </w:t>
      </w:r>
      <w:r>
        <w:rPr>
          <w:sz w:val="20"/>
          <w:szCs w:val="20"/>
        </w:rPr>
        <w:t>YUPELRI may decline as a result of, among other things, advance sales due to an early stock-up of supply, a shift in our marketing efforts to remote communication methods, increased workload of healthcare providers, and the impact of the Center for Disease</w:t>
      </w:r>
      <w:r>
        <w:rPr>
          <w:sz w:val="20"/>
          <w:szCs w:val="20"/>
        </w:rPr>
        <w:t xml:space="preserve"> Control interim guidelines for limiting the exposure of health care workers to the virus that causes COVID-19, in which drug nebulization in COVID-19 positive patients is listed as a high-risk exposure while present in the </w:t>
      </w:r>
    </w:p>
    <w:p w:rsidR="00000000" w:rsidRDefault="00C96329">
      <w:pPr>
        <w:pStyle w:val="a3"/>
        <w:spacing w:before="360" w:beforeAutospacing="0" w:after="0" w:afterAutospacing="0"/>
        <w:jc w:val="center"/>
        <w:divId w:val="1269464097"/>
        <w:rPr>
          <w:sz w:val="20"/>
          <w:szCs w:val="20"/>
        </w:rPr>
      </w:pPr>
      <w:r>
        <w:rPr>
          <w:sz w:val="20"/>
          <w:szCs w:val="20"/>
        </w:rPr>
        <w:t>38</w:t>
      </w:r>
    </w:p>
    <w:p w:rsidR="00000000" w:rsidRDefault="00C96329">
      <w:pPr>
        <w:pStyle w:val="a3"/>
        <w:spacing w:before="0" w:beforeAutospacing="0" w:after="600" w:afterAutospacing="0"/>
        <w:divId w:val="695812961"/>
        <w:rPr>
          <w:sz w:val="20"/>
          <w:szCs w:val="20"/>
        </w:rPr>
      </w:pPr>
      <w:hyperlink w:anchor="TOC" w:history="1">
        <w:r>
          <w:rPr>
            <w:rStyle w:val="a4"/>
            <w:sz w:val="20"/>
            <w:szCs w:val="20"/>
          </w:rPr>
          <w:t>Table of Contents</w:t>
        </w:r>
      </w:hyperlink>
    </w:p>
    <w:p w:rsidR="00000000" w:rsidRDefault="00C96329">
      <w:pPr>
        <w:pStyle w:val="a3"/>
        <w:spacing w:before="0" w:beforeAutospacing="0" w:after="200" w:afterAutospacing="0"/>
        <w:divId w:val="2094934260"/>
        <w:rPr>
          <w:sz w:val="20"/>
          <w:szCs w:val="20"/>
        </w:rPr>
      </w:pPr>
      <w:r>
        <w:rPr>
          <w:sz w:val="20"/>
          <w:szCs w:val="20"/>
        </w:rPr>
        <w:t>room for procedures when the healthcare providers’ eyes, nose, or mouth are not protected. We are preparing for a higher degree of volatility during the remainder of 2020 as disruptions of day-to-day operations o</w:t>
      </w:r>
      <w:r>
        <w:rPr>
          <w:sz w:val="20"/>
          <w:szCs w:val="20"/>
        </w:rPr>
        <w:t>f hospitals and clinics may continue. In addition, while we do not currently anticipate any supply issues, the COVID-19 pandemic could impact our supply of YUPELRI in the future. At this stage, we are unable to predict with certainty the ultimate disruptiv</w:t>
      </w:r>
      <w:r>
        <w:rPr>
          <w:sz w:val="20"/>
          <w:szCs w:val="20"/>
        </w:rPr>
        <w:t>e impact of the COVID-19 pandemic on both YUPELRI and the rest of our business.</w:t>
      </w:r>
      <w:r>
        <w:rPr>
          <w:sz w:val="20"/>
          <w:szCs w:val="20"/>
        </w:rPr>
        <w:t xml:space="preserve"> </w:t>
      </w:r>
    </w:p>
    <w:p w:rsidR="00000000" w:rsidRDefault="00C96329">
      <w:pPr>
        <w:pStyle w:val="a3"/>
        <w:spacing w:before="0" w:beforeAutospacing="0" w:after="200" w:afterAutospacing="0"/>
        <w:ind w:firstLine="720"/>
        <w:divId w:val="2094934260"/>
        <w:rPr>
          <w:sz w:val="20"/>
          <w:szCs w:val="20"/>
        </w:rPr>
      </w:pPr>
      <w:r>
        <w:rPr>
          <w:sz w:val="20"/>
          <w:szCs w:val="20"/>
        </w:rPr>
        <w:t>In addition, the COVID-19 pandemic makes the conduct of clinical trials more challenging given the paramount importance of adequate safety monitoring, collection of data and d</w:t>
      </w:r>
      <w:r>
        <w:rPr>
          <w:sz w:val="20"/>
          <w:szCs w:val="20"/>
        </w:rPr>
        <w:t xml:space="preserve">istribution of study drug, all of which are traditionally achieved by in person visits to our study sites. </w:t>
      </w:r>
      <w:r>
        <w:rPr>
          <w:sz w:val="20"/>
          <w:szCs w:val="20"/>
          <w:shd w:val="clear" w:color="auto" w:fill="FFFFFF"/>
        </w:rPr>
        <w:t xml:space="preserve">We expect challenges to continue to arise from </w:t>
      </w:r>
      <w:r>
        <w:rPr>
          <w:sz w:val="20"/>
          <w:szCs w:val="20"/>
        </w:rPr>
        <w:t>quarantines, shelter-in-place or stay-at-home orders</w:t>
      </w:r>
      <w:r>
        <w:rPr>
          <w:sz w:val="20"/>
          <w:szCs w:val="20"/>
          <w:shd w:val="clear" w:color="auto" w:fill="FFFFFF"/>
        </w:rPr>
        <w:t>, site closures, travel limitations, potential int</w:t>
      </w:r>
      <w:r>
        <w:rPr>
          <w:sz w:val="20"/>
          <w:szCs w:val="20"/>
          <w:shd w:val="clear" w:color="auto" w:fill="FFFFFF"/>
        </w:rPr>
        <w:t xml:space="preserve">erruptions to the supply chain for investigational products, or other considerations if site personnel or trial subjects become infected with COVID-19. These challenges may lead to difficulties in meeting protocol-specified procedures. </w:t>
      </w:r>
      <w:r>
        <w:rPr>
          <w:sz w:val="20"/>
          <w:szCs w:val="20"/>
        </w:rPr>
        <w:t>In light of the COVI</w:t>
      </w:r>
      <w:r>
        <w:rPr>
          <w:sz w:val="20"/>
          <w:szCs w:val="20"/>
        </w:rPr>
        <w:t>D-19 pandemic, the Company is implementing mitigation plans to help ensure patients in the clinical trials have continued access to drug supply and regular visits with their physicians for study visits per trial protocols, but there is a risk that our tria</w:t>
      </w:r>
      <w:r>
        <w:rPr>
          <w:sz w:val="20"/>
          <w:szCs w:val="20"/>
        </w:rPr>
        <w:t xml:space="preserve">l data could be impacted if our efforts are insufficient. It is also possible that demand for products that we may pursue could be materially and adversely affected as a result of COVID-19 and any related economic impact. Furthermore, we cannot assure you </w:t>
      </w:r>
      <w:r>
        <w:rPr>
          <w:sz w:val="20"/>
          <w:szCs w:val="20"/>
        </w:rPr>
        <w:t>that our publicly-announced initiatives addressing COVID-19 will result in commercially-viable products.</w:t>
      </w:r>
    </w:p>
    <w:p w:rsidR="00000000" w:rsidRDefault="00C96329">
      <w:pPr>
        <w:pStyle w:val="a3"/>
        <w:spacing w:before="0" w:beforeAutospacing="0" w:after="200" w:afterAutospacing="0"/>
        <w:ind w:firstLine="720"/>
        <w:divId w:val="2094934260"/>
        <w:rPr>
          <w:sz w:val="20"/>
          <w:szCs w:val="20"/>
        </w:rPr>
      </w:pPr>
      <w:r>
        <w:rPr>
          <w:sz w:val="20"/>
          <w:szCs w:val="20"/>
        </w:rPr>
        <w:t xml:space="preserve">The spread of COVID-19 has caused us to modify our business practices (including employee travel, mandating that all non-essential personnel work from </w:t>
      </w:r>
      <w:r>
        <w:rPr>
          <w:sz w:val="20"/>
          <w:szCs w:val="20"/>
        </w:rPr>
        <w:t xml:space="preserve">home, temporary closures of our offices, and reduction of physical participation in commercial activities, meetings, events and conferences), and we may take further actions as may be required by government authorities or that we determine are in the best </w:t>
      </w:r>
      <w:r>
        <w:rPr>
          <w:sz w:val="20"/>
          <w:szCs w:val="20"/>
        </w:rPr>
        <w:t>interests of our employees, customers and business partners. There is no certainty that such actions will be sufficient to mitigate the risks posed by the virus or otherwise be satisfactory to government authorities. If significant portions of our workforc</w:t>
      </w:r>
      <w:r>
        <w:rPr>
          <w:sz w:val="20"/>
          <w:szCs w:val="20"/>
        </w:rPr>
        <w:t>e, and particularly our field-based teams and laboratory staff, are unable to work effectively, including due to illness, quarantines, social distancing, government actions or other restrictions in connection with the COVID-19 pandemic, our operations will</w:t>
      </w:r>
      <w:r>
        <w:rPr>
          <w:sz w:val="20"/>
          <w:szCs w:val="20"/>
        </w:rPr>
        <w:t xml:space="preserve"> be impacted. The COVID-19 pandemic could limit the ability of our customers, suppliers and business partners to perform under their contracts with us, including third-party payers’ ability to make timely payments to us during and following the pandemic. W</w:t>
      </w:r>
      <w:r>
        <w:rPr>
          <w:sz w:val="20"/>
          <w:szCs w:val="20"/>
        </w:rPr>
        <w:t>e may also experience a shortage of supplies and materials or a suspension of services from third parties. Additionally, while the potential economic impact brought by, and the duration of, the coronavirus pandemic is difficult to assess or predict, the im</w:t>
      </w:r>
      <w:r>
        <w:rPr>
          <w:sz w:val="20"/>
          <w:szCs w:val="20"/>
        </w:rPr>
        <w:t>pact of the coronavirus on the global financial markets may reduce our ability to access capital, which could negatively impact our long-term liquidity. Even after the COVID-19 pandemic has subsided, we may continue to experience an adverse impact to our b</w:t>
      </w:r>
      <w:r>
        <w:rPr>
          <w:sz w:val="20"/>
          <w:szCs w:val="20"/>
        </w:rPr>
        <w:t>usiness as a result of its global economic impact, including any recession that has occurred or may occur in the future.</w:t>
      </w:r>
    </w:p>
    <w:p w:rsidR="00000000" w:rsidRDefault="00C96329">
      <w:pPr>
        <w:pStyle w:val="a3"/>
        <w:spacing w:before="0" w:beforeAutospacing="0" w:after="200" w:afterAutospacing="0"/>
        <w:ind w:firstLine="720"/>
        <w:divId w:val="2094934260"/>
        <w:rPr>
          <w:sz w:val="20"/>
          <w:szCs w:val="20"/>
        </w:rPr>
      </w:pPr>
      <w:r>
        <w:rPr>
          <w:sz w:val="20"/>
          <w:szCs w:val="20"/>
        </w:rPr>
        <w:t>The extent to which the COVID-19 pandemic impacts our business, results of operations and financial condition will depend on future dev</w:t>
      </w:r>
      <w:r>
        <w:rPr>
          <w:sz w:val="20"/>
          <w:szCs w:val="20"/>
        </w:rPr>
        <w:t>elopments, which are highly uncertain and difficult to predict, including, but not limited to, the duration and spread of the pandemic, its severity, the actions to contain the virus or address its impact, and how quickly and to what extent normal economic</w:t>
      </w:r>
      <w:r>
        <w:rPr>
          <w:sz w:val="20"/>
          <w:szCs w:val="20"/>
        </w:rPr>
        <w:t xml:space="preserve"> and operating activities can resume. There are no comparable recent events which may provide guidance as to the effect of the spread of the COVID-19 pandemic, and, as a result, the ultimate impact of the COVID-19 pandemic or a similar health epidemic is h</w:t>
      </w:r>
      <w:r>
        <w:rPr>
          <w:sz w:val="20"/>
          <w:szCs w:val="20"/>
        </w:rPr>
        <w:t>ighly uncertain and subject to change. We do not yet know the full extent of COVID-19’s impact on our business, our operations, or the global economy as a whole. However, the effects will have a material adverse impact on our future results of operations.</w:t>
      </w:r>
    </w:p>
    <w:p w:rsidR="00000000" w:rsidRDefault="00C96329">
      <w:pPr>
        <w:pStyle w:val="a3"/>
        <w:spacing w:before="0" w:beforeAutospacing="0" w:after="120" w:afterAutospacing="0"/>
        <w:divId w:val="2094934260"/>
        <w:rPr>
          <w:sz w:val="20"/>
          <w:szCs w:val="20"/>
        </w:rPr>
      </w:pPr>
      <w:r>
        <w:rPr>
          <w:b/>
          <w:bCs/>
          <w:i/>
          <w:iCs/>
          <w:sz w:val="20"/>
          <w:szCs w:val="20"/>
        </w:rPr>
        <w:t>Any delay in commencing or completing clinical studies for product candidates and any adverse results from clinical or non-clinical studies or regulatory obstacles product candidates may face, would harm our business and the price of our securities could f</w:t>
      </w:r>
      <w:r>
        <w:rPr>
          <w:b/>
          <w:bCs/>
          <w:i/>
          <w:iCs/>
          <w:sz w:val="20"/>
          <w:szCs w:val="20"/>
        </w:rPr>
        <w:t>all.</w:t>
      </w:r>
    </w:p>
    <w:p w:rsidR="00000000" w:rsidRDefault="00C96329">
      <w:pPr>
        <w:pStyle w:val="a3"/>
        <w:spacing w:before="0" w:beforeAutospacing="0" w:after="200" w:afterAutospacing="0"/>
        <w:ind w:firstLine="720"/>
        <w:divId w:val="2094934260"/>
        <w:rPr>
          <w:sz w:val="20"/>
          <w:szCs w:val="20"/>
        </w:rPr>
      </w:pPr>
      <w:r>
        <w:rPr>
          <w:sz w:val="20"/>
          <w:szCs w:val="20"/>
        </w:rPr>
        <w:t>Each of our product candidates must undergo extensive non-clinical and clinical studies as a condition to regulatory approval. Non-clinical and clinical studies are expensive, take many years to complete and study results may lead to delays in further</w:t>
      </w:r>
      <w:r>
        <w:rPr>
          <w:sz w:val="20"/>
          <w:szCs w:val="20"/>
        </w:rPr>
        <w:t xml:space="preserve"> studies, new requirements for conducting future studies or decisions to terminate programs. The commencement and completion of clinical studies for our product candidates may be delayed and programs may be terminated due to many factors, including, but no</w:t>
      </w:r>
      <w:r>
        <w:rPr>
          <w:sz w:val="20"/>
          <w:szCs w:val="20"/>
        </w:rPr>
        <w:t>t limited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88"/>
      </w:tblGrid>
      <w:tr w:rsidR="00000000">
        <w:trPr>
          <w:divId w:val="2094934260"/>
        </w:trPr>
        <w:tc>
          <w:tcPr>
            <w:tcW w:w="720" w:type="dxa"/>
            <w:tcMar>
              <w:top w:w="0" w:type="dxa"/>
              <w:left w:w="0" w:type="dxa"/>
              <w:bottom w:w="0" w:type="dxa"/>
              <w:right w:w="0" w:type="dxa"/>
            </w:tcMar>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lack of effectiveness of product candidates during clinical studies;</w:t>
            </w:r>
          </w:p>
        </w:tc>
      </w:tr>
    </w:tbl>
    <w:p w:rsidR="00000000" w:rsidRDefault="00C96329">
      <w:pPr>
        <w:pStyle w:val="a3"/>
        <w:spacing w:before="360" w:beforeAutospacing="0" w:after="0" w:afterAutospacing="0"/>
        <w:jc w:val="center"/>
        <w:divId w:val="501890828"/>
        <w:rPr>
          <w:sz w:val="20"/>
          <w:szCs w:val="20"/>
        </w:rPr>
      </w:pPr>
      <w:r>
        <w:rPr>
          <w:sz w:val="20"/>
          <w:szCs w:val="20"/>
        </w:rPr>
        <w:t>39</w:t>
      </w:r>
    </w:p>
    <w:p w:rsidR="00000000" w:rsidRDefault="00C96329">
      <w:pPr>
        <w:pStyle w:val="a3"/>
        <w:spacing w:before="0" w:beforeAutospacing="0" w:after="600" w:afterAutospacing="0"/>
        <w:divId w:val="1349603116"/>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13666505"/>
        </w:trPr>
        <w:tc>
          <w:tcPr>
            <w:tcW w:w="720" w:type="dxa"/>
            <w:tcMar>
              <w:top w:w="0" w:type="dxa"/>
              <w:left w:w="0" w:type="dxa"/>
              <w:bottom w:w="0" w:type="dxa"/>
              <w:right w:w="0" w:type="dxa"/>
            </w:tcMar>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adverse events, safety issues or side effects (or perceived adverse developments or results) relating to the product ca</w:t>
            </w:r>
            <w:r>
              <w:rPr>
                <w:sz w:val="20"/>
                <w:szCs w:val="20"/>
              </w:rPr>
              <w:t>ndidates or their formulation into medicines;</w:t>
            </w:r>
          </w:p>
        </w:tc>
      </w:tr>
    </w:tbl>
    <w:p w:rsidR="00000000" w:rsidRDefault="00C96329">
      <w:pPr>
        <w:divId w:val="41366650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13666505"/>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inability to raise additional capital in sufficient amounts to continue our development programs, which are very expensive;</w:t>
            </w:r>
          </w:p>
        </w:tc>
      </w:tr>
    </w:tbl>
    <w:p w:rsidR="00000000" w:rsidRDefault="00C96329">
      <w:pPr>
        <w:divId w:val="41366650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13666505"/>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inability to enter into partnering arrangements relating to the development and commercialization of our programs and product c</w:t>
            </w:r>
            <w:r>
              <w:rPr>
                <w:sz w:val="20"/>
                <w:szCs w:val="20"/>
              </w:rPr>
              <w:t>andidates;</w:t>
            </w:r>
          </w:p>
        </w:tc>
      </w:tr>
    </w:tbl>
    <w:p w:rsidR="00000000" w:rsidRDefault="00C96329">
      <w:pPr>
        <w:divId w:val="41366650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13666505"/>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delays in patient enrollment and variability in the number and types of patients available for clinical studies;</w:t>
            </w:r>
          </w:p>
        </w:tc>
      </w:tr>
    </w:tbl>
    <w:p w:rsidR="00000000" w:rsidRDefault="00C96329">
      <w:pPr>
        <w:divId w:val="41366650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13666505"/>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need to sequence clinical studies as opposed to conducting them concomitantly in order to conserve resources;</w:t>
            </w:r>
          </w:p>
        </w:tc>
      </w:tr>
    </w:tbl>
    <w:p w:rsidR="00000000" w:rsidRDefault="00C96329">
      <w:pPr>
        <w:divId w:val="41366650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13666505"/>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our inability or the inability of our collaborators or licensees to manufacture or obtain from third parties materials sufficient for use</w:t>
            </w:r>
            <w:r>
              <w:rPr>
                <w:sz w:val="20"/>
                <w:szCs w:val="20"/>
              </w:rPr>
              <w:t xml:space="preserve"> in non-clinical and clinical studies;</w:t>
            </w:r>
          </w:p>
        </w:tc>
      </w:tr>
    </w:tbl>
    <w:p w:rsidR="00000000" w:rsidRDefault="00C96329">
      <w:pPr>
        <w:divId w:val="41366650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13666505"/>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governmental or regulatory delays or suspensions of the conduct of the clinical trials and changes in regulatory requirements, policy and guidelines, including as a result of any class-based risks that emerge as an area of FDA or other regulatory agency fo</w:t>
            </w:r>
            <w:r>
              <w:rPr>
                <w:sz w:val="20"/>
                <w:szCs w:val="20"/>
              </w:rPr>
              <w:t>cus;</w:t>
            </w:r>
          </w:p>
        </w:tc>
      </w:tr>
    </w:tbl>
    <w:p w:rsidR="00000000" w:rsidRDefault="00C96329">
      <w:pPr>
        <w:divId w:val="41366650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13666505"/>
        </w:trPr>
        <w:tc>
          <w:tcPr>
            <w:tcW w:w="720" w:type="dxa"/>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rPr>
                <w:rFonts w:eastAsia="Times New Roman"/>
                <w:sz w:val="14"/>
                <w:szCs w:val="14"/>
              </w:rPr>
            </w:pPr>
            <w:r>
              <w:rPr>
                <w:rFonts w:eastAsia="Times New Roman"/>
                <w:sz w:val="14"/>
                <w:szCs w:val="14"/>
              </w:rPr>
              <w:t>●</w:t>
            </w:r>
          </w:p>
        </w:tc>
        <w:tc>
          <w:tcPr>
            <w:tcW w:w="0" w:type="auto"/>
            <w:tcMar>
              <w:top w:w="0" w:type="dxa"/>
              <w:left w:w="0" w:type="dxa"/>
              <w:bottom w:w="0" w:type="dxa"/>
              <w:right w:w="0" w:type="dxa"/>
            </w:tcMar>
            <w:vAlign w:val="center"/>
            <w:hideMark/>
          </w:tcPr>
          <w:p w:rsidR="00000000" w:rsidRDefault="00C96329">
            <w:pPr>
              <w:rPr>
                <w:rFonts w:eastAsia="Times New Roman"/>
                <w:sz w:val="20"/>
                <w:szCs w:val="20"/>
              </w:rPr>
            </w:pPr>
            <w:r>
              <w:rPr>
                <w:rFonts w:eastAsia="Times New Roman"/>
                <w:color w:val="000000"/>
                <w:sz w:val="20"/>
                <w:szCs w:val="20"/>
              </w:rPr>
              <w:t>challenges related to the COVID-19 pandemic, including with recruitment and/or progressing patients through the study;</w:t>
            </w:r>
          </w:p>
        </w:tc>
      </w:tr>
    </w:tbl>
    <w:p w:rsidR="00000000" w:rsidRDefault="00C96329">
      <w:pPr>
        <w:divId w:val="41366650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981"/>
      </w:tblGrid>
      <w:tr w:rsidR="00000000">
        <w:trPr>
          <w:divId w:val="413666505"/>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failure of our partners to advance our product candidates through clinical development;</w:t>
            </w:r>
          </w:p>
        </w:tc>
      </w:tr>
    </w:tbl>
    <w:p w:rsidR="00000000" w:rsidRDefault="00C96329">
      <w:pPr>
        <w:divId w:val="41366650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13666505"/>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difficulty in maintaining con</w:t>
            </w:r>
            <w:r>
              <w:rPr>
                <w:sz w:val="20"/>
                <w:szCs w:val="20"/>
              </w:rPr>
              <w:t>tact with patients after treatment, resulting in incomplete data;</w:t>
            </w:r>
          </w:p>
        </w:tc>
      </w:tr>
    </w:tbl>
    <w:p w:rsidR="00000000" w:rsidRDefault="00C96329">
      <w:pPr>
        <w:divId w:val="41366650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13666505"/>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varying regulatory requirements or interpretations of data among the FDA and foreign regulatory authorities; and</w:t>
            </w:r>
          </w:p>
        </w:tc>
      </w:tr>
    </w:tbl>
    <w:p w:rsidR="00000000" w:rsidRDefault="00C96329">
      <w:pPr>
        <w:divId w:val="41366650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13666505"/>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a disturbance where we or our collaborative partners are enrolling patients in clinical trials, such as a pandemic, terrorist activities o</w:t>
            </w:r>
            <w:r>
              <w:rPr>
                <w:sz w:val="20"/>
                <w:szCs w:val="20"/>
              </w:rPr>
              <w:t>r war, political unrest or a natural disaster.</w:t>
            </w:r>
          </w:p>
        </w:tc>
      </w:tr>
    </w:tbl>
    <w:p w:rsidR="00000000" w:rsidRDefault="00C96329">
      <w:pPr>
        <w:pStyle w:val="a3"/>
        <w:spacing w:before="0" w:beforeAutospacing="0" w:after="200" w:afterAutospacing="0"/>
        <w:ind w:firstLine="720"/>
        <w:divId w:val="413666505"/>
        <w:rPr>
          <w:sz w:val="20"/>
          <w:szCs w:val="20"/>
        </w:rPr>
      </w:pPr>
      <w:r>
        <w:rPr>
          <w:sz w:val="20"/>
          <w:szCs w:val="20"/>
        </w:rPr>
        <w:t>Any adverse developments or results or perceived adverse developments or results with respect to our clinical programs including, without limitation, any delays in development in our programs as we are curren</w:t>
      </w:r>
      <w:r>
        <w:rPr>
          <w:sz w:val="20"/>
          <w:szCs w:val="20"/>
        </w:rPr>
        <w:t>tly experiencing due to the COVID-19 pandemic, any halting of development in our programs, any difficulties or delays encountered with regard to the FDA or other third country regulatory authorities with respect to our programs, or any indication from clin</w:t>
      </w:r>
      <w:r>
        <w:rPr>
          <w:sz w:val="20"/>
          <w:szCs w:val="20"/>
        </w:rPr>
        <w:t>ical or non-clinical studies that the compounds in our programs are not safe or efficacious, could have a material adverse effect on our business and cause the price of our securities to fall.</w:t>
      </w:r>
    </w:p>
    <w:p w:rsidR="00000000" w:rsidRDefault="00C96329">
      <w:pPr>
        <w:pStyle w:val="a3"/>
        <w:spacing w:before="0" w:beforeAutospacing="0" w:after="200" w:afterAutospacing="0"/>
        <w:ind w:firstLine="720"/>
        <w:divId w:val="413666505"/>
        <w:rPr>
          <w:sz w:val="20"/>
          <w:szCs w:val="20"/>
        </w:rPr>
      </w:pPr>
      <w:r>
        <w:rPr>
          <w:sz w:val="20"/>
          <w:szCs w:val="20"/>
        </w:rPr>
        <w:t>In July 2019, the FDA issued a Boxed Warning for a systemically</w:t>
      </w:r>
      <w:r>
        <w:rPr>
          <w:sz w:val="20"/>
          <w:szCs w:val="20"/>
        </w:rPr>
        <w:t xml:space="preserve"> active pan-JAK inhibitor, calling out an increased risk of pulmonary embolism and death following the results of a safety study in patients with rheumatoid arthritis. We are focused on developing pan-JAK inhibitors that are designed to remain organ-select</w:t>
      </w:r>
      <w:r>
        <w:rPr>
          <w:sz w:val="20"/>
          <w:szCs w:val="20"/>
        </w:rPr>
        <w:t xml:space="preserve">ive so that they do not become systemically active in order to minimize the risk of side effects. It is unknown at this time what, if any, additional requirements the FDA may put in place with respect to the development of JAK inhibitors generally or what </w:t>
      </w:r>
      <w:r>
        <w:rPr>
          <w:sz w:val="20"/>
          <w:szCs w:val="20"/>
        </w:rPr>
        <w:t xml:space="preserve">other future FDA actions may have on the prospects for JAK inhibitors. Delays or adverse developments or results or perceived adverse developments or results relating to JAK inhibitors could harm our business and could cause the price of our securities to </w:t>
      </w:r>
      <w:r>
        <w:rPr>
          <w:sz w:val="20"/>
          <w:szCs w:val="20"/>
        </w:rPr>
        <w:t>fall. Examples of such adverse developments include, but are not limited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13666505"/>
        </w:trPr>
        <w:tc>
          <w:tcPr>
            <w:tcW w:w="720" w:type="dxa"/>
            <w:tcMar>
              <w:top w:w="0" w:type="dxa"/>
              <w:left w:w="0" w:type="dxa"/>
              <w:bottom w:w="0" w:type="dxa"/>
              <w:right w:w="0" w:type="dxa"/>
            </w:tcMar>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FDA and/or other regulatory authorities determining that additional non-clinical or clinical studies are required with respect to our JAK inhibitor programs;</w:t>
            </w:r>
          </w:p>
        </w:tc>
      </w:tr>
    </w:tbl>
    <w:p w:rsidR="00000000" w:rsidRDefault="00C96329">
      <w:pPr>
        <w:divId w:val="41366650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13666505"/>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safety, e</w:t>
            </w:r>
            <w:r>
              <w:rPr>
                <w:sz w:val="20"/>
                <w:szCs w:val="20"/>
              </w:rPr>
              <w:t>fficacy or other concerns relating to our JAK inhibitor programs or JAK inhibitors under development or commercialized by other companies;</w:t>
            </w:r>
          </w:p>
        </w:tc>
      </w:tr>
    </w:tbl>
    <w:p w:rsidR="00000000" w:rsidRDefault="00C96329">
      <w:pPr>
        <w:pStyle w:val="a3"/>
        <w:spacing w:before="360" w:beforeAutospacing="0" w:after="0" w:afterAutospacing="0"/>
        <w:jc w:val="center"/>
        <w:divId w:val="2129886919"/>
        <w:rPr>
          <w:sz w:val="20"/>
          <w:szCs w:val="20"/>
        </w:rPr>
      </w:pPr>
      <w:r>
        <w:rPr>
          <w:sz w:val="20"/>
          <w:szCs w:val="20"/>
        </w:rPr>
        <w:t>40</w:t>
      </w:r>
    </w:p>
    <w:p w:rsidR="00000000" w:rsidRDefault="00C96329">
      <w:pPr>
        <w:pStyle w:val="a3"/>
        <w:spacing w:before="0" w:beforeAutospacing="0" w:after="600" w:afterAutospacing="0"/>
        <w:divId w:val="1831096469"/>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02270568"/>
        </w:trPr>
        <w:tc>
          <w:tcPr>
            <w:tcW w:w="720" w:type="dxa"/>
            <w:tcMar>
              <w:top w:w="0" w:type="dxa"/>
              <w:left w:w="0" w:type="dxa"/>
              <w:bottom w:w="0" w:type="dxa"/>
              <w:right w:w="0" w:type="dxa"/>
            </w:tcMar>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FDA determining that class-based warnings are required for JAK inhibitors generally; or</w:t>
            </w:r>
          </w:p>
        </w:tc>
      </w:tr>
    </w:tbl>
    <w:p w:rsidR="00000000" w:rsidRDefault="00C96329">
      <w:pPr>
        <w:divId w:val="10022705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199"/>
      </w:tblGrid>
      <w:tr w:rsidR="00000000">
        <w:trPr>
          <w:divId w:val="1002270568"/>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any change in FDA policy or guidance regarding JAK inhibitors.</w:t>
            </w:r>
          </w:p>
        </w:tc>
      </w:tr>
    </w:tbl>
    <w:p w:rsidR="00000000" w:rsidRDefault="00C96329">
      <w:pPr>
        <w:pStyle w:val="a3"/>
        <w:spacing w:before="0" w:beforeAutospacing="0" w:after="120" w:afterAutospacing="0"/>
        <w:divId w:val="1002270568"/>
        <w:rPr>
          <w:sz w:val="20"/>
          <w:szCs w:val="20"/>
        </w:rPr>
      </w:pPr>
      <w:r>
        <w:rPr>
          <w:b/>
          <w:bCs/>
          <w:i/>
          <w:iCs/>
          <w:sz w:val="20"/>
          <w:szCs w:val="20"/>
        </w:rPr>
        <w:t>If our product candidates are not approved by regulatory authorities, including the FDA, we wil</w:t>
      </w:r>
      <w:r>
        <w:rPr>
          <w:b/>
          <w:bCs/>
          <w:i/>
          <w:iCs/>
          <w:sz w:val="20"/>
          <w:szCs w:val="20"/>
        </w:rPr>
        <w:t>l be unable to commercialize them.</w:t>
      </w:r>
    </w:p>
    <w:p w:rsidR="00000000" w:rsidRDefault="00C96329">
      <w:pPr>
        <w:pStyle w:val="a3"/>
        <w:spacing w:before="0" w:beforeAutospacing="0" w:after="200" w:afterAutospacing="0"/>
        <w:ind w:firstLine="720"/>
        <w:divId w:val="1002270568"/>
        <w:rPr>
          <w:sz w:val="20"/>
          <w:szCs w:val="20"/>
        </w:rPr>
      </w:pPr>
      <w:r>
        <w:rPr>
          <w:sz w:val="20"/>
          <w:szCs w:val="20"/>
        </w:rPr>
        <w:t>The FDA must approve any new medicine before it can be marketed and sold in the US. We will not obtain this approval for a product candidate unless and until the FDA approves an NDA. We, or our collaborative partners, mus</w:t>
      </w:r>
      <w:r>
        <w:rPr>
          <w:sz w:val="20"/>
          <w:szCs w:val="20"/>
        </w:rPr>
        <w:t>t provide the FDA and similar foreign regulatory authorities with data from preclinical and clinical studies that demonstrate that our product candidates comply with the regulatory requirements for the quality of medicinal products and are safe and effecti</w:t>
      </w:r>
      <w:r>
        <w:rPr>
          <w:sz w:val="20"/>
          <w:szCs w:val="20"/>
        </w:rPr>
        <w:t>ve for a defined indication before they can be approved for commercial distribution. FDA or foreign regulatory authorities may disagree with our trial design and our interpretation of data from preclinical studies and clinical trials. The processes by whic</w:t>
      </w:r>
      <w:r>
        <w:rPr>
          <w:sz w:val="20"/>
          <w:szCs w:val="20"/>
        </w:rPr>
        <w:t>h regulatory approvals are obtained from the FDA and foreign regulatory authorities to market and sell a new product are complex, require a number of years, depend upon the type, complexity and novelty of the product candidate and involve the expenditure o</w:t>
      </w:r>
      <w:r>
        <w:rPr>
          <w:sz w:val="20"/>
          <w:szCs w:val="20"/>
        </w:rPr>
        <w:t>f substantial resources for research, development and testing. The FDA has substantial discretion in the drug approval process and may require us to conduct additional nonclinical and clinical testing or to perform post-marketing studies. Further, the impl</w:t>
      </w:r>
      <w:r>
        <w:rPr>
          <w:sz w:val="20"/>
          <w:szCs w:val="20"/>
        </w:rPr>
        <w:t>ementation of new laws and regulations, and revisions to FDA clinical trial design guidance may lead to increased uncertainty regarding the approvability of new drugs. See the risk factor entitled “</w:t>
      </w:r>
      <w:r>
        <w:rPr>
          <w:i/>
          <w:iCs/>
          <w:sz w:val="20"/>
          <w:szCs w:val="20"/>
        </w:rPr>
        <w:t>Any delay in commencing or completing clinical studies for</w:t>
      </w:r>
      <w:r>
        <w:rPr>
          <w:i/>
          <w:iCs/>
          <w:sz w:val="20"/>
          <w:szCs w:val="20"/>
        </w:rPr>
        <w:t xml:space="preserve"> product candidates and any adverse results from clinical or non-clinical studies or regulatory obstacles product candidates may face, would harm our business and the price of our securities could fall</w:t>
      </w:r>
      <w:r>
        <w:rPr>
          <w:sz w:val="20"/>
          <w:szCs w:val="20"/>
        </w:rPr>
        <w:t>” above for additional information. The rapidly shiftin</w:t>
      </w:r>
      <w:r>
        <w:rPr>
          <w:sz w:val="20"/>
          <w:szCs w:val="20"/>
        </w:rPr>
        <w:t>g environment surrounding the collective response to the COVID-19 pandemic has led to additional guidance from US and foreign regulatory agencies with respect to numerous matters regarding the conduct of clinical trials in general and the development of CO</w:t>
      </w:r>
      <w:r>
        <w:rPr>
          <w:sz w:val="20"/>
          <w:szCs w:val="20"/>
        </w:rPr>
        <w:t>VID-19 related therapies, which is subject to the risk of further change, misinterpretation or non-compliance due to the rapidly changing regulatory landscape. In addition, the FDA has additional standards for approval of new drugs, including recommended a</w:t>
      </w:r>
      <w:r>
        <w:rPr>
          <w:sz w:val="20"/>
          <w:szCs w:val="20"/>
        </w:rPr>
        <w:t>dvisory committee meetings for certain new molecular entities, and formal risk evaluation and mitigation requirements at the FDA’s discretion. Even if we receive regulatory approval of a product, the approval may limit the indicated uses for which the drug</w:t>
      </w:r>
      <w:r>
        <w:rPr>
          <w:sz w:val="20"/>
          <w:szCs w:val="20"/>
        </w:rPr>
        <w:t xml:space="preserve"> may be marketed or impose significant restrictions or limitations on the use and/or distribution of such product.</w:t>
      </w:r>
    </w:p>
    <w:p w:rsidR="00000000" w:rsidRDefault="00C96329">
      <w:pPr>
        <w:pStyle w:val="a3"/>
        <w:spacing w:before="0" w:beforeAutospacing="0" w:after="200" w:afterAutospacing="0"/>
        <w:ind w:firstLine="720"/>
        <w:divId w:val="1002270568"/>
        <w:rPr>
          <w:sz w:val="20"/>
          <w:szCs w:val="20"/>
        </w:rPr>
      </w:pPr>
      <w:r>
        <w:rPr>
          <w:sz w:val="20"/>
          <w:szCs w:val="20"/>
        </w:rPr>
        <w:t>In addition, in order to market our medicines in foreign jurisdictions, we or our collaborative partners must obtain separate regulatory appr</w:t>
      </w:r>
      <w:r>
        <w:rPr>
          <w:sz w:val="20"/>
          <w:szCs w:val="20"/>
        </w:rPr>
        <w:t>ovals in each country. The approval procedure varies among countries and can involve additional testing, and the time required to obtain approval may differ from that required to obtain FDA approval. Approval by the FDA does not ensure approval by regulato</w:t>
      </w:r>
      <w:r>
        <w:rPr>
          <w:sz w:val="20"/>
          <w:szCs w:val="20"/>
        </w:rPr>
        <w:t>ry authorities in other countries, and approval by one foreign regulatory authority does not ensure approval by regulatory authorities in other foreign countries or by the FDA. Conversely, failure to obtain approval in one or more jurisdictions may make ap</w:t>
      </w:r>
      <w:r>
        <w:rPr>
          <w:sz w:val="20"/>
          <w:szCs w:val="20"/>
        </w:rPr>
        <w:t>proval in other jurisdictions more difficult. These laws, regulations, additional requirements and changes in interpretation could cause non-approval or further delays in the FDA’s or other regulatory authorities’ review and approval of our and our collabo</w:t>
      </w:r>
      <w:r>
        <w:rPr>
          <w:sz w:val="20"/>
          <w:szCs w:val="20"/>
        </w:rPr>
        <w:t>rative partner’s product candidates, which would materially harm our business and financial condition and could cause the price of our securities to fall.</w:t>
      </w:r>
    </w:p>
    <w:p w:rsidR="00000000" w:rsidRDefault="00C96329">
      <w:pPr>
        <w:pStyle w:val="a3"/>
        <w:spacing w:before="0" w:beforeAutospacing="0" w:after="120" w:afterAutospacing="0"/>
        <w:divId w:val="1002270568"/>
        <w:rPr>
          <w:sz w:val="20"/>
          <w:szCs w:val="20"/>
        </w:rPr>
      </w:pPr>
      <w:r>
        <w:rPr>
          <w:b/>
          <w:bCs/>
          <w:i/>
          <w:iCs/>
          <w:sz w:val="20"/>
          <w:szCs w:val="20"/>
        </w:rPr>
        <w:t>If additional capital is not available, we may have to curtail operations or we could be forced to sh</w:t>
      </w:r>
      <w:r>
        <w:rPr>
          <w:b/>
          <w:bCs/>
          <w:i/>
          <w:iCs/>
          <w:sz w:val="20"/>
          <w:szCs w:val="20"/>
        </w:rPr>
        <w:t>are our rights to commercialize our product candidates with third parties on terms that may not be favorable to us.</w:t>
      </w:r>
    </w:p>
    <w:p w:rsidR="00000000" w:rsidRDefault="00C96329">
      <w:pPr>
        <w:pStyle w:val="a3"/>
        <w:spacing w:before="0" w:beforeAutospacing="0" w:after="200" w:afterAutospacing="0"/>
        <w:ind w:firstLine="720"/>
        <w:divId w:val="1002270568"/>
        <w:rPr>
          <w:sz w:val="20"/>
          <w:szCs w:val="20"/>
        </w:rPr>
      </w:pPr>
      <w:r>
        <w:rPr>
          <w:sz w:val="20"/>
          <w:szCs w:val="20"/>
        </w:rPr>
        <w:t xml:space="preserve">Based on our current operating plans and financial forecasts, we believe that our existing cash, cash equivalents and marketable securities </w:t>
      </w:r>
      <w:r>
        <w:rPr>
          <w:sz w:val="20"/>
          <w:szCs w:val="20"/>
        </w:rPr>
        <w:t>will be sufficient to meet our anticipated operating needs for at least the next twelve months. However, our current operating plans or financial forecasts occasionally change. For example, in August 2017, we announced an increase in our anticipated operat</w:t>
      </w:r>
      <w:r>
        <w:rPr>
          <w:sz w:val="20"/>
          <w:szCs w:val="20"/>
        </w:rPr>
        <w:t>ing loss for 2017, primarily driven by our decision to accelerate funding associated with the next phase of development of TD-1473 in our JAK inhibitor program. If our current operating plans or financial forecasts change, we may require or seek additional</w:t>
      </w:r>
      <w:r>
        <w:rPr>
          <w:sz w:val="20"/>
          <w:szCs w:val="20"/>
        </w:rPr>
        <w:t xml:space="preserve"> funding sooner in the form of public or private equity or equity-linked offerings, debt financings or additional collaborations and licensing arrangements.</w:t>
      </w:r>
    </w:p>
    <w:p w:rsidR="00000000" w:rsidRDefault="00C96329">
      <w:pPr>
        <w:pStyle w:val="a3"/>
        <w:spacing w:before="0" w:beforeAutospacing="0" w:after="200" w:afterAutospacing="0"/>
        <w:ind w:firstLine="720"/>
        <w:divId w:val="1002270568"/>
        <w:rPr>
          <w:sz w:val="20"/>
          <w:szCs w:val="20"/>
        </w:rPr>
      </w:pPr>
      <w:r>
        <w:rPr>
          <w:sz w:val="20"/>
          <w:szCs w:val="20"/>
        </w:rPr>
        <w:t>We may need to raise additional capital in the future to, among other things: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421"/>
      </w:tblGrid>
      <w:tr w:rsidR="00000000">
        <w:trPr>
          <w:divId w:val="1002270568"/>
        </w:trPr>
        <w:tc>
          <w:tcPr>
            <w:tcW w:w="720" w:type="dxa"/>
            <w:tcMar>
              <w:top w:w="0" w:type="dxa"/>
              <w:left w:w="0" w:type="dxa"/>
              <w:bottom w:w="0" w:type="dxa"/>
              <w:right w:w="0" w:type="dxa"/>
            </w:tcMar>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fund our discovery efforts and research and development programs;</w:t>
            </w:r>
          </w:p>
        </w:tc>
      </w:tr>
    </w:tbl>
    <w:p w:rsidR="00000000" w:rsidRDefault="00C96329">
      <w:pPr>
        <w:divId w:val="10022705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02270568"/>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fund our commercialization strategies for any approved products and to prepare for potential product approvals;</w:t>
            </w:r>
          </w:p>
        </w:tc>
      </w:tr>
    </w:tbl>
    <w:p w:rsidR="00000000" w:rsidRDefault="00C96329">
      <w:pPr>
        <w:pStyle w:val="a3"/>
        <w:spacing w:before="360" w:beforeAutospacing="0" w:after="0" w:afterAutospacing="0"/>
        <w:jc w:val="center"/>
        <w:divId w:val="218056959"/>
        <w:rPr>
          <w:sz w:val="20"/>
          <w:szCs w:val="20"/>
        </w:rPr>
      </w:pPr>
      <w:r>
        <w:rPr>
          <w:sz w:val="20"/>
          <w:szCs w:val="20"/>
        </w:rPr>
        <w:t>41</w:t>
      </w:r>
    </w:p>
    <w:p w:rsidR="00000000" w:rsidRDefault="00C96329">
      <w:pPr>
        <w:pStyle w:val="a3"/>
        <w:spacing w:before="0" w:beforeAutospacing="0" w:after="600" w:afterAutospacing="0"/>
        <w:divId w:val="493646575"/>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709"/>
      </w:tblGrid>
      <w:tr w:rsidR="00000000">
        <w:trPr>
          <w:divId w:val="981084101"/>
        </w:trPr>
        <w:tc>
          <w:tcPr>
            <w:tcW w:w="720" w:type="dxa"/>
            <w:tcMar>
              <w:top w:w="0" w:type="dxa"/>
              <w:left w:w="0" w:type="dxa"/>
              <w:bottom w:w="0" w:type="dxa"/>
              <w:right w:w="0" w:type="dxa"/>
            </w:tcMar>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support our independent sales and marketing organization and medical affairs team;</w:t>
            </w:r>
          </w:p>
        </w:tc>
      </w:tr>
    </w:tbl>
    <w:p w:rsidR="00000000" w:rsidRDefault="00C96329">
      <w:pPr>
        <w:divId w:val="981084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8108410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support our additional investments in YUPELRI, including potential post-marketing clinical studies;</w:t>
            </w:r>
          </w:p>
        </w:tc>
      </w:tr>
    </w:tbl>
    <w:p w:rsidR="00000000" w:rsidRDefault="00C96329">
      <w:pPr>
        <w:divId w:val="981084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8108410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progress any additional product candidates into later-stage development without funding from a collaboration partner;</w:t>
            </w:r>
          </w:p>
        </w:tc>
      </w:tr>
    </w:tbl>
    <w:p w:rsidR="00000000" w:rsidRDefault="00C96329">
      <w:pPr>
        <w:divId w:val="981084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087"/>
      </w:tblGrid>
      <w:tr w:rsidR="00000000">
        <w:trPr>
          <w:divId w:val="98108410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progress mid-to-late stage product candidates into later-stage development, if warranted;</w:t>
            </w:r>
          </w:p>
        </w:tc>
      </w:tr>
    </w:tbl>
    <w:p w:rsidR="00000000" w:rsidRDefault="00C96329">
      <w:pPr>
        <w:divId w:val="981084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022"/>
      </w:tblGrid>
      <w:tr w:rsidR="00000000">
        <w:trPr>
          <w:divId w:val="98108410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respond to competitive pressures; and</w:t>
            </w:r>
          </w:p>
        </w:tc>
      </w:tr>
    </w:tbl>
    <w:p w:rsidR="00000000" w:rsidRDefault="00C96329">
      <w:pPr>
        <w:divId w:val="981084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105"/>
      </w:tblGrid>
      <w:tr w:rsidR="00000000">
        <w:trPr>
          <w:divId w:val="98108410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acquire complementary businesses or technologies.</w:t>
            </w:r>
          </w:p>
        </w:tc>
      </w:tr>
    </w:tbl>
    <w:p w:rsidR="00000000" w:rsidRDefault="00C96329">
      <w:pPr>
        <w:pStyle w:val="a3"/>
        <w:spacing w:before="0" w:beforeAutospacing="0" w:after="200" w:afterAutospacing="0"/>
        <w:ind w:firstLine="720"/>
        <w:divId w:val="981084101"/>
        <w:rPr>
          <w:sz w:val="20"/>
          <w:szCs w:val="20"/>
        </w:rPr>
      </w:pPr>
      <w:r>
        <w:rPr>
          <w:sz w:val="20"/>
          <w:szCs w:val="20"/>
        </w:rPr>
        <w:t>Our future capital needs depend on many factors, including: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81084101"/>
        </w:trPr>
        <w:tc>
          <w:tcPr>
            <w:tcW w:w="720" w:type="dxa"/>
            <w:tcMar>
              <w:top w:w="0" w:type="dxa"/>
              <w:left w:w="0" w:type="dxa"/>
              <w:bottom w:w="0" w:type="dxa"/>
              <w:right w:w="0" w:type="dxa"/>
            </w:tcMar>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scope, duration and expenditures associated with our discovery efforts and research and development programs;</w:t>
            </w:r>
          </w:p>
        </w:tc>
      </w:tr>
    </w:tbl>
    <w:p w:rsidR="00000000" w:rsidRDefault="00C96329">
      <w:pPr>
        <w:divId w:val="981084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827"/>
      </w:tblGrid>
      <w:tr w:rsidR="00000000">
        <w:trPr>
          <w:divId w:val="98108410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continued scientific progress in these programs;</w:t>
            </w:r>
          </w:p>
        </w:tc>
      </w:tr>
    </w:tbl>
    <w:p w:rsidR="00000000" w:rsidRDefault="00C96329">
      <w:pPr>
        <w:divId w:val="981084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8108410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extent to which we encounter technical obstacles in our research and development programs;</w:t>
            </w:r>
          </w:p>
        </w:tc>
      </w:tr>
    </w:tbl>
    <w:p w:rsidR="00000000" w:rsidRDefault="00C96329">
      <w:pPr>
        <w:divId w:val="981084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432"/>
      </w:tblGrid>
      <w:tr w:rsidR="00000000">
        <w:trPr>
          <w:divId w:val="98108410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outcome of potential licensing or partnering transactions, if any;</w:t>
            </w:r>
          </w:p>
        </w:tc>
      </w:tr>
    </w:tbl>
    <w:p w:rsidR="00000000" w:rsidRDefault="00C96329">
      <w:pPr>
        <w:divId w:val="981084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88"/>
      </w:tblGrid>
      <w:tr w:rsidR="00000000">
        <w:trPr>
          <w:divId w:val="98108410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competing technological de</w:t>
            </w:r>
            <w:r>
              <w:rPr>
                <w:sz w:val="20"/>
                <w:szCs w:val="20"/>
              </w:rPr>
              <w:t>velopments;</w:t>
            </w:r>
          </w:p>
        </w:tc>
      </w:tr>
    </w:tbl>
    <w:p w:rsidR="00000000" w:rsidRDefault="00C96329">
      <w:pPr>
        <w:divId w:val="981084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8108410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extent of our proprietary patent position in any approved products and our product candidates;</w:t>
            </w:r>
          </w:p>
        </w:tc>
      </w:tr>
    </w:tbl>
    <w:p w:rsidR="00000000" w:rsidRDefault="00C96329">
      <w:pPr>
        <w:divId w:val="981084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8108410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our facilities expenses, which will vary depending on the time and terms of any facility lease or sublease we may enter into, and other operating expenses;</w:t>
            </w:r>
          </w:p>
        </w:tc>
      </w:tr>
    </w:tbl>
    <w:p w:rsidR="00000000" w:rsidRDefault="00C96329">
      <w:pPr>
        <w:divId w:val="981084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799"/>
      </w:tblGrid>
      <w:tr w:rsidR="00000000">
        <w:trPr>
          <w:divId w:val="98108410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scope and extent of the expansion of our sales and marketing efforts;</w:t>
            </w:r>
          </w:p>
        </w:tc>
      </w:tr>
    </w:tbl>
    <w:p w:rsidR="00000000" w:rsidRDefault="00C96329">
      <w:pPr>
        <w:divId w:val="981084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816"/>
      </w:tblGrid>
      <w:tr w:rsidR="00000000">
        <w:trPr>
          <w:divId w:val="98108410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potential litiga</w:t>
            </w:r>
            <w:r>
              <w:rPr>
                <w:sz w:val="20"/>
                <w:szCs w:val="20"/>
              </w:rPr>
              <w:t>tion and other contingencies; and</w:t>
            </w:r>
          </w:p>
        </w:tc>
      </w:tr>
    </w:tbl>
    <w:p w:rsidR="00000000" w:rsidRDefault="00C96329">
      <w:pPr>
        <w:divId w:val="981084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721"/>
      </w:tblGrid>
      <w:tr w:rsidR="00000000">
        <w:trPr>
          <w:divId w:val="98108410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regulatory approval process for our product candidates.</w:t>
            </w:r>
          </w:p>
        </w:tc>
      </w:tr>
    </w:tbl>
    <w:p w:rsidR="00000000" w:rsidRDefault="00C96329">
      <w:pPr>
        <w:pStyle w:val="a3"/>
        <w:spacing w:before="0" w:beforeAutospacing="0" w:after="200" w:afterAutospacing="0"/>
        <w:ind w:firstLine="720"/>
        <w:divId w:val="981084101"/>
        <w:rPr>
          <w:sz w:val="20"/>
          <w:szCs w:val="20"/>
        </w:rPr>
      </w:pPr>
      <w:r>
        <w:rPr>
          <w:sz w:val="20"/>
          <w:szCs w:val="20"/>
        </w:rPr>
        <w:t>We intend to seek to raise additional capital or obtain future funding through public or private equity offerings, debt financings or additional collaborati</w:t>
      </w:r>
      <w:r>
        <w:rPr>
          <w:sz w:val="20"/>
          <w:szCs w:val="20"/>
        </w:rPr>
        <w:t xml:space="preserve">ons and licensing arrangements to meet our capital needs or to take advantage of opportunistic market conditions. We may not be able to obtain additional financing on terms favorable to us, if at all. General market conditions may make it difficult for us </w:t>
      </w:r>
      <w:r>
        <w:rPr>
          <w:sz w:val="20"/>
          <w:szCs w:val="20"/>
        </w:rPr>
        <w:t>to seek financing from the capital markets. We may be required to relinquish rights to our technologies, product candidates or territories, or grant licenses on terms that are not favorable to us, in order to raise additional funds through collaborations o</w:t>
      </w:r>
      <w:r>
        <w:rPr>
          <w:sz w:val="20"/>
          <w:szCs w:val="20"/>
        </w:rPr>
        <w:t>r licensing arrangements. We may sequence preclinical and clinical studies as opposed to conducting them concomitantly in order to conserve resources, or delay, reduce or eliminate one or more of our research or development programs and reduce overall over</w:t>
      </w:r>
      <w:r>
        <w:rPr>
          <w:sz w:val="20"/>
          <w:szCs w:val="20"/>
        </w:rPr>
        <w:t>head expenses. If we are unable to raise additional capital or obtain future funding in sufficient amounts or on terms acceptable to us, we may have to make reductions in our workforce and may be prevented from continuing our discovery, development and com</w:t>
      </w:r>
      <w:r>
        <w:rPr>
          <w:sz w:val="20"/>
          <w:szCs w:val="20"/>
        </w:rPr>
        <w:t>mercialization efforts and exploiting other corporate opportunities. This would likely harm our business, prospects and financial condition and cause the price of our securities to fall.</w:t>
      </w:r>
    </w:p>
    <w:p w:rsidR="00000000" w:rsidRDefault="00C96329">
      <w:pPr>
        <w:pStyle w:val="a3"/>
        <w:spacing w:before="0" w:beforeAutospacing="0" w:after="140" w:afterAutospacing="0"/>
        <w:divId w:val="981084101"/>
        <w:rPr>
          <w:sz w:val="20"/>
          <w:szCs w:val="20"/>
        </w:rPr>
      </w:pPr>
      <w:r>
        <w:rPr>
          <w:b/>
          <w:bCs/>
          <w:i/>
          <w:iCs/>
          <w:sz w:val="20"/>
          <w:szCs w:val="20"/>
        </w:rPr>
        <w:t xml:space="preserve">We may seek to obtain future financing through the issuance of debt or equity, which may have an adverse effect on our shareholders or may otherwise adversely affect our business. </w:t>
      </w:r>
    </w:p>
    <w:p w:rsidR="00000000" w:rsidRDefault="00C96329">
      <w:pPr>
        <w:pStyle w:val="a3"/>
        <w:spacing w:before="0" w:beforeAutospacing="0" w:after="0" w:afterAutospacing="0"/>
        <w:ind w:firstLine="720"/>
        <w:divId w:val="981084101"/>
        <w:rPr>
          <w:sz w:val="20"/>
          <w:szCs w:val="20"/>
        </w:rPr>
      </w:pPr>
      <w:r>
        <w:rPr>
          <w:sz w:val="20"/>
          <w:szCs w:val="20"/>
        </w:rPr>
        <w:t>If we raise funds through the issuance of additional debt, including conver</w:t>
      </w:r>
      <w:r>
        <w:rPr>
          <w:sz w:val="20"/>
          <w:szCs w:val="20"/>
        </w:rPr>
        <w:t>tible debt or debt secured by some or all of our assets, or equity, any debt securities or preferred shares issued will have rights, preferences and privileges senior to those of holders of our ordinary shares in the event of liquidation. Neither the terms</w:t>
      </w:r>
      <w:r>
        <w:rPr>
          <w:sz w:val="20"/>
          <w:szCs w:val="20"/>
        </w:rPr>
        <w:t xml:space="preserve"> of our $230.0 million of 3.25% convertible senior notes, due 2023 (the “Convertible Senior 2023 Notes”) nor the terms of the Issuer II’s 9.5% Fixed Rate </w:t>
      </w:r>
    </w:p>
    <w:p w:rsidR="00000000" w:rsidRDefault="00C96329">
      <w:pPr>
        <w:pStyle w:val="a3"/>
        <w:spacing w:before="360" w:beforeAutospacing="0" w:after="0" w:afterAutospacing="0"/>
        <w:jc w:val="center"/>
        <w:divId w:val="1003900145"/>
        <w:rPr>
          <w:sz w:val="20"/>
          <w:szCs w:val="20"/>
        </w:rPr>
      </w:pPr>
      <w:r>
        <w:rPr>
          <w:sz w:val="20"/>
          <w:szCs w:val="20"/>
        </w:rPr>
        <w:t>42</w:t>
      </w:r>
    </w:p>
    <w:p w:rsidR="00000000" w:rsidRDefault="00C96329">
      <w:pPr>
        <w:pStyle w:val="a3"/>
        <w:spacing w:before="0" w:beforeAutospacing="0" w:after="600" w:afterAutospacing="0"/>
        <w:divId w:val="1154294513"/>
        <w:rPr>
          <w:sz w:val="20"/>
          <w:szCs w:val="20"/>
        </w:rPr>
      </w:pPr>
      <w:hyperlink w:anchor="TOC" w:history="1">
        <w:r>
          <w:rPr>
            <w:rStyle w:val="a4"/>
            <w:sz w:val="20"/>
            <w:szCs w:val="20"/>
          </w:rPr>
          <w:t>Table of Contents</w:t>
        </w:r>
      </w:hyperlink>
    </w:p>
    <w:p w:rsidR="00000000" w:rsidRDefault="00C96329">
      <w:pPr>
        <w:pStyle w:val="a3"/>
        <w:spacing w:before="0" w:beforeAutospacing="0" w:after="200" w:afterAutospacing="0"/>
        <w:divId w:val="391347897"/>
        <w:rPr>
          <w:sz w:val="20"/>
          <w:szCs w:val="20"/>
        </w:rPr>
      </w:pPr>
      <w:r>
        <w:rPr>
          <w:sz w:val="20"/>
          <w:szCs w:val="20"/>
        </w:rPr>
        <w:t>Term Notes due on or before 2035 (the “Non-Recourse 20</w:t>
      </w:r>
      <w:r>
        <w:rPr>
          <w:sz w:val="20"/>
          <w:szCs w:val="20"/>
        </w:rPr>
        <w:t>35 Notes”) restrict our ability to issue additional debt. If additional debt is issued or we otherwise borrow additional funds, there is a possibility that once all senior claims are settled, there may be no assets remaining to pay out to the holders of or</w:t>
      </w:r>
      <w:r>
        <w:rPr>
          <w:sz w:val="20"/>
          <w:szCs w:val="20"/>
        </w:rPr>
        <w:t>dinary shares. Moreover, 75% of the income from our investment in TRC, as evidenced by the Issuer II Class C Units, is currently available only for payment of the Non-Recourse 2035 Notes and is not available to pay our other obligations or the claims of ou</w:t>
      </w:r>
      <w:r>
        <w:rPr>
          <w:sz w:val="20"/>
          <w:szCs w:val="20"/>
        </w:rPr>
        <w:t>r other creditors. In addition, if we raise funds through the issuance of additional equity, whether through private placements or public offerings, such an issuance would dilute ownership of our current shareholders that do not participate in the issuance</w:t>
      </w:r>
      <w:r>
        <w:rPr>
          <w:sz w:val="20"/>
          <w:szCs w:val="20"/>
        </w:rPr>
        <w:t>. If we are unable to obtain any needed additional funding, we may be required to reduce the scope of, delay, or eliminate some or all of, our planned research, development and commercialization activities or to license to third parties the rights to devel</w:t>
      </w:r>
      <w:r>
        <w:rPr>
          <w:sz w:val="20"/>
          <w:szCs w:val="20"/>
        </w:rPr>
        <w:t>op and/or commercialize products or technologies that we would otherwise seek to develop and/or commercialize ourselves or on terms that are less attractive than they might otherwise be, any of which could materially harm our business.</w:t>
      </w:r>
    </w:p>
    <w:p w:rsidR="00000000" w:rsidRDefault="00C96329">
      <w:pPr>
        <w:pStyle w:val="a3"/>
        <w:spacing w:before="0" w:beforeAutospacing="0" w:after="200" w:afterAutospacing="0"/>
        <w:ind w:firstLine="720"/>
        <w:divId w:val="391347897"/>
        <w:rPr>
          <w:sz w:val="20"/>
          <w:szCs w:val="20"/>
        </w:rPr>
      </w:pPr>
      <w:r>
        <w:rPr>
          <w:sz w:val="20"/>
          <w:szCs w:val="20"/>
        </w:rPr>
        <w:t>Furthermore, the ter</w:t>
      </w:r>
      <w:r>
        <w:rPr>
          <w:sz w:val="20"/>
          <w:szCs w:val="20"/>
        </w:rPr>
        <w:t>ms of any additional debt securities we may issue in the future may impose restrictions on our operations, which may include limiting our ability to incur additional indebtedness, pay dividends on or repurchase our share capital, or make certain acquisitio</w:t>
      </w:r>
      <w:r>
        <w:rPr>
          <w:sz w:val="20"/>
          <w:szCs w:val="20"/>
        </w:rPr>
        <w:t>ns or investments. In addition, we may be subject to covenants requiring us to satisfy certain financial tests and ratios, and our ability to satisfy such covenants may be affected by events outside of our control.</w:t>
      </w:r>
    </w:p>
    <w:p w:rsidR="00000000" w:rsidRDefault="00C96329">
      <w:pPr>
        <w:pStyle w:val="a3"/>
        <w:spacing w:before="0" w:beforeAutospacing="0" w:after="140" w:afterAutospacing="0"/>
        <w:divId w:val="391347897"/>
        <w:rPr>
          <w:sz w:val="20"/>
          <w:szCs w:val="20"/>
        </w:rPr>
      </w:pPr>
      <w:r>
        <w:rPr>
          <w:b/>
          <w:bCs/>
          <w:i/>
          <w:iCs/>
          <w:sz w:val="20"/>
          <w:szCs w:val="20"/>
        </w:rPr>
        <w:t>If our partners do not satisfy their obli</w:t>
      </w:r>
      <w:r>
        <w:rPr>
          <w:b/>
          <w:bCs/>
          <w:i/>
          <w:iCs/>
          <w:sz w:val="20"/>
          <w:szCs w:val="20"/>
        </w:rPr>
        <w:t>gations under our agreements with them, or if they terminate our partnerships with them, we may not be able to develop or commercialize our partnered product candidates as planned.</w:t>
      </w:r>
    </w:p>
    <w:p w:rsidR="00000000" w:rsidRDefault="00C96329">
      <w:pPr>
        <w:pStyle w:val="a3"/>
        <w:spacing w:before="0" w:beforeAutospacing="0" w:after="200" w:afterAutospacing="0"/>
        <w:ind w:firstLine="720"/>
        <w:divId w:val="391347897"/>
        <w:rPr>
          <w:sz w:val="20"/>
          <w:szCs w:val="20"/>
        </w:rPr>
      </w:pPr>
      <w:r>
        <w:rPr>
          <w:sz w:val="20"/>
          <w:szCs w:val="20"/>
        </w:rPr>
        <w:t>We have an exclusive development and commercialization agreement with Alfas</w:t>
      </w:r>
      <w:r>
        <w:rPr>
          <w:sz w:val="20"/>
          <w:szCs w:val="20"/>
        </w:rPr>
        <w:t>igma for velusetrag, our internally discovered 5-HT4 agonist for the treatment of gastromotility disorders, under which we have transferred to Alfasigma global rights for velusetrag. In January 2015, we entered into a collaboration agreement with Mylan for</w:t>
      </w:r>
      <w:r>
        <w:rPr>
          <w:sz w:val="20"/>
          <w:szCs w:val="20"/>
        </w:rPr>
        <w:t xml:space="preserve"> the development and commercialization of a nebulized formulation of our LAMA revefenacin, including YUPELRI. Under the terms of the agreement, we and Mylan will co-develop nebulized revefenacin, including YUPELRI, for COPD and other respiratory diseases. </w:t>
      </w:r>
      <w:r>
        <w:rPr>
          <w:sz w:val="20"/>
          <w:szCs w:val="20"/>
        </w:rPr>
        <w:t>In June 2016, we entered into a License and Collaboration Agreement with Millennium Pharmaceuticals, Inc., an indirect wholly-owned subsidiary of Takeda Pharmaceutical Company Limited (collectively with Millennium, “Takeda”) in order to establish a collabo</w:t>
      </w:r>
      <w:r>
        <w:rPr>
          <w:sz w:val="20"/>
          <w:szCs w:val="20"/>
        </w:rPr>
        <w:t xml:space="preserve">ration for the development and commercialization of TD-8954, a selective 5-HT4 receptor agonist in development for gastrointestinal motility disorders. Under the terms of the agreement, Takeda is responsible for worldwide development and commercialization </w:t>
      </w:r>
      <w:r>
        <w:rPr>
          <w:sz w:val="20"/>
          <w:szCs w:val="20"/>
        </w:rPr>
        <w:t>of TD-8954. In February 2018, we announced a global co-development and commercialization agreement with Janssen for TD-1473 and related back-up compounds for inflammatory intestinal diseases, including ulcerative colitis and Crohn’s disease. In December 20</w:t>
      </w:r>
      <w:r>
        <w:rPr>
          <w:sz w:val="20"/>
          <w:szCs w:val="20"/>
        </w:rPr>
        <w:t>19, we entered into a License Agreement with Pfizer Inc. (“Pfizer”). Under the license agreement, we provide Pfizer with an exclusive global license to develop, manufacture and commercialize compounds from our preclinical program for skin-targeted, locally</w:t>
      </w:r>
      <w:r>
        <w:rPr>
          <w:sz w:val="20"/>
          <w:szCs w:val="20"/>
        </w:rPr>
        <w:t>-acting pan-Janus kinase (JAK) inhibitors that can be rapidly metabolized. In connection with these agreements, these parties have certain rights regarding the use of patents and technology with respect to the compounds in our development programs, includi</w:t>
      </w:r>
      <w:r>
        <w:rPr>
          <w:sz w:val="20"/>
          <w:szCs w:val="20"/>
        </w:rPr>
        <w:t>ng development and marketing rights.</w:t>
      </w:r>
    </w:p>
    <w:p w:rsidR="00000000" w:rsidRDefault="00C96329">
      <w:pPr>
        <w:pStyle w:val="a3"/>
        <w:spacing w:before="0" w:beforeAutospacing="0" w:after="0" w:afterAutospacing="0"/>
        <w:ind w:firstLine="720"/>
        <w:divId w:val="391347897"/>
        <w:rPr>
          <w:sz w:val="20"/>
          <w:szCs w:val="20"/>
        </w:rPr>
      </w:pPr>
      <w:r>
        <w:rPr>
          <w:sz w:val="20"/>
          <w:szCs w:val="20"/>
        </w:rPr>
        <w:t>Our partners have in the past and may in the future not fulfill all of their obligations under these agreements, and, in certain circumstances, they or we may terminate our partnership with them. In addition, our partne</w:t>
      </w:r>
      <w:r>
        <w:rPr>
          <w:sz w:val="20"/>
          <w:szCs w:val="20"/>
        </w:rPr>
        <w:t>rs may also be facing significant business interruptions as a result of the COVID-19 pandemic. In either event, we may be unable to assume the development and commercialization responsibilities covered by the agreements or enter into alternative arrangemen</w:t>
      </w:r>
      <w:r>
        <w:rPr>
          <w:sz w:val="20"/>
          <w:szCs w:val="20"/>
        </w:rPr>
        <w:t>ts with a third-party to develop and commercialize such product candidates. If a partner elected to promote alternative products and product candidates such as its own products and product candidates in preference to those licensed from us, does not devote</w:t>
      </w:r>
      <w:r>
        <w:rPr>
          <w:sz w:val="20"/>
          <w:szCs w:val="20"/>
        </w:rPr>
        <w:t xml:space="preserve"> an adequate amount of time and resources to our product candidates or is otherwise unsuccessful in its efforts with respect to our products or product candidates, the development and commercialization of product candidates covered by the agreements could </w:t>
      </w:r>
      <w:r>
        <w:rPr>
          <w:sz w:val="20"/>
          <w:szCs w:val="20"/>
        </w:rPr>
        <w:t>be delayed or terminated, and future payments to us could be delayed, reduced or eliminated and our business and financial condition could be materially and adversely affected. Accordingly, our ability to receive any revenue from the product candidates cov</w:t>
      </w:r>
      <w:r>
        <w:rPr>
          <w:sz w:val="20"/>
          <w:szCs w:val="20"/>
        </w:rPr>
        <w:t>ered by these agreements is dependent on the efforts of our partners. If a partner terminates or breaches its agreements with us, otherwise fails to complete its obligations in a timely manner or alleges that we have breached our contractual obligations un</w:t>
      </w:r>
      <w:r>
        <w:rPr>
          <w:sz w:val="20"/>
          <w:szCs w:val="20"/>
        </w:rPr>
        <w:t>der these agreements, the chances of successfully developing or commercializing product candidates under the collaboration could be materially and adversely affected. In addition, effective collaboration with a partner requires coordination to achieve comp</w:t>
      </w:r>
      <w:r>
        <w:rPr>
          <w:sz w:val="20"/>
          <w:szCs w:val="20"/>
        </w:rPr>
        <w:t>lex and detail-intensive goals between entities that potentially have different priorities, capabilities and processes and successful navigation of the challenges such coordination entails. We could also become involved in disputes with a partner, which co</w:t>
      </w:r>
      <w:r>
        <w:rPr>
          <w:sz w:val="20"/>
          <w:szCs w:val="20"/>
        </w:rPr>
        <w:t xml:space="preserve">uld lead to delays in or termination of our development and </w:t>
      </w:r>
    </w:p>
    <w:p w:rsidR="00000000" w:rsidRDefault="00C96329">
      <w:pPr>
        <w:pStyle w:val="a3"/>
        <w:spacing w:before="360" w:beforeAutospacing="0" w:after="0" w:afterAutospacing="0"/>
        <w:jc w:val="center"/>
        <w:divId w:val="702051613"/>
        <w:rPr>
          <w:sz w:val="20"/>
          <w:szCs w:val="20"/>
        </w:rPr>
      </w:pPr>
      <w:r>
        <w:rPr>
          <w:sz w:val="20"/>
          <w:szCs w:val="20"/>
        </w:rPr>
        <w:t>43</w:t>
      </w:r>
    </w:p>
    <w:p w:rsidR="00000000" w:rsidRDefault="00C96329">
      <w:pPr>
        <w:pStyle w:val="a3"/>
        <w:spacing w:before="0" w:beforeAutospacing="0" w:after="600" w:afterAutospacing="0"/>
        <w:divId w:val="2109696604"/>
        <w:rPr>
          <w:sz w:val="20"/>
          <w:szCs w:val="20"/>
        </w:rPr>
      </w:pPr>
      <w:hyperlink w:anchor="TOC" w:history="1">
        <w:r>
          <w:rPr>
            <w:rStyle w:val="a4"/>
            <w:sz w:val="20"/>
            <w:szCs w:val="20"/>
          </w:rPr>
          <w:t>Table of Contents</w:t>
        </w:r>
      </w:hyperlink>
    </w:p>
    <w:p w:rsidR="00000000" w:rsidRDefault="00C96329">
      <w:pPr>
        <w:pStyle w:val="a3"/>
        <w:spacing w:before="0" w:beforeAutospacing="0" w:after="200" w:afterAutospacing="0"/>
        <w:divId w:val="1751077712"/>
        <w:rPr>
          <w:sz w:val="20"/>
          <w:szCs w:val="20"/>
        </w:rPr>
      </w:pPr>
      <w:r>
        <w:rPr>
          <w:sz w:val="20"/>
          <w:szCs w:val="20"/>
        </w:rPr>
        <w:t>commercialization programs and time-consuming and expensive litigation or arbitration. Furthermore, termination of an agreement by a partner could h</w:t>
      </w:r>
      <w:r>
        <w:rPr>
          <w:sz w:val="20"/>
          <w:szCs w:val="20"/>
        </w:rPr>
        <w:t>ave an adverse effect on the price of our ordinary shares or other securities even if not material to our business.</w:t>
      </w:r>
    </w:p>
    <w:p w:rsidR="00000000" w:rsidRDefault="00C96329">
      <w:pPr>
        <w:pStyle w:val="a3"/>
        <w:spacing w:before="0" w:beforeAutospacing="0" w:after="120" w:afterAutospacing="0"/>
        <w:divId w:val="1751077712"/>
        <w:rPr>
          <w:sz w:val="20"/>
          <w:szCs w:val="20"/>
        </w:rPr>
      </w:pPr>
      <w:r>
        <w:rPr>
          <w:b/>
          <w:bCs/>
          <w:i/>
          <w:iCs/>
          <w:sz w:val="20"/>
          <w:szCs w:val="20"/>
        </w:rPr>
        <w:t>We do not control TRC and, in particular, have no control over the GSK-Partnered Respiratory Programs or access to non-public information re</w:t>
      </w:r>
      <w:r>
        <w:rPr>
          <w:b/>
          <w:bCs/>
          <w:i/>
          <w:iCs/>
          <w:sz w:val="20"/>
          <w:szCs w:val="20"/>
        </w:rPr>
        <w:t>garding the development of the GSK-Partnered Respiratory Programs.</w:t>
      </w:r>
    </w:p>
    <w:p w:rsidR="00000000" w:rsidRDefault="00C96329">
      <w:pPr>
        <w:pStyle w:val="a3"/>
        <w:spacing w:before="0" w:beforeAutospacing="0" w:after="200" w:afterAutospacing="0"/>
        <w:ind w:firstLine="720"/>
        <w:divId w:val="1751077712"/>
        <w:rPr>
          <w:sz w:val="20"/>
          <w:szCs w:val="20"/>
        </w:rPr>
      </w:pPr>
      <w:r>
        <w:rPr>
          <w:sz w:val="20"/>
          <w:szCs w:val="20"/>
        </w:rPr>
        <w:t>Innoviva has assigned to TRC its strategic alliance agreement with GSK and all of its rights and obligations under its LABA collaboration agreement other than with respect to RELVAR ELLIPTA</w:t>
      </w:r>
      <w:r>
        <w:rPr>
          <w:sz w:val="20"/>
          <w:szCs w:val="20"/>
        </w:rPr>
        <w:t>/BREO ELLIPTA, ANORO ELLIPTA and vilanterol monotherapy. Our equity interest in TRC entitles us to an 85% economic interest in any future payments made by GSK under the strategic alliance agreement and under the portion of the collaboration agreement assig</w:t>
      </w:r>
      <w:r>
        <w:rPr>
          <w:sz w:val="20"/>
          <w:szCs w:val="20"/>
        </w:rPr>
        <w:t xml:space="preserve">ned to TRC (the “GSK Agreements”) (net of TRC expenses paid and the amount of cash, if any, expected to be used by TRC pursuant to the TRC LLC Agreement over the next four fiscal quarters), which agreements govern Innoviva’s and GSK’s respective interests </w:t>
      </w:r>
      <w:r>
        <w:rPr>
          <w:sz w:val="20"/>
          <w:szCs w:val="20"/>
        </w:rPr>
        <w:t>in the GSK-Partnered Respiratory Programs. Our equity interest covers various drug programs including in particular all TRELEGY (the combination of fluticasone furoate, umeclidinium, and vilanterol in a single ELLIPTA inhaler, previously referred to as the</w:t>
      </w:r>
      <w:r>
        <w:rPr>
          <w:sz w:val="20"/>
          <w:szCs w:val="20"/>
        </w:rPr>
        <w:t xml:space="preserve"> Closed Triple) products. Our economic interest does not include any payments by GSK associated with RELVAR ELLIPTA/BREO ELLIPTA, ANORO ELLIPTA or vilanterol monotherapy. Innoviva controls TRC and, except for certain limited consent rights, we have no righ</w:t>
      </w:r>
      <w:r>
        <w:rPr>
          <w:sz w:val="20"/>
          <w:szCs w:val="20"/>
        </w:rPr>
        <w:t>t to participate in the business and affairs of TRC. Innoviva has the exclusive right to appoint TRC’s manager who, among other things, is responsible for the day-to-day management of the GSK-Partnered Respiratory Programs and exercises the rights relating</w:t>
      </w:r>
      <w:r>
        <w:rPr>
          <w:sz w:val="20"/>
          <w:szCs w:val="20"/>
        </w:rPr>
        <w:t xml:space="preserve"> to the GSK-Partnered Respiratory Programs. As a result, we have no rights to participate in, or access to non-public information about, the development and commercialization work GSK and Innoviva are undertaking with respect to the GSK-Partnered Respirato</w:t>
      </w:r>
      <w:r>
        <w:rPr>
          <w:sz w:val="20"/>
          <w:szCs w:val="20"/>
        </w:rPr>
        <w:t>ry Programs and no right to enforce rights under the GSK Agreements assigned to TRC. We have had, currently have and may in the future have disagreements with Innoviva and TRC regarding Innoviva’s decisions regarding the management of TRC that could requir</w:t>
      </w:r>
      <w:r>
        <w:rPr>
          <w:sz w:val="20"/>
          <w:szCs w:val="20"/>
        </w:rPr>
        <w:t>e invoking the dispute resolution procedures set forth in the TRC LLC Agreement and that, if resolved in a manner adverse to our interests, could have a material impact on our operations. Moreover, we have many of the same risks with respect to our and TRC</w:t>
      </w:r>
      <w:r>
        <w:rPr>
          <w:sz w:val="20"/>
          <w:szCs w:val="20"/>
        </w:rPr>
        <w:t>’s dependence on GSK as we have with respect to our dependence on our own partners, including any adverse impacts on GSK’s operations as a result of the COVID-19 pandemic.</w:t>
      </w:r>
    </w:p>
    <w:p w:rsidR="00000000" w:rsidRDefault="00C96329">
      <w:pPr>
        <w:pStyle w:val="a3"/>
        <w:spacing w:before="0" w:beforeAutospacing="0" w:after="120" w:afterAutospacing="0"/>
        <w:divId w:val="1751077712"/>
        <w:rPr>
          <w:sz w:val="20"/>
          <w:szCs w:val="20"/>
        </w:rPr>
      </w:pPr>
      <w:r>
        <w:rPr>
          <w:b/>
          <w:bCs/>
          <w:i/>
          <w:iCs/>
          <w:sz w:val="20"/>
          <w:szCs w:val="20"/>
        </w:rPr>
        <w:t>If there are any adverse developments or perceived adverse developments with respect</w:t>
      </w:r>
      <w:r>
        <w:rPr>
          <w:b/>
          <w:bCs/>
          <w:i/>
          <w:iCs/>
          <w:sz w:val="20"/>
          <w:szCs w:val="20"/>
        </w:rPr>
        <w:t xml:space="preserve"> to the GSK-Partnered Respiratory Programs in which we have a substantial economic interest, including TRELEGY, our business will be harmed, and the price of our securities could fall.</w:t>
      </w:r>
    </w:p>
    <w:p w:rsidR="00000000" w:rsidRDefault="00C96329">
      <w:pPr>
        <w:pStyle w:val="a3"/>
        <w:spacing w:before="0" w:beforeAutospacing="0" w:after="200" w:afterAutospacing="0"/>
        <w:ind w:firstLine="720"/>
        <w:divId w:val="1751077712"/>
        <w:rPr>
          <w:sz w:val="20"/>
          <w:szCs w:val="20"/>
        </w:rPr>
      </w:pPr>
      <w:r>
        <w:rPr>
          <w:sz w:val="20"/>
          <w:szCs w:val="20"/>
        </w:rPr>
        <w:t>We have no access to non-public information regarding the development progress of, or plans for, the GSK-Partnered Respiratory Programs, including TRELEGY, and we have little, if any, ability to influence the progress of those programs because our interest</w:t>
      </w:r>
      <w:r>
        <w:rPr>
          <w:sz w:val="20"/>
          <w:szCs w:val="20"/>
        </w:rPr>
        <w:t xml:space="preserve"> in these programs is only through our ownership interest in TRC, which is controlled by Innoviva. However, if any of the GSK-Partnered Respiratory Programs in which we have a substantial economic interest encounter delays, do not demonstrate required qual</w:t>
      </w:r>
      <w:r>
        <w:rPr>
          <w:sz w:val="20"/>
          <w:szCs w:val="20"/>
        </w:rPr>
        <w:t>ity, safety and efficacy, are terminated, or if there are any adverse developments or perceived adverse developments with respect to such programs, our business will be harmed, and the price of our securities could fall. Examples of such adverse developmen</w:t>
      </w:r>
      <w:r>
        <w:rPr>
          <w:sz w:val="20"/>
          <w:szCs w:val="20"/>
        </w:rPr>
        <w:t>ts include, but are not limited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638"/>
      </w:tblGrid>
      <w:tr w:rsidR="00000000">
        <w:trPr>
          <w:divId w:val="1751077712"/>
        </w:trPr>
        <w:tc>
          <w:tcPr>
            <w:tcW w:w="720" w:type="dxa"/>
            <w:tcMar>
              <w:top w:w="0" w:type="dxa"/>
              <w:left w:w="0" w:type="dxa"/>
              <w:bottom w:w="0" w:type="dxa"/>
              <w:right w:w="0" w:type="dxa"/>
            </w:tcMar>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disappointing or lower than expected sales of TRELEGY;</w:t>
            </w:r>
          </w:p>
        </w:tc>
      </w:tr>
    </w:tbl>
    <w:p w:rsidR="00000000" w:rsidRDefault="00C96329">
      <w:pPr>
        <w:divId w:val="175107771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51077712"/>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any regulatory difficulty in seeking approval of an asthma indication for TRELEGY, which GSK is undertaking following its successful Phase 3 clinical program in asthma patients;</w:t>
            </w:r>
          </w:p>
        </w:tc>
      </w:tr>
    </w:tbl>
    <w:p w:rsidR="00000000" w:rsidRDefault="00C96329">
      <w:pPr>
        <w:divId w:val="175107771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51077712"/>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disputes between GSK and Innoviva or between us and Innoviva, such as our</w:t>
            </w:r>
            <w:r>
              <w:rPr>
                <w:sz w:val="20"/>
                <w:szCs w:val="20"/>
              </w:rPr>
              <w:t xml:space="preserve"> 2019 arbitration and our current dispute with Innoviva (see Part II, Item 1 “Legal Proceedings”), each of which concern the withholding of royalty payments we believe are due to us under the TRC LLC Agreement;</w:t>
            </w:r>
          </w:p>
        </w:tc>
      </w:tr>
    </w:tbl>
    <w:p w:rsidR="00000000" w:rsidRDefault="00C96329">
      <w:pPr>
        <w:divId w:val="175107771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51077712"/>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emergence of new closed triple or ot</w:t>
            </w:r>
            <w:r>
              <w:rPr>
                <w:sz w:val="20"/>
                <w:szCs w:val="20"/>
              </w:rPr>
              <w:t>her alternative therapies or any developments regarding competitive therapies, including comparative price or efficacy of competitive therapies;</w:t>
            </w:r>
          </w:p>
        </w:tc>
      </w:tr>
    </w:tbl>
    <w:p w:rsidR="00000000" w:rsidRDefault="00C96329">
      <w:pPr>
        <w:divId w:val="175107771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51077712"/>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GSK deciding to delay or halt any of the GSK-Partnered Respiratory Programs in which we have a substantial</w:t>
            </w:r>
            <w:r>
              <w:rPr>
                <w:sz w:val="20"/>
                <w:szCs w:val="20"/>
              </w:rPr>
              <w:t xml:space="preserve"> economic interest;</w:t>
            </w:r>
          </w:p>
        </w:tc>
      </w:tr>
    </w:tbl>
    <w:p w:rsidR="00000000" w:rsidRDefault="00C96329">
      <w:pPr>
        <w:pStyle w:val="a3"/>
        <w:spacing w:before="360" w:beforeAutospacing="0" w:after="0" w:afterAutospacing="0"/>
        <w:jc w:val="center"/>
        <w:divId w:val="1215265720"/>
        <w:rPr>
          <w:sz w:val="20"/>
          <w:szCs w:val="20"/>
        </w:rPr>
      </w:pPr>
      <w:r>
        <w:rPr>
          <w:sz w:val="20"/>
          <w:szCs w:val="20"/>
        </w:rPr>
        <w:t>44</w:t>
      </w:r>
    </w:p>
    <w:p w:rsidR="00000000" w:rsidRDefault="00C96329">
      <w:pPr>
        <w:pStyle w:val="a3"/>
        <w:spacing w:before="0" w:beforeAutospacing="0" w:after="600" w:afterAutospacing="0"/>
        <w:divId w:val="2119375687"/>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28318490"/>
        </w:trPr>
        <w:tc>
          <w:tcPr>
            <w:tcW w:w="720" w:type="dxa"/>
            <w:tcMar>
              <w:top w:w="0" w:type="dxa"/>
              <w:left w:w="0" w:type="dxa"/>
              <w:bottom w:w="0" w:type="dxa"/>
              <w:right w:w="0" w:type="dxa"/>
            </w:tcMar>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FDA and/or other national or foreign regulatory authorities determining that any of the studies under these programs do not demonstrate the required quality, safety or efficacy, or that additional non-clinical or clinical studies are required with resp</w:t>
            </w:r>
            <w:r>
              <w:rPr>
                <w:sz w:val="20"/>
                <w:szCs w:val="20"/>
              </w:rPr>
              <w:t>ect to such programs;</w:t>
            </w:r>
          </w:p>
        </w:tc>
      </w:tr>
    </w:tbl>
    <w:p w:rsidR="00000000" w:rsidRDefault="00C96329">
      <w:pPr>
        <w:divId w:val="92831849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28318490"/>
        </w:trPr>
        <w:tc>
          <w:tcPr>
            <w:tcW w:w="720" w:type="dxa"/>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rPr>
                <w:rFonts w:eastAsia="Times New Roman"/>
                <w:sz w:val="14"/>
                <w:szCs w:val="14"/>
              </w:rPr>
            </w:pPr>
            <w:r>
              <w:rPr>
                <w:rFonts w:eastAsia="Times New Roman"/>
                <w:sz w:val="14"/>
                <w:szCs w:val="14"/>
              </w:rPr>
              <w:t>●</w:t>
            </w:r>
          </w:p>
        </w:tc>
        <w:tc>
          <w:tcPr>
            <w:tcW w:w="0" w:type="auto"/>
            <w:tcMar>
              <w:top w:w="0" w:type="dxa"/>
              <w:left w:w="0" w:type="dxa"/>
              <w:bottom w:w="0" w:type="dxa"/>
              <w:right w:w="0" w:type="dxa"/>
            </w:tcMar>
            <w:vAlign w:val="center"/>
            <w:hideMark/>
          </w:tcPr>
          <w:p w:rsidR="00000000" w:rsidRDefault="00C96329">
            <w:pPr>
              <w:rPr>
                <w:rFonts w:eastAsia="Times New Roman"/>
                <w:sz w:val="20"/>
                <w:szCs w:val="20"/>
              </w:rPr>
            </w:pPr>
            <w:r>
              <w:rPr>
                <w:rFonts w:eastAsia="Times New Roman"/>
                <w:color w:val="000000"/>
                <w:sz w:val="20"/>
                <w:szCs w:val="20"/>
              </w:rPr>
              <w:t>any adverse effects resulting from the COVID-19 pandemic;</w:t>
            </w:r>
          </w:p>
        </w:tc>
      </w:tr>
    </w:tbl>
    <w:p w:rsidR="00000000" w:rsidRDefault="00C96329">
      <w:pPr>
        <w:divId w:val="92831849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28318490"/>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any safety, efficacy or other concerns regarding any of the GSK-Partnered Respiratory Programs in which we have a substantial economic interest; or</w:t>
            </w:r>
          </w:p>
        </w:tc>
      </w:tr>
    </w:tbl>
    <w:p w:rsidR="00000000" w:rsidRDefault="00C96329">
      <w:pPr>
        <w:divId w:val="92831849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28318490"/>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any particula</w:t>
            </w:r>
            <w:r>
              <w:rPr>
                <w:sz w:val="20"/>
                <w:szCs w:val="20"/>
              </w:rPr>
              <w:t>r FDA requirements or changes in FDA policy or guidance regarding these programs or any particular regulatory requirements in other jurisdictions or changes in the policies or guidance adopted by foreign regulatory authorities.</w:t>
            </w:r>
          </w:p>
        </w:tc>
      </w:tr>
    </w:tbl>
    <w:p w:rsidR="00000000" w:rsidRDefault="00C96329">
      <w:pPr>
        <w:pStyle w:val="a3"/>
        <w:spacing w:before="0" w:beforeAutospacing="0" w:after="120" w:afterAutospacing="0"/>
        <w:divId w:val="928318490"/>
        <w:rPr>
          <w:sz w:val="20"/>
          <w:szCs w:val="20"/>
        </w:rPr>
      </w:pPr>
      <w:r>
        <w:rPr>
          <w:b/>
          <w:bCs/>
          <w:i/>
          <w:iCs/>
          <w:sz w:val="20"/>
          <w:szCs w:val="20"/>
        </w:rPr>
        <w:t xml:space="preserve">Because GSK is a strategic </w:t>
      </w:r>
      <w:r>
        <w:rPr>
          <w:b/>
          <w:bCs/>
          <w:i/>
          <w:iCs/>
          <w:sz w:val="20"/>
          <w:szCs w:val="20"/>
        </w:rPr>
        <w:t>partner of Innoviva, a strategic partner of TRC and a significant shareholder of us, it may take actions that in certain cases are materially harmful to our business and to our other shareholders.</w:t>
      </w:r>
    </w:p>
    <w:p w:rsidR="00000000" w:rsidRDefault="00C96329">
      <w:pPr>
        <w:pStyle w:val="a3"/>
        <w:spacing w:before="0" w:beforeAutospacing="0" w:after="200" w:afterAutospacing="0"/>
        <w:ind w:firstLine="720"/>
        <w:divId w:val="928318490"/>
        <w:rPr>
          <w:sz w:val="20"/>
          <w:szCs w:val="20"/>
        </w:rPr>
      </w:pPr>
      <w:r>
        <w:rPr>
          <w:sz w:val="20"/>
          <w:szCs w:val="20"/>
        </w:rPr>
        <w:t>Based on our review of publicly available filings, as of Ju</w:t>
      </w:r>
      <w:r>
        <w:rPr>
          <w:sz w:val="20"/>
          <w:szCs w:val="20"/>
        </w:rPr>
        <w:t>ne 30, 2020, GSK beneficially owned 15.2% of our outstanding ordinary shares (although GSK has issued exchangeable notes that are exchangeable for up to 9,644,792 of our ordinary shares). GSK is also a strategic partner to Innoviva with rights and obligati</w:t>
      </w:r>
      <w:r>
        <w:rPr>
          <w:sz w:val="20"/>
          <w:szCs w:val="20"/>
        </w:rPr>
        <w:t>ons under the GSK Agreements, which include the strategic alliance agreement and the collaboration agreement assigned to TRC, that may cause GSK’s interests to differ from our interests and those of our other shareholders. For example, GSK’s commercializat</w:t>
      </w:r>
      <w:r>
        <w:rPr>
          <w:sz w:val="20"/>
          <w:szCs w:val="20"/>
        </w:rPr>
        <w:t>ion efforts are guided by a portfolio approach across products in which we have an indirect interest through TRC and products in which we have no interest. Accordingly, GSK’s commercialization efforts may have the effect of reducing the value of our intere</w:t>
      </w:r>
      <w:r>
        <w:rPr>
          <w:sz w:val="20"/>
          <w:szCs w:val="20"/>
        </w:rPr>
        <w:t xml:space="preserve">st in TRC. Furthermore, GSK has a substantial respiratory product portfolio in addition to the products covered by the GSK Agreements. GSK may make respiratory product portfolio decisions or statements about its portfolio which may be, or may be perceived </w:t>
      </w:r>
      <w:r>
        <w:rPr>
          <w:sz w:val="20"/>
          <w:szCs w:val="20"/>
        </w:rPr>
        <w:t>to be, harmful to the respiratory products partnered with Innoviva and TRC. For example, GSK could promote its own respiratory products and/or delay or terminate the development or commercialization of the respiratory programs covered by the GSK Agreements</w:t>
      </w:r>
      <w:r>
        <w:rPr>
          <w:sz w:val="20"/>
          <w:szCs w:val="20"/>
        </w:rPr>
        <w:t>. Also, given the potential future royalty payments GSK may be obligated to pay under the GSK Agreements, GSK may seek to acquire us or acquire our interests in TRC in order to effectively reduce those payment obligations and the price at which GSK might s</w:t>
      </w:r>
      <w:r>
        <w:rPr>
          <w:sz w:val="20"/>
          <w:szCs w:val="20"/>
        </w:rPr>
        <w:t>eek to acquire us may not reflect our true value. As a result of these differing interests, GSK may take actions that it believes are in its best interest but which might not be in the best interests of either us or our other shareholders. In addition, GSK</w:t>
      </w:r>
      <w:r>
        <w:rPr>
          <w:sz w:val="20"/>
          <w:szCs w:val="20"/>
        </w:rPr>
        <w:t xml:space="preserve"> could also seek to challenge our or Innoviva’s post-Spin-Off operations as violating or allowing it to terminate the GSK Agreements, including by violating the confidentiality provisions of those agreements or the master agreement between GSK, Innoviva an</w:t>
      </w:r>
      <w:r>
        <w:rPr>
          <w:sz w:val="20"/>
          <w:szCs w:val="20"/>
        </w:rPr>
        <w:t>d us entered into in connection with the Spin-Off (the “Master Agreement”), or otherwise violating its legal rights. While we believe our operations fully comply with the GSK Agreements, the Master Agreement and applicable law, there can be no assurance th</w:t>
      </w:r>
      <w:r>
        <w:rPr>
          <w:sz w:val="20"/>
          <w:szCs w:val="20"/>
        </w:rPr>
        <w:t>at we or Innoviva will prevail against any such claims by GSK. Moreover, regardless of the merit of any claims by GSK, we may incur significant cost and diversion of resources in defending them. In addition, any other action or inaction by either GSK or In</w:t>
      </w:r>
      <w:r>
        <w:rPr>
          <w:sz w:val="20"/>
          <w:szCs w:val="20"/>
        </w:rPr>
        <w:t>noviva that results in a material dispute, allegation of breach, litigation, arbitration, or significant disagreement between those parties or between us and either of those parties may be interpreted negatively by the market or by our investors, could har</w:t>
      </w:r>
      <w:r>
        <w:rPr>
          <w:sz w:val="20"/>
          <w:szCs w:val="20"/>
        </w:rPr>
        <w:t>m our business and cause the price of our securities to fall. Other examples of these kinds of issues include but are not limited to non-performance of other contractual obligations and allegations of non-performance, disagreements over the relative market</w:t>
      </w:r>
      <w:r>
        <w:rPr>
          <w:sz w:val="20"/>
          <w:szCs w:val="20"/>
        </w:rPr>
        <w:t>ing and sales efforts for Innoviva’s partnered products and other GSK respiratory products, disputes over public statements, and similar matters. In general, any uncertainty about the respiratory programs partnered with GSK, the enforceability of the GSK A</w:t>
      </w:r>
      <w:r>
        <w:rPr>
          <w:sz w:val="20"/>
          <w:szCs w:val="20"/>
        </w:rPr>
        <w:t>greements or the relationship/partnership between Innoviva and GSK or between us and Innoviva could result in significant reduction in the market price of our securities and other material harm to our business.</w:t>
      </w:r>
    </w:p>
    <w:p w:rsidR="00000000" w:rsidRDefault="00C96329">
      <w:pPr>
        <w:pStyle w:val="a3"/>
        <w:spacing w:before="0" w:beforeAutospacing="0" w:after="120" w:afterAutospacing="0"/>
        <w:divId w:val="928318490"/>
        <w:rPr>
          <w:sz w:val="20"/>
          <w:szCs w:val="20"/>
        </w:rPr>
      </w:pPr>
      <w:r>
        <w:rPr>
          <w:b/>
          <w:bCs/>
          <w:i/>
          <w:iCs/>
          <w:sz w:val="20"/>
          <w:szCs w:val="20"/>
        </w:rPr>
        <w:t>We do not control the commercialization of TRELEGY and we do not control TRC; accordingly the amount of royalties we receive will depend, among other factors, on GSK’s ability to further commercialize TRELEGY and TRC’s decisions concerning use of cash in a</w:t>
      </w:r>
      <w:r>
        <w:rPr>
          <w:b/>
          <w:bCs/>
          <w:i/>
          <w:iCs/>
          <w:sz w:val="20"/>
          <w:szCs w:val="20"/>
        </w:rPr>
        <w:t>ccordance with the TRC LLC Agreement.</w:t>
      </w:r>
    </w:p>
    <w:p w:rsidR="00000000" w:rsidRDefault="00C96329">
      <w:pPr>
        <w:pStyle w:val="a3"/>
        <w:spacing w:before="0" w:beforeAutospacing="0" w:after="0" w:afterAutospacing="0"/>
        <w:ind w:firstLine="720"/>
        <w:divId w:val="928318490"/>
        <w:rPr>
          <w:sz w:val="20"/>
          <w:szCs w:val="20"/>
        </w:rPr>
      </w:pPr>
      <w:r>
        <w:rPr>
          <w:sz w:val="20"/>
          <w:szCs w:val="20"/>
        </w:rPr>
        <w:t>We only receive revenues from TRELEGY based on the amount of sales of this product by GSK in the form of our economic interest in the royalties paid by GSK to TRC, which is managed by Innoviva. There are no required mi</w:t>
      </w:r>
      <w:r>
        <w:rPr>
          <w:sz w:val="20"/>
          <w:szCs w:val="20"/>
        </w:rPr>
        <w:t>nimum future payments associated with the product and any royalties we receive will depend on GSK’s ability to commercialize the product, the future payments, if any, made by GSK under the strategic alliance agreement and under the portion of the collabora</w:t>
      </w:r>
      <w:r>
        <w:rPr>
          <w:sz w:val="20"/>
          <w:szCs w:val="20"/>
        </w:rPr>
        <w:t xml:space="preserve">tion agreement assigned to TRC, TRC’s expenses, and the amount of cash, if any, expected to be used by TRC </w:t>
      </w:r>
    </w:p>
    <w:p w:rsidR="00000000" w:rsidRDefault="00C96329">
      <w:pPr>
        <w:pStyle w:val="a3"/>
        <w:spacing w:before="360" w:beforeAutospacing="0" w:after="0" w:afterAutospacing="0"/>
        <w:jc w:val="center"/>
        <w:divId w:val="1599949715"/>
        <w:rPr>
          <w:sz w:val="20"/>
          <w:szCs w:val="20"/>
        </w:rPr>
      </w:pPr>
      <w:r>
        <w:rPr>
          <w:sz w:val="20"/>
          <w:szCs w:val="20"/>
        </w:rPr>
        <w:t>45</w:t>
      </w:r>
    </w:p>
    <w:p w:rsidR="00000000" w:rsidRDefault="00C96329">
      <w:pPr>
        <w:pStyle w:val="a3"/>
        <w:spacing w:before="0" w:beforeAutospacing="0" w:after="600" w:afterAutospacing="0"/>
        <w:divId w:val="534662470"/>
        <w:rPr>
          <w:sz w:val="20"/>
          <w:szCs w:val="20"/>
        </w:rPr>
      </w:pPr>
      <w:hyperlink w:anchor="TOC" w:history="1">
        <w:r>
          <w:rPr>
            <w:rStyle w:val="a4"/>
            <w:sz w:val="20"/>
            <w:szCs w:val="20"/>
          </w:rPr>
          <w:t>Table of Contents</w:t>
        </w:r>
      </w:hyperlink>
    </w:p>
    <w:p w:rsidR="00000000" w:rsidRDefault="00C96329">
      <w:pPr>
        <w:pStyle w:val="a3"/>
        <w:spacing w:before="0" w:beforeAutospacing="0" w:after="200" w:afterAutospacing="0"/>
        <w:divId w:val="1435784499"/>
        <w:rPr>
          <w:sz w:val="20"/>
          <w:szCs w:val="20"/>
        </w:rPr>
      </w:pPr>
      <w:r>
        <w:rPr>
          <w:sz w:val="20"/>
          <w:szCs w:val="20"/>
        </w:rPr>
        <w:t>pursuant to the TRC LLC Agreement. Following our 2019 arbitration with Innoviva concerning its withho</w:t>
      </w:r>
      <w:r>
        <w:rPr>
          <w:sz w:val="20"/>
          <w:szCs w:val="20"/>
        </w:rPr>
        <w:t>lding of certain royalty distributions to the TRC members, the arbitrator ruled, among other things, that in the future if Innoviva desires to invest TRC funds in any initiatives that require the consent of GSK under the collaboration agreement, Innoviva m</w:t>
      </w:r>
      <w:r>
        <w:rPr>
          <w:sz w:val="20"/>
          <w:szCs w:val="20"/>
        </w:rPr>
        <w:t>ust first obtain the consent of GSK. The timeframe for seeking GSK’s consent for these initiatives and the associated dates by which GSK’s consent must be received means that royalty distributions could be delayed for several quarters (if GSK ultimately do</w:t>
      </w:r>
      <w:r>
        <w:rPr>
          <w:sz w:val="20"/>
          <w:szCs w:val="20"/>
        </w:rPr>
        <w:t>es not consent) or perhaps not made at all until the completion of the initiatives (to the extent that GSK does consent and agrees with TRC that TRC funding will be used for such initiatives). This involves a number of risks and uncertainties, including: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439"/>
      </w:tblGrid>
      <w:tr w:rsidR="00000000">
        <w:trPr>
          <w:divId w:val="1435784499"/>
        </w:trPr>
        <w:tc>
          <w:tcPr>
            <w:tcW w:w="720" w:type="dxa"/>
            <w:tcMar>
              <w:top w:w="0" w:type="dxa"/>
              <w:left w:w="0" w:type="dxa"/>
              <w:bottom w:w="0" w:type="dxa"/>
              <w:right w:w="0" w:type="dxa"/>
            </w:tcMar>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any future withholding by Innoviva or TRC of royalty distributions;</w:t>
            </w:r>
          </w:p>
        </w:tc>
      </w:tr>
    </w:tbl>
    <w:p w:rsidR="00000000" w:rsidRDefault="00C96329">
      <w:pPr>
        <w:divId w:val="143578449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532"/>
      </w:tblGrid>
      <w:tr w:rsidR="00000000">
        <w:trPr>
          <w:divId w:val="1435784499"/>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GSK’s ability to have an adequate supply of their respective product;</w:t>
            </w:r>
          </w:p>
        </w:tc>
      </w:tr>
    </w:tbl>
    <w:p w:rsidR="00000000" w:rsidRDefault="00C96329">
      <w:pPr>
        <w:divId w:val="143578449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5784499"/>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ongoing compliance by GSK or its suppliers with the FDA’s current Good Manufacturing Practice;</w:t>
            </w:r>
          </w:p>
        </w:tc>
      </w:tr>
    </w:tbl>
    <w:p w:rsidR="00000000" w:rsidRDefault="00C96329">
      <w:pPr>
        <w:divId w:val="143578449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5784499"/>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compliance with other applicable FDA and other regulatory requirements in the US or other foreign jurisdictions, including those described elsewhere in this</w:t>
            </w:r>
            <w:r>
              <w:rPr>
                <w:sz w:val="20"/>
                <w:szCs w:val="20"/>
              </w:rPr>
              <w:t xml:space="preserve"> report;</w:t>
            </w:r>
          </w:p>
        </w:tc>
      </w:tr>
    </w:tbl>
    <w:p w:rsidR="00000000" w:rsidRDefault="00C96329">
      <w:pPr>
        <w:divId w:val="143578449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5784499"/>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competition, whether from current competitors or new products developed by others in the future;</w:t>
            </w:r>
          </w:p>
        </w:tc>
      </w:tr>
    </w:tbl>
    <w:p w:rsidR="00000000" w:rsidRDefault="00C96329">
      <w:pPr>
        <w:divId w:val="143578449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11"/>
      </w:tblGrid>
      <w:tr w:rsidR="00000000">
        <w:trPr>
          <w:divId w:val="1435784499"/>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claims relating to intellectual property;</w:t>
            </w:r>
          </w:p>
        </w:tc>
      </w:tr>
    </w:tbl>
    <w:p w:rsidR="00000000" w:rsidRDefault="00C96329">
      <w:pPr>
        <w:divId w:val="143578449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5784499"/>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 xml:space="preserve">any future disruptions in GSK’s business which would affect its ability to commercialize the </w:t>
            </w:r>
            <w:r>
              <w:rPr>
                <w:sz w:val="20"/>
                <w:szCs w:val="20"/>
              </w:rPr>
              <w:t>product, including, disruptions due to the COVID-19 pandemic;</w:t>
            </w:r>
          </w:p>
        </w:tc>
      </w:tr>
    </w:tbl>
    <w:p w:rsidR="00000000" w:rsidRDefault="00C96329">
      <w:pPr>
        <w:divId w:val="143578449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5784499"/>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ability of TRELEGY to achieve wider acceptance among physicians, patients, third-party payors, or the medical community in general;</w:t>
            </w:r>
          </w:p>
        </w:tc>
      </w:tr>
    </w:tbl>
    <w:p w:rsidR="00000000" w:rsidRDefault="00C96329">
      <w:pPr>
        <w:divId w:val="143578449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5784499"/>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amount of cash associated with any additional future TRELEGY commercialization initiatives that Innoviva propos</w:t>
            </w:r>
            <w:r>
              <w:rPr>
                <w:sz w:val="20"/>
                <w:szCs w:val="20"/>
              </w:rPr>
              <w:t>es to GSK for TRC to pursue, the time it may take to present those initiatives to GSK for approval and the time it takes for GSK to consent or not consent;</w:t>
            </w:r>
          </w:p>
        </w:tc>
      </w:tr>
    </w:tbl>
    <w:p w:rsidR="00000000" w:rsidRDefault="00C96329">
      <w:pPr>
        <w:divId w:val="143578449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267"/>
      </w:tblGrid>
      <w:tr w:rsidR="00000000">
        <w:trPr>
          <w:divId w:val="1435784499"/>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global economic conditions;</w:t>
            </w:r>
          </w:p>
        </w:tc>
      </w:tr>
    </w:tbl>
    <w:p w:rsidR="00000000" w:rsidRDefault="00C96329">
      <w:pPr>
        <w:divId w:val="143578449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5784499"/>
        </w:trPr>
        <w:tc>
          <w:tcPr>
            <w:tcW w:w="720" w:type="dxa"/>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C96329">
            <w:pPr>
              <w:rPr>
                <w:rFonts w:eastAsia="Times New Roman"/>
                <w:sz w:val="20"/>
                <w:szCs w:val="20"/>
              </w:rPr>
            </w:pPr>
            <w:r>
              <w:rPr>
                <w:rFonts w:eastAsia="Times New Roman"/>
                <w:color w:val="000000"/>
                <w:sz w:val="20"/>
                <w:szCs w:val="20"/>
              </w:rPr>
              <w:t>decisions made by Innoviva, as TRC’s manager, regarding the ti</w:t>
            </w:r>
            <w:r>
              <w:rPr>
                <w:rFonts w:eastAsia="Times New Roman"/>
                <w:color w:val="000000"/>
                <w:sz w:val="20"/>
                <w:szCs w:val="20"/>
              </w:rPr>
              <w:t>ming and amount of distributions;</w:t>
            </w:r>
          </w:p>
        </w:tc>
      </w:tr>
    </w:tbl>
    <w:p w:rsidR="00000000" w:rsidRDefault="00C96329">
      <w:pPr>
        <w:divId w:val="143578449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5784499"/>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resolution of any disputes between Innoviva and TRC, on the one hand, and us, on the other, regarding the timing of distributions, the amount of distributions, and the proper business activities of TRC, including the current dispute with Innoviva and T</w:t>
            </w:r>
            <w:r>
              <w:rPr>
                <w:sz w:val="20"/>
                <w:szCs w:val="20"/>
              </w:rPr>
              <w:t>RC described below; and</w:t>
            </w:r>
          </w:p>
        </w:tc>
      </w:tr>
    </w:tbl>
    <w:p w:rsidR="00000000" w:rsidRDefault="00C96329">
      <w:pPr>
        <w:divId w:val="143578449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5784499"/>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any of the other risks relating to commercialization of products described elsewhere in this section.</w:t>
            </w:r>
          </w:p>
        </w:tc>
      </w:tr>
    </w:tbl>
    <w:p w:rsidR="00000000" w:rsidRDefault="00C96329">
      <w:pPr>
        <w:pStyle w:val="a3"/>
        <w:spacing w:before="0" w:beforeAutospacing="0" w:after="200" w:afterAutospacing="0"/>
        <w:ind w:firstLine="720"/>
        <w:divId w:val="1435784499"/>
        <w:rPr>
          <w:sz w:val="20"/>
          <w:szCs w:val="20"/>
        </w:rPr>
      </w:pPr>
      <w:r>
        <w:rPr>
          <w:sz w:val="20"/>
          <w:szCs w:val="20"/>
        </w:rPr>
        <w:t>These risks and uncertainties could materially impact the amount and timing of future royalties or other revenues we may rec</w:t>
      </w:r>
      <w:r>
        <w:rPr>
          <w:sz w:val="20"/>
          <w:szCs w:val="20"/>
        </w:rPr>
        <w:t>eive from sales of TRELEGY, which could have a material adverse effect on our future revenues, other financial results and our financial position and cause the price of our securities to fall.</w:t>
      </w:r>
    </w:p>
    <w:p w:rsidR="00000000" w:rsidRDefault="00C96329">
      <w:pPr>
        <w:pStyle w:val="a3"/>
        <w:spacing w:before="0" w:beforeAutospacing="0" w:after="200" w:afterAutospacing="0"/>
        <w:divId w:val="1435784499"/>
        <w:rPr>
          <w:sz w:val="20"/>
          <w:szCs w:val="20"/>
        </w:rPr>
      </w:pPr>
      <w:r>
        <w:rPr>
          <w:sz w:val="20"/>
          <w:szCs w:val="20"/>
        </w:rPr>
        <w:t>On June 1, 2020, Innoviva provided us the draft TRC quarterly f</w:t>
      </w:r>
      <w:r>
        <w:rPr>
          <w:sz w:val="20"/>
          <w:szCs w:val="20"/>
        </w:rPr>
        <w:t xml:space="preserve">inancial plan for the quarter ending September 30, 2020. The draft financial plan noted that Innoviva has caused TRC to sign non-binding letters of intent for the potential investment of TRC funds into certain privately held companies. We believe that, if </w:t>
      </w:r>
      <w:r>
        <w:rPr>
          <w:sz w:val="20"/>
          <w:szCs w:val="20"/>
        </w:rPr>
        <w:t>TRC withholds funds to make these contemplated investments, any distributions by TRC to its members for at least the third quarter of 2020 will be reduced and possibly eliminated. We have objected to the withholding of funds by TRC for these and similar in</w:t>
      </w:r>
      <w:r>
        <w:rPr>
          <w:sz w:val="20"/>
          <w:szCs w:val="20"/>
        </w:rPr>
        <w:t xml:space="preserve">vestments. </w:t>
      </w:r>
    </w:p>
    <w:p w:rsidR="00000000" w:rsidRDefault="00C96329">
      <w:pPr>
        <w:pStyle w:val="a3"/>
        <w:spacing w:before="0" w:beforeAutospacing="0" w:after="0" w:afterAutospacing="0"/>
        <w:ind w:firstLine="720"/>
        <w:divId w:val="1435784499"/>
        <w:rPr>
          <w:sz w:val="20"/>
          <w:szCs w:val="20"/>
        </w:rPr>
      </w:pPr>
      <w:r>
        <w:rPr>
          <w:sz w:val="20"/>
          <w:szCs w:val="20"/>
        </w:rPr>
        <w:t>On July 16, 2020, Innoviva and TRC filed a complaint in Delaware Chancery Court seeking an order establishing that the arbitration award from the parties’ 2019 dispute conclusively established that (a) Innoviva possesses the authority as manage</w:t>
      </w:r>
      <w:r>
        <w:rPr>
          <w:sz w:val="20"/>
          <w:szCs w:val="20"/>
        </w:rPr>
        <w:t xml:space="preserve">r of TRC to cause TRC to make such investments and (b) Innoviva possesses the authority as manager of TRC to cause TRC to reserve cash to make such investments. The Court directed the parties to refer certain relevant questions raised </w:t>
      </w:r>
    </w:p>
    <w:p w:rsidR="00000000" w:rsidRDefault="00C96329">
      <w:pPr>
        <w:pStyle w:val="a3"/>
        <w:spacing w:before="360" w:beforeAutospacing="0" w:after="0" w:afterAutospacing="0"/>
        <w:jc w:val="center"/>
        <w:divId w:val="509485831"/>
        <w:rPr>
          <w:sz w:val="20"/>
          <w:szCs w:val="20"/>
        </w:rPr>
      </w:pPr>
      <w:r>
        <w:rPr>
          <w:sz w:val="20"/>
          <w:szCs w:val="20"/>
        </w:rPr>
        <w:t>46</w:t>
      </w:r>
    </w:p>
    <w:p w:rsidR="00000000" w:rsidRDefault="00C96329">
      <w:pPr>
        <w:pStyle w:val="a3"/>
        <w:spacing w:before="0" w:beforeAutospacing="0" w:after="600" w:afterAutospacing="0"/>
        <w:divId w:val="580334239"/>
        <w:rPr>
          <w:sz w:val="20"/>
          <w:szCs w:val="20"/>
        </w:rPr>
      </w:pPr>
      <w:hyperlink w:anchor="TOC" w:history="1">
        <w:r>
          <w:rPr>
            <w:rStyle w:val="a4"/>
            <w:sz w:val="20"/>
            <w:szCs w:val="20"/>
          </w:rPr>
          <w:t>Table of Contents</w:t>
        </w:r>
      </w:hyperlink>
    </w:p>
    <w:p w:rsidR="00000000" w:rsidRDefault="00C96329">
      <w:pPr>
        <w:pStyle w:val="a3"/>
        <w:spacing w:before="0" w:beforeAutospacing="0" w:after="200" w:afterAutospacing="0"/>
        <w:divId w:val="467432097"/>
        <w:rPr>
          <w:sz w:val="20"/>
          <w:szCs w:val="20"/>
        </w:rPr>
      </w:pPr>
      <w:r>
        <w:rPr>
          <w:sz w:val="20"/>
          <w:szCs w:val="20"/>
        </w:rPr>
        <w:t>by the complaint to the arbitrator in the 2019 dispute, who in turn determined that the 2019 proceedings did not resolve the issues currently in dispute. On August 5, 2020, Innoviva and TRC voluntarily dismissed the complaint, wi</w:t>
      </w:r>
      <w:r>
        <w:rPr>
          <w:sz w:val="20"/>
          <w:szCs w:val="20"/>
        </w:rPr>
        <w:t>thout prejudice. We are pursuing and intend to continue to pursue the protection of our interests in this matter consistent with the dispute resolution procedures of the TRC LLC Agreement, including, if necessary, the initiation of a new arbitration procee</w:t>
      </w:r>
      <w:r>
        <w:rPr>
          <w:sz w:val="20"/>
          <w:szCs w:val="20"/>
        </w:rPr>
        <w:t>ding. Any such proceeding could divert the attention of management and cause us to incur significant costs, regardless of the outcome, which we cannot predict. If such proceedings were pursued, there can be no assurance that they would result in us receivi</w:t>
      </w:r>
      <w:r>
        <w:rPr>
          <w:sz w:val="20"/>
          <w:szCs w:val="20"/>
        </w:rPr>
        <w:t>ng additional distributions from TRC. An adverse result could materially and adversely affect the funds that our affiliates would otherwise expect to receive from TRC in the future</w:t>
      </w:r>
      <w:r>
        <w:rPr>
          <w:sz w:val="20"/>
          <w:szCs w:val="20"/>
        </w:rPr>
        <w:t>.</w:t>
      </w:r>
    </w:p>
    <w:p w:rsidR="00000000" w:rsidRDefault="00C96329">
      <w:pPr>
        <w:pStyle w:val="a3"/>
        <w:spacing w:before="0" w:beforeAutospacing="0" w:after="200" w:afterAutospacing="0"/>
        <w:ind w:firstLine="720"/>
        <w:divId w:val="467432097"/>
        <w:rPr>
          <w:sz w:val="20"/>
          <w:szCs w:val="20"/>
        </w:rPr>
      </w:pPr>
      <w:r>
        <w:rPr>
          <w:sz w:val="20"/>
          <w:szCs w:val="20"/>
        </w:rPr>
        <w:t xml:space="preserve">In the future, Innoviva may cause TRC to withhold funds from distribution </w:t>
      </w:r>
      <w:r>
        <w:rPr>
          <w:sz w:val="20"/>
          <w:szCs w:val="20"/>
        </w:rPr>
        <w:t>to its members, including our affiliates, for additional TRELEGY development or commercialization initiatives that may be proposed, which would need to be approved by GSK in order to be implemented, or for other purposes. To the extent any TRELEGY developm</w:t>
      </w:r>
      <w:r>
        <w:rPr>
          <w:sz w:val="20"/>
          <w:szCs w:val="20"/>
        </w:rPr>
        <w:t>ent or commercialization initiatives are timely approved by GSK and implemented, such initiatives may require funding beyond the amount withheld by TRC, and TRC may withhold additional amounts in subsequent quarters with respect to these initiatives. Accor</w:t>
      </w:r>
      <w:r>
        <w:rPr>
          <w:sz w:val="20"/>
          <w:szCs w:val="20"/>
        </w:rPr>
        <w:t>dingly, we cannot predict the amount of the funds that our affiliates would otherwise expect to receive from TRC that TRC may withhold in the future, or the timing of any such withholding.</w:t>
      </w:r>
    </w:p>
    <w:p w:rsidR="00000000" w:rsidRDefault="00C96329">
      <w:pPr>
        <w:pStyle w:val="a3"/>
        <w:spacing w:before="0" w:beforeAutospacing="0" w:after="120" w:afterAutospacing="0"/>
        <w:divId w:val="467432097"/>
        <w:rPr>
          <w:sz w:val="20"/>
          <w:szCs w:val="20"/>
        </w:rPr>
      </w:pPr>
      <w:r>
        <w:rPr>
          <w:b/>
          <w:bCs/>
          <w:i/>
          <w:iCs/>
          <w:sz w:val="20"/>
          <w:szCs w:val="20"/>
        </w:rPr>
        <w:t>Our ongoing drug discovery and development efforts might not genera</w:t>
      </w:r>
      <w:r>
        <w:rPr>
          <w:b/>
          <w:bCs/>
          <w:i/>
          <w:iCs/>
          <w:sz w:val="20"/>
          <w:szCs w:val="20"/>
        </w:rPr>
        <w:t>te additional successful product candidates or approvable drugs.</w:t>
      </w:r>
    </w:p>
    <w:p w:rsidR="00000000" w:rsidRDefault="00C96329">
      <w:pPr>
        <w:pStyle w:val="a3"/>
        <w:spacing w:before="0" w:beforeAutospacing="0" w:after="200" w:afterAutospacing="0"/>
        <w:ind w:firstLine="720"/>
        <w:divId w:val="467432097"/>
        <w:rPr>
          <w:sz w:val="20"/>
          <w:szCs w:val="20"/>
        </w:rPr>
      </w:pPr>
      <w:r>
        <w:rPr>
          <w:sz w:val="20"/>
          <w:szCs w:val="20"/>
        </w:rPr>
        <w:t>Our compounds in clinical trials and our future leads for potential drug compounds are subject to the risks and failures inherent in the development of pharmaceutical products. These risks in</w:t>
      </w:r>
      <w:r>
        <w:rPr>
          <w:sz w:val="20"/>
          <w:szCs w:val="20"/>
        </w:rPr>
        <w:t>clude, but are not limited to, the inherent difficulty in selecting the right drug and drug target and avoiding unwanted side effects, as well as unanticipated problems relating to product development, testing, enrollment, obtaining regulatory approvals, m</w:t>
      </w:r>
      <w:r>
        <w:rPr>
          <w:sz w:val="20"/>
          <w:szCs w:val="20"/>
        </w:rPr>
        <w:t>aintaining regulatory compliance, manufacturing, competition and costs and expenses that may exceed current estimates.</w:t>
      </w:r>
    </w:p>
    <w:p w:rsidR="00000000" w:rsidRDefault="00C96329">
      <w:pPr>
        <w:pStyle w:val="a3"/>
        <w:spacing w:before="0" w:beforeAutospacing="0" w:after="200" w:afterAutospacing="0"/>
        <w:ind w:firstLine="720"/>
        <w:divId w:val="467432097"/>
        <w:rPr>
          <w:sz w:val="20"/>
          <w:szCs w:val="20"/>
        </w:rPr>
      </w:pPr>
      <w:r>
        <w:rPr>
          <w:sz w:val="20"/>
          <w:szCs w:val="20"/>
        </w:rPr>
        <w:t>Clinical studies involving our product candidates may reveal that those candidates are ineffective, inferior to existing approved medicines, unacceptably toxic, or that they have other unacceptable side effects. In addition, the results of preclinical stud</w:t>
      </w:r>
      <w:r>
        <w:rPr>
          <w:sz w:val="20"/>
          <w:szCs w:val="20"/>
        </w:rPr>
        <w:t>ies do not necessarily predict clinical success, and larger and later-stage clinical studies may not produce the same results as earlier-stage clinical studies.</w:t>
      </w:r>
    </w:p>
    <w:p w:rsidR="00000000" w:rsidRDefault="00C96329">
      <w:pPr>
        <w:pStyle w:val="a3"/>
        <w:spacing w:before="0" w:beforeAutospacing="0" w:after="200" w:afterAutospacing="0"/>
        <w:ind w:firstLine="720"/>
        <w:divId w:val="467432097"/>
        <w:rPr>
          <w:sz w:val="20"/>
          <w:szCs w:val="20"/>
        </w:rPr>
      </w:pPr>
      <w:r>
        <w:rPr>
          <w:sz w:val="20"/>
          <w:szCs w:val="20"/>
        </w:rPr>
        <w:t>Frequently, product candidates that have shown promising results in early preclinical or clinic</w:t>
      </w:r>
      <w:r>
        <w:rPr>
          <w:sz w:val="20"/>
          <w:szCs w:val="20"/>
        </w:rPr>
        <w:t>al studies have subsequently suffered significant setbacks or failed in later non-clinical or clinical studies. In some instances, there can be significant variability in safety and/or efficacy results between different trials of the same product candidate</w:t>
      </w:r>
      <w:r>
        <w:rPr>
          <w:sz w:val="20"/>
          <w:szCs w:val="20"/>
        </w:rPr>
        <w:t xml:space="preserve"> due to numerous factors, including changes in trial protocols, differences in size and type of the patient populations, varying levels of adherence to the dosing regimen and other trial protocols and the rate of dropout among clinical trial participants. </w:t>
      </w:r>
      <w:r>
        <w:rPr>
          <w:sz w:val="20"/>
          <w:szCs w:val="20"/>
        </w:rPr>
        <w:t>Clinical and non-clinical studies of product candidates often reveal that it is not possible or practical to continue development efforts for these product candidates. In addition, the design of a clinical trial can determine whether its results will suppo</w:t>
      </w:r>
      <w:r>
        <w:rPr>
          <w:sz w:val="20"/>
          <w:szCs w:val="20"/>
        </w:rPr>
        <w:t>rt regulatory approval and flaws in the design of a clinical trial may not become apparent until the clinical trial is well underway or completed. If our clinical studies for our current product candidates, such as the clinical studies for our JAK inhibito</w:t>
      </w:r>
      <w:r>
        <w:rPr>
          <w:sz w:val="20"/>
          <w:szCs w:val="20"/>
        </w:rPr>
        <w:t>r programs or ampreloxetine in patients with nOH, are substantially delayed or suggest that any of our product candidates may not be efficacious or well tolerated, we could choose to cease development of these product candidates. In addition, our product c</w:t>
      </w:r>
      <w:r>
        <w:rPr>
          <w:sz w:val="20"/>
          <w:szCs w:val="20"/>
        </w:rPr>
        <w:t>andidates may have undesirable side effects or other unexpected characteristics that could cause us or regulatory authorities to interrupt, delay or halt clinical trials and could result in a more restricted label or the delay or denial of regulatory appro</w:t>
      </w:r>
      <w:r>
        <w:rPr>
          <w:sz w:val="20"/>
          <w:szCs w:val="20"/>
        </w:rPr>
        <w:t>val by regulatory authorities.</w:t>
      </w:r>
    </w:p>
    <w:p w:rsidR="00000000" w:rsidRDefault="00C96329">
      <w:pPr>
        <w:pStyle w:val="a3"/>
        <w:spacing w:before="0" w:beforeAutospacing="0" w:after="120" w:afterAutospacing="0"/>
        <w:divId w:val="467432097"/>
        <w:rPr>
          <w:sz w:val="20"/>
          <w:szCs w:val="20"/>
        </w:rPr>
      </w:pPr>
      <w:r>
        <w:rPr>
          <w:b/>
          <w:bCs/>
          <w:i/>
          <w:iCs/>
          <w:sz w:val="20"/>
          <w:szCs w:val="20"/>
        </w:rPr>
        <w:t>We face substantial competition from companies with more resources and experience than we have, which may result in others discovering, developing, receiving approval for or commercializing products before or more successfull</w:t>
      </w:r>
      <w:r>
        <w:rPr>
          <w:b/>
          <w:bCs/>
          <w:i/>
          <w:iCs/>
          <w:sz w:val="20"/>
          <w:szCs w:val="20"/>
        </w:rPr>
        <w:t>y than we do.</w:t>
      </w:r>
    </w:p>
    <w:p w:rsidR="00000000" w:rsidRDefault="00C96329">
      <w:pPr>
        <w:pStyle w:val="a3"/>
        <w:spacing w:before="0" w:beforeAutospacing="0" w:after="200" w:afterAutospacing="0"/>
        <w:ind w:firstLine="720"/>
        <w:divId w:val="467432097"/>
        <w:rPr>
          <w:sz w:val="20"/>
          <w:szCs w:val="20"/>
        </w:rPr>
      </w:pPr>
      <w:r>
        <w:rPr>
          <w:sz w:val="20"/>
          <w:szCs w:val="20"/>
        </w:rPr>
        <w:t>Our ability to succeed in the future depends on our ability to demonstrate and maintain a competitive advantage with respect to our approach to the discovery, development and commercialization of medicines. Our objective is to discover, devel</w:t>
      </w:r>
      <w:r>
        <w:rPr>
          <w:sz w:val="20"/>
          <w:szCs w:val="20"/>
        </w:rPr>
        <w:t>op and commercialize new small molecule medicines with superior efficacy, convenience, tolerability and/or safety using our proprietary insight in chemistry, biology and multivalency, where applicable. We expect that any medicines that we commercialize wit</w:t>
      </w:r>
      <w:r>
        <w:rPr>
          <w:sz w:val="20"/>
          <w:szCs w:val="20"/>
        </w:rPr>
        <w:t>h or without our collaborative partners will compete with existing or future market-leading medicines.</w:t>
      </w:r>
    </w:p>
    <w:p w:rsidR="00000000" w:rsidRDefault="00C96329">
      <w:pPr>
        <w:pStyle w:val="a3"/>
        <w:spacing w:before="360" w:beforeAutospacing="0" w:after="0" w:afterAutospacing="0"/>
        <w:jc w:val="center"/>
        <w:divId w:val="605425545"/>
        <w:rPr>
          <w:sz w:val="20"/>
          <w:szCs w:val="20"/>
        </w:rPr>
      </w:pPr>
      <w:r>
        <w:rPr>
          <w:sz w:val="20"/>
          <w:szCs w:val="20"/>
        </w:rPr>
        <w:t>47</w:t>
      </w:r>
    </w:p>
    <w:p w:rsidR="00000000" w:rsidRDefault="00C96329">
      <w:pPr>
        <w:pStyle w:val="a3"/>
        <w:spacing w:before="0" w:beforeAutospacing="0" w:after="600" w:afterAutospacing="0"/>
        <w:divId w:val="1036203271"/>
        <w:rPr>
          <w:sz w:val="20"/>
          <w:szCs w:val="20"/>
        </w:rPr>
      </w:pPr>
      <w:hyperlink w:anchor="TOC" w:history="1">
        <w:r>
          <w:rPr>
            <w:rStyle w:val="a4"/>
            <w:sz w:val="20"/>
            <w:szCs w:val="20"/>
          </w:rPr>
          <w:t>Table of Contents</w:t>
        </w:r>
      </w:hyperlink>
    </w:p>
    <w:p w:rsidR="00000000" w:rsidRDefault="00C96329">
      <w:pPr>
        <w:pStyle w:val="a3"/>
        <w:spacing w:before="0" w:beforeAutospacing="0" w:after="200" w:afterAutospacing="0"/>
        <w:ind w:firstLine="720"/>
        <w:divId w:val="1140877613"/>
        <w:rPr>
          <w:sz w:val="20"/>
          <w:szCs w:val="20"/>
        </w:rPr>
      </w:pPr>
      <w:r>
        <w:rPr>
          <w:sz w:val="20"/>
          <w:szCs w:val="20"/>
        </w:rPr>
        <w:t>Many of our current and potential competitors have substantially greater financial, technical and personne</w:t>
      </w:r>
      <w:r>
        <w:rPr>
          <w:sz w:val="20"/>
          <w:szCs w:val="20"/>
        </w:rPr>
        <w:t>l resources than we have. In addition, many of these competitors have significantly greater commercial infrastructures than we have. Our ability to compete successfully will depend largely on our ability to leverage our experience in drug discovery and dev</w:t>
      </w:r>
      <w:r>
        <w:rPr>
          <w:sz w:val="20"/>
          <w:szCs w:val="20"/>
        </w:rPr>
        <w:t>elopment, and, more recently, commercialization,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476"/>
      </w:tblGrid>
      <w:tr w:rsidR="00000000">
        <w:trPr>
          <w:divId w:val="1140877613"/>
        </w:trPr>
        <w:tc>
          <w:tcPr>
            <w:tcW w:w="720" w:type="dxa"/>
            <w:tcMar>
              <w:top w:w="0" w:type="dxa"/>
              <w:left w:w="0" w:type="dxa"/>
              <w:bottom w:w="0" w:type="dxa"/>
              <w:right w:w="0" w:type="dxa"/>
            </w:tcMar>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discover and develop medicines that are superior to other products in the market;</w:t>
            </w:r>
          </w:p>
        </w:tc>
      </w:tr>
    </w:tbl>
    <w:p w:rsidR="00000000" w:rsidRDefault="00C96329">
      <w:pPr>
        <w:divId w:val="114087761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988"/>
      </w:tblGrid>
      <w:tr w:rsidR="00000000">
        <w:trPr>
          <w:divId w:val="1140877613"/>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attract and retain qualified personnel;</w:t>
            </w:r>
          </w:p>
        </w:tc>
      </w:tr>
    </w:tbl>
    <w:p w:rsidR="00000000" w:rsidRDefault="00C96329">
      <w:pPr>
        <w:divId w:val="114087761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0877613"/>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obtain and enforce patent and/or other proprietary protection for our medicines and technologies;</w:t>
            </w:r>
          </w:p>
        </w:tc>
      </w:tr>
    </w:tbl>
    <w:p w:rsidR="00000000" w:rsidRDefault="00C96329">
      <w:pPr>
        <w:divId w:val="114087761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831"/>
      </w:tblGrid>
      <w:tr w:rsidR="00000000">
        <w:trPr>
          <w:divId w:val="1140877613"/>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conduct effective clinical trials and obtain required regulatory approvals;</w:t>
            </w:r>
          </w:p>
        </w:tc>
      </w:tr>
    </w:tbl>
    <w:p w:rsidR="00000000" w:rsidRDefault="00C96329">
      <w:pPr>
        <w:divId w:val="114087761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0877613"/>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 xml:space="preserve">develop and effectively implement commercialization strategies, with or </w:t>
            </w:r>
            <w:r>
              <w:rPr>
                <w:sz w:val="20"/>
                <w:szCs w:val="20"/>
              </w:rPr>
              <w:t>without collaborative partners; and</w:t>
            </w:r>
          </w:p>
        </w:tc>
      </w:tr>
    </w:tbl>
    <w:p w:rsidR="00000000" w:rsidRDefault="00C96329">
      <w:pPr>
        <w:divId w:val="114087761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0877613"/>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successfully collaborate with pharmaceutical companies in the discovery, development and commercialization of new medicines.</w:t>
            </w:r>
          </w:p>
        </w:tc>
      </w:tr>
    </w:tbl>
    <w:p w:rsidR="00000000" w:rsidRDefault="00C96329">
      <w:pPr>
        <w:pStyle w:val="a3"/>
        <w:spacing w:before="0" w:beforeAutospacing="0" w:after="200" w:afterAutospacing="0"/>
        <w:ind w:firstLine="720"/>
        <w:divId w:val="1140877613"/>
        <w:rPr>
          <w:sz w:val="20"/>
          <w:szCs w:val="20"/>
        </w:rPr>
      </w:pPr>
      <w:r>
        <w:rPr>
          <w:sz w:val="20"/>
          <w:szCs w:val="20"/>
        </w:rPr>
        <w:t>Pharmaceutical companies, including companies with which we collaborate, may invest heavi</w:t>
      </w:r>
      <w:r>
        <w:rPr>
          <w:sz w:val="20"/>
          <w:szCs w:val="20"/>
        </w:rPr>
        <w:t>ly to quickly discover and develop or in-license novel compounds that could make our product candidates obsolete. Accordingly, our competitors may succeed in obtaining patent protection, receiving FDA or equivalent regulatory approval outside the US or dis</w:t>
      </w:r>
      <w:r>
        <w:rPr>
          <w:sz w:val="20"/>
          <w:szCs w:val="20"/>
        </w:rPr>
        <w:t>covering, developing and commercializing medicines before we do. Other companies are engaged in the discovery of medicines that would compete with the product candidates that we are developing.</w:t>
      </w:r>
    </w:p>
    <w:p w:rsidR="00000000" w:rsidRDefault="00C96329">
      <w:pPr>
        <w:pStyle w:val="a3"/>
        <w:spacing w:before="0" w:beforeAutospacing="0" w:after="200" w:afterAutospacing="0"/>
        <w:ind w:firstLine="720"/>
        <w:divId w:val="1140877613"/>
        <w:rPr>
          <w:sz w:val="20"/>
          <w:szCs w:val="20"/>
        </w:rPr>
      </w:pPr>
      <w:r>
        <w:rPr>
          <w:sz w:val="20"/>
          <w:szCs w:val="20"/>
        </w:rPr>
        <w:t>Any new medicine that competes with a generic or proprietary m</w:t>
      </w:r>
      <w:r>
        <w:rPr>
          <w:sz w:val="20"/>
          <w:szCs w:val="20"/>
        </w:rPr>
        <w:t>arket leading medicine must demonstrate compelling advantages in efficacy, convenience, tolerability and/or safety in order to overcome severe price competition and be commercially successful. For example, YUPELRI competes predominantly with short-acting n</w:t>
      </w:r>
      <w:r>
        <w:rPr>
          <w:sz w:val="20"/>
          <w:szCs w:val="20"/>
        </w:rPr>
        <w:t>ebulized bronchodilators used three to four times per day and the nebulized LAMA Lonhal</w:t>
      </w:r>
      <w:r>
        <w:rPr>
          <w:sz w:val="20"/>
          <w:szCs w:val="20"/>
        </w:rPr>
        <w:t>a</w:t>
      </w:r>
      <w:r>
        <w:rPr>
          <w:sz w:val="15"/>
          <w:szCs w:val="15"/>
          <w:vertAlign w:val="superscript"/>
        </w:rPr>
        <w:t>TM</w:t>
      </w:r>
      <w:r>
        <w:rPr>
          <w:sz w:val="20"/>
          <w:szCs w:val="20"/>
        </w:rPr>
        <w:t xml:space="preserve"> Magnai</w:t>
      </w:r>
      <w:r>
        <w:rPr>
          <w:sz w:val="20"/>
          <w:szCs w:val="20"/>
        </w:rPr>
        <w:t>r</w:t>
      </w:r>
      <w:r>
        <w:rPr>
          <w:sz w:val="15"/>
          <w:szCs w:val="15"/>
          <w:vertAlign w:val="superscript"/>
        </w:rPr>
        <w:t>TM</w:t>
      </w:r>
      <w:r>
        <w:rPr>
          <w:sz w:val="20"/>
          <w:szCs w:val="20"/>
        </w:rPr>
        <w:t xml:space="preserve"> (SUN-101/eFlo</w:t>
      </w:r>
      <w:r>
        <w:rPr>
          <w:sz w:val="20"/>
          <w:szCs w:val="20"/>
        </w:rPr>
        <w:t>w</w:t>
      </w:r>
      <w:r>
        <w:rPr>
          <w:sz w:val="15"/>
          <w:szCs w:val="15"/>
          <w:vertAlign w:val="superscript"/>
        </w:rPr>
        <w:t>®</w:t>
      </w:r>
      <w:r>
        <w:rPr>
          <w:sz w:val="20"/>
          <w:szCs w:val="20"/>
        </w:rPr>
        <w:t xml:space="preserve">) used twice per day. If we are not able to compete effectively against our current and future competitors, our business will not grow, our </w:t>
      </w:r>
      <w:r>
        <w:rPr>
          <w:sz w:val="20"/>
          <w:szCs w:val="20"/>
        </w:rPr>
        <w:t>financial condition and operations will suffer and the price of our securities could fall.</w:t>
      </w:r>
    </w:p>
    <w:p w:rsidR="00000000" w:rsidRDefault="00C96329">
      <w:pPr>
        <w:pStyle w:val="a3"/>
        <w:spacing w:before="0" w:beforeAutospacing="0" w:after="120" w:afterAutospacing="0"/>
        <w:divId w:val="1140877613"/>
        <w:rPr>
          <w:sz w:val="20"/>
          <w:szCs w:val="20"/>
        </w:rPr>
      </w:pPr>
      <w:r>
        <w:rPr>
          <w:b/>
          <w:bCs/>
          <w:i/>
          <w:iCs/>
          <w:sz w:val="20"/>
          <w:szCs w:val="20"/>
        </w:rPr>
        <w:t>If we are unable to enter into future collaboration arrangements or if any such collaborations with third parties are unsuccessful, we will be unable to fully develo</w:t>
      </w:r>
      <w:r>
        <w:rPr>
          <w:b/>
          <w:bCs/>
          <w:i/>
          <w:iCs/>
          <w:sz w:val="20"/>
          <w:szCs w:val="20"/>
        </w:rPr>
        <w:t>p and commercialize all of our product candidates and our business will be adversely affected.</w:t>
      </w:r>
    </w:p>
    <w:p w:rsidR="00000000" w:rsidRDefault="00C96329">
      <w:pPr>
        <w:pStyle w:val="a3"/>
        <w:spacing w:before="0" w:beforeAutospacing="0" w:after="200" w:afterAutospacing="0"/>
        <w:ind w:firstLine="720"/>
        <w:divId w:val="1140877613"/>
        <w:rPr>
          <w:sz w:val="20"/>
          <w:szCs w:val="20"/>
        </w:rPr>
      </w:pPr>
      <w:r>
        <w:rPr>
          <w:sz w:val="20"/>
          <w:szCs w:val="20"/>
        </w:rPr>
        <w:t xml:space="preserve">We have collaborations with a number of third parties including Janssen for TD-1473 and related back-up compounds for inflammatory intestinal diseases, including ulcerative colitis and Crohn’s disease and Mylan for the development and commercialization of </w:t>
      </w:r>
      <w:r>
        <w:rPr>
          <w:sz w:val="20"/>
          <w:szCs w:val="20"/>
        </w:rPr>
        <w:t>a nebulized formulation of revefenacin, our LAMA compound (including YUPELRI). Also, through our interest in TRC we may participate economically in Innoviva’s collaborations with GSK with respect to the GSK-Partnered Respiratory Programs. Additional collab</w:t>
      </w:r>
      <w:r>
        <w:rPr>
          <w:sz w:val="20"/>
          <w:szCs w:val="20"/>
        </w:rPr>
        <w:t>orations will likely be needed to fund later-stage development of certain programs that have not been licensed to a collaborator, such as our NEP inhibitor program and to commercialize the product candidates in our programs if approved by the necessary reg</w:t>
      </w:r>
      <w:r>
        <w:rPr>
          <w:sz w:val="20"/>
          <w:szCs w:val="20"/>
        </w:rPr>
        <w:t>ulatory authorities. We evaluate commercial strategy on a product by product basis either to engage pharmaceutical or other healthcare companies with an existing sales and marketing organization and distribution system to market, sell and distribute our pr</w:t>
      </w:r>
      <w:r>
        <w:rPr>
          <w:sz w:val="20"/>
          <w:szCs w:val="20"/>
        </w:rPr>
        <w:t>oducts or to commercialize a product ourselves. However, we may not be able to establish these sales and distribution relationships on acceptable terms, or at all, or may encounter difficulties in commercializing a product ourselves. For any of our product</w:t>
      </w:r>
      <w:r>
        <w:rPr>
          <w:sz w:val="20"/>
          <w:szCs w:val="20"/>
        </w:rPr>
        <w:t xml:space="preserve"> candidates that receive regulatory approval in the future and are not covered by our current collaboration agreements, we will need a partner in order to commercialize such products unless we establish independent sales, marketing and distribution capabil</w:t>
      </w:r>
      <w:r>
        <w:rPr>
          <w:sz w:val="20"/>
          <w:szCs w:val="20"/>
        </w:rPr>
        <w:t>ities with appropriate technical expertise and supporting infrastructure.</w:t>
      </w:r>
    </w:p>
    <w:p w:rsidR="00000000" w:rsidRDefault="00C96329">
      <w:pPr>
        <w:pStyle w:val="a3"/>
        <w:spacing w:before="0" w:beforeAutospacing="0" w:after="0" w:afterAutospacing="0"/>
        <w:ind w:firstLine="720"/>
        <w:divId w:val="1140877613"/>
        <w:rPr>
          <w:sz w:val="20"/>
          <w:szCs w:val="20"/>
        </w:rPr>
      </w:pPr>
      <w:r>
        <w:rPr>
          <w:sz w:val="20"/>
          <w:szCs w:val="20"/>
        </w:rPr>
        <w:t>Collaborations with third parties regarding our programs may require us to relinquish material rights, including revenue from commercialization of our medicines, or to assume materia</w:t>
      </w:r>
      <w:r>
        <w:rPr>
          <w:sz w:val="20"/>
          <w:szCs w:val="20"/>
        </w:rPr>
        <w:t>l ongoing development obligations that we would have to fund. These collaboration arrangements are complex and time-consuming to negotiate, and if we are unable to reach agreements with third-party collaborators, we may fail to meet our business objectives</w:t>
      </w:r>
      <w:r>
        <w:rPr>
          <w:sz w:val="20"/>
          <w:szCs w:val="20"/>
        </w:rPr>
        <w:t xml:space="preserve"> and our financial condition may be adversely affected. We face significant competition in seeking third-party collaborators. We may be unable to find third parties to pursue product collaborations on a timely basis or on acceptable terms. Furthermore, for</w:t>
      </w:r>
      <w:r>
        <w:rPr>
          <w:sz w:val="20"/>
          <w:szCs w:val="20"/>
        </w:rPr>
        <w:t xml:space="preserve"> any collaboration, we may </w:t>
      </w:r>
    </w:p>
    <w:p w:rsidR="00000000" w:rsidRDefault="00C96329">
      <w:pPr>
        <w:pStyle w:val="a3"/>
        <w:spacing w:before="360" w:beforeAutospacing="0" w:after="0" w:afterAutospacing="0"/>
        <w:jc w:val="center"/>
        <w:divId w:val="236717988"/>
        <w:rPr>
          <w:sz w:val="20"/>
          <w:szCs w:val="20"/>
        </w:rPr>
      </w:pPr>
      <w:r>
        <w:rPr>
          <w:sz w:val="20"/>
          <w:szCs w:val="20"/>
        </w:rPr>
        <w:t>48</w:t>
      </w:r>
    </w:p>
    <w:p w:rsidR="00000000" w:rsidRDefault="00C96329">
      <w:pPr>
        <w:pStyle w:val="a3"/>
        <w:spacing w:before="0" w:beforeAutospacing="0" w:after="600" w:afterAutospacing="0"/>
        <w:divId w:val="1605650445"/>
        <w:rPr>
          <w:sz w:val="20"/>
          <w:szCs w:val="20"/>
        </w:rPr>
      </w:pPr>
      <w:hyperlink w:anchor="TOC" w:history="1">
        <w:r>
          <w:rPr>
            <w:rStyle w:val="a4"/>
            <w:sz w:val="20"/>
            <w:szCs w:val="20"/>
          </w:rPr>
          <w:t>Table of Contents</w:t>
        </w:r>
      </w:hyperlink>
    </w:p>
    <w:p w:rsidR="00000000" w:rsidRDefault="00C96329">
      <w:pPr>
        <w:pStyle w:val="a3"/>
        <w:spacing w:before="0" w:beforeAutospacing="0" w:after="200" w:afterAutospacing="0"/>
        <w:divId w:val="1505704343"/>
        <w:rPr>
          <w:sz w:val="20"/>
          <w:szCs w:val="20"/>
        </w:rPr>
      </w:pPr>
      <w:r>
        <w:rPr>
          <w:sz w:val="20"/>
          <w:szCs w:val="20"/>
        </w:rPr>
        <w:t>not be able to control the amount of time and resources that our partners devote to our product candidates and our partners may choose to prioritize alternative programs or otherwis</w:t>
      </w:r>
      <w:r>
        <w:rPr>
          <w:sz w:val="20"/>
          <w:szCs w:val="20"/>
        </w:rPr>
        <w:t xml:space="preserve">e be unsuccessful in their efforts with respect to our products or product candidates. In addition, effective collaboration with a partner requires coordination to achieve complex and detail-intensive goals between entities that potentially have different </w:t>
      </w:r>
      <w:r>
        <w:rPr>
          <w:sz w:val="20"/>
          <w:szCs w:val="20"/>
        </w:rPr>
        <w:t>priorities, capabilities and processes and successful navigation of the challenges such coordination entails. For example, Mylan has a substantial existing product portfolio and other considerations that influence its resource allocation, and other priorit</w:t>
      </w:r>
      <w:r>
        <w:rPr>
          <w:sz w:val="20"/>
          <w:szCs w:val="20"/>
        </w:rPr>
        <w:t>ies and internal organizational processes that differ from our own. As a result of these differing interests and processes, Mylan may take actions that it believes are in its best interest but which might not be in the best interests of either us or our ot</w:t>
      </w:r>
      <w:r>
        <w:rPr>
          <w:sz w:val="20"/>
          <w:szCs w:val="20"/>
        </w:rPr>
        <w:t>her shareholders. Our inability to successfully collaborate with third parties would increase our development costs and may cause us to choose not to continue development of certain product candidates, would limit the likelihood of successful commercializa</w:t>
      </w:r>
      <w:r>
        <w:rPr>
          <w:sz w:val="20"/>
          <w:szCs w:val="20"/>
        </w:rPr>
        <w:t>tion of some of our product candidates, may cause us not to continue commercialization of our authorized products and could cause the price of our securities to fall.</w:t>
      </w:r>
    </w:p>
    <w:p w:rsidR="00000000" w:rsidRDefault="00C96329">
      <w:pPr>
        <w:pStyle w:val="a3"/>
        <w:spacing w:before="0" w:beforeAutospacing="0" w:after="120" w:afterAutospacing="0"/>
        <w:divId w:val="1505704343"/>
        <w:rPr>
          <w:sz w:val="20"/>
          <w:szCs w:val="20"/>
        </w:rPr>
      </w:pPr>
      <w:r>
        <w:rPr>
          <w:b/>
          <w:bCs/>
          <w:i/>
          <w:iCs/>
          <w:sz w:val="20"/>
          <w:szCs w:val="20"/>
        </w:rPr>
        <w:t>We depend on third parties in the conduct of our non-clinical and clinical studies for our product candidates.</w:t>
      </w:r>
    </w:p>
    <w:p w:rsidR="00000000" w:rsidRDefault="00C96329">
      <w:pPr>
        <w:pStyle w:val="a3"/>
        <w:spacing w:before="0" w:beforeAutospacing="0" w:after="200" w:afterAutospacing="0"/>
        <w:ind w:firstLine="720"/>
        <w:divId w:val="1505704343"/>
        <w:rPr>
          <w:sz w:val="20"/>
          <w:szCs w:val="20"/>
        </w:rPr>
      </w:pPr>
      <w:r>
        <w:rPr>
          <w:sz w:val="20"/>
          <w:szCs w:val="20"/>
        </w:rPr>
        <w:t>We depend on independent clinical investigators, contract research and manufacturing organizations and other third-party service providers in the</w:t>
      </w:r>
      <w:r>
        <w:rPr>
          <w:sz w:val="20"/>
          <w:szCs w:val="20"/>
        </w:rPr>
        <w:t xml:space="preserve"> conduct of our non-clinical and clinical studies for our product candidates. We rely heavily on these parties for execution of our non-clinical and clinical studies, and control only certain aspects of their activities. Nevertheless, we are responsible fo</w:t>
      </w:r>
      <w:r>
        <w:rPr>
          <w:sz w:val="20"/>
          <w:szCs w:val="20"/>
        </w:rPr>
        <w:t>r ensuring that our clinical studies are conducted in accordance with good clinical, laboratory and manufacturing practices (“GXPs”) and other regulations as required by the FDA and foreign regulatory authorities, and the applicable protocol. Failure by th</w:t>
      </w:r>
      <w:r>
        <w:rPr>
          <w:sz w:val="20"/>
          <w:szCs w:val="20"/>
        </w:rPr>
        <w:t>ese parties to comply with applicable regulations and practices in conducting studies of our product candidates can result in a delay in our development programs or non-approval of our product candidates by regulatory authorities. Furthermore, to the exten</w:t>
      </w:r>
      <w:r>
        <w:rPr>
          <w:sz w:val="20"/>
          <w:szCs w:val="20"/>
        </w:rPr>
        <w:t>t the operations of these third parties are disrupted as result of the COVID-19 pandemic or otherwise, our development programs could be delayed.</w:t>
      </w:r>
    </w:p>
    <w:p w:rsidR="00000000" w:rsidRDefault="00C96329">
      <w:pPr>
        <w:pStyle w:val="a3"/>
        <w:spacing w:before="0" w:beforeAutospacing="0" w:after="200" w:afterAutospacing="0"/>
        <w:ind w:firstLine="720"/>
        <w:divId w:val="1505704343"/>
        <w:rPr>
          <w:sz w:val="20"/>
          <w:szCs w:val="20"/>
        </w:rPr>
      </w:pPr>
      <w:r>
        <w:rPr>
          <w:sz w:val="20"/>
          <w:szCs w:val="20"/>
        </w:rPr>
        <w:t>The FDA, and equivalent authorities in third countries, enforces GXPs and other regulations through periodic i</w:t>
      </w:r>
      <w:r>
        <w:rPr>
          <w:sz w:val="20"/>
          <w:szCs w:val="20"/>
        </w:rPr>
        <w:t>nspections of trial sponsors, clinical research organizations (“CROs”), principal investigators and trial sites. If we or any of the third parties on which we have relied to conduct our clinical studies are determined to have failed to comply with GXPs (or</w:t>
      </w:r>
      <w:r>
        <w:rPr>
          <w:sz w:val="20"/>
          <w:szCs w:val="20"/>
        </w:rPr>
        <w:t xml:space="preserve"> other equivalent regulations outside the US), the study protocol or applicable regulations, the clinical data generated in our studies may be deemed unreliable. This could result in non-approval of our product candidates by the FDA, or equivalent authorit</w:t>
      </w:r>
      <w:r>
        <w:rPr>
          <w:sz w:val="20"/>
          <w:szCs w:val="20"/>
        </w:rPr>
        <w:t>ies in other countries, or we, the FDA, or equivalent authorities in other countries may decide to conduct additional audits or require additional clinical studies, which would delay our development programs, could result in significant additional costs an</w:t>
      </w:r>
      <w:r>
        <w:rPr>
          <w:sz w:val="20"/>
          <w:szCs w:val="20"/>
        </w:rPr>
        <w:t>d cause the price of our securities to fall.</w:t>
      </w:r>
    </w:p>
    <w:p w:rsidR="00000000" w:rsidRDefault="00C96329">
      <w:pPr>
        <w:pStyle w:val="a3"/>
        <w:spacing w:before="0" w:beforeAutospacing="0" w:after="120" w:afterAutospacing="0"/>
        <w:divId w:val="1505704343"/>
        <w:rPr>
          <w:sz w:val="20"/>
          <w:szCs w:val="20"/>
        </w:rPr>
      </w:pPr>
      <w:r>
        <w:rPr>
          <w:b/>
          <w:bCs/>
          <w:i/>
          <w:iCs/>
          <w:sz w:val="20"/>
          <w:szCs w:val="20"/>
        </w:rPr>
        <w:t>We rely on a single source of supply for a number of our product candidates, and our business will be harmed if any of these single-source manufacturers are not able to satisfy demand and alternative sources are</w:t>
      </w:r>
      <w:r>
        <w:rPr>
          <w:b/>
          <w:bCs/>
          <w:i/>
          <w:iCs/>
          <w:sz w:val="20"/>
          <w:szCs w:val="20"/>
        </w:rPr>
        <w:t xml:space="preserve"> not available.</w:t>
      </w:r>
    </w:p>
    <w:p w:rsidR="00000000" w:rsidRDefault="00C96329">
      <w:pPr>
        <w:pStyle w:val="a3"/>
        <w:spacing w:before="0" w:beforeAutospacing="0" w:after="200" w:afterAutospacing="0"/>
        <w:ind w:firstLine="720"/>
        <w:divId w:val="1505704343"/>
        <w:rPr>
          <w:sz w:val="20"/>
          <w:szCs w:val="20"/>
        </w:rPr>
      </w:pPr>
      <w:r>
        <w:rPr>
          <w:sz w:val="20"/>
          <w:szCs w:val="20"/>
        </w:rPr>
        <w:t xml:space="preserve">We have limited in-house production capabilities for preclinical and clinical study purposes and depend primarily on a number of third-party Active Pharmaceutical Ingredient (“API”) and drug product manufacturers. We may not have long-term </w:t>
      </w:r>
      <w:r>
        <w:rPr>
          <w:sz w:val="20"/>
          <w:szCs w:val="20"/>
        </w:rPr>
        <w:t>agreements with these third parties and our agreements with these parties may be terminable at will by either party at any time. If, for any reason, these third parties are unable or unwilling to perform, or if their performance does not meet regulatory re</w:t>
      </w:r>
      <w:r>
        <w:rPr>
          <w:sz w:val="20"/>
          <w:szCs w:val="20"/>
        </w:rPr>
        <w:t>quirements, we may not be able to locate alternative manufacturers or enter into acceptable agreements with them. Any inability to acquire sufficient quantities of API and drug product in a timely manner from these third parties could delay preclinical and</w:t>
      </w:r>
      <w:r>
        <w:rPr>
          <w:sz w:val="20"/>
          <w:szCs w:val="20"/>
        </w:rPr>
        <w:t xml:space="preserve"> clinical studies and prevent us from developing our product candidates in a cost-effective manner or on a timely basis. In addition, manufacturers of our API and drug product are subject to the FDA’s current Good Manufacturing Practice (“cGMP”) regulation</w:t>
      </w:r>
      <w:r>
        <w:rPr>
          <w:sz w:val="20"/>
          <w:szCs w:val="20"/>
        </w:rPr>
        <w:t>s and similar foreign standards and we do not have control over compliance with these regulations by our manufacturers.</w:t>
      </w:r>
    </w:p>
    <w:p w:rsidR="00000000" w:rsidRDefault="00C96329">
      <w:pPr>
        <w:pStyle w:val="a3"/>
        <w:spacing w:before="0" w:beforeAutospacing="0" w:after="200" w:afterAutospacing="0"/>
        <w:ind w:firstLine="720"/>
        <w:divId w:val="1505704343"/>
        <w:rPr>
          <w:sz w:val="20"/>
          <w:szCs w:val="20"/>
        </w:rPr>
      </w:pPr>
      <w:r>
        <w:rPr>
          <w:sz w:val="20"/>
          <w:szCs w:val="20"/>
        </w:rPr>
        <w:t>Our manufacturing strategy presents the following additional risks: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05704343"/>
        </w:trPr>
        <w:tc>
          <w:tcPr>
            <w:tcW w:w="720" w:type="dxa"/>
            <w:tcMar>
              <w:top w:w="0" w:type="dxa"/>
              <w:left w:w="0" w:type="dxa"/>
              <w:bottom w:w="0" w:type="dxa"/>
              <w:right w:w="0" w:type="dxa"/>
            </w:tcMar>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because of the complex nature of many of our compounds, our manuf</w:t>
            </w:r>
            <w:r>
              <w:rPr>
                <w:sz w:val="20"/>
                <w:szCs w:val="20"/>
              </w:rPr>
              <w:t>acturers may not be able to successfully manufacture our APIs and/or drug products in a cost-effective and/or timely manner and changing manufacturers for our APIs or drug products could involve lengthy technology transfer, validation and regulatory qualif</w:t>
            </w:r>
            <w:r>
              <w:rPr>
                <w:sz w:val="20"/>
                <w:szCs w:val="20"/>
              </w:rPr>
              <w:t>ication activities for the new manufacturer;</w:t>
            </w:r>
          </w:p>
        </w:tc>
      </w:tr>
    </w:tbl>
    <w:p w:rsidR="00000000" w:rsidRDefault="00C96329">
      <w:pPr>
        <w:divId w:val="150570434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05704343"/>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processes required to manufacture certain of our APIs and drug products are specialized and available only from a limited number of third-party manufacturers;</w:t>
            </w:r>
          </w:p>
        </w:tc>
      </w:tr>
    </w:tbl>
    <w:p w:rsidR="00000000" w:rsidRDefault="00C96329">
      <w:pPr>
        <w:pStyle w:val="a3"/>
        <w:spacing w:before="360" w:beforeAutospacing="0" w:after="0" w:afterAutospacing="0"/>
        <w:jc w:val="center"/>
        <w:divId w:val="1560020432"/>
        <w:rPr>
          <w:sz w:val="20"/>
          <w:szCs w:val="20"/>
        </w:rPr>
      </w:pPr>
      <w:r>
        <w:rPr>
          <w:sz w:val="20"/>
          <w:szCs w:val="20"/>
        </w:rPr>
        <w:t>49</w:t>
      </w:r>
    </w:p>
    <w:p w:rsidR="00000000" w:rsidRDefault="00C96329">
      <w:pPr>
        <w:pStyle w:val="a3"/>
        <w:spacing w:before="0" w:beforeAutospacing="0" w:after="600" w:afterAutospacing="0"/>
        <w:divId w:val="1075736929"/>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9268364"/>
        </w:trPr>
        <w:tc>
          <w:tcPr>
            <w:tcW w:w="720" w:type="dxa"/>
            <w:tcMar>
              <w:top w:w="0" w:type="dxa"/>
              <w:left w:w="0" w:type="dxa"/>
              <w:bottom w:w="0" w:type="dxa"/>
              <w:right w:w="0" w:type="dxa"/>
            </w:tcMar>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some of the manufacturing processes for ou</w:t>
            </w:r>
            <w:r>
              <w:rPr>
                <w:sz w:val="20"/>
                <w:szCs w:val="20"/>
              </w:rPr>
              <w:t>r APIs and drug products have not been scaled to quantities needed for continued clinical studies or commercial sales, and delays in scale-up to higher quantities could delay clinical studies, regulatory submissions and commercialization of our product can</w:t>
            </w:r>
            <w:r>
              <w:rPr>
                <w:sz w:val="20"/>
                <w:szCs w:val="20"/>
              </w:rPr>
              <w:t>didates; and</w:t>
            </w:r>
          </w:p>
        </w:tc>
      </w:tr>
    </w:tbl>
    <w:p w:rsidR="00000000" w:rsidRDefault="00C96329">
      <w:pPr>
        <w:divId w:val="20926836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9268364"/>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because some of the third-party manufacturers are located outside of the US, there may be difficulties in importing our APIs and drug products or their components into the US as a result of, among other things, FDA import inspections, inc</w:t>
            </w:r>
            <w:r>
              <w:rPr>
                <w:sz w:val="20"/>
                <w:szCs w:val="20"/>
              </w:rPr>
              <w:t>omplete or inaccurate import documentation or defective packaging.</w:t>
            </w:r>
          </w:p>
        </w:tc>
      </w:tr>
    </w:tbl>
    <w:p w:rsidR="00000000" w:rsidRDefault="00C96329">
      <w:pPr>
        <w:pStyle w:val="a3"/>
        <w:spacing w:before="0" w:beforeAutospacing="0" w:after="120" w:afterAutospacing="0"/>
        <w:divId w:val="209268364"/>
        <w:rPr>
          <w:sz w:val="20"/>
          <w:szCs w:val="20"/>
        </w:rPr>
      </w:pPr>
      <w:r>
        <w:rPr>
          <w:b/>
          <w:bCs/>
          <w:i/>
          <w:iCs/>
          <w:sz w:val="20"/>
          <w:szCs w:val="20"/>
        </w:rPr>
        <w:t xml:space="preserve">We have a significant amount of debt, including our Non-Recourse 2035 Notes and Convertible Senior 2023 Notes, that are senior in capital structure and cash flow, respectively, to holders </w:t>
      </w:r>
      <w:r>
        <w:rPr>
          <w:b/>
          <w:bCs/>
          <w:i/>
          <w:iCs/>
          <w:sz w:val="20"/>
          <w:szCs w:val="20"/>
        </w:rPr>
        <w:t xml:space="preserve">of our ordinary shares. Satisfying the obligations relating to our debt could adversely affect the amount or timing of distributions to our shareholders. </w:t>
      </w:r>
    </w:p>
    <w:p w:rsidR="00000000" w:rsidRDefault="00C96329">
      <w:pPr>
        <w:pStyle w:val="a3"/>
        <w:spacing w:before="0" w:beforeAutospacing="0" w:after="200" w:afterAutospacing="0"/>
        <w:ind w:firstLine="720"/>
        <w:divId w:val="209268364"/>
        <w:rPr>
          <w:sz w:val="20"/>
          <w:szCs w:val="20"/>
        </w:rPr>
      </w:pPr>
      <w:r>
        <w:rPr>
          <w:sz w:val="20"/>
          <w:szCs w:val="20"/>
        </w:rPr>
        <w:t>As of June 30, 2020, we had $660.1 million in total long-term liabilities outstanding, comprised prim</w:t>
      </w:r>
      <w:r>
        <w:rPr>
          <w:sz w:val="20"/>
          <w:szCs w:val="20"/>
        </w:rPr>
        <w:t>arily of $381.1 million in net principal that remains outstanding under the Issuer II’s Non-Recourse 2035 Notes and $230.0 million in principal that remains outstanding under our Convertible Senior 2023 Notes (together with the Non-Recourse 2035 Notes, the</w:t>
      </w:r>
      <w:r>
        <w:rPr>
          <w:sz w:val="20"/>
          <w:szCs w:val="20"/>
        </w:rPr>
        <w:t xml:space="preserve"> “Notes”).</w:t>
      </w:r>
    </w:p>
    <w:p w:rsidR="00000000" w:rsidRDefault="00C96329">
      <w:pPr>
        <w:pStyle w:val="a3"/>
        <w:spacing w:before="0" w:beforeAutospacing="0" w:after="200" w:afterAutospacing="0"/>
        <w:ind w:firstLine="720"/>
        <w:divId w:val="209268364"/>
        <w:rPr>
          <w:sz w:val="20"/>
          <w:szCs w:val="20"/>
        </w:rPr>
      </w:pPr>
      <w:r>
        <w:rPr>
          <w:sz w:val="20"/>
          <w:szCs w:val="20"/>
        </w:rPr>
        <w:t>The Convertible Senior 2023 Notes are unsecured debt and are not redeemable by us prior to the maturity date except for certain changes in tax law. Holders of the Convertible Senior 2023 Notes may require us to purchase all or any portion of the</w:t>
      </w:r>
      <w:r>
        <w:rPr>
          <w:sz w:val="20"/>
          <w:szCs w:val="20"/>
        </w:rPr>
        <w:t>ir notes at 100% of their principal amount, plus any unpaid interest, upon a fundamental change such as a change of control of us or the termination of trading of our ordinary shares in accordance with the indenture governing the Convertible Senior 2023 No</w:t>
      </w:r>
      <w:r>
        <w:rPr>
          <w:sz w:val="20"/>
          <w:szCs w:val="20"/>
        </w:rPr>
        <w:t>tes.</w:t>
      </w:r>
    </w:p>
    <w:p w:rsidR="00000000" w:rsidRDefault="00C96329">
      <w:pPr>
        <w:pStyle w:val="a3"/>
        <w:spacing w:before="0" w:beforeAutospacing="0" w:after="200" w:afterAutospacing="0"/>
        <w:ind w:firstLine="720"/>
        <w:divId w:val="209268364"/>
        <w:rPr>
          <w:sz w:val="20"/>
          <w:szCs w:val="20"/>
        </w:rPr>
      </w:pPr>
      <w:r>
        <w:rPr>
          <w:sz w:val="20"/>
          <w:szCs w:val="20"/>
        </w:rPr>
        <w:t>Until the Non-Recourse 2035 Notes are paid in full, holders of the Non-Recourse 2035 Notes have a perfected security interest in the Issuer II Class C Units that represent a 63.75% economic interest in any future payments that may be made by GSK to TRC und</w:t>
      </w:r>
      <w:r>
        <w:rPr>
          <w:sz w:val="20"/>
          <w:szCs w:val="20"/>
        </w:rPr>
        <w:t>er the strategic alliance agreement and under the portion of the collaboration agreement assigned to TRC by Innoviva (net of TRC expenses paid and the amount of cash, if any, expected to be used by TRC pursuant to the TRC LLC Agreement over the next four f</w:t>
      </w:r>
      <w:r>
        <w:rPr>
          <w:sz w:val="20"/>
          <w:szCs w:val="20"/>
        </w:rPr>
        <w:t>iscal quarters) relating to the GSK-Partnered Respiratory Programs, including the TRELEGY program.</w:t>
      </w:r>
    </w:p>
    <w:p w:rsidR="00000000" w:rsidRDefault="00C96329">
      <w:pPr>
        <w:pStyle w:val="a3"/>
        <w:spacing w:before="0" w:beforeAutospacing="0" w:after="200" w:afterAutospacing="0"/>
        <w:ind w:firstLine="720"/>
        <w:divId w:val="209268364"/>
        <w:rPr>
          <w:sz w:val="20"/>
          <w:szCs w:val="20"/>
        </w:rPr>
      </w:pPr>
      <w:r>
        <w:rPr>
          <w:sz w:val="20"/>
          <w:szCs w:val="20"/>
        </w:rPr>
        <w:t xml:space="preserve">Prior to and including the December 5, 2024 payment date, </w:t>
      </w:r>
      <w:r>
        <w:rPr>
          <w:sz w:val="20"/>
          <w:szCs w:val="20"/>
        </w:rPr>
        <w:t>t</w:t>
      </w:r>
      <w:r>
        <w:rPr>
          <w:sz w:val="20"/>
          <w:szCs w:val="20"/>
        </w:rPr>
        <w:t xml:space="preserve">he terms of the Non-Recourse 2035 Notes provide that in the event that the distributions received </w:t>
      </w:r>
      <w:r>
        <w:rPr>
          <w:sz w:val="20"/>
          <w:szCs w:val="20"/>
        </w:rPr>
        <w:t>by the Issuer II from TRC in a quarter is less than the interest accrued for that quarter, the principal amount of the Non-Recourse 2035 Notes will increase by the interest shortfall amount for that quarter. The terms of the Non-Recourse 2035 Notes also pr</w:t>
      </w:r>
      <w:r>
        <w:rPr>
          <w:sz w:val="20"/>
          <w:szCs w:val="20"/>
        </w:rPr>
        <w:t>ovide that Theravance Biopharma, at its option, may satisfy the quarterly interest payment obligations by making a capital contribution to the Issuer II.</w:t>
      </w:r>
    </w:p>
    <w:p w:rsidR="00000000" w:rsidRDefault="00C96329">
      <w:pPr>
        <w:pStyle w:val="a3"/>
        <w:spacing w:before="0" w:beforeAutospacing="0" w:after="200" w:afterAutospacing="0"/>
        <w:ind w:firstLine="720"/>
        <w:divId w:val="209268364"/>
        <w:rPr>
          <w:sz w:val="20"/>
          <w:szCs w:val="20"/>
        </w:rPr>
      </w:pPr>
      <w:r>
        <w:rPr>
          <w:sz w:val="20"/>
          <w:szCs w:val="20"/>
        </w:rPr>
        <w:t>Satisfying the obligations of these Notes could adversely affect the amount or timing of any distribut</w:t>
      </w:r>
      <w:r>
        <w:rPr>
          <w:sz w:val="20"/>
          <w:szCs w:val="20"/>
        </w:rPr>
        <w:t>ions to our shareholders. In addition, the Non-Recourse 2035 Notes may be redeemed by Issuer II on and after February 28, 2022, in whole or in part, at specified redemption premiums. We may further choose to satisfy, repurchase, or refinance any Non-Recour</w:t>
      </w:r>
      <w:r>
        <w:rPr>
          <w:sz w:val="20"/>
          <w:szCs w:val="20"/>
        </w:rPr>
        <w:t>se 2035 Notes, to the extent allowable, through public or private equity or debt financings if we deem such financings are available on favorable terms. If any or all of the Convertible Senior 2023 Notes are not converted into our ordinary shares before th</w:t>
      </w:r>
      <w:r>
        <w:rPr>
          <w:sz w:val="20"/>
          <w:szCs w:val="20"/>
        </w:rPr>
        <w:t>e maturity date, we will have to pay the holders the full aggregate principal amount of the Convertible Senior 2023 Notes then outstanding. If the Non-Recourse 2035 Notes are not refinanced or paid in full the holders of the Non-Recourse 2035 Notes will ha</w:t>
      </w:r>
      <w:r>
        <w:rPr>
          <w:sz w:val="20"/>
          <w:szCs w:val="20"/>
        </w:rPr>
        <w:t>ve the right to foreclose on the Issuer II Class C Units that represent a 63.75% economic interest in future royalties due on net sales of TRELEGY and related assets. If the Issuer II Class C Units are foreclosed upon, we will lose any right to receive 75%</w:t>
      </w:r>
      <w:r>
        <w:rPr>
          <w:sz w:val="20"/>
          <w:szCs w:val="20"/>
        </w:rPr>
        <w:t xml:space="preserve"> of the future royalty payments made by GSK in connection with the net sales of TRELEGY and related assets. Any of the above payments could have a material adverse effect on our cash position. Our failure to satisfy these obligations may result in a defaul</w:t>
      </w:r>
      <w:r>
        <w:rPr>
          <w:sz w:val="20"/>
          <w:szCs w:val="20"/>
        </w:rPr>
        <w:t>t under the applicable indenture governing these Notes, which could result in a default under certain of our other debt instruments, if any. Any such default would harm our business and the price of our securities could fall.</w:t>
      </w:r>
    </w:p>
    <w:p w:rsidR="00000000" w:rsidRDefault="00C96329">
      <w:pPr>
        <w:pStyle w:val="a3"/>
        <w:spacing w:before="360" w:beforeAutospacing="0" w:after="0" w:afterAutospacing="0"/>
        <w:jc w:val="center"/>
        <w:divId w:val="1012490460"/>
        <w:rPr>
          <w:sz w:val="20"/>
          <w:szCs w:val="20"/>
        </w:rPr>
      </w:pPr>
      <w:r>
        <w:rPr>
          <w:sz w:val="20"/>
          <w:szCs w:val="20"/>
        </w:rPr>
        <w:t>50</w:t>
      </w:r>
    </w:p>
    <w:p w:rsidR="00000000" w:rsidRDefault="00C96329">
      <w:pPr>
        <w:pStyle w:val="a3"/>
        <w:spacing w:before="0" w:beforeAutospacing="0" w:after="600" w:afterAutospacing="0"/>
        <w:divId w:val="63644215"/>
        <w:rPr>
          <w:sz w:val="20"/>
          <w:szCs w:val="20"/>
        </w:rPr>
      </w:pPr>
      <w:hyperlink w:anchor="TOC" w:history="1">
        <w:r>
          <w:rPr>
            <w:rStyle w:val="a4"/>
            <w:sz w:val="20"/>
            <w:szCs w:val="20"/>
          </w:rPr>
          <w:t>T</w:t>
        </w:r>
        <w:r>
          <w:rPr>
            <w:rStyle w:val="a4"/>
            <w:sz w:val="20"/>
            <w:szCs w:val="20"/>
          </w:rPr>
          <w:t>able of Contents</w:t>
        </w:r>
      </w:hyperlink>
    </w:p>
    <w:p w:rsidR="00000000" w:rsidRDefault="00C96329">
      <w:pPr>
        <w:pStyle w:val="a3"/>
        <w:spacing w:before="0" w:beforeAutospacing="0" w:after="120" w:afterAutospacing="0"/>
        <w:divId w:val="546374370"/>
        <w:rPr>
          <w:sz w:val="20"/>
          <w:szCs w:val="20"/>
        </w:rPr>
      </w:pPr>
      <w:r>
        <w:rPr>
          <w:b/>
          <w:bCs/>
          <w:i/>
          <w:iCs/>
          <w:sz w:val="20"/>
          <w:szCs w:val="20"/>
        </w:rPr>
        <w:t>Servicing our Convertible Senior 2023 Notes requires a significant amount of cash, and we may not have sufficient cash flow from our business to pay our debt. Additionally, holders may require us to repurchase our Convertible Senior 2023 N</w:t>
      </w:r>
      <w:r>
        <w:rPr>
          <w:b/>
          <w:bCs/>
          <w:i/>
          <w:iCs/>
          <w:sz w:val="20"/>
          <w:szCs w:val="20"/>
        </w:rPr>
        <w:t xml:space="preserve">otes under certain circumstances, and we may not have sufficient cash to do so. </w:t>
      </w:r>
    </w:p>
    <w:p w:rsidR="00000000" w:rsidRDefault="00C96329">
      <w:pPr>
        <w:pStyle w:val="a3"/>
        <w:spacing w:before="0" w:beforeAutospacing="0" w:after="200" w:afterAutospacing="0"/>
        <w:ind w:firstLine="720"/>
        <w:divId w:val="546374370"/>
        <w:rPr>
          <w:sz w:val="20"/>
          <w:szCs w:val="20"/>
        </w:rPr>
      </w:pPr>
      <w:r>
        <w:rPr>
          <w:sz w:val="20"/>
          <w:szCs w:val="20"/>
        </w:rPr>
        <w:t xml:space="preserve">Our ability to make interest or principal payments when due or to refinance the Convertible Senior 2023 Notes depends on our future performance, which is subject to economic, </w:t>
      </w:r>
      <w:r>
        <w:rPr>
          <w:sz w:val="20"/>
          <w:szCs w:val="20"/>
        </w:rPr>
        <w:t>financial, competitive and other factors beyond our control. Our business may not generate cash flow from operations sufficient to satisfy our obligations under the Convertible Senior 2023 Notes and any future indebtedness we may incur and to make necessar</w:t>
      </w:r>
      <w:r>
        <w:rPr>
          <w:sz w:val="20"/>
          <w:szCs w:val="20"/>
        </w:rPr>
        <w:t>y capital expenditures. In addition, the issuance of the Non-Recourse 2035 Notes reduced the cash available for us to make interest or principal payments on, or to refinance, the Convertible Senior 2023 Notes. We may be required to adopt one or more altern</w:t>
      </w:r>
      <w:r>
        <w:rPr>
          <w:sz w:val="20"/>
          <w:szCs w:val="20"/>
        </w:rPr>
        <w:t>atives, such as reducing or delaying investments or capital expenditures, selling assets, refinancing or obtaining additional equity capital on terms that may be onerous or highly dilutive. Our ability to refinance the Convertible Senior 2023 Notes or futu</w:t>
      </w:r>
      <w:r>
        <w:rPr>
          <w:sz w:val="20"/>
          <w:szCs w:val="20"/>
        </w:rPr>
        <w:t>re indebtedness will depend on the capital markets and our financial condition at such time. We may not be able to engage in any of these activities on desirable terms or at all, which could result in a default on the Convertible Senior 2023 Notes or futur</w:t>
      </w:r>
      <w:r>
        <w:rPr>
          <w:sz w:val="20"/>
          <w:szCs w:val="20"/>
        </w:rPr>
        <w:t>e indebtedness.</w:t>
      </w:r>
    </w:p>
    <w:p w:rsidR="00000000" w:rsidRDefault="00C96329">
      <w:pPr>
        <w:pStyle w:val="a3"/>
        <w:spacing w:before="0" w:beforeAutospacing="0" w:after="200" w:afterAutospacing="0"/>
        <w:ind w:firstLine="720"/>
        <w:divId w:val="546374370"/>
        <w:rPr>
          <w:sz w:val="20"/>
          <w:szCs w:val="20"/>
        </w:rPr>
      </w:pPr>
      <w:r>
        <w:rPr>
          <w:sz w:val="20"/>
          <w:szCs w:val="20"/>
        </w:rPr>
        <w:t>The holders of the Convertible Senior 2023 Notes may have the right to require us to repurchase the Convertible Senior 2023 Notes upon the occurrence of a “fundamental change” such as a change of control of our Company or the termination of</w:t>
      </w:r>
      <w:r>
        <w:rPr>
          <w:sz w:val="20"/>
          <w:szCs w:val="20"/>
        </w:rPr>
        <w:t xml:space="preserve"> trading of our ordinary shares, as defined in the indenture governing the Convertible Senior 2023 Notes. We may not have sufficient funds to repurchase the Convertible Senior 2023 Notes in cash or have the ability to arrange necessary financing on accepta</w:t>
      </w:r>
      <w:r>
        <w:rPr>
          <w:sz w:val="20"/>
          <w:szCs w:val="20"/>
        </w:rPr>
        <w:t xml:space="preserve">ble terms. Our failure to repurchase the Convertible Senior 2023 Notes when required would result in an event of default with respect to the Convertible Senior 2023 Notes. In addition, any acceleration of the repayment of the Convertible Senior 2023 Notes </w:t>
      </w:r>
      <w:r>
        <w:rPr>
          <w:sz w:val="20"/>
          <w:szCs w:val="20"/>
        </w:rPr>
        <w:t>or future indebtedness after any applicable notice or grace periods could have a material adverse effect on our business, results of operations and financial condition.</w:t>
      </w:r>
    </w:p>
    <w:p w:rsidR="00000000" w:rsidRDefault="00C96329">
      <w:pPr>
        <w:pStyle w:val="a3"/>
        <w:spacing w:before="0" w:beforeAutospacing="0" w:after="120" w:afterAutospacing="0"/>
        <w:divId w:val="546374370"/>
        <w:rPr>
          <w:sz w:val="20"/>
          <w:szCs w:val="20"/>
        </w:rPr>
      </w:pPr>
      <w:r>
        <w:rPr>
          <w:b/>
          <w:bCs/>
          <w:i/>
          <w:iCs/>
          <w:sz w:val="20"/>
          <w:szCs w:val="20"/>
        </w:rPr>
        <w:t>Our business and operations would suffer in the event of significant disruptions of inf</w:t>
      </w:r>
      <w:r>
        <w:rPr>
          <w:b/>
          <w:bCs/>
          <w:i/>
          <w:iCs/>
          <w:sz w:val="20"/>
          <w:szCs w:val="20"/>
        </w:rPr>
        <w:t>ormation technology systems or security breaches.</w:t>
      </w:r>
    </w:p>
    <w:p w:rsidR="00000000" w:rsidRDefault="00C96329">
      <w:pPr>
        <w:pStyle w:val="a3"/>
        <w:spacing w:before="0" w:beforeAutospacing="0" w:after="200" w:afterAutospacing="0"/>
        <w:ind w:firstLine="720"/>
        <w:divId w:val="546374370"/>
        <w:rPr>
          <w:sz w:val="20"/>
          <w:szCs w:val="20"/>
        </w:rPr>
      </w:pPr>
      <w:r>
        <w:rPr>
          <w:sz w:val="20"/>
          <w:szCs w:val="20"/>
        </w:rPr>
        <w:t>We rely extensively on computer systems to maintain information and manage our finances and business. In the ordinary course of business, we collect, store and transmit large amounts of confidential informa</w:t>
      </w:r>
      <w:r>
        <w:rPr>
          <w:sz w:val="20"/>
          <w:szCs w:val="20"/>
        </w:rPr>
        <w:t xml:space="preserve">tion (including but not limited to trade secrets or other intellectual property, proprietary business information and personal information) and it is critical that we maintain the confidentiality and integrity of such confidential information. Although we </w:t>
      </w:r>
      <w:r>
        <w:rPr>
          <w:sz w:val="20"/>
          <w:szCs w:val="20"/>
        </w:rPr>
        <w:t xml:space="preserve">have security measures in place, our internal information technology systems and those of our CROs and other service providers, including cloud-based and hosted applications, data and services, are vulnerable to service interruptions and security breaches </w:t>
      </w:r>
      <w:r>
        <w:rPr>
          <w:sz w:val="20"/>
          <w:szCs w:val="20"/>
        </w:rPr>
        <w:t>from inadvertent or intentional actions by our employees, service providers and/or business partners, from cyber-attacks by malicious third parties, and/or from, natural disasters, terrorism, war and telecommunication and electrical failures. Cyber-attacks</w:t>
      </w:r>
      <w:r>
        <w:rPr>
          <w:sz w:val="20"/>
          <w:szCs w:val="20"/>
        </w:rPr>
        <w:t xml:space="preserve"> are increasing in their frequency, sophistication, and intensity, and have become increasingly difficult to detect. Significant disruptions of information technology systems or security breaches could adversely affect our business operations and result in</w:t>
      </w:r>
      <w:r>
        <w:rPr>
          <w:sz w:val="20"/>
          <w:szCs w:val="20"/>
        </w:rPr>
        <w:t xml:space="preserve"> financial, legal, business and reputational harm to us, including significant liability and/or significant disruption to our business. If a disruption of information technology systems or security breach results in a loss of or damage to our data or regul</w:t>
      </w:r>
      <w:r>
        <w:rPr>
          <w:sz w:val="20"/>
          <w:szCs w:val="20"/>
        </w:rPr>
        <w:t>atory applications, unauthorized access, use, or disclosure of, or the prevention of access to, confidential information, or other harm to our business, we could incur liability and reputational harm, we could be required to comply with federal and/or stat</w:t>
      </w:r>
      <w:r>
        <w:rPr>
          <w:sz w:val="20"/>
          <w:szCs w:val="20"/>
        </w:rPr>
        <w:t>e breach notification laws and foreign law equivalents, we may incur legal expenses to protect our confidential information, the further development of our product candidates could be delayed and the price of our securities could fall. For example, the los</w:t>
      </w:r>
      <w:r>
        <w:rPr>
          <w:sz w:val="20"/>
          <w:szCs w:val="20"/>
        </w:rPr>
        <w:t>s of clinical trial data from completed or ongoing clinical trials of our product candidates could result in delays in our regulatory approval efforts and significantly increase our costs to recover or reproduce the data. As another example, we may incur p</w:t>
      </w:r>
      <w:r>
        <w:rPr>
          <w:sz w:val="20"/>
          <w:szCs w:val="20"/>
        </w:rPr>
        <w:t>enalties imposed by the competent authorities in the EU Member States in case of breach of the EU rules governing the collection and processing of personal data, including unauthorized access to or disclosure of personal data. Although we have security and</w:t>
      </w:r>
      <w:r>
        <w:rPr>
          <w:sz w:val="20"/>
          <w:szCs w:val="20"/>
        </w:rPr>
        <w:t xml:space="preserve"> fraud prevention measures in place, we have been subject to immaterial payment fraud activity. In 2017, we filed a lawsuit (which has since been resolved) against a former employee for misappropriation of our confidential, proprietary and trade secret inf</w:t>
      </w:r>
      <w:r>
        <w:rPr>
          <w:sz w:val="20"/>
          <w:szCs w:val="20"/>
        </w:rPr>
        <w:t>ormation. Moreover, there can be no assurance that such security measures will prevent service interruptions or security breaches that could adversely affect our business.</w:t>
      </w:r>
    </w:p>
    <w:p w:rsidR="00000000" w:rsidRDefault="00C96329">
      <w:pPr>
        <w:pStyle w:val="a3"/>
        <w:spacing w:before="360" w:beforeAutospacing="0" w:after="0" w:afterAutospacing="0"/>
        <w:jc w:val="center"/>
        <w:divId w:val="488644037"/>
        <w:rPr>
          <w:sz w:val="20"/>
          <w:szCs w:val="20"/>
        </w:rPr>
      </w:pPr>
      <w:r>
        <w:rPr>
          <w:sz w:val="20"/>
          <w:szCs w:val="20"/>
        </w:rPr>
        <w:t>51</w:t>
      </w:r>
    </w:p>
    <w:p w:rsidR="00000000" w:rsidRDefault="00C96329">
      <w:pPr>
        <w:pStyle w:val="a3"/>
        <w:spacing w:before="0" w:beforeAutospacing="0" w:after="600" w:afterAutospacing="0"/>
        <w:divId w:val="1272202705"/>
        <w:rPr>
          <w:sz w:val="20"/>
          <w:szCs w:val="20"/>
        </w:rPr>
      </w:pPr>
      <w:hyperlink w:anchor="TOC" w:history="1">
        <w:r>
          <w:rPr>
            <w:rStyle w:val="a4"/>
            <w:sz w:val="20"/>
            <w:szCs w:val="20"/>
          </w:rPr>
          <w:t>Table of Contents</w:t>
        </w:r>
      </w:hyperlink>
    </w:p>
    <w:p w:rsidR="00000000" w:rsidRDefault="00C96329">
      <w:pPr>
        <w:pStyle w:val="a3"/>
        <w:spacing w:before="0" w:beforeAutospacing="0" w:after="120" w:afterAutospacing="0"/>
        <w:divId w:val="1849369808"/>
        <w:rPr>
          <w:sz w:val="20"/>
          <w:szCs w:val="20"/>
        </w:rPr>
      </w:pPr>
      <w:r>
        <w:rPr>
          <w:b/>
          <w:bCs/>
          <w:i/>
          <w:iCs/>
          <w:sz w:val="20"/>
          <w:szCs w:val="20"/>
        </w:rPr>
        <w:t>If we lose key management or scientif</w:t>
      </w:r>
      <w:r>
        <w:rPr>
          <w:b/>
          <w:bCs/>
          <w:i/>
          <w:iCs/>
          <w:sz w:val="20"/>
          <w:szCs w:val="20"/>
        </w:rPr>
        <w:t>ic personnel, or if we fail to attract and retain key employees, our ability to discover and develop our product candidates and commercialize our products, if any, will be impaired.</w:t>
      </w:r>
    </w:p>
    <w:p w:rsidR="00000000" w:rsidRDefault="00C96329">
      <w:pPr>
        <w:pStyle w:val="a3"/>
        <w:spacing w:before="0" w:beforeAutospacing="0" w:after="200" w:afterAutospacing="0"/>
        <w:ind w:firstLine="720"/>
        <w:divId w:val="1849369808"/>
        <w:rPr>
          <w:sz w:val="20"/>
          <w:szCs w:val="20"/>
        </w:rPr>
      </w:pPr>
      <w:r>
        <w:rPr>
          <w:sz w:val="20"/>
          <w:szCs w:val="20"/>
        </w:rPr>
        <w:t>We are highly dependent on principal members of our management team and sc</w:t>
      </w:r>
      <w:r>
        <w:rPr>
          <w:sz w:val="20"/>
          <w:szCs w:val="20"/>
        </w:rPr>
        <w:t>ientific staff, and in particular, our Chief Executive Officer, Rick E Winningham, to operate our business. Mr. Winningham has significant pharmaceutical industry experience. The loss of Mr. Winningham’s services could impair our ability to discover, devel</w:t>
      </w:r>
      <w:r>
        <w:rPr>
          <w:sz w:val="20"/>
          <w:szCs w:val="20"/>
        </w:rPr>
        <w:t>op and commercialize new medicines.</w:t>
      </w:r>
    </w:p>
    <w:p w:rsidR="00000000" w:rsidRDefault="00C96329">
      <w:pPr>
        <w:pStyle w:val="a3"/>
        <w:spacing w:before="0" w:beforeAutospacing="0" w:after="200" w:afterAutospacing="0"/>
        <w:ind w:firstLine="720"/>
        <w:divId w:val="1849369808"/>
        <w:rPr>
          <w:sz w:val="20"/>
          <w:szCs w:val="20"/>
        </w:rPr>
      </w:pPr>
      <w:r>
        <w:rPr>
          <w:sz w:val="20"/>
          <w:szCs w:val="20"/>
        </w:rPr>
        <w:t>If we fail to retain our qualified personnel or replace them when they leave, we may be unable to continue our discovery, development and commercialization activities, which may cause the price of our securities to fall.</w:t>
      </w:r>
    </w:p>
    <w:p w:rsidR="00000000" w:rsidRDefault="00C96329">
      <w:pPr>
        <w:pStyle w:val="a3"/>
        <w:spacing w:before="0" w:beforeAutospacing="0" w:after="200" w:afterAutospacing="0"/>
        <w:ind w:firstLine="720"/>
        <w:divId w:val="1849369808"/>
        <w:rPr>
          <w:sz w:val="20"/>
          <w:szCs w:val="20"/>
        </w:rPr>
      </w:pPr>
      <w:r>
        <w:rPr>
          <w:sz w:val="20"/>
          <w:szCs w:val="20"/>
        </w:rPr>
        <w:t>In addition, our US operating subsidiary’s facility and most of its employees are located in northern California, headquarters to many other biotechnology and biopharmaceutical companies and many academic and research institutions. As a result, competitio</w:t>
      </w:r>
      <w:r>
        <w:rPr>
          <w:sz w:val="20"/>
          <w:szCs w:val="20"/>
        </w:rPr>
        <w:t>n for certain skilled personnel in our market is intense. None of our employees have employment commitments for any fixed period of time and they all may leave our employment at will. If we fail to retain our qualified personnel or replace them when they l</w:t>
      </w:r>
      <w:r>
        <w:rPr>
          <w:sz w:val="20"/>
          <w:szCs w:val="20"/>
        </w:rPr>
        <w:t>eave, we may be unable to continue our development and commercialization activities and the price of our securities could fall.</w:t>
      </w:r>
    </w:p>
    <w:p w:rsidR="00000000" w:rsidRDefault="00C96329">
      <w:pPr>
        <w:pStyle w:val="a3"/>
        <w:spacing w:before="0" w:beforeAutospacing="0" w:after="120" w:afterAutospacing="0"/>
        <w:divId w:val="1849369808"/>
        <w:rPr>
          <w:sz w:val="20"/>
          <w:szCs w:val="20"/>
        </w:rPr>
      </w:pPr>
      <w:r>
        <w:rPr>
          <w:b/>
          <w:bCs/>
          <w:i/>
          <w:iCs/>
          <w:sz w:val="20"/>
          <w:szCs w:val="20"/>
        </w:rPr>
        <w:t>Global economic, political and social conditions may harm our ability to do business, increase our costs and negatively affect o</w:t>
      </w:r>
      <w:r>
        <w:rPr>
          <w:b/>
          <w:bCs/>
          <w:i/>
          <w:iCs/>
          <w:sz w:val="20"/>
          <w:szCs w:val="20"/>
        </w:rPr>
        <w:t>ur stock price.</w:t>
      </w:r>
    </w:p>
    <w:p w:rsidR="00000000" w:rsidRDefault="00C96329">
      <w:pPr>
        <w:pStyle w:val="a3"/>
        <w:spacing w:before="0" w:beforeAutospacing="0" w:after="200" w:afterAutospacing="0"/>
        <w:ind w:firstLine="720"/>
        <w:divId w:val="1849369808"/>
        <w:rPr>
          <w:sz w:val="20"/>
          <w:szCs w:val="20"/>
        </w:rPr>
      </w:pPr>
      <w:r>
        <w:rPr>
          <w:sz w:val="20"/>
          <w:szCs w:val="20"/>
        </w:rPr>
        <w:t>Worldwide economic conditions remain uncertain due to the decision by the United Kingdom (“UK”) to withdraw from the EU (often referred to as “Brexit”), current global economic challenges, the COVID-19 pandemic, and other disruptions to glo</w:t>
      </w:r>
      <w:r>
        <w:rPr>
          <w:sz w:val="20"/>
          <w:szCs w:val="20"/>
        </w:rPr>
        <w:t>bal and regional economies and markets.</w:t>
      </w:r>
    </w:p>
    <w:p w:rsidR="00000000" w:rsidRDefault="00C96329">
      <w:pPr>
        <w:pStyle w:val="a3"/>
        <w:spacing w:before="0" w:beforeAutospacing="0" w:after="200" w:afterAutospacing="0"/>
        <w:ind w:firstLine="720"/>
        <w:divId w:val="1849369808"/>
        <w:rPr>
          <w:sz w:val="20"/>
          <w:szCs w:val="20"/>
        </w:rPr>
      </w:pPr>
      <w:r>
        <w:rPr>
          <w:sz w:val="20"/>
          <w:szCs w:val="20"/>
        </w:rPr>
        <w:t xml:space="preserve">Brexit has created significant uncertainty about the future relationship between the UK and the EU, including with respect to the laws and regulations that will apply as the UK determines which EU laws to replace or </w:t>
      </w:r>
      <w:r>
        <w:rPr>
          <w:sz w:val="20"/>
          <w:szCs w:val="20"/>
        </w:rPr>
        <w:t xml:space="preserve">replicate in the event of a withdrawal. From a regulatory perspective, the UK’s withdrawal could bear significant complexity and risks. In addition, the exact terms of the UK’s withdrawal and the laws and regulations that will apply after the UK withdraws </w:t>
      </w:r>
      <w:r>
        <w:rPr>
          <w:sz w:val="20"/>
          <w:szCs w:val="20"/>
        </w:rPr>
        <w:t>from the EU affect manufacturing sites that hold an EU manufacturing authorization issued by the UK competent authorities.</w:t>
      </w:r>
    </w:p>
    <w:p w:rsidR="00000000" w:rsidRDefault="00C96329">
      <w:pPr>
        <w:pStyle w:val="a3"/>
        <w:spacing w:before="0" w:beforeAutospacing="0" w:after="200" w:afterAutospacing="0"/>
        <w:ind w:firstLine="720"/>
        <w:divId w:val="1849369808"/>
        <w:rPr>
          <w:sz w:val="20"/>
          <w:szCs w:val="20"/>
        </w:rPr>
      </w:pPr>
      <w:r>
        <w:rPr>
          <w:sz w:val="20"/>
          <w:szCs w:val="20"/>
        </w:rPr>
        <w:t>In light of the fact that a significant portion of the regulatory framework in the UK is derived from EU laws, Brexit could materiall</w:t>
      </w:r>
      <w:r>
        <w:rPr>
          <w:sz w:val="20"/>
          <w:szCs w:val="20"/>
        </w:rPr>
        <w:t>y impact the EU regulatory regime governing development, manufacture, importation, approval and commercialization of our product candidates in the UK or the EU. For example, there is a risk that the scope of a marketing authorization for a medicinal produc</w:t>
      </w:r>
      <w:r>
        <w:rPr>
          <w:sz w:val="20"/>
          <w:szCs w:val="20"/>
        </w:rPr>
        <w:t>t granted by the European Commission or by the competent authorities of EU member states will not encompass the UK. In these circumstances, a separate authorization granted by the UK competent authorities will be required to place medicinal products on the</w:t>
      </w:r>
      <w:r>
        <w:rPr>
          <w:sz w:val="20"/>
          <w:szCs w:val="20"/>
        </w:rPr>
        <w:t xml:space="preserve"> UK market. In addition, our ability to rely on UK manufacturing sites to supply medicinal products intended for the EU market will depend on the terms of the UK’s withdrawal from the EU and, potentially, on the ability to obtain relevant exemptions under </w:t>
      </w:r>
      <w:r>
        <w:rPr>
          <w:sz w:val="20"/>
          <w:szCs w:val="20"/>
        </w:rPr>
        <w:t>EU law to supply the EU market with medicinal products manufactured at UK-certified sites. There is also a risk that if batch release and quality control testing sites for our products are located only in the UK, manufacturers will be required to use sites</w:t>
      </w:r>
      <w:r>
        <w:rPr>
          <w:sz w:val="20"/>
          <w:szCs w:val="20"/>
        </w:rPr>
        <w:t xml:space="preserve"> in other EU member states to manufacture products for supply to the EU market. All of these changes, if they occur, could increase our costs and otherwise adversely affect our business. In addition, currency exchange rates for the British Pound and the Eu</w:t>
      </w:r>
      <w:r>
        <w:rPr>
          <w:sz w:val="20"/>
          <w:szCs w:val="20"/>
        </w:rPr>
        <w:t>ro with respect to each other and to the US dollar have already been, and may be continue to be, negatively affected by Brexit, which could cause volatility in our quarterly financial results.</w:t>
      </w:r>
    </w:p>
    <w:p w:rsidR="00000000" w:rsidRDefault="00C96329">
      <w:pPr>
        <w:pStyle w:val="a3"/>
        <w:spacing w:before="0" w:beforeAutospacing="0" w:after="200" w:afterAutospacing="0"/>
        <w:ind w:firstLine="720"/>
        <w:divId w:val="1849369808"/>
        <w:rPr>
          <w:sz w:val="20"/>
          <w:szCs w:val="20"/>
        </w:rPr>
      </w:pPr>
      <w:r>
        <w:rPr>
          <w:sz w:val="20"/>
          <w:szCs w:val="20"/>
        </w:rPr>
        <w:t>Further, development of our product candidates and/or regulator</w:t>
      </w:r>
      <w:r>
        <w:rPr>
          <w:sz w:val="20"/>
          <w:szCs w:val="20"/>
        </w:rPr>
        <w:t>y approval may be delayed for other political events beyond our control. For example, a US federal government shutdown or budget sequestration, such as ones that occurred during 2013, 2018, and 2019, may result in significant reductions to the FDA’s budget</w:t>
      </w:r>
      <w:r>
        <w:rPr>
          <w:sz w:val="20"/>
          <w:szCs w:val="20"/>
        </w:rPr>
        <w:t>, employees and operations, which may lead to slower response times and longer review periods, potentially affecting our ability to progress development of our product candidates or obtain regulatory approval for our product candidates. Further, future gov</w:t>
      </w:r>
      <w:r>
        <w:rPr>
          <w:sz w:val="20"/>
          <w:szCs w:val="20"/>
        </w:rPr>
        <w:t>ernment shutdowns could impact our ability to access the public markets and obtain necessary capital in order to properly capitalize and continue our operations.</w:t>
      </w:r>
    </w:p>
    <w:p w:rsidR="00000000" w:rsidRDefault="00C96329">
      <w:pPr>
        <w:pStyle w:val="a3"/>
        <w:spacing w:before="0" w:beforeAutospacing="0" w:after="0" w:afterAutospacing="0"/>
        <w:ind w:firstLine="720"/>
        <w:divId w:val="1849369808"/>
        <w:rPr>
          <w:sz w:val="20"/>
          <w:szCs w:val="20"/>
        </w:rPr>
      </w:pPr>
      <w:r>
        <w:rPr>
          <w:sz w:val="20"/>
          <w:szCs w:val="20"/>
        </w:rPr>
        <w:t>Our operations also depend upon favorable trade relations between the US and those foreign cou</w:t>
      </w:r>
      <w:r>
        <w:rPr>
          <w:sz w:val="20"/>
          <w:szCs w:val="20"/>
        </w:rPr>
        <w:t xml:space="preserve">ntries in which our materials suppliers have operations. A protectionist trade environment in either the US or those foreign countries in which we </w:t>
      </w:r>
    </w:p>
    <w:p w:rsidR="00000000" w:rsidRDefault="00C96329">
      <w:pPr>
        <w:pStyle w:val="a3"/>
        <w:spacing w:before="360" w:beforeAutospacing="0" w:after="0" w:afterAutospacing="0"/>
        <w:jc w:val="center"/>
        <w:divId w:val="1285843721"/>
        <w:rPr>
          <w:sz w:val="20"/>
          <w:szCs w:val="20"/>
        </w:rPr>
      </w:pPr>
      <w:r>
        <w:rPr>
          <w:sz w:val="20"/>
          <w:szCs w:val="20"/>
        </w:rPr>
        <w:t>52</w:t>
      </w:r>
    </w:p>
    <w:p w:rsidR="00000000" w:rsidRDefault="00C96329">
      <w:pPr>
        <w:pStyle w:val="a3"/>
        <w:spacing w:before="0" w:beforeAutospacing="0" w:after="600" w:afterAutospacing="0"/>
        <w:divId w:val="1249465694"/>
        <w:rPr>
          <w:sz w:val="20"/>
          <w:szCs w:val="20"/>
        </w:rPr>
      </w:pPr>
      <w:hyperlink w:anchor="TOC" w:history="1">
        <w:r>
          <w:rPr>
            <w:rStyle w:val="a4"/>
            <w:sz w:val="20"/>
            <w:szCs w:val="20"/>
          </w:rPr>
          <w:t>Table of Contents</w:t>
        </w:r>
      </w:hyperlink>
    </w:p>
    <w:p w:rsidR="00000000" w:rsidRDefault="00C96329">
      <w:pPr>
        <w:pStyle w:val="a3"/>
        <w:spacing w:before="0" w:beforeAutospacing="0" w:after="200" w:afterAutospacing="0"/>
        <w:divId w:val="142966123"/>
        <w:rPr>
          <w:sz w:val="20"/>
          <w:szCs w:val="20"/>
        </w:rPr>
      </w:pPr>
      <w:r>
        <w:rPr>
          <w:sz w:val="20"/>
          <w:szCs w:val="20"/>
        </w:rPr>
        <w:t>do business, such as a change in the current tariff structures, export compliance or other trade policies, may materially and adversely affect our operations.</w:t>
      </w:r>
    </w:p>
    <w:p w:rsidR="00000000" w:rsidRDefault="00C96329">
      <w:pPr>
        <w:pStyle w:val="a3"/>
        <w:spacing w:before="0" w:beforeAutospacing="0" w:after="200" w:afterAutospacing="0"/>
        <w:ind w:firstLine="720"/>
        <w:divId w:val="142966123"/>
        <w:rPr>
          <w:sz w:val="20"/>
          <w:szCs w:val="20"/>
        </w:rPr>
      </w:pPr>
      <w:r>
        <w:rPr>
          <w:sz w:val="20"/>
          <w:szCs w:val="20"/>
        </w:rPr>
        <w:t>External factors, such as potential terrorist attacks, acts of war, geopolitical and social turmo</w:t>
      </w:r>
      <w:r>
        <w:rPr>
          <w:sz w:val="20"/>
          <w:szCs w:val="20"/>
        </w:rPr>
        <w:t>il or similar events in many parts of the world, could also prevent or hinder our ability to do business, increase our costs and negatively affect our stock price. These geopolitical, social and economic conditions could harm our business.</w:t>
      </w:r>
    </w:p>
    <w:p w:rsidR="00000000" w:rsidRDefault="00C96329">
      <w:pPr>
        <w:pStyle w:val="a3"/>
        <w:spacing w:before="0" w:beforeAutospacing="0" w:after="120" w:afterAutospacing="0"/>
        <w:divId w:val="142966123"/>
        <w:rPr>
          <w:sz w:val="20"/>
          <w:szCs w:val="20"/>
        </w:rPr>
      </w:pPr>
      <w:r>
        <w:rPr>
          <w:b/>
          <w:bCs/>
          <w:i/>
          <w:iCs/>
          <w:sz w:val="20"/>
          <w:szCs w:val="20"/>
        </w:rPr>
        <w:t>Our US operating</w:t>
      </w:r>
      <w:r>
        <w:rPr>
          <w:b/>
          <w:bCs/>
          <w:i/>
          <w:iCs/>
          <w:sz w:val="20"/>
          <w:szCs w:val="20"/>
        </w:rPr>
        <w:t xml:space="preserve"> subsidiary’s facility is located near known earthquake fault zones, and the occurrence of an earthquake, extremist attack or other catastrophic disaster could cause damage to our facilities and equipment, which could require us to cease or curtail operati</w:t>
      </w:r>
      <w:r>
        <w:rPr>
          <w:b/>
          <w:bCs/>
          <w:i/>
          <w:iCs/>
          <w:sz w:val="20"/>
          <w:szCs w:val="20"/>
        </w:rPr>
        <w:t>ons.</w:t>
      </w:r>
    </w:p>
    <w:p w:rsidR="00000000" w:rsidRDefault="00C96329">
      <w:pPr>
        <w:pStyle w:val="a3"/>
        <w:spacing w:before="0" w:beforeAutospacing="0" w:after="200" w:afterAutospacing="0"/>
        <w:ind w:firstLine="720"/>
        <w:divId w:val="142966123"/>
        <w:rPr>
          <w:sz w:val="20"/>
          <w:szCs w:val="20"/>
        </w:rPr>
      </w:pPr>
      <w:r>
        <w:rPr>
          <w:sz w:val="20"/>
          <w:szCs w:val="20"/>
        </w:rPr>
        <w:t xml:space="preserve">Our US operating subsidiary’s facility is located in the San Francisco Bay Area near known earthquake fault zones and therefore will be vulnerable to damage from earthquakes. In October 1989, a major earthquake struck this area and caused significant </w:t>
      </w:r>
      <w:r>
        <w:rPr>
          <w:sz w:val="20"/>
          <w:szCs w:val="20"/>
        </w:rPr>
        <w:t>property damage and a number of fatalities. We are also vulnerable to damage from other types of disasters, including power loss, attacks from extremist organizations, fire, floods, communications failures and similar events. If any disaster were to occur,</w:t>
      </w:r>
      <w:r>
        <w:rPr>
          <w:sz w:val="20"/>
          <w:szCs w:val="20"/>
        </w:rPr>
        <w:t xml:space="preserve"> our ability to operate our business could be seriously impaired. In addition, the unique nature of our research activities and of much of our equipment could make it difficult and costly for us to recover from this type of disaster. We may not have adequa</w:t>
      </w:r>
      <w:r>
        <w:rPr>
          <w:sz w:val="20"/>
          <w:szCs w:val="20"/>
        </w:rPr>
        <w:t>te insurance to cover our losses resulting from disasters or other similar significant business interruptions and we do not plan to purchase additional insurance to cover such losses due to the cost of obtaining such coverage. Any significant losses that a</w:t>
      </w:r>
      <w:r>
        <w:rPr>
          <w:sz w:val="20"/>
          <w:szCs w:val="20"/>
        </w:rPr>
        <w:t>re not recoverable under our insurance policies could seriously impair our business and financial condition, which could cause the price of our securities to fall.</w:t>
      </w:r>
    </w:p>
    <w:p w:rsidR="00000000" w:rsidRDefault="00C96329">
      <w:pPr>
        <w:pStyle w:val="a3"/>
        <w:spacing w:before="0" w:beforeAutospacing="0" w:after="120" w:afterAutospacing="0"/>
        <w:divId w:val="142966123"/>
        <w:rPr>
          <w:sz w:val="20"/>
          <w:szCs w:val="20"/>
        </w:rPr>
      </w:pPr>
      <w:r>
        <w:rPr>
          <w:b/>
          <w:bCs/>
          <w:i/>
          <w:iCs/>
          <w:sz w:val="20"/>
          <w:szCs w:val="20"/>
        </w:rPr>
        <w:t xml:space="preserve">If YUPELRI does not continue to be accepted by physicians, patients, third-party payors, or </w:t>
      </w:r>
      <w:r>
        <w:rPr>
          <w:b/>
          <w:bCs/>
          <w:i/>
          <w:iCs/>
          <w:sz w:val="20"/>
          <w:szCs w:val="20"/>
        </w:rPr>
        <w:t>the medical community in general, we may not receive significant additional revenues from sales of this product.</w:t>
      </w:r>
    </w:p>
    <w:p w:rsidR="00000000" w:rsidRDefault="00C96329">
      <w:pPr>
        <w:pStyle w:val="a3"/>
        <w:spacing w:before="0" w:beforeAutospacing="0" w:after="200" w:afterAutospacing="0"/>
        <w:ind w:firstLine="720"/>
        <w:divId w:val="142966123"/>
        <w:rPr>
          <w:sz w:val="20"/>
          <w:szCs w:val="20"/>
        </w:rPr>
      </w:pPr>
      <w:r>
        <w:rPr>
          <w:sz w:val="20"/>
          <w:szCs w:val="20"/>
        </w:rPr>
        <w:t>The commercial success of YUPELRI depends upon its acceptance by physicians, patients, third-party payors and the medical community in general.</w:t>
      </w:r>
      <w:r>
        <w:rPr>
          <w:sz w:val="20"/>
          <w:szCs w:val="20"/>
        </w:rPr>
        <w:t xml:space="preserve"> YUPELRI may not be sufficiently accepted by these parties. YUPELRI competes predominantly with short-acting nebulized bronchodilators used three to four times per day and the nebulized LAMA Lonhal</w:t>
      </w:r>
      <w:r>
        <w:rPr>
          <w:sz w:val="20"/>
          <w:szCs w:val="20"/>
        </w:rPr>
        <w:t>a</w:t>
      </w:r>
      <w:r>
        <w:rPr>
          <w:sz w:val="15"/>
          <w:szCs w:val="15"/>
          <w:vertAlign w:val="superscript"/>
        </w:rPr>
        <w:t>TM</w:t>
      </w:r>
      <w:r>
        <w:rPr>
          <w:sz w:val="20"/>
          <w:szCs w:val="20"/>
        </w:rPr>
        <w:t xml:space="preserve"> Magnai</w:t>
      </w:r>
      <w:r>
        <w:rPr>
          <w:sz w:val="20"/>
          <w:szCs w:val="20"/>
        </w:rPr>
        <w:t>r</w:t>
      </w:r>
      <w:r>
        <w:rPr>
          <w:sz w:val="15"/>
          <w:szCs w:val="15"/>
          <w:vertAlign w:val="superscript"/>
        </w:rPr>
        <w:t>TM</w:t>
      </w:r>
      <w:r>
        <w:rPr>
          <w:sz w:val="20"/>
          <w:szCs w:val="20"/>
        </w:rPr>
        <w:t xml:space="preserve"> (SUN-101/eFlo</w:t>
      </w:r>
      <w:r>
        <w:rPr>
          <w:sz w:val="20"/>
          <w:szCs w:val="20"/>
        </w:rPr>
        <w:t>w</w:t>
      </w:r>
      <w:r>
        <w:rPr>
          <w:sz w:val="15"/>
          <w:szCs w:val="15"/>
          <w:vertAlign w:val="superscript"/>
        </w:rPr>
        <w:t>®</w:t>
      </w:r>
      <w:r>
        <w:rPr>
          <w:sz w:val="20"/>
          <w:szCs w:val="20"/>
        </w:rPr>
        <w:t xml:space="preserve">) used twice per day. We have </w:t>
      </w:r>
      <w:r>
        <w:rPr>
          <w:sz w:val="20"/>
          <w:szCs w:val="20"/>
        </w:rPr>
        <w:t>seen increased volatility in sales of YUPELRI coinciding with the suspension of in person sales calls, having less access to physicians and other healthcare providers and the progression of the COVID-19 pandemic and, if physicians, patients, third party pa</w:t>
      </w:r>
      <w:r>
        <w:rPr>
          <w:sz w:val="20"/>
          <w:szCs w:val="20"/>
        </w:rPr>
        <w:t>yors, or the medical community in general believe that nebulized therapy presents a risk of further spreading the SARS-COV-2 virus or that YUPELRI is otherwise not a preferred treatment option for those with COPD, we may see declines. Shifts to novel marke</w:t>
      </w:r>
      <w:r>
        <w:rPr>
          <w:sz w:val="20"/>
          <w:szCs w:val="20"/>
        </w:rPr>
        <w:t xml:space="preserve">ting tactics are being deployed in an effort to keep awareness levels and business generation positive, but these untested and unvalidated tactics may not be effective at maintaining YUPELRI brand growth. If YUPELRI’s acceptance does not continue to grow, </w:t>
      </w:r>
      <w:r>
        <w:rPr>
          <w:sz w:val="20"/>
          <w:szCs w:val="20"/>
        </w:rPr>
        <w:t>or declines from previous levels, our business and financial results could be materially harmed.</w:t>
      </w:r>
    </w:p>
    <w:p w:rsidR="00000000" w:rsidRDefault="00C96329">
      <w:pPr>
        <w:pStyle w:val="a3"/>
        <w:spacing w:before="0" w:beforeAutospacing="0" w:after="120" w:afterAutospacing="0"/>
        <w:divId w:val="142966123"/>
        <w:rPr>
          <w:sz w:val="20"/>
          <w:szCs w:val="20"/>
        </w:rPr>
      </w:pPr>
      <w:r>
        <w:rPr>
          <w:b/>
          <w:bCs/>
          <w:i/>
          <w:iCs/>
          <w:sz w:val="20"/>
          <w:szCs w:val="20"/>
        </w:rPr>
        <w:t>In collaboration with Mylan, we are responsible for marketing and sales of YUPELRI in the US, which subjects us to certain risks.</w:t>
      </w:r>
    </w:p>
    <w:p w:rsidR="00000000" w:rsidRDefault="00C96329">
      <w:pPr>
        <w:pStyle w:val="a3"/>
        <w:spacing w:before="0" w:beforeAutospacing="0" w:after="200" w:afterAutospacing="0"/>
        <w:ind w:firstLine="720"/>
        <w:divId w:val="142966123"/>
        <w:rPr>
          <w:sz w:val="20"/>
          <w:szCs w:val="20"/>
        </w:rPr>
      </w:pPr>
      <w:r>
        <w:rPr>
          <w:sz w:val="20"/>
          <w:szCs w:val="20"/>
        </w:rPr>
        <w:t>We currently maintain a sales</w:t>
      </w:r>
      <w:r>
        <w:rPr>
          <w:sz w:val="20"/>
          <w:szCs w:val="20"/>
        </w:rPr>
        <w:t xml:space="preserve"> force in the US and plan to continue to augment our sales and marketing personnel to support our co-promotion obligations for YUPELRI under our agreement with Mylan. The risks of fulfilling our US co-promotion obligations to Mylan include:</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2966123"/>
        </w:trPr>
        <w:tc>
          <w:tcPr>
            <w:tcW w:w="720" w:type="dxa"/>
            <w:tcMar>
              <w:top w:w="0" w:type="dxa"/>
              <w:left w:w="0" w:type="dxa"/>
              <w:bottom w:w="0" w:type="dxa"/>
              <w:right w:w="0" w:type="dxa"/>
            </w:tcMar>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costs and ex</w:t>
            </w:r>
            <w:r>
              <w:rPr>
                <w:sz w:val="20"/>
                <w:szCs w:val="20"/>
              </w:rPr>
              <w:t xml:space="preserve">penses associated with maintaining an independent sales and marketing organization with appropriate technical expertise and supporting infrastructure, including third-party vendor logistics and consultant support, which costs and expenses could, depending </w:t>
            </w:r>
            <w:r>
              <w:rPr>
                <w:sz w:val="20"/>
                <w:szCs w:val="20"/>
              </w:rPr>
              <w:t>on the scope and method of the marketing effort, exceed any product revenue for several years;</w:t>
            </w:r>
          </w:p>
        </w:tc>
      </w:tr>
    </w:tbl>
    <w:p w:rsidR="00000000" w:rsidRDefault="00C96329">
      <w:pPr>
        <w:divId w:val="14296612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2966123"/>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our ability to retain effective sales and marketing personnel and medical science liaisons in the US;</w:t>
            </w:r>
          </w:p>
        </w:tc>
      </w:tr>
    </w:tbl>
    <w:p w:rsidR="00000000" w:rsidRDefault="00C96329">
      <w:pPr>
        <w:divId w:val="14296612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2966123"/>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ability of our sales and marketing personnel to obtain access to and educate adequate numbers of physicians about prescribing YUPELRI, in appropriate clinical situations; and</w:t>
            </w:r>
          </w:p>
        </w:tc>
      </w:tr>
    </w:tbl>
    <w:p w:rsidR="00000000" w:rsidRDefault="00C96329">
      <w:pPr>
        <w:divId w:val="14296612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2966123"/>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lack of complementary products to be offered by sales personnel, whi</w:t>
            </w:r>
            <w:r>
              <w:rPr>
                <w:sz w:val="20"/>
                <w:szCs w:val="20"/>
              </w:rPr>
              <w:t>ch may put us at a competitive disadvantage relative to companies with more extensive product lines.</w:t>
            </w:r>
          </w:p>
        </w:tc>
      </w:tr>
    </w:tbl>
    <w:p w:rsidR="00000000" w:rsidRDefault="00C96329">
      <w:pPr>
        <w:pStyle w:val="a3"/>
        <w:spacing w:before="360" w:beforeAutospacing="0" w:after="0" w:afterAutospacing="0"/>
        <w:jc w:val="center"/>
        <w:divId w:val="633564456"/>
        <w:rPr>
          <w:sz w:val="20"/>
          <w:szCs w:val="20"/>
        </w:rPr>
      </w:pPr>
      <w:r>
        <w:rPr>
          <w:sz w:val="20"/>
          <w:szCs w:val="20"/>
        </w:rPr>
        <w:t>53</w:t>
      </w:r>
    </w:p>
    <w:p w:rsidR="00000000" w:rsidRDefault="00C96329">
      <w:pPr>
        <w:pStyle w:val="a3"/>
        <w:spacing w:before="0" w:beforeAutospacing="0" w:after="600" w:afterAutospacing="0"/>
        <w:divId w:val="470442317"/>
        <w:rPr>
          <w:sz w:val="20"/>
          <w:szCs w:val="20"/>
        </w:rPr>
      </w:pPr>
      <w:hyperlink w:anchor="TOC" w:history="1">
        <w:r>
          <w:rPr>
            <w:rStyle w:val="a4"/>
            <w:sz w:val="20"/>
            <w:szCs w:val="20"/>
          </w:rPr>
          <w:t>Table of Contents</w:t>
        </w:r>
      </w:hyperlink>
    </w:p>
    <w:p w:rsidR="00000000" w:rsidRDefault="00C96329">
      <w:pPr>
        <w:pStyle w:val="a3"/>
        <w:spacing w:before="0" w:beforeAutospacing="0" w:after="200" w:afterAutospacing="0"/>
        <w:ind w:firstLine="720"/>
        <w:divId w:val="1888253672"/>
        <w:rPr>
          <w:sz w:val="20"/>
          <w:szCs w:val="20"/>
        </w:rPr>
      </w:pPr>
      <w:r>
        <w:rPr>
          <w:sz w:val="20"/>
          <w:szCs w:val="20"/>
        </w:rPr>
        <w:t>If we are not successful in maintaining a sales and marketing organization with appropriate experience, tec</w:t>
      </w:r>
      <w:r>
        <w:rPr>
          <w:sz w:val="20"/>
          <w:szCs w:val="20"/>
        </w:rPr>
        <w:t>hnical expertise, supporting infrastructure and the ability to obtain access to and educate adequate numbers of physicians about prescribing YUPELRI in appropriate clinical situations, we will have difficulty maintaining effective commercialization of YUPE</w:t>
      </w:r>
      <w:r>
        <w:rPr>
          <w:sz w:val="20"/>
          <w:szCs w:val="20"/>
        </w:rPr>
        <w:t>LRI, which would adversely affect our business and financial results and the condition and the price of our securities could fall.</w:t>
      </w:r>
    </w:p>
    <w:p w:rsidR="00000000" w:rsidRDefault="00C96329">
      <w:pPr>
        <w:pStyle w:val="a3"/>
        <w:spacing w:before="0" w:beforeAutospacing="0" w:after="120" w:afterAutospacing="0"/>
        <w:divId w:val="1888253672"/>
        <w:rPr>
          <w:sz w:val="20"/>
          <w:szCs w:val="20"/>
        </w:rPr>
      </w:pPr>
      <w:r>
        <w:rPr>
          <w:b/>
          <w:bCs/>
          <w:i/>
          <w:iCs/>
          <w:sz w:val="20"/>
          <w:szCs w:val="20"/>
        </w:rPr>
        <w:t>We are subject to extensive and ongoing regulation, oversight and other requirements by the FDA and failure to comply with these regulations and requirements may subject us to penalties that may adversely affect our financial condition or our ability to co</w:t>
      </w:r>
      <w:r>
        <w:rPr>
          <w:b/>
          <w:bCs/>
          <w:i/>
          <w:iCs/>
          <w:sz w:val="20"/>
          <w:szCs w:val="20"/>
        </w:rPr>
        <w:t>mmercialize any approved products.</w:t>
      </w:r>
    </w:p>
    <w:p w:rsidR="00000000" w:rsidRDefault="00C96329">
      <w:pPr>
        <w:pStyle w:val="a3"/>
        <w:spacing w:before="0" w:beforeAutospacing="0" w:after="200" w:afterAutospacing="0"/>
        <w:ind w:firstLine="720"/>
        <w:divId w:val="1888253672"/>
        <w:rPr>
          <w:sz w:val="20"/>
          <w:szCs w:val="20"/>
        </w:rPr>
      </w:pPr>
      <w:r>
        <w:rPr>
          <w:sz w:val="20"/>
          <w:szCs w:val="20"/>
        </w:rPr>
        <w:t xml:space="preserve">Prescription drug advertising and promotion are closely scrutinized by the FDA, including substantiation of promotional claims, disclosure of risks and safety information, and the use of themes and imagery in advertising </w:t>
      </w:r>
      <w:r>
        <w:rPr>
          <w:sz w:val="20"/>
          <w:szCs w:val="20"/>
        </w:rPr>
        <w:t>and promotional materials. As with all companies selling and marketing products regulated by the FDA in the US, we are prohibited from promoting any uses of an approved product, such as YUPELRI, that are outside the scope of those uses that have been expre</w:t>
      </w:r>
      <w:r>
        <w:rPr>
          <w:sz w:val="20"/>
          <w:szCs w:val="20"/>
        </w:rPr>
        <w:t>ssly approved by the FDA as safe and effective on the product’s label.</w:t>
      </w:r>
    </w:p>
    <w:p w:rsidR="00000000" w:rsidRDefault="00C96329">
      <w:pPr>
        <w:pStyle w:val="a3"/>
        <w:spacing w:before="0" w:beforeAutospacing="0" w:after="200" w:afterAutospacing="0"/>
        <w:ind w:firstLine="720"/>
        <w:divId w:val="1888253672"/>
        <w:rPr>
          <w:sz w:val="20"/>
          <w:szCs w:val="20"/>
        </w:rPr>
      </w:pPr>
      <w:r>
        <w:rPr>
          <w:sz w:val="20"/>
          <w:szCs w:val="20"/>
        </w:rPr>
        <w:t>The manufacturing, labeling, packaging, adverse event reporting, advertising, promotion and recordkeeping for an approved product remain subject to extensive and ongoing regulatory requ</w:t>
      </w:r>
      <w:r>
        <w:rPr>
          <w:sz w:val="20"/>
          <w:szCs w:val="20"/>
        </w:rPr>
        <w:t>irements. If we become aware of previously unknown problems with an approved product in the US or overseas or at a contract manufacturer’s facilities, a regulatory authority may impose restrictions on the product, the contract manufacturers or on us, inclu</w:t>
      </w:r>
      <w:r>
        <w:rPr>
          <w:sz w:val="20"/>
          <w:szCs w:val="20"/>
        </w:rPr>
        <w:t>ding requiring us to reformulate the product, conduct additional clinical studies, change the labeling of the product, withdraw the product from the market or require the contract manufacturer to implement changes to its facilities.</w:t>
      </w:r>
    </w:p>
    <w:p w:rsidR="00000000" w:rsidRDefault="00C96329">
      <w:pPr>
        <w:pStyle w:val="a3"/>
        <w:spacing w:before="0" w:beforeAutospacing="0" w:after="200" w:afterAutospacing="0"/>
        <w:ind w:firstLine="720"/>
        <w:divId w:val="1888253672"/>
        <w:rPr>
          <w:sz w:val="20"/>
          <w:szCs w:val="20"/>
        </w:rPr>
      </w:pPr>
      <w:r>
        <w:rPr>
          <w:sz w:val="20"/>
          <w:szCs w:val="20"/>
        </w:rPr>
        <w:t xml:space="preserve">We are also subject to </w:t>
      </w:r>
      <w:r>
        <w:rPr>
          <w:sz w:val="20"/>
          <w:szCs w:val="20"/>
        </w:rPr>
        <w:t>regulation by regional, national, state and local agencies, including the Department of Justice, the Federal Trade Commission, the Office of Inspector General of the US Department of Health and Human Services (“OIG”) and other regulatory bodies with respec</w:t>
      </w:r>
      <w:r>
        <w:rPr>
          <w:sz w:val="20"/>
          <w:szCs w:val="20"/>
        </w:rPr>
        <w:t>t to any approved product, such as YUPELRI, as well as governmental authorities in those foreign countries in which any product is approved for commercialization. The Federal Food, Drug, and Cosmetic Act, the Public Health Service Act and other federal and</w:t>
      </w:r>
      <w:r>
        <w:rPr>
          <w:sz w:val="20"/>
          <w:szCs w:val="20"/>
        </w:rPr>
        <w:t xml:space="preserve"> state statutes and regulations govern to varying degrees the research, development, manufacturing and commercial activities relating to prescription pharmaceutical products, including non-clinical and clinical testing, approval, production, labeling, sale</w:t>
      </w:r>
      <w:r>
        <w:rPr>
          <w:sz w:val="20"/>
          <w:szCs w:val="20"/>
        </w:rPr>
        <w:t>, distribution, import, export, post-market surveillance, advertising, dissemination of information and promotion. If we or any third parties that provide these services for us are unable to comply, we may be subject to regulatory or civil actions or penal</w:t>
      </w:r>
      <w:r>
        <w:rPr>
          <w:sz w:val="20"/>
          <w:szCs w:val="20"/>
        </w:rPr>
        <w:t>ties that could significantly and adversely affect our business.</w:t>
      </w:r>
    </w:p>
    <w:p w:rsidR="00000000" w:rsidRDefault="00C96329">
      <w:pPr>
        <w:pStyle w:val="a3"/>
        <w:spacing w:before="0" w:beforeAutospacing="0" w:after="200" w:afterAutospacing="0"/>
        <w:ind w:firstLine="720"/>
        <w:divId w:val="1888253672"/>
        <w:rPr>
          <w:sz w:val="20"/>
          <w:szCs w:val="20"/>
        </w:rPr>
      </w:pPr>
      <w:r>
        <w:rPr>
          <w:sz w:val="20"/>
          <w:szCs w:val="20"/>
        </w:rPr>
        <w:t>Regulatory approval for our product candidates, if any, may include similar or other limitations on the indicated uses for which we can market our medicines or the patient population that may</w:t>
      </w:r>
      <w:r>
        <w:rPr>
          <w:sz w:val="20"/>
          <w:szCs w:val="20"/>
        </w:rPr>
        <w:t xml:space="preserve"> utilize our medicines, which may limit the market for our medicines or put us at a competitive disadvantage relative to alternative therapies.</w:t>
      </w:r>
    </w:p>
    <w:p w:rsidR="00000000" w:rsidRDefault="00C96329">
      <w:pPr>
        <w:pStyle w:val="a3"/>
        <w:spacing w:before="0" w:beforeAutospacing="0" w:after="200" w:afterAutospacing="0"/>
        <w:ind w:firstLine="720"/>
        <w:divId w:val="1888253672"/>
        <w:rPr>
          <w:sz w:val="20"/>
          <w:szCs w:val="20"/>
        </w:rPr>
      </w:pPr>
      <w:r>
        <w:rPr>
          <w:sz w:val="20"/>
          <w:szCs w:val="20"/>
        </w:rPr>
        <w:t xml:space="preserve">Failure to satisfy required post-approval requirements and/or commitments may have implications for a product’s approval and may carry civil monetary penalties. Any failure to maintain regulatory approval will materially limit the ability to commercialize </w:t>
      </w:r>
      <w:r>
        <w:rPr>
          <w:sz w:val="20"/>
          <w:szCs w:val="20"/>
        </w:rPr>
        <w:t>a product or any future product candidates and if we fail to comply with FDA regulations and requirements, the FDA could potentially take a number of enforcement actions against us, including the issuance of untitled letters, warning letters, preventing th</w:t>
      </w:r>
      <w:r>
        <w:rPr>
          <w:sz w:val="20"/>
          <w:szCs w:val="20"/>
        </w:rPr>
        <w:t>e introduction or delivery of the product into interstate commerce in the US, misbranding charges, product seizures, injunctions, and civil monetary penalties, which would materially and adversely affect our business and financial condition and may cause t</w:t>
      </w:r>
      <w:r>
        <w:rPr>
          <w:sz w:val="20"/>
          <w:szCs w:val="20"/>
        </w:rPr>
        <w:t>he price of our securities to fall.</w:t>
      </w:r>
    </w:p>
    <w:p w:rsidR="00000000" w:rsidRDefault="00C96329">
      <w:pPr>
        <w:pStyle w:val="a3"/>
        <w:spacing w:before="0" w:beforeAutospacing="0" w:after="200" w:afterAutospacing="0"/>
        <w:ind w:firstLine="720"/>
        <w:divId w:val="1888253672"/>
        <w:rPr>
          <w:sz w:val="20"/>
          <w:szCs w:val="20"/>
        </w:rPr>
      </w:pPr>
      <w:r>
        <w:rPr>
          <w:sz w:val="20"/>
          <w:szCs w:val="20"/>
        </w:rPr>
        <w:t>The risks identified in this risk factor relating to regulatory actions and oversight by agencies in the US and throughout the world also apply to the commercialization of any partnered products by our collaboration part</w:t>
      </w:r>
      <w:r>
        <w:rPr>
          <w:sz w:val="20"/>
          <w:szCs w:val="20"/>
        </w:rPr>
        <w:t>ners and those commercializing products with respect to which we have an economic interest or right to receive royalties, including GSK and Cumberland, and such regulatory actions and oversight may limit those parties’ ability to commercialize such product</w:t>
      </w:r>
      <w:r>
        <w:rPr>
          <w:sz w:val="20"/>
          <w:szCs w:val="20"/>
        </w:rPr>
        <w:t>s, which could materially and adversely affect our business and financial condition, and which may cause the price of our securities to fall.</w:t>
      </w:r>
    </w:p>
    <w:p w:rsidR="00000000" w:rsidRDefault="00C96329">
      <w:pPr>
        <w:pStyle w:val="a3"/>
        <w:spacing w:before="360" w:beforeAutospacing="0" w:after="0" w:afterAutospacing="0"/>
        <w:jc w:val="center"/>
        <w:divId w:val="1050113920"/>
        <w:rPr>
          <w:sz w:val="20"/>
          <w:szCs w:val="20"/>
        </w:rPr>
      </w:pPr>
      <w:r>
        <w:rPr>
          <w:sz w:val="20"/>
          <w:szCs w:val="20"/>
        </w:rPr>
        <w:t>54</w:t>
      </w:r>
    </w:p>
    <w:p w:rsidR="00000000" w:rsidRDefault="00C96329">
      <w:pPr>
        <w:pStyle w:val="a3"/>
        <w:spacing w:before="0" w:beforeAutospacing="0" w:after="600" w:afterAutospacing="0"/>
        <w:divId w:val="489489335"/>
        <w:rPr>
          <w:sz w:val="20"/>
          <w:szCs w:val="20"/>
        </w:rPr>
      </w:pPr>
      <w:hyperlink w:anchor="TOC" w:history="1">
        <w:r>
          <w:rPr>
            <w:rStyle w:val="a4"/>
            <w:sz w:val="20"/>
            <w:szCs w:val="20"/>
          </w:rPr>
          <w:t>Table of Contents</w:t>
        </w:r>
      </w:hyperlink>
    </w:p>
    <w:p w:rsidR="00000000" w:rsidRDefault="00C96329">
      <w:pPr>
        <w:pStyle w:val="a3"/>
        <w:spacing w:before="0" w:beforeAutospacing="0" w:after="120" w:afterAutospacing="0"/>
        <w:divId w:val="143013865"/>
        <w:rPr>
          <w:sz w:val="20"/>
          <w:szCs w:val="20"/>
        </w:rPr>
      </w:pPr>
      <w:r>
        <w:rPr>
          <w:b/>
          <w:bCs/>
          <w:i/>
          <w:iCs/>
          <w:sz w:val="20"/>
          <w:szCs w:val="20"/>
        </w:rPr>
        <w:t>We and/or our collaboration partners and those commercializing prod</w:t>
      </w:r>
      <w:r>
        <w:rPr>
          <w:b/>
          <w:bCs/>
          <w:i/>
          <w:iCs/>
          <w:sz w:val="20"/>
          <w:szCs w:val="20"/>
        </w:rPr>
        <w:t>ucts with respect to which we have an economic interest or right to receive royalties may face competition from companies seeking to market generic versions of any approved products in which we have an interest, such as TRELEGY or YUPELRI.</w:t>
      </w:r>
    </w:p>
    <w:p w:rsidR="00000000" w:rsidRDefault="00C96329">
      <w:pPr>
        <w:pStyle w:val="a3"/>
        <w:spacing w:before="0" w:beforeAutospacing="0" w:after="200" w:afterAutospacing="0"/>
        <w:ind w:firstLine="720"/>
        <w:divId w:val="143013865"/>
        <w:rPr>
          <w:sz w:val="20"/>
          <w:szCs w:val="20"/>
        </w:rPr>
      </w:pPr>
      <w:r>
        <w:rPr>
          <w:sz w:val="20"/>
          <w:szCs w:val="20"/>
        </w:rPr>
        <w:t>Under the Drug P</w:t>
      </w:r>
      <w:r>
        <w:rPr>
          <w:sz w:val="20"/>
          <w:szCs w:val="20"/>
        </w:rPr>
        <w:t xml:space="preserve">rice Competition and Patent Term Restoration Act of 1984, a company may submit an abbreviated new drug application (“ANDA”) under section 505(j) of the Federal Food, Drug, and Cosmetic Act to market a generic version of an approved drug. Because a generic </w:t>
      </w:r>
      <w:r>
        <w:rPr>
          <w:sz w:val="20"/>
          <w:szCs w:val="20"/>
        </w:rPr>
        <w:t>applicant does not conduct its own clinical studies, but instead relies on the FDA’s finding of safety and effectiveness for the approved drug, it is able to introduce a competing product into the market at a cost significantly below that of the original d</w:t>
      </w:r>
      <w:r>
        <w:rPr>
          <w:sz w:val="20"/>
          <w:szCs w:val="20"/>
        </w:rPr>
        <w:t>rug. Although we have multiple patents protecting YUPELRI until at least 2025 that are listed in the FDA’s Approved Drug Products with Therapeutic Equivalence Evaluations, commonly known as the Orange Book, and those commercializing products with respect t</w:t>
      </w:r>
      <w:r>
        <w:rPr>
          <w:sz w:val="20"/>
          <w:szCs w:val="20"/>
        </w:rPr>
        <w:t>o which we have an economic interest or right to receive royalties similarly have patents protecting their products, such as TRELEGY and VIBATIV, generic applicants could potentially submit “paragraph IV certifications” to FDA stating that such patents are</w:t>
      </w:r>
      <w:r>
        <w:rPr>
          <w:sz w:val="20"/>
          <w:szCs w:val="20"/>
        </w:rPr>
        <w:t xml:space="preserve"> invalid or will not be infringed by the applicant’s product. We have not received any such paragraph IV notifications nor are we aware of any with respect to products in which we have an economic interest or right to receive royalties, but if any competit</w:t>
      </w:r>
      <w:r>
        <w:rPr>
          <w:sz w:val="20"/>
          <w:szCs w:val="20"/>
        </w:rPr>
        <w:t>ors successfully challenge the patents related to these products, we and/or our collaboration partners and those commercializing products with respect to which we have an economic interest or right to receive royalties would face substantial competition. I</w:t>
      </w:r>
      <w:r>
        <w:rPr>
          <w:sz w:val="20"/>
          <w:szCs w:val="20"/>
        </w:rPr>
        <w:t>f we are not able to compete effectively against such future competition, our business will not grow, our financial condition and operations will suffer and the price of our securities could fall.</w:t>
      </w:r>
    </w:p>
    <w:p w:rsidR="00000000" w:rsidRDefault="00C96329">
      <w:pPr>
        <w:pStyle w:val="a3"/>
        <w:spacing w:before="0" w:beforeAutospacing="0" w:after="200" w:afterAutospacing="0"/>
        <w:ind w:firstLine="720"/>
        <w:divId w:val="143013865"/>
        <w:rPr>
          <w:sz w:val="20"/>
          <w:szCs w:val="20"/>
        </w:rPr>
      </w:pPr>
      <w:r>
        <w:rPr>
          <w:sz w:val="20"/>
          <w:szCs w:val="20"/>
        </w:rPr>
        <w:t>For additional discussion of the risk of generic competitio</w:t>
      </w:r>
      <w:r>
        <w:rPr>
          <w:sz w:val="20"/>
          <w:szCs w:val="20"/>
        </w:rPr>
        <w:t>n to YUPELRI, please see the following risk factor below “</w:t>
      </w:r>
      <w:r>
        <w:rPr>
          <w:i/>
          <w:iCs/>
          <w:sz w:val="20"/>
          <w:szCs w:val="20"/>
        </w:rPr>
        <w:t>If our efforts to protect the proprietary nature of the intellectual property related to our technologies are not adequate, we may not be able to compete effectively in our current or future markets</w:t>
      </w:r>
      <w:r>
        <w:rPr>
          <w:sz w:val="20"/>
          <w:szCs w:val="20"/>
        </w:rPr>
        <w:t>.”</w:t>
      </w:r>
    </w:p>
    <w:p w:rsidR="00000000" w:rsidRDefault="00C96329">
      <w:pPr>
        <w:pStyle w:val="a3"/>
        <w:spacing w:before="0" w:beforeAutospacing="0" w:after="120" w:afterAutospacing="0"/>
        <w:divId w:val="143013865"/>
        <w:rPr>
          <w:sz w:val="20"/>
          <w:szCs w:val="20"/>
        </w:rPr>
      </w:pPr>
      <w:r>
        <w:rPr>
          <w:b/>
          <w:bCs/>
          <w:i/>
          <w:iCs/>
          <w:sz w:val="20"/>
          <w:szCs w:val="20"/>
        </w:rPr>
        <w:t>We may be treated as a US corporation for US federal income tax purposes.</w:t>
      </w:r>
    </w:p>
    <w:p w:rsidR="00000000" w:rsidRDefault="00C96329">
      <w:pPr>
        <w:pStyle w:val="a3"/>
        <w:spacing w:before="0" w:beforeAutospacing="0" w:after="200" w:afterAutospacing="0"/>
        <w:ind w:firstLine="720"/>
        <w:divId w:val="143013865"/>
        <w:rPr>
          <w:sz w:val="20"/>
          <w:szCs w:val="20"/>
        </w:rPr>
      </w:pPr>
      <w:r>
        <w:rPr>
          <w:sz w:val="20"/>
          <w:szCs w:val="20"/>
        </w:rPr>
        <w:t>For US federal income tax purposes, a corporation generally is considered tax resident in the place of its incorporation. Theravance Biopharma is incorporated under Cayman Islands</w:t>
      </w:r>
      <w:r>
        <w:rPr>
          <w:sz w:val="20"/>
          <w:szCs w:val="20"/>
        </w:rPr>
        <w:t xml:space="preserve"> law and established tax residency in Ireland effective July 1, 2015. Therefore, it should be a non-US corporation under this general rule. However, Section 7874 of the Internal Revenue Code of 1986, as amended (the “Code”), contains rules that may result </w:t>
      </w:r>
      <w:r>
        <w:rPr>
          <w:sz w:val="20"/>
          <w:szCs w:val="20"/>
        </w:rPr>
        <w:t>in a foreign corporation being treated as a US corporation for US federal income tax purposes. The application of these rules is complex and there is little guidance regarding certain aspects of their application.</w:t>
      </w:r>
    </w:p>
    <w:p w:rsidR="00000000" w:rsidRDefault="00C96329">
      <w:pPr>
        <w:pStyle w:val="a3"/>
        <w:spacing w:before="0" w:beforeAutospacing="0" w:after="200" w:afterAutospacing="0"/>
        <w:ind w:firstLine="720"/>
        <w:divId w:val="143013865"/>
        <w:rPr>
          <w:sz w:val="20"/>
          <w:szCs w:val="20"/>
        </w:rPr>
      </w:pPr>
      <w:r>
        <w:rPr>
          <w:sz w:val="20"/>
          <w:szCs w:val="20"/>
        </w:rPr>
        <w:t>Under Section 7874 of the Code, a corporat</w:t>
      </w:r>
      <w:r>
        <w:rPr>
          <w:sz w:val="20"/>
          <w:szCs w:val="20"/>
        </w:rPr>
        <w:t>ion created or organized outside the US will be treated as a US corporation for US federal tax purposes if (i) the foreign corporation directly or indirectly acquires substantially all of the properties held directly or indirectly by a US corporation, (ii)</w:t>
      </w:r>
      <w:r>
        <w:rPr>
          <w:sz w:val="20"/>
          <w:szCs w:val="20"/>
        </w:rPr>
        <w:t> the former shareholders of the acquired US corporation hold at least 80% of the vote or value of the shares of the foreign acquiring corporation by reason of holding stock in the US acquired corporation, and (iii) the foreign corporation’s “expanded affil</w:t>
      </w:r>
      <w:r>
        <w:rPr>
          <w:sz w:val="20"/>
          <w:szCs w:val="20"/>
        </w:rPr>
        <w:t>iated group” does not have “substantial business activities” in the foreign corporation’s country of incorporation relative to its expanded affiliated group’s worldwide activities. For this purpose, “expanded affiliated group” generally means the foreign c</w:t>
      </w:r>
      <w:r>
        <w:rPr>
          <w:sz w:val="20"/>
          <w:szCs w:val="20"/>
        </w:rPr>
        <w:t>orporation and all subsidiaries in which the foreign corporation, directly or indirectly, owns more than 50% of the stock by vote and value, and “substantial business activities” generally means at least 25% of employees (by number and compensation), asset</w:t>
      </w:r>
      <w:r>
        <w:rPr>
          <w:sz w:val="20"/>
          <w:szCs w:val="20"/>
        </w:rPr>
        <w:t>s and gross income of our expanded affiliated group are based, located and derived, respectively, in the country of incorporation.</w:t>
      </w:r>
    </w:p>
    <w:p w:rsidR="00000000" w:rsidRDefault="00C96329">
      <w:pPr>
        <w:pStyle w:val="a3"/>
        <w:spacing w:before="0" w:beforeAutospacing="0" w:after="200" w:afterAutospacing="0"/>
        <w:ind w:firstLine="720"/>
        <w:divId w:val="143013865"/>
        <w:rPr>
          <w:sz w:val="20"/>
          <w:szCs w:val="20"/>
        </w:rPr>
      </w:pPr>
      <w:r>
        <w:rPr>
          <w:sz w:val="20"/>
          <w:szCs w:val="20"/>
        </w:rPr>
        <w:t xml:space="preserve">We do not expect to be treated as a US corporation under Section 7874 of the Code, because we do not believe that the assets </w:t>
      </w:r>
      <w:r>
        <w:rPr>
          <w:sz w:val="20"/>
          <w:szCs w:val="20"/>
        </w:rPr>
        <w:t>contributed to us by Innoviva constituted “substantially all” of the properties of Innoviva (as determined on both a gross and net fair market value basis). However, the Internal Revenue Service may disagree with our conclusion on this point and assert tha</w:t>
      </w:r>
      <w:r>
        <w:rPr>
          <w:sz w:val="20"/>
          <w:szCs w:val="20"/>
        </w:rPr>
        <w:t>t, in its view, the assets contributed to us by Innoviva did constitute “substantially all” of the properties of Innoviva. In addition, there could be legislative proposals to expand the scope of US corporate tax residence and there could be changes to Sec</w:t>
      </w:r>
      <w:r>
        <w:rPr>
          <w:sz w:val="20"/>
          <w:szCs w:val="20"/>
        </w:rPr>
        <w:t>tion 7874 of the Code or the Treasury Regulations promulgated thereunder that could apply retroactively and could result in Theravance Biopharma being treated as a US corporation.</w:t>
      </w:r>
    </w:p>
    <w:p w:rsidR="00000000" w:rsidRDefault="00C96329">
      <w:pPr>
        <w:pStyle w:val="a3"/>
        <w:spacing w:before="0" w:beforeAutospacing="0" w:after="200" w:afterAutospacing="0"/>
        <w:ind w:firstLine="720"/>
        <w:divId w:val="143013865"/>
        <w:rPr>
          <w:sz w:val="20"/>
          <w:szCs w:val="20"/>
        </w:rPr>
      </w:pPr>
      <w:r>
        <w:rPr>
          <w:sz w:val="20"/>
          <w:szCs w:val="20"/>
        </w:rPr>
        <w:t>If it were determined that we should be treated as a US corporation for US f</w:t>
      </w:r>
      <w:r>
        <w:rPr>
          <w:sz w:val="20"/>
          <w:szCs w:val="20"/>
        </w:rPr>
        <w:t>ederal income tax purposes, we could be liable for substantial additional US federal income tax on our post-Spin-Off taxable income. In addition, though we have no current plans to pay any dividends, payments of any dividends to non-US holders may be subje</w:t>
      </w:r>
      <w:r>
        <w:rPr>
          <w:sz w:val="20"/>
          <w:szCs w:val="20"/>
        </w:rPr>
        <w:t>ct to US withholding tax.</w:t>
      </w:r>
    </w:p>
    <w:p w:rsidR="00000000" w:rsidRDefault="00C96329">
      <w:pPr>
        <w:pStyle w:val="a3"/>
        <w:spacing w:before="360" w:beforeAutospacing="0" w:after="0" w:afterAutospacing="0"/>
        <w:jc w:val="center"/>
        <w:divId w:val="203250944"/>
        <w:rPr>
          <w:sz w:val="20"/>
          <w:szCs w:val="20"/>
        </w:rPr>
      </w:pPr>
      <w:r>
        <w:rPr>
          <w:sz w:val="20"/>
          <w:szCs w:val="20"/>
        </w:rPr>
        <w:t>55</w:t>
      </w:r>
    </w:p>
    <w:p w:rsidR="00000000" w:rsidRDefault="00C96329">
      <w:pPr>
        <w:pStyle w:val="a3"/>
        <w:spacing w:before="0" w:beforeAutospacing="0" w:after="600" w:afterAutospacing="0"/>
        <w:divId w:val="1477912144"/>
        <w:rPr>
          <w:sz w:val="20"/>
          <w:szCs w:val="20"/>
        </w:rPr>
      </w:pPr>
      <w:hyperlink w:anchor="TOC" w:history="1">
        <w:r>
          <w:rPr>
            <w:rStyle w:val="a4"/>
            <w:sz w:val="20"/>
            <w:szCs w:val="20"/>
          </w:rPr>
          <w:t>Table of Contents</w:t>
        </w:r>
      </w:hyperlink>
    </w:p>
    <w:p w:rsidR="00000000" w:rsidRDefault="00C96329">
      <w:pPr>
        <w:pStyle w:val="a3"/>
        <w:spacing w:before="0" w:beforeAutospacing="0" w:after="120" w:afterAutospacing="0"/>
        <w:divId w:val="1451704417"/>
        <w:rPr>
          <w:sz w:val="20"/>
          <w:szCs w:val="20"/>
        </w:rPr>
      </w:pPr>
      <w:r>
        <w:rPr>
          <w:b/>
          <w:bCs/>
          <w:i/>
          <w:iCs/>
          <w:sz w:val="20"/>
          <w:szCs w:val="20"/>
        </w:rPr>
        <w:t>Taxing authorities may challenge our structure and transfer pricing arrangements.</w:t>
      </w:r>
    </w:p>
    <w:p w:rsidR="00000000" w:rsidRDefault="00C96329">
      <w:pPr>
        <w:pStyle w:val="a3"/>
        <w:spacing w:before="0" w:beforeAutospacing="0" w:after="200" w:afterAutospacing="0"/>
        <w:ind w:firstLine="720"/>
        <w:divId w:val="1451704417"/>
        <w:rPr>
          <w:sz w:val="20"/>
          <w:szCs w:val="20"/>
        </w:rPr>
      </w:pPr>
      <w:r>
        <w:rPr>
          <w:sz w:val="20"/>
          <w:szCs w:val="20"/>
        </w:rPr>
        <w:t>We are incorporated in the Cayman Islands, maintain subsidiaries in the Cayman Islands, the US, the U</w:t>
      </w:r>
      <w:r>
        <w:rPr>
          <w:sz w:val="20"/>
          <w:szCs w:val="20"/>
        </w:rPr>
        <w:t>K and Ireland, and effective July 1, 2015, we migrated our tax residency from the Cayman Islands to Ireland. Due to economic and political conditions, various countries are actively considering changes to existing tax laws. We cannot predict the form or ti</w:t>
      </w:r>
      <w:r>
        <w:rPr>
          <w:sz w:val="20"/>
          <w:szCs w:val="20"/>
        </w:rPr>
        <w:t>ming of potential legislative changes that could have a material adverse impact on our results of operations. We are aware that Ireland has implemented certain tax law changes and is expected to implement additional tax law changes to comply with the Europ</w:t>
      </w:r>
      <w:r>
        <w:rPr>
          <w:sz w:val="20"/>
          <w:szCs w:val="20"/>
        </w:rPr>
        <w:t xml:space="preserve">ean Union Anti-Tax Avoidance Directives. These changes include the first ever Irish controlled foreign company (“CFC”) rules which came into effect on January 1, 2019. Due to provisions in </w:t>
      </w:r>
      <w:r>
        <w:rPr>
          <w:i/>
          <w:iCs/>
          <w:sz w:val="20"/>
          <w:szCs w:val="20"/>
        </w:rPr>
        <w:t>Finance Bill 2019</w:t>
      </w:r>
      <w:r>
        <w:rPr>
          <w:sz w:val="20"/>
          <w:szCs w:val="20"/>
        </w:rPr>
        <w:t>, Ireland will also implement certain transfer pri</w:t>
      </w:r>
      <w:r>
        <w:rPr>
          <w:sz w:val="20"/>
          <w:szCs w:val="20"/>
        </w:rPr>
        <w:t xml:space="preserve">cing rule changes, with effect from 2020. We are continuing to evaluate and monitor the applicability of the CFC rules published in </w:t>
      </w:r>
      <w:r>
        <w:rPr>
          <w:i/>
          <w:iCs/>
          <w:sz w:val="20"/>
          <w:szCs w:val="20"/>
        </w:rPr>
        <w:t>Finance Act 2018</w:t>
      </w:r>
      <w:r>
        <w:rPr>
          <w:sz w:val="20"/>
          <w:szCs w:val="20"/>
        </w:rPr>
        <w:t>, but our current assessment, based on the rules and guidance published to date, is that the rules are unlik</w:t>
      </w:r>
      <w:r>
        <w:rPr>
          <w:sz w:val="20"/>
          <w:szCs w:val="20"/>
        </w:rPr>
        <w:t>ely to have a material impact on our operations. Statutory language has been provided for the transfer pricing rule changes, and we believe that the transfer pricing rules are unlikely to have a material impact on our operations. New UK tax legislation was</w:t>
      </w:r>
      <w:r>
        <w:rPr>
          <w:sz w:val="20"/>
          <w:szCs w:val="20"/>
        </w:rPr>
        <w:t xml:space="preserve"> introduced by the </w:t>
      </w:r>
      <w:r>
        <w:rPr>
          <w:i/>
          <w:iCs/>
          <w:sz w:val="20"/>
          <w:szCs w:val="20"/>
        </w:rPr>
        <w:t>Finance Act 2019</w:t>
      </w:r>
      <w:r>
        <w:rPr>
          <w:sz w:val="20"/>
          <w:szCs w:val="20"/>
        </w:rPr>
        <w:t xml:space="preserve"> (“FA 2019”) that imposes a tax related to offshore receipts in respect of intangible property held in low tax jurisdictions (“ORIP”) and became effective in April 2019. FA 2019 also included a power for amendments to the</w:t>
      </w:r>
      <w:r>
        <w:rPr>
          <w:sz w:val="20"/>
          <w:szCs w:val="20"/>
        </w:rPr>
        <w:t xml:space="preserve"> ORIP legislation to be made by regulation by December 31, 2019. On October 15, 2019, the UK published further guidance intended to facilitate the administration of the ORIP regime. However, a number of issues and areas of uncertainty remain. We have revie</w:t>
      </w:r>
      <w:r>
        <w:rPr>
          <w:sz w:val="20"/>
          <w:szCs w:val="20"/>
        </w:rPr>
        <w:t xml:space="preserve">wed the original legislation in conjunction with the guidance and believe that the ORIP regime may apply to certain cash receipts. Based on this analysis, we believe that the ORIP charge on UK-derived cash receipts through 2020 is not material. </w:t>
      </w:r>
    </w:p>
    <w:p w:rsidR="00000000" w:rsidRDefault="00C96329">
      <w:pPr>
        <w:pStyle w:val="a3"/>
        <w:spacing w:before="0" w:beforeAutospacing="0" w:after="200" w:afterAutospacing="0"/>
        <w:ind w:firstLine="720"/>
        <w:divId w:val="1451704417"/>
        <w:rPr>
          <w:rFonts w:ascii="Calibri" w:hAnsi="Calibri" w:cs="Calibri"/>
          <w:sz w:val="20"/>
          <w:szCs w:val="20"/>
        </w:rPr>
      </w:pPr>
      <w:r>
        <w:rPr>
          <w:sz w:val="20"/>
          <w:szCs w:val="20"/>
        </w:rPr>
        <w:t>In April 2</w:t>
      </w:r>
      <w:r>
        <w:rPr>
          <w:sz w:val="20"/>
          <w:szCs w:val="20"/>
        </w:rPr>
        <w:t>020, we became aware of a withholding tax regulation that could be interpreted to apply to certain of our previous intra-group transactions. We are evaluating whether the current interpretation of this regulation could apply to our facts and circumstances,</w:t>
      </w:r>
      <w:r>
        <w:rPr>
          <w:sz w:val="20"/>
          <w:szCs w:val="20"/>
        </w:rPr>
        <w:t xml:space="preserve"> and we may establish a reserve related to this matter upon conclusion of our analysis during the second quarter of 2020. Based on our initial analysis, we do not believe that a reserve would be material. However, additional guidance on this regulation cou</w:t>
      </w:r>
      <w:r>
        <w:rPr>
          <w:sz w:val="20"/>
          <w:szCs w:val="20"/>
        </w:rPr>
        <w:t>ld change this analysis and consequently impact our condensed consolidated financial statements.</w:t>
      </w:r>
    </w:p>
    <w:p w:rsidR="00000000" w:rsidRDefault="00C96329">
      <w:pPr>
        <w:pStyle w:val="a3"/>
        <w:spacing w:before="0" w:beforeAutospacing="0" w:after="200" w:afterAutospacing="0"/>
        <w:ind w:firstLine="720"/>
        <w:divId w:val="1451704417"/>
        <w:rPr>
          <w:sz w:val="20"/>
          <w:szCs w:val="20"/>
        </w:rPr>
      </w:pPr>
      <w:r>
        <w:rPr>
          <w:sz w:val="20"/>
          <w:szCs w:val="20"/>
        </w:rPr>
        <w:t>In addition, significant judgment is required in determining our worldwide provision for income taxes. Various factors may have favorable or unfavorable effect</w:t>
      </w:r>
      <w:r>
        <w:rPr>
          <w:sz w:val="20"/>
          <w:szCs w:val="20"/>
        </w:rPr>
        <w:t>s on our income tax rate including, but not limited to the performance of certain functions and ownership of certain assets in tax-efficient jurisdictions such as the Cayman Islands and Ireland, together with intra-group transfer pricing agreements. Taxing</w:t>
      </w:r>
      <w:r>
        <w:rPr>
          <w:sz w:val="20"/>
          <w:szCs w:val="20"/>
        </w:rPr>
        <w:t xml:space="preserve"> authorities may challenge our structure and transfer pricing arrangements through an audit or lawsuit. Responding to or defending such a challenge could be expensive and consume time and other resources, and divert management’s time and focus from operati</w:t>
      </w:r>
      <w:r>
        <w:rPr>
          <w:sz w:val="20"/>
          <w:szCs w:val="20"/>
        </w:rPr>
        <w:t>ng our business. We cannot predict whether taxing authorities will conduct an audit or file a lawsuit challenging this structure, the cost involved in responding to any such audit or lawsuit, or the outcome. We may be required to pay taxes for prior period</w:t>
      </w:r>
      <w:r>
        <w:rPr>
          <w:sz w:val="20"/>
          <w:szCs w:val="20"/>
        </w:rPr>
        <w:t>s, interest, fines or penalties, and may be obligated to pay increased taxes in the future which could result in reduced cash flows and have a material adverse effect on our business, financial condition and growth prospects.</w:t>
      </w:r>
    </w:p>
    <w:p w:rsidR="00000000" w:rsidRDefault="00C96329">
      <w:pPr>
        <w:pStyle w:val="a3"/>
        <w:spacing w:before="0" w:beforeAutospacing="0" w:after="120" w:afterAutospacing="0"/>
        <w:divId w:val="1451704417"/>
        <w:rPr>
          <w:sz w:val="20"/>
          <w:szCs w:val="20"/>
        </w:rPr>
      </w:pPr>
      <w:r>
        <w:rPr>
          <w:b/>
          <w:bCs/>
          <w:i/>
          <w:iCs/>
          <w:sz w:val="20"/>
          <w:szCs w:val="20"/>
        </w:rPr>
        <w:t>We were a passive foreign inve</w:t>
      </w:r>
      <w:r>
        <w:rPr>
          <w:b/>
          <w:bCs/>
          <w:i/>
          <w:iCs/>
          <w:sz w:val="20"/>
          <w:szCs w:val="20"/>
        </w:rPr>
        <w:t>stment company, or “PFIC,” for 2014, but we were not a PFIC from 2015 through 2019, and we do not expect to be a PFIC for the foreseeable future.</w:t>
      </w:r>
    </w:p>
    <w:p w:rsidR="00000000" w:rsidRDefault="00C96329">
      <w:pPr>
        <w:pStyle w:val="a3"/>
        <w:spacing w:before="0" w:beforeAutospacing="0" w:after="240" w:afterAutospacing="0"/>
        <w:ind w:firstLine="720"/>
        <w:divId w:val="1451704417"/>
        <w:rPr>
          <w:sz w:val="20"/>
          <w:szCs w:val="20"/>
        </w:rPr>
      </w:pPr>
      <w:r>
        <w:rPr>
          <w:sz w:val="20"/>
          <w:szCs w:val="20"/>
        </w:rPr>
        <w:t xml:space="preserve">For US federal income tax purposes, we generally would be classified as a PFIC for any taxable year if either </w:t>
      </w:r>
      <w:r>
        <w:rPr>
          <w:sz w:val="20"/>
          <w:szCs w:val="20"/>
        </w:rPr>
        <w:t>(i) 75% or more of our gross income (including gross income of certain 25% or more owned corporate subsidiaries) is “passive income” (as defined for such purposes) or (ii) the average percentage of our assets (including the assets of certain 25% or more ow</w:t>
      </w:r>
      <w:r>
        <w:rPr>
          <w:sz w:val="20"/>
          <w:szCs w:val="20"/>
        </w:rPr>
        <w:t>ned corporate subsidiaries) that produce passive income or that are held for the production of passive income is at least 50%. In addition, whether our Company will be a PFIC for any taxable year depends on our assets and income over the course of each suc</w:t>
      </w:r>
      <w:r>
        <w:rPr>
          <w:sz w:val="20"/>
          <w:szCs w:val="20"/>
        </w:rPr>
        <w:t>h taxable year and, as a result, cannot be predicted with certainty until after the end of the year.</w:t>
      </w:r>
    </w:p>
    <w:p w:rsidR="00000000" w:rsidRDefault="00C96329">
      <w:pPr>
        <w:pStyle w:val="a3"/>
        <w:spacing w:before="0" w:beforeAutospacing="0" w:after="0" w:afterAutospacing="0"/>
        <w:ind w:firstLine="720"/>
        <w:divId w:val="1451704417"/>
        <w:rPr>
          <w:sz w:val="20"/>
          <w:szCs w:val="20"/>
        </w:rPr>
      </w:pPr>
      <w:r>
        <w:rPr>
          <w:sz w:val="20"/>
          <w:szCs w:val="20"/>
        </w:rPr>
        <w:t>Based upon our assets and income during the course of 2014, we believe that our Company and one of our Company’s wholly-owned subsidiaries, Theravance Biop</w:t>
      </w:r>
      <w:r>
        <w:rPr>
          <w:sz w:val="20"/>
          <w:szCs w:val="20"/>
        </w:rPr>
        <w:t xml:space="preserve">harma R&amp;D, Inc. was a PFIC for 2014. Based upon our assets and income from 2015 through 2019, we do not believe that our Company is a PFIC since 2015. We do not expect to be a PFIC for the foreseeable future based on our current business plans and current </w:t>
      </w:r>
      <w:r>
        <w:rPr>
          <w:sz w:val="20"/>
          <w:szCs w:val="20"/>
        </w:rPr>
        <w:t>business model. For any taxable year (or portion thereof) in which our Company is a PFIC that is included in the holding period of a US holder, the US holder is generally subject to additional US federal income taxes plus an interest charge with respect to</w:t>
      </w:r>
      <w:r>
        <w:rPr>
          <w:sz w:val="20"/>
          <w:szCs w:val="20"/>
        </w:rPr>
        <w:t xml:space="preserve"> certain distributions from Theravance Biopharma or gain recognized on a sale of Theravance Biopharma shares. Similar rules would apply with respect to </w:t>
      </w:r>
    </w:p>
    <w:p w:rsidR="00000000" w:rsidRDefault="00C96329">
      <w:pPr>
        <w:pStyle w:val="a3"/>
        <w:spacing w:before="360" w:beforeAutospacing="0" w:after="0" w:afterAutospacing="0"/>
        <w:jc w:val="center"/>
        <w:divId w:val="1741558711"/>
        <w:rPr>
          <w:sz w:val="20"/>
          <w:szCs w:val="20"/>
        </w:rPr>
      </w:pPr>
      <w:r>
        <w:rPr>
          <w:sz w:val="20"/>
          <w:szCs w:val="20"/>
        </w:rPr>
        <w:t>56</w:t>
      </w:r>
    </w:p>
    <w:p w:rsidR="00000000" w:rsidRDefault="00C96329">
      <w:pPr>
        <w:pStyle w:val="a3"/>
        <w:spacing w:before="0" w:beforeAutospacing="0" w:after="600" w:afterAutospacing="0"/>
        <w:divId w:val="1083841780"/>
        <w:rPr>
          <w:sz w:val="20"/>
          <w:szCs w:val="20"/>
        </w:rPr>
      </w:pPr>
      <w:hyperlink w:anchor="TOC" w:history="1">
        <w:r>
          <w:rPr>
            <w:rStyle w:val="a4"/>
            <w:sz w:val="20"/>
            <w:szCs w:val="20"/>
          </w:rPr>
          <w:t>Table of Contents</w:t>
        </w:r>
      </w:hyperlink>
    </w:p>
    <w:p w:rsidR="00000000" w:rsidRDefault="00C96329">
      <w:pPr>
        <w:pStyle w:val="a3"/>
        <w:spacing w:before="0" w:beforeAutospacing="0" w:after="200" w:afterAutospacing="0"/>
        <w:divId w:val="1034039131"/>
        <w:rPr>
          <w:sz w:val="20"/>
          <w:szCs w:val="20"/>
        </w:rPr>
      </w:pPr>
      <w:r>
        <w:rPr>
          <w:sz w:val="20"/>
          <w:szCs w:val="20"/>
        </w:rPr>
        <w:t xml:space="preserve">distributions from or gain recognized on an indirect sale of Theravance Biopharma Ireland Limited. US holders of our ordinary shares may have filed an election with respect to Company shares held at any time during 2014 to be treated as owning an interest </w:t>
      </w:r>
      <w:r>
        <w:rPr>
          <w:sz w:val="20"/>
          <w:szCs w:val="20"/>
        </w:rPr>
        <w:t>in a “qualified electing fund” (“QEF”) or to “mark to market” their ordinary shares to avoid the otherwise applicable interest charge consequences of PFIC treatment with respect to our ordinary shares. A foreign corporation will not be treated as a QEF for</w:t>
      </w:r>
      <w:r>
        <w:rPr>
          <w:sz w:val="20"/>
          <w:szCs w:val="20"/>
        </w:rPr>
        <w:t xml:space="preserve"> any taxable year in which such foreign corporation is not treated as a PFIC. QEF and mark to market elections generally apply to the taxable year for which the election is made and all subsequent taxable years unless the election is revoked with consent o</w:t>
      </w:r>
      <w:r>
        <w:rPr>
          <w:sz w:val="20"/>
          <w:szCs w:val="20"/>
        </w:rPr>
        <w:t>f the Secretary of Treasury. US holders of our ordinary shares should consult their tax advisers regarding the tax reporting implications with respect to any QEF and mark to market elections made with respect to our Company and with respect to their indire</w:t>
      </w:r>
      <w:r>
        <w:rPr>
          <w:sz w:val="20"/>
          <w:szCs w:val="20"/>
        </w:rPr>
        <w:t>ct interests in Theravance Biopharma R&amp;D, Inc.</w:t>
      </w:r>
    </w:p>
    <w:p w:rsidR="00000000" w:rsidRDefault="00C96329">
      <w:pPr>
        <w:pStyle w:val="a3"/>
        <w:spacing w:before="0" w:beforeAutospacing="0" w:after="120" w:afterAutospacing="0"/>
        <w:divId w:val="1034039131"/>
        <w:rPr>
          <w:sz w:val="20"/>
          <w:szCs w:val="20"/>
        </w:rPr>
      </w:pPr>
      <w:r>
        <w:rPr>
          <w:b/>
          <w:bCs/>
          <w:i/>
          <w:iCs/>
          <w:sz w:val="20"/>
          <w:szCs w:val="20"/>
        </w:rPr>
        <w:t>If we are unable to maintain effective internal controls, our business, financial position and results of operations could be adversely affected.</w:t>
      </w:r>
    </w:p>
    <w:p w:rsidR="00000000" w:rsidRDefault="00C96329">
      <w:pPr>
        <w:pStyle w:val="a3"/>
        <w:spacing w:before="0" w:beforeAutospacing="0" w:after="200" w:afterAutospacing="0"/>
        <w:ind w:firstLine="720"/>
        <w:divId w:val="1034039131"/>
        <w:rPr>
          <w:sz w:val="20"/>
          <w:szCs w:val="20"/>
        </w:rPr>
      </w:pPr>
      <w:r>
        <w:rPr>
          <w:sz w:val="20"/>
          <w:szCs w:val="20"/>
        </w:rPr>
        <w:t>If we are unable to maintain effective internal controls, our b</w:t>
      </w:r>
      <w:r>
        <w:rPr>
          <w:sz w:val="20"/>
          <w:szCs w:val="20"/>
        </w:rPr>
        <w:t>usiness, financial position and results of operations could be adversely affected. We are subject to the reporting and other obligations under the Exchange Act, including the requirements of Section 404 of the Sarbanes-Oxley Act of 2002, which require annu</w:t>
      </w:r>
      <w:r>
        <w:rPr>
          <w:sz w:val="20"/>
          <w:szCs w:val="20"/>
        </w:rPr>
        <w:t>al management assessments of the effectiveness of our internal control over financial reporting. Our management is responsible for establishing and maintaining adequate internal control over financial reporting as defined in Rules 13a-15(f) under the Excha</w:t>
      </w:r>
      <w:r>
        <w:rPr>
          <w:sz w:val="20"/>
          <w:szCs w:val="20"/>
        </w:rPr>
        <w:t>nge Act. Our internal control over financial reporting is a process designed to provide reasonable assurance regarding the reliability of financial reporting and the preparation of financial statements for external purposes in accordance with accounting pr</w:t>
      </w:r>
      <w:r>
        <w:rPr>
          <w:sz w:val="20"/>
          <w:szCs w:val="20"/>
        </w:rPr>
        <w:t>inciples generally accepted in the US. Any failure to achieve and maintain effective internal controls could have an adverse effect on our business, financial position and results of operations. In addition, our independent registered public accounting fir</w:t>
      </w:r>
      <w:r>
        <w:rPr>
          <w:sz w:val="20"/>
          <w:szCs w:val="20"/>
        </w:rPr>
        <w:t>m is required to attest to the effectiveness of our internal control over financial reporting annually. If our independent registered public accounting firm is unable to attest to the effectiveness of our internal control over financial reporting, investor</w:t>
      </w:r>
      <w:r>
        <w:rPr>
          <w:sz w:val="20"/>
          <w:szCs w:val="20"/>
        </w:rPr>
        <w:t xml:space="preserve"> confidence in our reported results will be harmed and the price of our securities may fall. These reporting and other obligations place significant demands on our management and administrative and operational resources, including accounting resources.</w:t>
      </w:r>
    </w:p>
    <w:p w:rsidR="00000000" w:rsidRDefault="00C96329">
      <w:pPr>
        <w:pStyle w:val="a3"/>
        <w:spacing w:before="0" w:beforeAutospacing="0" w:after="120" w:afterAutospacing="0"/>
        <w:divId w:val="1034039131"/>
        <w:rPr>
          <w:sz w:val="20"/>
          <w:szCs w:val="20"/>
        </w:rPr>
      </w:pPr>
      <w:r>
        <w:rPr>
          <w:b/>
          <w:bCs/>
          <w:i/>
          <w:iCs/>
          <w:sz w:val="20"/>
          <w:szCs w:val="20"/>
        </w:rPr>
        <w:t>Agr</w:t>
      </w:r>
      <w:r>
        <w:rPr>
          <w:b/>
          <w:bCs/>
          <w:i/>
          <w:iCs/>
          <w:sz w:val="20"/>
          <w:szCs w:val="20"/>
        </w:rPr>
        <w:t>eements entered into with or for the benefit of GSK in connection with the Spin-Off may significantly restrict our business and affairs.</w:t>
      </w:r>
    </w:p>
    <w:p w:rsidR="00000000" w:rsidRDefault="00C96329">
      <w:pPr>
        <w:pStyle w:val="a3"/>
        <w:spacing w:before="0" w:beforeAutospacing="0" w:after="200" w:afterAutospacing="0"/>
        <w:ind w:firstLine="720"/>
        <w:divId w:val="1034039131"/>
        <w:rPr>
          <w:sz w:val="20"/>
          <w:szCs w:val="20"/>
        </w:rPr>
      </w:pPr>
      <w:r>
        <w:rPr>
          <w:sz w:val="20"/>
          <w:szCs w:val="20"/>
        </w:rPr>
        <w:t>On March 3, 2014, in connection with the Spin-Off, we, Innoviva and GSK entered into a number of agreements that may si</w:t>
      </w:r>
      <w:r>
        <w:rPr>
          <w:sz w:val="20"/>
          <w:szCs w:val="20"/>
        </w:rPr>
        <w:t>gnificantly restrict our business and affairs. In particular, we, Innoviva and GSK entered into the Master Agreement which, among other things, requires GSK’s consent to make any changes to (i) a Separation and Distribution Agreement and ancillary agreemen</w:t>
      </w:r>
      <w:r>
        <w:rPr>
          <w:sz w:val="20"/>
          <w:szCs w:val="20"/>
        </w:rPr>
        <w:t>ts that would, individually or in the aggregate, reasonably be expected to adversely affect GSK in any material respect or (ii) the TRC LLC Agreement, which consent is not to be unreasonably withheld, conditioned or delayed, provided that GSK may withhold,</w:t>
      </w:r>
      <w:r>
        <w:rPr>
          <w:sz w:val="20"/>
          <w:szCs w:val="20"/>
        </w:rPr>
        <w:t xml:space="preserve"> condition or delay such consent in its sole discretion with respect to certain sections of the TRC LLC Agreement and any changes to the governance structure of TRC, the confidentiality restrictions, the consent rights, and the transfer restrictions in the</w:t>
      </w:r>
      <w:r>
        <w:rPr>
          <w:sz w:val="20"/>
          <w:szCs w:val="20"/>
        </w:rPr>
        <w:t xml:space="preserve"> TRC LLC Agreement. We and GSK also entered into (i) the Governance Agreement that expired on December 31, 2017, (ii) a registration rights agreement that gives GSK certain registration rights with respect to our ordinary shares held by GSK and (iii) an ex</w:t>
      </w:r>
      <w:r>
        <w:rPr>
          <w:sz w:val="20"/>
          <w:szCs w:val="20"/>
        </w:rPr>
        <w:t>tension agreement that extends to us certain restrictive covenants similar to those applicable to Innoviva under the GSK Agreements. There can be no assurance that these restrictions will not materially harm our business, particularly given that GSK’s inte</w:t>
      </w:r>
      <w:r>
        <w:rPr>
          <w:sz w:val="20"/>
          <w:szCs w:val="20"/>
        </w:rPr>
        <w:t>rests may not be aligned with the interests of our business or our other shareholders.</w:t>
      </w:r>
    </w:p>
    <w:p w:rsidR="00000000" w:rsidRDefault="00C96329">
      <w:pPr>
        <w:pStyle w:val="a3"/>
        <w:spacing w:before="0" w:beforeAutospacing="0" w:after="120" w:afterAutospacing="0"/>
        <w:divId w:val="1034039131"/>
        <w:rPr>
          <w:sz w:val="20"/>
          <w:szCs w:val="20"/>
        </w:rPr>
      </w:pPr>
      <w:r>
        <w:rPr>
          <w:b/>
          <w:bCs/>
          <w:i/>
          <w:iCs/>
          <w:sz w:val="20"/>
          <w:szCs w:val="20"/>
        </w:rPr>
        <w:t>Certain of our directors and officers may have actual or potential conflicts of interest because of their equity ownership in Innoviva, which actual or potential conflic</w:t>
      </w:r>
      <w:r>
        <w:rPr>
          <w:b/>
          <w:bCs/>
          <w:i/>
          <w:iCs/>
          <w:sz w:val="20"/>
          <w:szCs w:val="20"/>
        </w:rPr>
        <w:t>ts may harm our business, prospects and financial condition and result in the diversion of corporate opportunities to Innoviva.</w:t>
      </w:r>
    </w:p>
    <w:p w:rsidR="00000000" w:rsidRDefault="00C96329">
      <w:pPr>
        <w:pStyle w:val="a3"/>
        <w:spacing w:before="0" w:beforeAutospacing="0" w:after="0" w:afterAutospacing="0"/>
        <w:ind w:firstLine="720"/>
        <w:divId w:val="1034039131"/>
        <w:rPr>
          <w:sz w:val="20"/>
          <w:szCs w:val="20"/>
        </w:rPr>
      </w:pPr>
      <w:r>
        <w:rPr>
          <w:sz w:val="20"/>
          <w:szCs w:val="20"/>
        </w:rPr>
        <w:t>Certain of our directors and officers hold shares of Innoviva’s common stock or rights to acquire such shares, and these holding</w:t>
      </w:r>
      <w:r>
        <w:rPr>
          <w:sz w:val="20"/>
          <w:szCs w:val="20"/>
        </w:rPr>
        <w:t xml:space="preserve">s may be significant for some of these individuals compared to their total assets. This ownership of Innoviva common stock by certain of our directors and officers may create, or may create the appearance of, conflicts of interest when these directors and </w:t>
      </w:r>
      <w:r>
        <w:rPr>
          <w:sz w:val="20"/>
          <w:szCs w:val="20"/>
        </w:rPr>
        <w:t>officers are faced with decisions that could have different implications for Innoviva and for us. For example, potential or actual conflicts could arise relating to: our relationship with Innoviva, including Innoviva’s and our respective rights and obligat</w:t>
      </w:r>
      <w:r>
        <w:rPr>
          <w:sz w:val="20"/>
          <w:szCs w:val="20"/>
        </w:rPr>
        <w:t>ions under agreements entered into in connection with the Spin-Off; Innoviva’s management of TRC, particularly given that we and Innoviva have different economic interests in TRC; and corporate opportunities that may be available to both companies in the f</w:t>
      </w:r>
      <w:r>
        <w:rPr>
          <w:sz w:val="20"/>
          <w:szCs w:val="20"/>
        </w:rPr>
        <w:t xml:space="preserve">uture. Although we and Innoviva have implemented policies and procedures to </w:t>
      </w:r>
    </w:p>
    <w:p w:rsidR="00000000" w:rsidRDefault="00C96329">
      <w:pPr>
        <w:pStyle w:val="a3"/>
        <w:spacing w:before="360" w:beforeAutospacing="0" w:after="0" w:afterAutospacing="0"/>
        <w:jc w:val="center"/>
        <w:divId w:val="1497501151"/>
        <w:rPr>
          <w:sz w:val="20"/>
          <w:szCs w:val="20"/>
        </w:rPr>
      </w:pPr>
      <w:r>
        <w:rPr>
          <w:sz w:val="20"/>
          <w:szCs w:val="20"/>
        </w:rPr>
        <w:t>57</w:t>
      </w:r>
    </w:p>
    <w:p w:rsidR="00000000" w:rsidRDefault="00C96329">
      <w:pPr>
        <w:pStyle w:val="a3"/>
        <w:spacing w:before="0" w:beforeAutospacing="0" w:after="600" w:afterAutospacing="0"/>
        <w:divId w:val="463934431"/>
        <w:rPr>
          <w:sz w:val="20"/>
          <w:szCs w:val="20"/>
        </w:rPr>
      </w:pPr>
      <w:hyperlink w:anchor="TOC" w:history="1">
        <w:r>
          <w:rPr>
            <w:rStyle w:val="a4"/>
            <w:sz w:val="20"/>
            <w:szCs w:val="20"/>
          </w:rPr>
          <w:t>Table of Contents</w:t>
        </w:r>
      </w:hyperlink>
    </w:p>
    <w:p w:rsidR="00000000" w:rsidRDefault="00C96329">
      <w:pPr>
        <w:pStyle w:val="a3"/>
        <w:spacing w:before="0" w:beforeAutospacing="0" w:after="200" w:afterAutospacing="0"/>
        <w:divId w:val="1324121660"/>
        <w:rPr>
          <w:sz w:val="20"/>
          <w:szCs w:val="20"/>
        </w:rPr>
      </w:pPr>
      <w:r>
        <w:rPr>
          <w:sz w:val="20"/>
          <w:szCs w:val="20"/>
        </w:rPr>
        <w:t>identify and properly address such potential and actual conflicts of interest, there can be no assurance that, when such conflicts a</w:t>
      </w:r>
      <w:r>
        <w:rPr>
          <w:sz w:val="20"/>
          <w:szCs w:val="20"/>
        </w:rPr>
        <w:t>re resolved in accordance with applicable laws, such conflicts of interest will not harm our business, prospects and financial condition and result in the diversion of corporate opportunities to Innoviva.</w:t>
      </w:r>
    </w:p>
    <w:p w:rsidR="00000000" w:rsidRDefault="00C96329">
      <w:pPr>
        <w:pStyle w:val="a3"/>
        <w:spacing w:before="0" w:beforeAutospacing="0" w:after="120" w:afterAutospacing="0"/>
        <w:divId w:val="1324121660"/>
        <w:rPr>
          <w:sz w:val="20"/>
          <w:szCs w:val="20"/>
        </w:rPr>
      </w:pPr>
      <w:r>
        <w:rPr>
          <w:b/>
          <w:bCs/>
          <w:i/>
          <w:iCs/>
          <w:sz w:val="20"/>
          <w:szCs w:val="20"/>
        </w:rPr>
        <w:t>If we are required to indemnify Innoviva or Cumberl</w:t>
      </w:r>
      <w:r>
        <w:rPr>
          <w:b/>
          <w:bCs/>
          <w:i/>
          <w:iCs/>
          <w:sz w:val="20"/>
          <w:szCs w:val="20"/>
        </w:rPr>
        <w:t>and, or if we are not able to enforce our indemnification rights against Innoviva or Cumberland, our business prospects and financial condition may be harmed.</w:t>
      </w:r>
    </w:p>
    <w:p w:rsidR="00000000" w:rsidRDefault="00C96329">
      <w:pPr>
        <w:pStyle w:val="a3"/>
        <w:spacing w:before="0" w:beforeAutospacing="0" w:after="200" w:afterAutospacing="0"/>
        <w:ind w:firstLine="720"/>
        <w:divId w:val="1324121660"/>
        <w:rPr>
          <w:sz w:val="20"/>
          <w:szCs w:val="20"/>
        </w:rPr>
      </w:pPr>
      <w:r>
        <w:rPr>
          <w:sz w:val="20"/>
          <w:szCs w:val="20"/>
        </w:rPr>
        <w:t>We agreed to indemnify Innoviva from and after the Spin-Off with respect to (i) all debts, liabil</w:t>
      </w:r>
      <w:r>
        <w:rPr>
          <w:sz w:val="20"/>
          <w:szCs w:val="20"/>
        </w:rPr>
        <w:t>ities and obligations transferred to us in connection with the Spin-Off (including our failure to pay, perform or otherwise promptly discharge any such debts, liabilities or obligations after the Spin-Off), (ii) any misstatement or omission of a material f</w:t>
      </w:r>
      <w:r>
        <w:rPr>
          <w:sz w:val="20"/>
          <w:szCs w:val="20"/>
        </w:rPr>
        <w:t>act resulting in a misleading statement in our Information Statement distributed to Innoviva stockholders in connection with the Spin-Off and (iii) any breach by us of certain agreements entered into with Innoviva in connection with the Spin-Off (namely, t</w:t>
      </w:r>
      <w:r>
        <w:rPr>
          <w:sz w:val="20"/>
          <w:szCs w:val="20"/>
        </w:rPr>
        <w:t>he Separation and Distribution Agreement, a Transition Services Agreement, an Employee Matters Agreement, a Tax Matters Agreement, and a Facility Sublease Agreement). We are not aware of any existing indemnification obligations at this time, but any such i</w:t>
      </w:r>
      <w:r>
        <w:rPr>
          <w:sz w:val="20"/>
          <w:szCs w:val="20"/>
        </w:rPr>
        <w:t>ndemnification obligations that may arise could be significant. Under the terms of the Separation and Distribution Agreement, Innoviva agreed to indemnify us from and after the Spin-Off with respect to (i) all debts, liabilities and obligations retained by</w:t>
      </w:r>
      <w:r>
        <w:rPr>
          <w:sz w:val="20"/>
          <w:szCs w:val="20"/>
        </w:rPr>
        <w:t xml:space="preserve"> Innoviva after the Spin-Off (including its failure to pay, perform or otherwise promptly discharge any such debts, liabilities or obligations after the Spin-Off) and (ii) any breach by Innoviva of the Separation and Distribution Agreement, the Transition </w:t>
      </w:r>
      <w:r>
        <w:rPr>
          <w:sz w:val="20"/>
          <w:szCs w:val="20"/>
        </w:rPr>
        <w:t>Services Agreement, the Employee Matters Agreement, the Tax Matters Agreement, and the Facility Sublease Agreement. Our and Innoviva’s ability to satisfy these indemnities, if called upon to do so, will depend upon our and Innoviva’s future financial stren</w:t>
      </w:r>
      <w:r>
        <w:rPr>
          <w:sz w:val="20"/>
          <w:szCs w:val="20"/>
        </w:rPr>
        <w:t>gth. If we are required to indemnify Innoviva, or if we are not able to enforce our indemnification rights against Innoviva, our business prospects and financial condition may be harmed.</w:t>
      </w:r>
    </w:p>
    <w:p w:rsidR="00000000" w:rsidRDefault="00C96329">
      <w:pPr>
        <w:pStyle w:val="a3"/>
        <w:spacing w:before="0" w:beforeAutospacing="0" w:after="200" w:afterAutospacing="0"/>
        <w:ind w:firstLine="720"/>
        <w:divId w:val="1324121660"/>
        <w:rPr>
          <w:sz w:val="20"/>
          <w:szCs w:val="20"/>
        </w:rPr>
      </w:pPr>
      <w:r>
        <w:rPr>
          <w:sz w:val="20"/>
          <w:szCs w:val="20"/>
        </w:rPr>
        <w:t>In addition, the agreement relating to the sale of VIBATIV to Cumberl</w:t>
      </w:r>
      <w:r>
        <w:rPr>
          <w:sz w:val="20"/>
          <w:szCs w:val="20"/>
        </w:rPr>
        <w:t>and contains indemnification obligations of both us and Cumberland. If we are required to indemnify Cumberland or if we are unable to enforce our indemnification rights against Cumberland for any reason, our business and financial condition may be harmed.</w:t>
      </w:r>
    </w:p>
    <w:p w:rsidR="00000000" w:rsidRDefault="00C96329">
      <w:pPr>
        <w:pStyle w:val="a3"/>
        <w:spacing w:before="0" w:beforeAutospacing="0" w:after="120" w:afterAutospacing="0"/>
        <w:ind w:hanging="202"/>
        <w:divId w:val="1324121660"/>
        <w:rPr>
          <w:sz w:val="20"/>
          <w:szCs w:val="20"/>
        </w:rPr>
      </w:pPr>
      <w:r>
        <w:rPr>
          <w:b/>
          <w:bCs/>
          <w:sz w:val="20"/>
          <w:szCs w:val="20"/>
        </w:rPr>
        <w:t xml:space="preserve">RISKS RELATED TO LEGAL AND REGULATORY UNCERTAINTY </w:t>
      </w:r>
    </w:p>
    <w:p w:rsidR="00000000" w:rsidRDefault="00C96329">
      <w:pPr>
        <w:pStyle w:val="a3"/>
        <w:spacing w:before="0" w:beforeAutospacing="0" w:after="120" w:afterAutospacing="0"/>
        <w:divId w:val="1324121660"/>
        <w:rPr>
          <w:sz w:val="20"/>
          <w:szCs w:val="20"/>
        </w:rPr>
      </w:pPr>
      <w:r>
        <w:rPr>
          <w:b/>
          <w:bCs/>
          <w:i/>
          <w:iCs/>
          <w:sz w:val="20"/>
          <w:szCs w:val="20"/>
        </w:rPr>
        <w:t>If our efforts to protect the proprietary nature of the intellectual property related to our technologies are not adequate, we may not be able to compete effectively in our current or future markets.</w:t>
      </w:r>
    </w:p>
    <w:p w:rsidR="00000000" w:rsidRDefault="00C96329">
      <w:pPr>
        <w:pStyle w:val="a3"/>
        <w:spacing w:before="0" w:beforeAutospacing="0" w:after="200" w:afterAutospacing="0"/>
        <w:ind w:firstLine="720"/>
        <w:divId w:val="1324121660"/>
        <w:rPr>
          <w:sz w:val="20"/>
          <w:szCs w:val="20"/>
        </w:rPr>
      </w:pPr>
      <w:r>
        <w:rPr>
          <w:sz w:val="20"/>
          <w:szCs w:val="20"/>
        </w:rPr>
        <w:t>We re</w:t>
      </w:r>
      <w:r>
        <w:rPr>
          <w:sz w:val="20"/>
          <w:szCs w:val="20"/>
        </w:rPr>
        <w:t>ly upon a combination of patents, patent applications, trade secret protection and confidentiality agreements to protect the intellectual property related to our technologies. Any involuntary disclosure to or misappropriation by third parties of this propr</w:t>
      </w:r>
      <w:r>
        <w:rPr>
          <w:sz w:val="20"/>
          <w:szCs w:val="20"/>
        </w:rPr>
        <w:t xml:space="preserve">ietary information could enable competitors to quickly duplicate or surpass our technological achievements, thus eroding our competitive position in our market. The status of patents in the biotechnology and pharmaceutical field involves complex legal and </w:t>
      </w:r>
      <w:r>
        <w:rPr>
          <w:sz w:val="20"/>
          <w:szCs w:val="20"/>
        </w:rPr>
        <w:t>scientific questions and is very uncertain. As of June 30, 2020, we owned 459 issued US patents and 1,756 granted foreign patents, as well as additional pending US and foreign patent applications. Our patent applications may be challenged or fail to result</w:t>
      </w:r>
      <w:r>
        <w:rPr>
          <w:sz w:val="20"/>
          <w:szCs w:val="20"/>
        </w:rPr>
        <w:t xml:space="preserve"> in issued patents and our existing or future patents may be invalidated or be too narrow to prevent third parties from developing or designing around these patents. If the sufficiency of the breadth or strength of protection provided by our patents with r</w:t>
      </w:r>
      <w:r>
        <w:rPr>
          <w:sz w:val="20"/>
          <w:szCs w:val="20"/>
        </w:rPr>
        <w:t>espect to a product candidate is threatened, it could dissuade companies from collaborating with us to develop product candidates and threaten our ability to commercialize products. Further, if we encounter delays in our clinical trials or in obtaining reg</w:t>
      </w:r>
      <w:r>
        <w:rPr>
          <w:sz w:val="20"/>
          <w:szCs w:val="20"/>
        </w:rPr>
        <w:t>ulatory approval of our product candidates, the patent lives of the related product candidates would be reduced.</w:t>
      </w:r>
    </w:p>
    <w:p w:rsidR="00000000" w:rsidRDefault="00C96329">
      <w:pPr>
        <w:pStyle w:val="a3"/>
        <w:spacing w:before="0" w:beforeAutospacing="0" w:after="0" w:afterAutospacing="0"/>
        <w:ind w:firstLine="720"/>
        <w:divId w:val="1324121660"/>
        <w:rPr>
          <w:sz w:val="20"/>
          <w:szCs w:val="20"/>
        </w:rPr>
      </w:pPr>
      <w:r>
        <w:rPr>
          <w:sz w:val="20"/>
          <w:szCs w:val="20"/>
        </w:rPr>
        <w:t>In addition, we rely on trade secret protection and confidentiality agreements to protect proprietary know-how that is not patentable, for proc</w:t>
      </w:r>
      <w:r>
        <w:rPr>
          <w:sz w:val="20"/>
          <w:szCs w:val="20"/>
        </w:rPr>
        <w:t>esses for which patents are difficult to enforce and for any other elements of our drug discovery and development processes that involve proprietary know-how, information and technology that is not covered by patent applications. Although we require our em</w:t>
      </w:r>
      <w:r>
        <w:rPr>
          <w:sz w:val="20"/>
          <w:szCs w:val="20"/>
        </w:rPr>
        <w:t>ployees, consultants, advisors and any third parties who have access to our proprietary know-how, information and technology to enter into confidentiality agreements, we cannot be certain that this know-how, information and technology will not be misapprop</w:t>
      </w:r>
      <w:r>
        <w:rPr>
          <w:sz w:val="20"/>
          <w:szCs w:val="20"/>
        </w:rPr>
        <w:t>riated, disclosed or used for unauthorized purposes or that competitors will not otherwise gain access to our trade secrets or independently develop substantially equivalent information and techniques. Further, the laws of some foreign countries do not pro</w:t>
      </w:r>
      <w:r>
        <w:rPr>
          <w:sz w:val="20"/>
          <w:szCs w:val="20"/>
        </w:rPr>
        <w:t>tect proprietary rights to the same extent as the laws of the US. As a result, we may encounter significant problems in protecting and defending our intellectual property both in the US and abroad. If we are unable to prevent material disclosure of the int</w:t>
      </w:r>
      <w:r>
        <w:rPr>
          <w:sz w:val="20"/>
          <w:szCs w:val="20"/>
        </w:rPr>
        <w:t xml:space="preserve">ellectual property related to our technologies to third parties, we will not be able to establish or, if established, maintain a competitive advantage in our market, which could </w:t>
      </w:r>
    </w:p>
    <w:p w:rsidR="00000000" w:rsidRDefault="00C96329">
      <w:pPr>
        <w:pStyle w:val="a3"/>
        <w:spacing w:before="360" w:beforeAutospacing="0" w:after="0" w:afterAutospacing="0"/>
        <w:jc w:val="center"/>
        <w:divId w:val="1837650027"/>
        <w:rPr>
          <w:sz w:val="20"/>
          <w:szCs w:val="20"/>
        </w:rPr>
      </w:pPr>
      <w:r>
        <w:rPr>
          <w:sz w:val="20"/>
          <w:szCs w:val="20"/>
        </w:rPr>
        <w:t>58</w:t>
      </w:r>
    </w:p>
    <w:p w:rsidR="00000000" w:rsidRDefault="00C96329">
      <w:pPr>
        <w:pStyle w:val="a3"/>
        <w:spacing w:before="0" w:beforeAutospacing="0" w:after="600" w:afterAutospacing="0"/>
        <w:divId w:val="1573462062"/>
        <w:rPr>
          <w:sz w:val="20"/>
          <w:szCs w:val="20"/>
        </w:rPr>
      </w:pPr>
      <w:hyperlink w:anchor="TOC" w:history="1">
        <w:r>
          <w:rPr>
            <w:rStyle w:val="a4"/>
            <w:sz w:val="20"/>
            <w:szCs w:val="20"/>
          </w:rPr>
          <w:t>Table of Contents</w:t>
        </w:r>
      </w:hyperlink>
    </w:p>
    <w:p w:rsidR="00000000" w:rsidRDefault="00C96329">
      <w:pPr>
        <w:pStyle w:val="a3"/>
        <w:spacing w:before="0" w:beforeAutospacing="0" w:after="200" w:afterAutospacing="0"/>
        <w:divId w:val="350841509"/>
        <w:rPr>
          <w:sz w:val="20"/>
          <w:szCs w:val="20"/>
        </w:rPr>
      </w:pPr>
      <w:r>
        <w:rPr>
          <w:sz w:val="20"/>
          <w:szCs w:val="20"/>
        </w:rPr>
        <w:t>materially adversely affect our business, financial condition and results of operations, which could cause the price of our securities to fall.</w:t>
      </w:r>
    </w:p>
    <w:p w:rsidR="00000000" w:rsidRDefault="00C96329">
      <w:pPr>
        <w:pStyle w:val="a3"/>
        <w:spacing w:before="0" w:beforeAutospacing="0" w:after="120" w:afterAutospacing="0"/>
        <w:divId w:val="350841509"/>
        <w:rPr>
          <w:sz w:val="20"/>
          <w:szCs w:val="20"/>
        </w:rPr>
      </w:pPr>
      <w:r>
        <w:rPr>
          <w:b/>
          <w:bCs/>
          <w:i/>
          <w:iCs/>
          <w:sz w:val="20"/>
          <w:szCs w:val="20"/>
        </w:rPr>
        <w:t>Litigation to protect or defend our intellectual property or third-party claims of intellectual property infring</w:t>
      </w:r>
      <w:r>
        <w:rPr>
          <w:b/>
          <w:bCs/>
          <w:i/>
          <w:iCs/>
          <w:sz w:val="20"/>
          <w:szCs w:val="20"/>
        </w:rPr>
        <w:t>ement would require us to divert resources and may prevent or delay our drug discovery and development efforts.</w:t>
      </w:r>
    </w:p>
    <w:p w:rsidR="00000000" w:rsidRDefault="00C96329">
      <w:pPr>
        <w:pStyle w:val="a3"/>
        <w:spacing w:before="0" w:beforeAutospacing="0" w:after="200" w:afterAutospacing="0"/>
        <w:ind w:firstLine="720"/>
        <w:divId w:val="350841509"/>
        <w:rPr>
          <w:sz w:val="20"/>
          <w:szCs w:val="20"/>
        </w:rPr>
      </w:pPr>
      <w:r>
        <w:rPr>
          <w:sz w:val="20"/>
          <w:szCs w:val="20"/>
        </w:rPr>
        <w:t xml:space="preserve">Our commercial success depends in part on us and our partners not infringing the patents and proprietary rights of third parties. Third parties </w:t>
      </w:r>
      <w:r>
        <w:rPr>
          <w:sz w:val="20"/>
          <w:szCs w:val="20"/>
        </w:rPr>
        <w:t>may assert that we or our partners are using their proprietary rights without authorization. There are third-party patents that may cover materials or methods for treatment related to our product candidates. At present, we are not aware of any patent infri</w:t>
      </w:r>
      <w:r>
        <w:rPr>
          <w:sz w:val="20"/>
          <w:szCs w:val="20"/>
        </w:rPr>
        <w:t>ngement claims with merit that would adversely and materially affect our ability to develop our product candidates, but nevertheless the possibility of third-party allegations cannot be ruled out. In addition, third parties may obtain patents in the future</w:t>
      </w:r>
      <w:r>
        <w:rPr>
          <w:sz w:val="20"/>
          <w:szCs w:val="20"/>
        </w:rPr>
        <w:t xml:space="preserve"> and claim that use of our technologies infringes upon these patents. Furthermore, parties making claims against us or our partners may obtain injunctive or other equitable relief, which could effectively block our ability to further develop and commercial</w:t>
      </w:r>
      <w:r>
        <w:rPr>
          <w:sz w:val="20"/>
          <w:szCs w:val="20"/>
        </w:rPr>
        <w:t>ize one or more of our product candidates. Defense against these claims, regardless of their merit, would involve substantial litigation expense and would be a substantial diversion of employee resources from our business.</w:t>
      </w:r>
    </w:p>
    <w:p w:rsidR="00000000" w:rsidRDefault="00C96329">
      <w:pPr>
        <w:pStyle w:val="a3"/>
        <w:spacing w:before="0" w:beforeAutospacing="0" w:after="200" w:afterAutospacing="0"/>
        <w:ind w:firstLine="720"/>
        <w:divId w:val="350841509"/>
        <w:rPr>
          <w:sz w:val="20"/>
          <w:szCs w:val="20"/>
        </w:rPr>
      </w:pPr>
      <w:r>
        <w:rPr>
          <w:sz w:val="20"/>
          <w:szCs w:val="20"/>
        </w:rPr>
        <w:t>In the event of a successful clai</w:t>
      </w:r>
      <w:r>
        <w:rPr>
          <w:sz w:val="20"/>
          <w:szCs w:val="20"/>
        </w:rPr>
        <w:t>m of infringement against us, we may have to pay substantial damages, obtain one or more licenses from third parties or pay royalties. In addition, even in the absence of litigation, we may need to obtain licenses from third parties to advance our research</w:t>
      </w:r>
      <w:r>
        <w:rPr>
          <w:sz w:val="20"/>
          <w:szCs w:val="20"/>
        </w:rPr>
        <w:t xml:space="preserve"> or allow commercialization of our product candidates, and we have done so from time to time. We may fail to obtain any of these licenses at a reasonable cost or on reasonable terms, if at all. In that event, we would be unable to further develop and comme</w:t>
      </w:r>
      <w:r>
        <w:rPr>
          <w:sz w:val="20"/>
          <w:szCs w:val="20"/>
        </w:rPr>
        <w:t>rcialize one or more of our product candidates, which could harm our business significantly.</w:t>
      </w:r>
    </w:p>
    <w:p w:rsidR="00000000" w:rsidRDefault="00C96329">
      <w:pPr>
        <w:pStyle w:val="a3"/>
        <w:spacing w:before="0" w:beforeAutospacing="0" w:after="200" w:afterAutospacing="0"/>
        <w:ind w:firstLine="720"/>
        <w:divId w:val="350841509"/>
        <w:rPr>
          <w:sz w:val="20"/>
          <w:szCs w:val="20"/>
        </w:rPr>
      </w:pPr>
      <w:r>
        <w:rPr>
          <w:sz w:val="20"/>
          <w:szCs w:val="20"/>
        </w:rPr>
        <w:t>In addition, in the future we could be required to initiate litigation to enforce our proprietary rights against infringement by third parties, prevent the unautho</w:t>
      </w:r>
      <w:r>
        <w:rPr>
          <w:sz w:val="20"/>
          <w:szCs w:val="20"/>
        </w:rPr>
        <w:t xml:space="preserve">rized use or disclosure of our trade secrets and confidential information, or defend the validity of our patents. For example, in 2017, we filed a lawsuit against a former employee for misappropriation of certain of our confidential, proprietary and trade </w:t>
      </w:r>
      <w:r>
        <w:rPr>
          <w:sz w:val="20"/>
          <w:szCs w:val="20"/>
        </w:rPr>
        <w:t>secret information. While this litigation has since been resolved, prosecution of claims to enforce or defend our rights against others involve substantial litigation expenses and divert substantial employee resources from our business but may not result i</w:t>
      </w:r>
      <w:r>
        <w:rPr>
          <w:sz w:val="20"/>
          <w:szCs w:val="20"/>
        </w:rPr>
        <w:t>n adequate remedy to us or sufficiently mitigate the harm to our business caused by any intellectual property infringement, unauthorized access, use or disclosure of trade secrets. If we fail to effectively enforce our proprietary rights against others, ou</w:t>
      </w:r>
      <w:r>
        <w:rPr>
          <w:sz w:val="20"/>
          <w:szCs w:val="20"/>
        </w:rPr>
        <w:t>r business will be harmed and the price of our securities could fall.</w:t>
      </w:r>
    </w:p>
    <w:p w:rsidR="00000000" w:rsidRDefault="00C96329">
      <w:pPr>
        <w:pStyle w:val="a3"/>
        <w:spacing w:before="0" w:beforeAutospacing="0" w:after="120" w:afterAutospacing="0"/>
        <w:divId w:val="350841509"/>
        <w:rPr>
          <w:sz w:val="20"/>
          <w:szCs w:val="20"/>
        </w:rPr>
      </w:pPr>
      <w:r>
        <w:rPr>
          <w:b/>
          <w:bCs/>
          <w:i/>
          <w:iCs/>
          <w:sz w:val="20"/>
          <w:szCs w:val="20"/>
        </w:rPr>
        <w:t>If the efforts of our partners or future partners to protect the proprietary nature of the intellectual property related to collaboration assets are not adequate, the future commercializ</w:t>
      </w:r>
      <w:r>
        <w:rPr>
          <w:b/>
          <w:bCs/>
          <w:i/>
          <w:iCs/>
          <w:sz w:val="20"/>
          <w:szCs w:val="20"/>
        </w:rPr>
        <w:t>ation of any medicines resulting from collaborations could be delayed or prevented, which would materially harm our business and could cause the price of our securities to fall.</w:t>
      </w:r>
    </w:p>
    <w:p w:rsidR="00000000" w:rsidRDefault="00C96329">
      <w:pPr>
        <w:pStyle w:val="a3"/>
        <w:spacing w:before="0" w:beforeAutospacing="0" w:after="200" w:afterAutospacing="0"/>
        <w:ind w:firstLine="720"/>
        <w:divId w:val="350841509"/>
        <w:rPr>
          <w:sz w:val="20"/>
          <w:szCs w:val="20"/>
        </w:rPr>
      </w:pPr>
      <w:r>
        <w:rPr>
          <w:sz w:val="20"/>
          <w:szCs w:val="20"/>
        </w:rPr>
        <w:t>The risks identified in the two preceding risk factors may also apply to the i</w:t>
      </w:r>
      <w:r>
        <w:rPr>
          <w:sz w:val="20"/>
          <w:szCs w:val="20"/>
        </w:rPr>
        <w:t>ntellectual property protection efforts of our partners or future partners and to GSK with respect to the GSK-Partnered Respiratory Programs in which we hold an economic interest. To the extent the intellectual property protection of any partnered assets a</w:t>
      </w:r>
      <w:r>
        <w:rPr>
          <w:sz w:val="20"/>
          <w:szCs w:val="20"/>
        </w:rPr>
        <w:t>re successfully challenged or encounter problems with the US Patent and Trademark Office or other comparable agencies throughout the world, the future commercialization of these potential medicines could be delayed or prevented. Any challenge to the intell</w:t>
      </w:r>
      <w:r>
        <w:rPr>
          <w:sz w:val="20"/>
          <w:szCs w:val="20"/>
        </w:rPr>
        <w:t>ectual property protection of a late-stage development asset, particularly those of the GSK-Partnered Respiratory Programs in which we hold an economic interest, could harm our business and cause the price of our securities to fall.</w:t>
      </w:r>
    </w:p>
    <w:p w:rsidR="00000000" w:rsidRDefault="00C96329">
      <w:pPr>
        <w:pStyle w:val="a3"/>
        <w:spacing w:before="0" w:beforeAutospacing="0" w:after="120" w:afterAutospacing="0"/>
        <w:divId w:val="350841509"/>
        <w:rPr>
          <w:sz w:val="20"/>
          <w:szCs w:val="20"/>
        </w:rPr>
      </w:pPr>
      <w:r>
        <w:rPr>
          <w:b/>
          <w:bCs/>
          <w:i/>
          <w:iCs/>
          <w:sz w:val="20"/>
          <w:szCs w:val="20"/>
        </w:rPr>
        <w:t>Product liability and o</w:t>
      </w:r>
      <w:r>
        <w:rPr>
          <w:b/>
          <w:bCs/>
          <w:i/>
          <w:iCs/>
          <w:sz w:val="20"/>
          <w:szCs w:val="20"/>
        </w:rPr>
        <w:t>ther lawsuits could divert our resources, result in substantial liabilities and reduce the commercial potential of our medicines.</w:t>
      </w:r>
    </w:p>
    <w:p w:rsidR="00000000" w:rsidRDefault="00C96329">
      <w:pPr>
        <w:pStyle w:val="a3"/>
        <w:spacing w:before="0" w:beforeAutospacing="0" w:after="0" w:afterAutospacing="0"/>
        <w:ind w:firstLine="720"/>
        <w:divId w:val="350841509"/>
        <w:rPr>
          <w:sz w:val="20"/>
          <w:szCs w:val="20"/>
        </w:rPr>
      </w:pPr>
      <w:r>
        <w:rPr>
          <w:sz w:val="20"/>
          <w:szCs w:val="20"/>
        </w:rPr>
        <w:t>The risk that we may be sued on product liability claims is inherent in the development and commercialization of pharmaceutica</w:t>
      </w:r>
      <w:r>
        <w:rPr>
          <w:sz w:val="20"/>
          <w:szCs w:val="20"/>
        </w:rPr>
        <w:t>l products. Side effects of, or manufacturing defects in, products that we or our partners develop or commercialize could result in the deterioration of a patient’s condition, injury or even death. Once a product is approved for sale and commercialized, th</w:t>
      </w:r>
      <w:r>
        <w:rPr>
          <w:sz w:val="20"/>
          <w:szCs w:val="20"/>
        </w:rPr>
        <w:t xml:space="preserve">e likelihood of product liability lawsuits tends to increase. Claims may be brought by individuals seeking relief for themselves or by individuals or groups seeking to represent a class, asserting injuries based both on potential adverse effects described </w:t>
      </w:r>
      <w:r>
        <w:rPr>
          <w:sz w:val="20"/>
          <w:szCs w:val="20"/>
        </w:rPr>
        <w:t>in the label as well as adverse events not yet observed. We also face an inherent risk of product liability exposure related to the testing of our product candidates in human clinical trials. In addition, changes in laws outside the US are expanding our po</w:t>
      </w:r>
      <w:r>
        <w:rPr>
          <w:sz w:val="20"/>
          <w:szCs w:val="20"/>
        </w:rPr>
        <w:t xml:space="preserve">tential liability for injuries that occur during clinical trials. Product liability claims could </w:t>
      </w:r>
    </w:p>
    <w:p w:rsidR="00000000" w:rsidRDefault="00C96329">
      <w:pPr>
        <w:pStyle w:val="a3"/>
        <w:spacing w:before="360" w:beforeAutospacing="0" w:after="0" w:afterAutospacing="0"/>
        <w:jc w:val="center"/>
        <w:divId w:val="1424305190"/>
        <w:rPr>
          <w:sz w:val="20"/>
          <w:szCs w:val="20"/>
        </w:rPr>
      </w:pPr>
      <w:r>
        <w:rPr>
          <w:sz w:val="20"/>
          <w:szCs w:val="20"/>
        </w:rPr>
        <w:t>59</w:t>
      </w:r>
    </w:p>
    <w:p w:rsidR="00000000" w:rsidRDefault="00C96329">
      <w:pPr>
        <w:pStyle w:val="a3"/>
        <w:spacing w:before="0" w:beforeAutospacing="0" w:after="600" w:afterAutospacing="0"/>
        <w:divId w:val="1957563386"/>
        <w:rPr>
          <w:sz w:val="20"/>
          <w:szCs w:val="20"/>
        </w:rPr>
      </w:pPr>
      <w:hyperlink w:anchor="TOC" w:history="1">
        <w:r>
          <w:rPr>
            <w:rStyle w:val="a4"/>
            <w:sz w:val="20"/>
            <w:szCs w:val="20"/>
          </w:rPr>
          <w:t>Table of Contents</w:t>
        </w:r>
      </w:hyperlink>
    </w:p>
    <w:p w:rsidR="00000000" w:rsidRDefault="00C96329">
      <w:pPr>
        <w:pStyle w:val="a3"/>
        <w:spacing w:before="0" w:beforeAutospacing="0" w:after="200" w:afterAutospacing="0"/>
        <w:divId w:val="2005039483"/>
        <w:rPr>
          <w:sz w:val="20"/>
          <w:szCs w:val="20"/>
        </w:rPr>
      </w:pPr>
      <w:r>
        <w:rPr>
          <w:sz w:val="20"/>
          <w:szCs w:val="20"/>
        </w:rPr>
        <w:t>harm our reputation, regardless of the merit or ultimate success of the claim, which may adversely affect our a</w:t>
      </w:r>
      <w:r>
        <w:rPr>
          <w:sz w:val="20"/>
          <w:szCs w:val="20"/>
        </w:rPr>
        <w:t>nd our partners’ ability to commercialize our products and cause the price of our securities to fall. These lawsuits may divert our management from pursuing our business strategy and may be costly to defend. In addition, if we are held liable in any of the</w:t>
      </w:r>
      <w:r>
        <w:rPr>
          <w:sz w:val="20"/>
          <w:szCs w:val="20"/>
        </w:rPr>
        <w:t>se lawsuits, we may incur substantial liabilities and may be forced to limit or forgo further commercialization of the applicable products.</w:t>
      </w:r>
    </w:p>
    <w:p w:rsidR="00000000" w:rsidRDefault="00C96329">
      <w:pPr>
        <w:pStyle w:val="a3"/>
        <w:spacing w:before="0" w:beforeAutospacing="0" w:after="200" w:afterAutospacing="0"/>
        <w:ind w:firstLine="720"/>
        <w:divId w:val="2005039483"/>
        <w:rPr>
          <w:sz w:val="20"/>
          <w:szCs w:val="20"/>
        </w:rPr>
      </w:pPr>
      <w:r>
        <w:rPr>
          <w:sz w:val="20"/>
          <w:szCs w:val="20"/>
        </w:rPr>
        <w:t>Although we maintain general liability and product liability insurance, this insurance may not fully cover potential</w:t>
      </w:r>
      <w:r>
        <w:rPr>
          <w:sz w:val="20"/>
          <w:szCs w:val="20"/>
        </w:rPr>
        <w:t xml:space="preserve"> liabilities and we cannot be sure that our insurer will not disclaim coverage as to a future claim. In addition, inability to obtain or maintain sufficient insurance coverage at an acceptable cost or to otherwise protect against potential product liabilit</w:t>
      </w:r>
      <w:r>
        <w:rPr>
          <w:sz w:val="20"/>
          <w:szCs w:val="20"/>
        </w:rPr>
        <w:t>y claims could prevent or inhibit the commercial production and sale of our products, which could adversely affect our business.</w:t>
      </w:r>
    </w:p>
    <w:p w:rsidR="00000000" w:rsidRDefault="00C96329">
      <w:pPr>
        <w:pStyle w:val="a3"/>
        <w:spacing w:before="0" w:beforeAutospacing="0" w:after="200" w:afterAutospacing="0"/>
        <w:ind w:firstLine="720"/>
        <w:divId w:val="2005039483"/>
        <w:rPr>
          <w:sz w:val="20"/>
          <w:szCs w:val="20"/>
        </w:rPr>
      </w:pPr>
      <w:r>
        <w:rPr>
          <w:sz w:val="20"/>
          <w:szCs w:val="20"/>
        </w:rPr>
        <w:t>We may also be required to prosecute or defend general commercial, intellectual property, securities and other lawsuits. Litiga</w:t>
      </w:r>
      <w:r>
        <w:rPr>
          <w:sz w:val="20"/>
          <w:szCs w:val="20"/>
        </w:rPr>
        <w:t>tion typically involves substantial expenses and diverts substantial employee resources from our business. The cost of defending any product liability litigation or engaging in any other legal proceeding, even if resolved in our favor, could be substantial</w:t>
      </w:r>
      <w:r>
        <w:rPr>
          <w:sz w:val="20"/>
          <w:szCs w:val="20"/>
        </w:rPr>
        <w:t xml:space="preserve"> and uncertainties resulting from the initiation and continuation of the litigation or other proceedings could have a material adverse effect on our ability to compete in the marketplace and achieve our business goals.</w:t>
      </w:r>
    </w:p>
    <w:p w:rsidR="00000000" w:rsidRDefault="00C96329">
      <w:pPr>
        <w:pStyle w:val="a3"/>
        <w:spacing w:before="0" w:beforeAutospacing="0" w:after="120" w:afterAutospacing="0"/>
        <w:divId w:val="2005039483"/>
        <w:rPr>
          <w:sz w:val="20"/>
          <w:szCs w:val="20"/>
        </w:rPr>
      </w:pPr>
      <w:r>
        <w:rPr>
          <w:b/>
          <w:bCs/>
          <w:i/>
          <w:iCs/>
          <w:sz w:val="20"/>
          <w:szCs w:val="20"/>
        </w:rPr>
        <w:t>If we fail to comply with data protec</w:t>
      </w:r>
      <w:r>
        <w:rPr>
          <w:b/>
          <w:bCs/>
          <w:i/>
          <w:iCs/>
          <w:sz w:val="20"/>
          <w:szCs w:val="20"/>
        </w:rPr>
        <w:t>tion laws and regulations, we could be subject to government enforcement actions (which could include civil or criminal penalties), private litigation and/or adverse publicity, which could negatively affect our operating results and business.</w:t>
      </w:r>
    </w:p>
    <w:p w:rsidR="00000000" w:rsidRDefault="00C96329">
      <w:pPr>
        <w:pStyle w:val="a3"/>
        <w:spacing w:before="0" w:beforeAutospacing="0" w:after="200" w:afterAutospacing="0"/>
        <w:ind w:firstLine="720"/>
        <w:divId w:val="2005039483"/>
        <w:rPr>
          <w:sz w:val="20"/>
          <w:szCs w:val="20"/>
        </w:rPr>
      </w:pPr>
      <w:r>
        <w:rPr>
          <w:sz w:val="20"/>
          <w:szCs w:val="20"/>
        </w:rPr>
        <w:t>We are subjec</w:t>
      </w:r>
      <w:r>
        <w:rPr>
          <w:sz w:val="20"/>
          <w:szCs w:val="20"/>
        </w:rPr>
        <w:t>t to data protection laws and regulations (i.e., laws and regulations that address privacy and data security). In the US, numerous federal and state laws and regulations, including state data breach notification laws, state health information privacy laws,</w:t>
      </w:r>
      <w:r>
        <w:rPr>
          <w:sz w:val="20"/>
          <w:szCs w:val="20"/>
        </w:rPr>
        <w:t xml:space="preserve"> and federal and state consumer protection laws (e.g., Section 5 of the FTC Act), govern the collection, use, disclosure, and protection of health related and other personal information. In California, the California Consumer Privacy Act (“CCPA”) took effe</w:t>
      </w:r>
      <w:r>
        <w:rPr>
          <w:sz w:val="20"/>
          <w:szCs w:val="20"/>
        </w:rPr>
        <w:t>ct on January 1, 2020. The CCPA establishes certain requirements for data use and sharing transparency and creates new data privacy rights for consumers. These laws and regulations are evolving and subject to interpretation and may impose limitations on ou</w:t>
      </w:r>
      <w:r>
        <w:rPr>
          <w:sz w:val="20"/>
          <w:szCs w:val="20"/>
        </w:rPr>
        <w:t>r activities or otherwise adversely affect our business. Failure to comply with data protection laws and regulations could result in government enforcement actions and create liability for us (which could include civil and/or criminal penalties), private l</w:t>
      </w:r>
      <w:r>
        <w:rPr>
          <w:sz w:val="20"/>
          <w:szCs w:val="20"/>
        </w:rPr>
        <w:t>itigation and/or adverse publicity that could negatively affect our operating results and business. In addition, we may obtain health information from third parties (e.g., healthcare providers who prescribe our products) that are subject to privacy and sec</w:t>
      </w:r>
      <w:r>
        <w:rPr>
          <w:sz w:val="20"/>
          <w:szCs w:val="20"/>
        </w:rPr>
        <w:t xml:space="preserve">urity requirements under the Health Insurance Portability and Accountability Act of 1996, as amended by the Health Information Technology for Economic and Clinical Health Act (“HIPAA”). Although we are not directly subject to HIPAA—other than with respect </w:t>
      </w:r>
      <w:r>
        <w:rPr>
          <w:sz w:val="20"/>
          <w:szCs w:val="20"/>
        </w:rPr>
        <w:t xml:space="preserve">to providing certain employee benefits—we could be subject to criminal penalties if we knowingly obtain or disclose individually identifiable health information maintained by a HIPAA covered entity in a manner that is not authorized or permitted by HIPAA. </w:t>
      </w:r>
      <w:r>
        <w:rPr>
          <w:sz w:val="20"/>
          <w:szCs w:val="20"/>
        </w:rPr>
        <w:t>HIPAA generally requires that healthcare providers and other covered entities obtain written authorizations from patients prior to disclosing protected health information of the patient (unless an exception to the authorization requirement applies). If aut</w:t>
      </w:r>
      <w:r>
        <w:rPr>
          <w:sz w:val="20"/>
          <w:szCs w:val="20"/>
        </w:rPr>
        <w:t xml:space="preserve">horization is required and the patient fails to execute an authorization or the authorization fails to contain all required provisions, then we may not be allowed access to and use of the patient’s information and our research efforts could be impaired or </w:t>
      </w:r>
      <w:r>
        <w:rPr>
          <w:sz w:val="20"/>
          <w:szCs w:val="20"/>
        </w:rPr>
        <w:t>delayed. Furthermore, use of protected health information that is provided to us pursuant to a valid patient authorization is subject to the limits set forth in the authorization (e.g., for use in research and in submissions to regulatory authorities for p</w:t>
      </w:r>
      <w:r>
        <w:rPr>
          <w:sz w:val="20"/>
          <w:szCs w:val="20"/>
        </w:rPr>
        <w:t>roduct approvals). In addition, HIPAA does not replace federal, state, international or other laws that may grant individuals even greater privacy protections.</w:t>
      </w:r>
    </w:p>
    <w:p w:rsidR="00000000" w:rsidRDefault="00C96329">
      <w:pPr>
        <w:pStyle w:val="a3"/>
        <w:spacing w:before="0" w:beforeAutospacing="0" w:after="200" w:afterAutospacing="0"/>
        <w:ind w:firstLine="720"/>
        <w:divId w:val="2005039483"/>
        <w:rPr>
          <w:sz w:val="20"/>
          <w:szCs w:val="20"/>
        </w:rPr>
      </w:pPr>
      <w:r>
        <w:rPr>
          <w:sz w:val="20"/>
          <w:szCs w:val="20"/>
        </w:rPr>
        <w:t xml:space="preserve">EU Member States and other jurisdictions where we operate have adopted data protection laws and </w:t>
      </w:r>
      <w:r>
        <w:rPr>
          <w:sz w:val="20"/>
          <w:szCs w:val="20"/>
        </w:rPr>
        <w:t>regulations, which impose significant compliance obligations. For example, the General Data Protection Regulation (“GDPR”) which became applicable on May 25, 2018, replacing the EU Data Protection Directive, imposes strict obligations and restrictions on t</w:t>
      </w:r>
      <w:r>
        <w:rPr>
          <w:sz w:val="20"/>
          <w:szCs w:val="20"/>
        </w:rPr>
        <w:t>he ability to collect, analyze and transfer personal data, including health data from clinical trials and adverse event reporting.</w:t>
      </w:r>
    </w:p>
    <w:p w:rsidR="00000000" w:rsidRDefault="00C96329">
      <w:pPr>
        <w:pStyle w:val="a3"/>
        <w:spacing w:before="0" w:beforeAutospacing="0" w:after="0" w:afterAutospacing="0"/>
        <w:ind w:firstLine="720"/>
        <w:divId w:val="2005039483"/>
        <w:rPr>
          <w:sz w:val="20"/>
          <w:szCs w:val="20"/>
        </w:rPr>
      </w:pPr>
      <w:r>
        <w:rPr>
          <w:sz w:val="20"/>
          <w:szCs w:val="20"/>
        </w:rPr>
        <w:t>Switzerland has adopted laws that impose restrictions and obligations similar to the GDPR. These obligations and restrictions</w:t>
      </w:r>
      <w:r>
        <w:rPr>
          <w:sz w:val="20"/>
          <w:szCs w:val="20"/>
        </w:rPr>
        <w:t xml:space="preserve"> concern, in particular, the consent of the individuals to whom the personal data relate, the information provided to the individuals, the transfer of personal data out of the European Economic Area (“EEA”) or Switzerland, security breach </w:t>
      </w:r>
    </w:p>
    <w:p w:rsidR="00000000" w:rsidRDefault="00C96329">
      <w:pPr>
        <w:pStyle w:val="a3"/>
        <w:spacing w:before="360" w:beforeAutospacing="0" w:after="0" w:afterAutospacing="0"/>
        <w:jc w:val="center"/>
        <w:divId w:val="423847073"/>
        <w:rPr>
          <w:sz w:val="20"/>
          <w:szCs w:val="20"/>
        </w:rPr>
      </w:pPr>
      <w:r>
        <w:rPr>
          <w:sz w:val="20"/>
          <w:szCs w:val="20"/>
        </w:rPr>
        <w:t>60</w:t>
      </w:r>
    </w:p>
    <w:p w:rsidR="00000000" w:rsidRDefault="00C96329">
      <w:pPr>
        <w:pStyle w:val="a3"/>
        <w:spacing w:before="0" w:beforeAutospacing="0" w:after="600" w:afterAutospacing="0"/>
        <w:divId w:val="1057315911"/>
        <w:rPr>
          <w:sz w:val="20"/>
          <w:szCs w:val="20"/>
        </w:rPr>
      </w:pPr>
      <w:hyperlink w:anchor="TOC" w:history="1">
        <w:r>
          <w:rPr>
            <w:rStyle w:val="a4"/>
            <w:sz w:val="20"/>
            <w:szCs w:val="20"/>
          </w:rPr>
          <w:t>Table of Contents</w:t>
        </w:r>
      </w:hyperlink>
    </w:p>
    <w:p w:rsidR="00000000" w:rsidRDefault="00C96329">
      <w:pPr>
        <w:pStyle w:val="a3"/>
        <w:spacing w:before="0" w:beforeAutospacing="0" w:after="200" w:afterAutospacing="0"/>
        <w:divId w:val="885485501"/>
        <w:rPr>
          <w:sz w:val="20"/>
          <w:szCs w:val="20"/>
        </w:rPr>
      </w:pPr>
      <w:r>
        <w:rPr>
          <w:sz w:val="20"/>
          <w:szCs w:val="20"/>
        </w:rPr>
        <w:t>notifications, security and confidentiality of the personal data, as well as substantial potential fines for breaches of the data protection obligations. Data protection authorities from the different EU Member States may int</w:t>
      </w:r>
      <w:r>
        <w:rPr>
          <w:sz w:val="20"/>
          <w:szCs w:val="20"/>
        </w:rPr>
        <w:t>erpret the GDPR and applicable related national laws differently and impose requirements additional to those provided in the GDPR. In addition, guidance on implementation and compliance practices may be updated or otherwise revised, which adds to the compl</w:t>
      </w:r>
      <w:r>
        <w:rPr>
          <w:sz w:val="20"/>
          <w:szCs w:val="20"/>
        </w:rPr>
        <w:t>exity of processing personal data in the EU. When processing personal data of subjects in the EU, we have to comply with the applicable data protection laws. In particular, as we rely on services providers processing personal data of subjects in the EU, we</w:t>
      </w:r>
      <w:r>
        <w:rPr>
          <w:sz w:val="20"/>
          <w:szCs w:val="20"/>
        </w:rPr>
        <w:t xml:space="preserve"> have to enter into suitable contract terms with such providers and receive sufficient guarantees that such providers meet the requirements of the applicable data protection laws, particularly the GDPR which imposes specific and relevant obligations.</w:t>
      </w:r>
    </w:p>
    <w:p w:rsidR="00000000" w:rsidRDefault="00C96329">
      <w:pPr>
        <w:pStyle w:val="a3"/>
        <w:spacing w:before="0" w:beforeAutospacing="0" w:after="200" w:afterAutospacing="0"/>
        <w:ind w:firstLine="720"/>
        <w:divId w:val="885485501"/>
        <w:rPr>
          <w:sz w:val="20"/>
          <w:szCs w:val="20"/>
        </w:rPr>
      </w:pPr>
      <w:r>
        <w:rPr>
          <w:sz w:val="20"/>
          <w:szCs w:val="20"/>
        </w:rPr>
        <w:t>Legal mechanisms to allow for the transfer of personal data from the EEA to the US have been challenged in the European Court of Justice, which generally increases uncertainty around compliance with EU privacy law requirements as these relate to transfer o</w:t>
      </w:r>
      <w:r>
        <w:rPr>
          <w:sz w:val="20"/>
          <w:szCs w:val="20"/>
        </w:rPr>
        <w:t>f data from the EU to the US. In 2016, the European Commission and the US Department of Commerce (“DOC”) put in place the EU US “Privacy Shield,” which has been relied on by some US companies since that time to transfer data to the US, and, in its third an</w:t>
      </w:r>
      <w:r>
        <w:rPr>
          <w:sz w:val="20"/>
          <w:szCs w:val="20"/>
        </w:rPr>
        <w:t>nual review of the Privacy Shield in October 2019, the European Commission concluded that the US continues to ensure an adequate level of protection for personal data transferred under the Privacy Shield. However, on July 16, 2020, the European Court of Ju</w:t>
      </w:r>
      <w:r>
        <w:rPr>
          <w:sz w:val="20"/>
          <w:szCs w:val="20"/>
        </w:rPr>
        <w:t>stice ruled that the Privacy Shield is invalid. As a result, from July 16, 2020 companies may no longer rely on the Privacy Shield as a basis on which to transfer personal data from the EU to the US. US based companies are permitted to rely on other author</w:t>
      </w:r>
      <w:r>
        <w:rPr>
          <w:sz w:val="20"/>
          <w:szCs w:val="20"/>
        </w:rPr>
        <w:t xml:space="preserve">ized means and procedures to transfer personal data provided by the GDPR. However, the most common authorized procedure to transfer personal data out of the EU, the European Commission’s Standard Contractual Clauses may, as a result of the Court judgement </w:t>
      </w:r>
      <w:r>
        <w:rPr>
          <w:sz w:val="20"/>
          <w:szCs w:val="20"/>
        </w:rPr>
        <w:t>of July 16 2020, also come under increased scrutiny. Following the Court’s ruling, the European Data Protection Board issued a statement providing among other things that it is a primary responsibility of the exporter and the importer, when considering whe</w:t>
      </w:r>
      <w:r>
        <w:rPr>
          <w:sz w:val="20"/>
          <w:szCs w:val="20"/>
        </w:rPr>
        <w:t>ther to rely on Standard Contractual Clauses to export data from the EU to third countries, to ensure that these third countries maintain a level of protection that is essentially equivalent to that guaranteed by the GDPR in light of the EU Charter of Huma</w:t>
      </w:r>
      <w:r>
        <w:rPr>
          <w:sz w:val="20"/>
          <w:szCs w:val="20"/>
        </w:rPr>
        <w:t>n Rights. Companies may need to revise their Standard Contractual Clauses in light of the July 16, 2020 judgement. Companies that have not taken steps to demonstrate that their Standard Contractual Clauses and personal data recipients in the US are suitabl</w:t>
      </w:r>
      <w:r>
        <w:rPr>
          <w:sz w:val="20"/>
          <w:szCs w:val="20"/>
        </w:rPr>
        <w:t>e to transfer to receive the personal data may be subject to enforcement actions by competent authorities in the EU for failure to comply with related data privacy rules.</w:t>
      </w:r>
      <w:r>
        <w:rPr>
          <w:sz w:val="20"/>
          <w:szCs w:val="20"/>
        </w:rPr>
        <w:t xml:space="preserve"> </w:t>
      </w:r>
    </w:p>
    <w:p w:rsidR="00000000" w:rsidRDefault="00C96329">
      <w:pPr>
        <w:pStyle w:val="a3"/>
        <w:spacing w:before="0" w:beforeAutospacing="0" w:after="200" w:afterAutospacing="0"/>
        <w:ind w:firstLine="720"/>
        <w:divId w:val="885485501"/>
        <w:rPr>
          <w:sz w:val="20"/>
          <w:szCs w:val="20"/>
        </w:rPr>
      </w:pPr>
      <w:r>
        <w:rPr>
          <w:sz w:val="20"/>
          <w:szCs w:val="20"/>
        </w:rPr>
        <w:t>In addition, the privacy and data security landscape in the EU continues to remain i</w:t>
      </w:r>
      <w:r>
        <w:rPr>
          <w:sz w:val="20"/>
          <w:szCs w:val="20"/>
        </w:rPr>
        <w:t>n flux. The agreement that will hopefully be concluded between the EU and the UK following the UK’s withdrawal from the EU on January 31, 2020 may require organizations to revisit the way they transfer personal data from and to the UK from the EU. The GDPR</w:t>
      </w:r>
      <w:r>
        <w:rPr>
          <w:sz w:val="20"/>
          <w:szCs w:val="20"/>
        </w:rPr>
        <w:t xml:space="preserve"> has introduced additional data protection obligations that can have specific impact on the conduct of clinical trials in the EEA. This includes obligations concerning the rights of patients in relation to their personal data collected during the clinical </w:t>
      </w:r>
      <w:r>
        <w:rPr>
          <w:sz w:val="20"/>
          <w:szCs w:val="20"/>
        </w:rPr>
        <w:t xml:space="preserve">trials and the need to conclude arrangements with clinical trials sites concerning data processing activities. Any perceived failure to ensure protection of patients’ rights during clinical trials or to ensure that sites fulfil obligations imposed by GDPR </w:t>
      </w:r>
      <w:r>
        <w:rPr>
          <w:sz w:val="20"/>
          <w:szCs w:val="20"/>
        </w:rPr>
        <w:t>concerning their related processing activities could undermine the validity of the results of these clinical trials.</w:t>
      </w:r>
    </w:p>
    <w:p w:rsidR="00000000" w:rsidRDefault="00C96329">
      <w:pPr>
        <w:pStyle w:val="a3"/>
        <w:spacing w:before="0" w:beforeAutospacing="0" w:after="200" w:afterAutospacing="0"/>
        <w:ind w:firstLine="720"/>
        <w:divId w:val="885485501"/>
        <w:rPr>
          <w:sz w:val="20"/>
          <w:szCs w:val="20"/>
        </w:rPr>
      </w:pPr>
      <w:r>
        <w:rPr>
          <w:sz w:val="20"/>
          <w:szCs w:val="20"/>
        </w:rPr>
        <w:t xml:space="preserve">If we or our vendors fail to comply with applicable data privacy laws, or if the legal mechanisms we or our vendors rely upon to allow for </w:t>
      </w:r>
      <w:r>
        <w:rPr>
          <w:sz w:val="20"/>
          <w:szCs w:val="20"/>
        </w:rPr>
        <w:t>the transfer of personal data from the EEA or Switzerland to the US (or other countries not considered by the European Commission to provide an adequate level of data protection) are not considered adequate, we could be subject to government enforcement ac</w:t>
      </w:r>
      <w:r>
        <w:rPr>
          <w:sz w:val="20"/>
          <w:szCs w:val="20"/>
        </w:rPr>
        <w:t>tions, including an order to stop transferring the personal data outside of the EEA and significant penalties against us. Moreover, our business could be adversely impacted if our ability to transfer personal data out of the EEA or Switzerland to the US is</w:t>
      </w:r>
      <w:r>
        <w:rPr>
          <w:sz w:val="20"/>
          <w:szCs w:val="20"/>
        </w:rPr>
        <w:t xml:space="preserve"> restricted, which could adversely impact our operating results.</w:t>
      </w:r>
    </w:p>
    <w:p w:rsidR="00000000" w:rsidRDefault="00C96329">
      <w:pPr>
        <w:pStyle w:val="a3"/>
        <w:spacing w:before="0" w:beforeAutospacing="0" w:after="120" w:afterAutospacing="0"/>
        <w:divId w:val="885485501"/>
        <w:rPr>
          <w:sz w:val="20"/>
          <w:szCs w:val="20"/>
        </w:rPr>
      </w:pPr>
      <w:r>
        <w:rPr>
          <w:b/>
          <w:bCs/>
          <w:i/>
          <w:iCs/>
          <w:sz w:val="20"/>
          <w:szCs w:val="20"/>
        </w:rPr>
        <w:t>Changes in healthcare law and implementing regulations, including government restrictions on pricing and reimbursement, as well as healthcare policy and other healthcare payor cost-containmen</w:t>
      </w:r>
      <w:r>
        <w:rPr>
          <w:b/>
          <w:bCs/>
          <w:i/>
          <w:iCs/>
          <w:sz w:val="20"/>
          <w:szCs w:val="20"/>
        </w:rPr>
        <w:t>t initiatives, may negatively impact us, our collaboration partners, or those commercializing products with respect to which we have an economic interest or right to receive royalties.</w:t>
      </w:r>
    </w:p>
    <w:p w:rsidR="00000000" w:rsidRDefault="00C96329">
      <w:pPr>
        <w:pStyle w:val="a3"/>
        <w:spacing w:before="0" w:beforeAutospacing="0" w:after="200" w:afterAutospacing="0"/>
        <w:ind w:firstLine="720"/>
        <w:divId w:val="885485501"/>
        <w:rPr>
          <w:sz w:val="20"/>
          <w:szCs w:val="20"/>
        </w:rPr>
      </w:pPr>
      <w:r>
        <w:rPr>
          <w:sz w:val="20"/>
          <w:szCs w:val="20"/>
        </w:rPr>
        <w:t xml:space="preserve">The continuing efforts of the government, insurance companies, managed </w:t>
      </w:r>
      <w:r>
        <w:rPr>
          <w:sz w:val="20"/>
          <w:szCs w:val="20"/>
        </w:rPr>
        <w:t>care organizations and other payors of health care costs to contain or reduce costs of health care may adversely affect us, our collaboration partners, or those commercializing products with respect to which we have an economic interest or right to receive</w:t>
      </w:r>
      <w:r>
        <w:rPr>
          <w:sz w:val="20"/>
          <w:szCs w:val="20"/>
        </w:rPr>
        <w:t xml:space="preserve"> royalties in regard to one or more of the following:</w:t>
      </w:r>
    </w:p>
    <w:p w:rsidR="00000000" w:rsidRDefault="00C96329">
      <w:pPr>
        <w:pStyle w:val="a3"/>
        <w:spacing w:before="360" w:beforeAutospacing="0" w:after="0" w:afterAutospacing="0"/>
        <w:jc w:val="center"/>
        <w:divId w:val="1191407752"/>
        <w:rPr>
          <w:sz w:val="20"/>
          <w:szCs w:val="20"/>
        </w:rPr>
      </w:pPr>
      <w:r>
        <w:rPr>
          <w:sz w:val="20"/>
          <w:szCs w:val="20"/>
        </w:rPr>
        <w:t>61</w:t>
      </w:r>
    </w:p>
    <w:p w:rsidR="00000000" w:rsidRDefault="00C96329">
      <w:pPr>
        <w:pStyle w:val="a3"/>
        <w:spacing w:before="0" w:beforeAutospacing="0" w:after="600" w:afterAutospacing="0"/>
        <w:divId w:val="1468622562"/>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948"/>
      </w:tblGrid>
      <w:tr w:rsidR="00000000">
        <w:trPr>
          <w:divId w:val="1450856762"/>
        </w:trPr>
        <w:tc>
          <w:tcPr>
            <w:tcW w:w="720" w:type="dxa"/>
            <w:tcMar>
              <w:top w:w="0" w:type="dxa"/>
              <w:left w:w="0" w:type="dxa"/>
              <w:bottom w:w="0" w:type="dxa"/>
              <w:right w:w="0" w:type="dxa"/>
            </w:tcMar>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ability to set and collect a price believed to be reasonable for products;</w:t>
            </w:r>
          </w:p>
        </w:tc>
      </w:tr>
    </w:tbl>
    <w:p w:rsidR="00000000" w:rsidRDefault="00C96329">
      <w:pPr>
        <w:divId w:val="145085676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899"/>
      </w:tblGrid>
      <w:tr w:rsidR="00000000">
        <w:trPr>
          <w:divId w:val="1450856762"/>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ability to generate revenues and achieve profitability; and</w:t>
            </w:r>
          </w:p>
        </w:tc>
      </w:tr>
    </w:tbl>
    <w:p w:rsidR="00000000" w:rsidRDefault="00C96329">
      <w:pPr>
        <w:divId w:val="145085676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044"/>
      </w:tblGrid>
      <w:tr w:rsidR="00000000">
        <w:trPr>
          <w:divId w:val="1450856762"/>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availability of capital.</w:t>
            </w:r>
          </w:p>
        </w:tc>
      </w:tr>
    </w:tbl>
    <w:p w:rsidR="00000000" w:rsidRDefault="00C96329">
      <w:pPr>
        <w:pStyle w:val="a3"/>
        <w:spacing w:before="0" w:beforeAutospacing="0" w:after="200" w:afterAutospacing="0"/>
        <w:ind w:firstLine="720"/>
        <w:divId w:val="1450856762"/>
        <w:rPr>
          <w:sz w:val="20"/>
          <w:szCs w:val="20"/>
        </w:rPr>
      </w:pPr>
      <w:r>
        <w:rPr>
          <w:sz w:val="20"/>
          <w:szCs w:val="20"/>
        </w:rPr>
        <w:t>The pricing and reimbursement environment for products may change in the future and become more challenging due to, among other reasons, policies advanced by the current or new presidential administrations, federal agencies, new healthcare legislation pass</w:t>
      </w:r>
      <w:r>
        <w:rPr>
          <w:sz w:val="20"/>
          <w:szCs w:val="20"/>
        </w:rPr>
        <w:t xml:space="preserve">ed by Congress or fiscal challenges faced by all levels of government health administration authorities. Among policy makers and payors in the US and elsewhere, there is significant interest in promoting changes in healthcare systems with the stated goals </w:t>
      </w:r>
      <w:r>
        <w:rPr>
          <w:sz w:val="20"/>
          <w:szCs w:val="20"/>
        </w:rPr>
        <w:t>of containing healthcare costs, improving quality and expanding access to healthcare. In the US, the pharmaceutical industry has been a particular focus of these efforts and has been and may in the future be significantly affected by major legislative init</w:t>
      </w:r>
      <w:r>
        <w:rPr>
          <w:sz w:val="20"/>
          <w:szCs w:val="20"/>
        </w:rPr>
        <w:t xml:space="preserve">iatives. For instance, in the fourth quarter of 2018, the Centers for Medicare &amp; Medicaid Services (“CMS”), the federal agency that administers the Medicare and Medicaid programs, released an advance notice of proposed rule-making to solicit feedback on a </w:t>
      </w:r>
      <w:r>
        <w:rPr>
          <w:sz w:val="20"/>
          <w:szCs w:val="20"/>
        </w:rPr>
        <w:t>potential change in the way Medicare Part B pays for certain physician-administered drugs. Under Part B’s current reimbursement policy, for most drugs, Medicare pays providers the average sales price of the drug plus 6% (reduced to 4.3% as a result of sequ</w:t>
      </w:r>
      <w:r>
        <w:rPr>
          <w:sz w:val="20"/>
          <w:szCs w:val="20"/>
        </w:rPr>
        <w:t>estration). CMS is considering a methodology that would more closely align payment for these drugs with prices in certain countries (such as Canada, the UK, Japan, and Germany), allow private-sector vendors to negotiate prices, and pay providers a flat add</w:t>
      </w:r>
      <w:r>
        <w:rPr>
          <w:sz w:val="20"/>
          <w:szCs w:val="20"/>
        </w:rPr>
        <w:t>-on payment not tied to the price of the drug. We expect we, our collaboration partners or those commercializing products with respect to which we have an economic interest or right to receive royalties may experience pricing pressures in connection with t</w:t>
      </w:r>
      <w:r>
        <w:rPr>
          <w:sz w:val="20"/>
          <w:szCs w:val="20"/>
        </w:rPr>
        <w:t>he sale of drug products, due to the trend toward managed healthcare, the increasing influence of health maintenance organizations and additional legislative enactments.</w:t>
      </w:r>
    </w:p>
    <w:p w:rsidR="00000000" w:rsidRDefault="00C96329">
      <w:pPr>
        <w:pStyle w:val="a3"/>
        <w:spacing w:before="0" w:beforeAutospacing="0" w:after="200" w:afterAutospacing="0"/>
        <w:ind w:firstLine="720"/>
        <w:divId w:val="1450856762"/>
        <w:rPr>
          <w:sz w:val="20"/>
          <w:szCs w:val="20"/>
        </w:rPr>
      </w:pPr>
      <w:r>
        <w:rPr>
          <w:sz w:val="20"/>
          <w:szCs w:val="20"/>
        </w:rPr>
        <w:t>The Patient Protection and Affordable Care Act, as amended by the Health Care and Educ</w:t>
      </w:r>
      <w:r>
        <w:rPr>
          <w:sz w:val="20"/>
          <w:szCs w:val="20"/>
        </w:rPr>
        <w:t>ation Reconciliation Act of 2010 (together the “Healthcare Reform Act”), is a sweeping measure intended to expand healthcare coverage within the US, primarily through the imposition of health insurance mandates on employers and individuals, the provision o</w:t>
      </w:r>
      <w:r>
        <w:rPr>
          <w:sz w:val="20"/>
          <w:szCs w:val="20"/>
        </w:rPr>
        <w:t>f subsidies to eligible individuals enrolled in plans offered on the health insurance exchanges, and expansion of the Medicaid program. This law has substantially changed the way healthcare is financed by both governmental and private insurers and has sign</w:t>
      </w:r>
      <w:r>
        <w:rPr>
          <w:sz w:val="20"/>
          <w:szCs w:val="20"/>
        </w:rPr>
        <w:t>ificantly impacted the pharmaceutical industry. The Healthcare Reform Act contains a number of provisions that impact our business and operations, including those governing enrollment in federal healthcare programs, reimbursement changes, benefits for pati</w:t>
      </w:r>
      <w:r>
        <w:rPr>
          <w:sz w:val="20"/>
          <w:szCs w:val="20"/>
        </w:rPr>
        <w:t>ents within a coverage gap in the Medicare Part D prescription drug program (commonly known as the “donut hole”), rules regarding prescription drug benefits under the health insurance exchanges, changes to the Medicare Drug Rebate program, expansion of the</w:t>
      </w:r>
      <w:r>
        <w:rPr>
          <w:sz w:val="20"/>
          <w:szCs w:val="20"/>
        </w:rPr>
        <w:t xml:space="preserve"> Public Health Service Act’s 340B drug pricing program, fraud and abuse and enforcement. These changes have impacted previously existing government healthcare programs and have resulted in the development of new programs, including Medicare payment for per</w:t>
      </w:r>
      <w:r>
        <w:rPr>
          <w:sz w:val="20"/>
          <w:szCs w:val="20"/>
        </w:rPr>
        <w:t>formance initiatives and improvements to the physician quality reporting system and feedback program.</w:t>
      </w:r>
    </w:p>
    <w:p w:rsidR="00000000" w:rsidRDefault="00C96329">
      <w:pPr>
        <w:pStyle w:val="a3"/>
        <w:spacing w:before="0" w:beforeAutospacing="0" w:after="200" w:afterAutospacing="0"/>
        <w:ind w:firstLine="720"/>
        <w:divId w:val="1450856762"/>
        <w:rPr>
          <w:sz w:val="20"/>
          <w:szCs w:val="20"/>
        </w:rPr>
      </w:pPr>
      <w:r>
        <w:rPr>
          <w:sz w:val="20"/>
          <w:szCs w:val="20"/>
        </w:rPr>
        <w:t>In particular, CMS issued final regulations to implement the changes to the Medicaid Drug Rebate program under the Healthcare Reform Act. These regulation</w:t>
      </w:r>
      <w:r>
        <w:rPr>
          <w:sz w:val="20"/>
          <w:szCs w:val="20"/>
        </w:rPr>
        <w:t>s became effective on April 1, 2016. Congress could enact additional legislation that further increases Medicaid drug rebates or other costs and charges associated with participating in the Medicaid Drug Rebate program. The issuance of regulations and cove</w:t>
      </w:r>
      <w:r>
        <w:rPr>
          <w:sz w:val="20"/>
          <w:szCs w:val="20"/>
        </w:rPr>
        <w:t>rage expansion by various governmental agencies relating to the Medicaid Drug Rebate program has increased and will continue to increase the costs and the complexity of compliance, has been and will be time-consuming to implement, and could have a material</w:t>
      </w:r>
      <w:r>
        <w:rPr>
          <w:sz w:val="20"/>
          <w:szCs w:val="20"/>
        </w:rPr>
        <w:t xml:space="preserve"> adverse effect on results of operations for us, our collaboration partners, or those commercializing products with respect to which we have an economic interest or right to receive royalties, particularly if CMS challenges the approach we take in our impl</w:t>
      </w:r>
      <w:r>
        <w:rPr>
          <w:sz w:val="20"/>
          <w:szCs w:val="20"/>
        </w:rPr>
        <w:t>ementation of the final regulation.</w:t>
      </w:r>
    </w:p>
    <w:p w:rsidR="00000000" w:rsidRDefault="00C96329">
      <w:pPr>
        <w:pStyle w:val="a3"/>
        <w:spacing w:before="0" w:beforeAutospacing="0" w:after="200" w:afterAutospacing="0"/>
        <w:ind w:firstLine="720"/>
        <w:divId w:val="1450856762"/>
        <w:rPr>
          <w:sz w:val="20"/>
          <w:szCs w:val="20"/>
        </w:rPr>
      </w:pPr>
      <w:r>
        <w:rPr>
          <w:sz w:val="20"/>
          <w:szCs w:val="20"/>
        </w:rPr>
        <w:t>Some states have elected not to expand their Medicaid programs by raising the income limit to 133% of the federal poverty level, as is permitted under the Healthcare Reform Act. For each state that does not choose to exp</w:t>
      </w:r>
      <w:r>
        <w:rPr>
          <w:sz w:val="20"/>
          <w:szCs w:val="20"/>
        </w:rPr>
        <w:t>and its Medicaid program, there may be fewer insured patients overall, which could impact the sales, business and financial condition of us, our collaboration partners, or those commercializing products with respect to which we have an economic interest or</w:t>
      </w:r>
      <w:r>
        <w:rPr>
          <w:sz w:val="20"/>
          <w:szCs w:val="20"/>
        </w:rPr>
        <w:t xml:space="preserve"> right to receive royalties. Where Medicaid patients receive insurance coverage under any of the new options made available through the Healthcare Reform Act, manufacturers may be required to pay Medicaid rebates on drugs used under these circumstances, wh</w:t>
      </w:r>
      <w:r>
        <w:rPr>
          <w:sz w:val="20"/>
          <w:szCs w:val="20"/>
        </w:rPr>
        <w:t>ich could impact manufacturer revenues.</w:t>
      </w:r>
    </w:p>
    <w:p w:rsidR="00000000" w:rsidRDefault="00C96329">
      <w:pPr>
        <w:pStyle w:val="a3"/>
        <w:spacing w:before="360" w:beforeAutospacing="0" w:after="0" w:afterAutospacing="0"/>
        <w:jc w:val="center"/>
        <w:divId w:val="1004432154"/>
        <w:rPr>
          <w:sz w:val="20"/>
          <w:szCs w:val="20"/>
        </w:rPr>
      </w:pPr>
      <w:r>
        <w:rPr>
          <w:sz w:val="20"/>
          <w:szCs w:val="20"/>
        </w:rPr>
        <w:t>62</w:t>
      </w:r>
    </w:p>
    <w:p w:rsidR="00000000" w:rsidRDefault="00C96329">
      <w:pPr>
        <w:pStyle w:val="a3"/>
        <w:spacing w:before="0" w:beforeAutospacing="0" w:after="600" w:afterAutospacing="0"/>
        <w:divId w:val="1138567096"/>
        <w:rPr>
          <w:sz w:val="20"/>
          <w:szCs w:val="20"/>
        </w:rPr>
      </w:pPr>
      <w:hyperlink w:anchor="TOC" w:history="1">
        <w:r>
          <w:rPr>
            <w:rStyle w:val="a4"/>
            <w:sz w:val="20"/>
            <w:szCs w:val="20"/>
          </w:rPr>
          <w:t>Table of Contents</w:t>
        </w:r>
      </w:hyperlink>
    </w:p>
    <w:p w:rsidR="00000000" w:rsidRDefault="00C96329">
      <w:pPr>
        <w:pStyle w:val="a3"/>
        <w:spacing w:before="0" w:beforeAutospacing="0" w:after="200" w:afterAutospacing="0"/>
        <w:ind w:firstLine="720"/>
        <w:divId w:val="1547133688"/>
        <w:rPr>
          <w:sz w:val="20"/>
          <w:szCs w:val="20"/>
        </w:rPr>
      </w:pPr>
      <w:r>
        <w:rPr>
          <w:sz w:val="20"/>
          <w:szCs w:val="20"/>
        </w:rPr>
        <w:t>Certain provisions of the Healthcare Reform Act have been subject to judicial challenges as well as efforts to repeal or replace them or to alter their interpretation or</w:t>
      </w:r>
      <w:r>
        <w:rPr>
          <w:sz w:val="20"/>
          <w:szCs w:val="20"/>
        </w:rPr>
        <w:t xml:space="preserve"> implementation. For example, the Tax Cuts and Jobs Act enacted on December 22, 2017 (the “Tax Act”), eliminated the shared responsibility payment for individuals who fail to maintain minimum essential coverage under section 5000A of the Internal Revenue C</w:t>
      </w:r>
      <w:r>
        <w:rPr>
          <w:sz w:val="20"/>
          <w:szCs w:val="20"/>
        </w:rPr>
        <w:t>ode of 1986, commonly referred to as the individual mandate, effective January 1, 2019. In December 2018, a United States District Court Judge for the Northern District of Texas ruled (i) that the “individual mandate” was unconstitutional as a result of th</w:t>
      </w:r>
      <w:r>
        <w:rPr>
          <w:sz w:val="20"/>
          <w:szCs w:val="20"/>
        </w:rPr>
        <w:t>e associated tax penalty being repealed by Congress as part of the Tax Act; and (ii) the individual mandate is not severable from the rest of the ACA, and as a result the entire Healthcare Reform Act is invalid. On December 18, 2019, the US Court of Appeal</w:t>
      </w:r>
      <w:r>
        <w:rPr>
          <w:sz w:val="20"/>
          <w:szCs w:val="20"/>
        </w:rPr>
        <w:t>s for the Fifth Circuit affirmed the district court’s decision that the individual mandate is unconstitutional, but remanded the case to the district court to reconsider the severability question. It is unclear how the ultimate decision in this case, or ot</w:t>
      </w:r>
      <w:r>
        <w:rPr>
          <w:sz w:val="20"/>
          <w:szCs w:val="20"/>
        </w:rPr>
        <w:t>her efforts to repeal, replace, or invalidate the Healthcare Reform Act or its implementing regulations, or portions thereof, will affect the Healthcare Reform Act or our business. Additional legislative changes to and regulatory changes under the Healthca</w:t>
      </w:r>
      <w:r>
        <w:rPr>
          <w:sz w:val="20"/>
          <w:szCs w:val="20"/>
        </w:rPr>
        <w:t>re Reform Act remain possible, but the nature and extent of such potential additional changes are uncertain at this time. We expect that the Healthcare Reform Act, its implementation, efforts to repeal or replace, or invalidate the Healthcare Reform Act, o</w:t>
      </w:r>
      <w:r>
        <w:rPr>
          <w:sz w:val="20"/>
          <w:szCs w:val="20"/>
        </w:rPr>
        <w:t xml:space="preserve">r portions thereof, and other healthcare reform measures that may be adopted in the future, could have a material adverse effect on our industry generally and on the ability of us, our collaboration partners, or those commercializing products with respect </w:t>
      </w:r>
      <w:r>
        <w:rPr>
          <w:sz w:val="20"/>
          <w:szCs w:val="20"/>
        </w:rPr>
        <w:t>to which we have an economic interest or right to receive royalties to maintain or increase sales of existing products or to successfully commercialize product candidates, if approved.</w:t>
      </w:r>
    </w:p>
    <w:p w:rsidR="00000000" w:rsidRDefault="00C96329">
      <w:pPr>
        <w:pStyle w:val="a3"/>
        <w:spacing w:before="0" w:beforeAutospacing="0" w:after="200" w:afterAutospacing="0"/>
        <w:ind w:firstLine="720"/>
        <w:divId w:val="1547133688"/>
        <w:rPr>
          <w:sz w:val="20"/>
          <w:szCs w:val="20"/>
        </w:rPr>
      </w:pPr>
      <w:r>
        <w:rPr>
          <w:sz w:val="20"/>
          <w:szCs w:val="20"/>
        </w:rPr>
        <w:t>In addition, there have been proposals to modify the Medicare Part D be</w:t>
      </w:r>
      <w:r>
        <w:rPr>
          <w:sz w:val="20"/>
          <w:szCs w:val="20"/>
        </w:rPr>
        <w:t>nefit, including by imposing federally-mandated rebates on all drugs dispensed to Medicare Part D enrollees or on only those drugs dispensed to certain groups of lower income beneficiaries. If any of these proposals are adopted including any that result in</w:t>
      </w:r>
      <w:r>
        <w:rPr>
          <w:sz w:val="20"/>
          <w:szCs w:val="20"/>
        </w:rPr>
        <w:t xml:space="preserve"> additional rebates, this could have a negative impact on revenues for our collaboration partners, or those commercializing products with respect to which we have an economic interest or right to receive royalties, which could impact our revenues.</w:t>
      </w:r>
    </w:p>
    <w:p w:rsidR="00000000" w:rsidRDefault="00C96329">
      <w:pPr>
        <w:pStyle w:val="a3"/>
        <w:spacing w:before="0" w:beforeAutospacing="0" w:after="200" w:afterAutospacing="0"/>
        <w:ind w:firstLine="720"/>
        <w:divId w:val="1547133688"/>
        <w:rPr>
          <w:sz w:val="20"/>
          <w:szCs w:val="20"/>
        </w:rPr>
      </w:pPr>
      <w:r>
        <w:rPr>
          <w:sz w:val="20"/>
          <w:szCs w:val="20"/>
        </w:rPr>
        <w:t>On Augus</w:t>
      </w:r>
      <w:r>
        <w:rPr>
          <w:sz w:val="20"/>
          <w:szCs w:val="20"/>
        </w:rPr>
        <w:t>t 2, 2011, the Budget Control Act of 2011, among other things, created the Joint Select Committee on Deficit Reduction to recommend to Congress proposals for spending reductions. The Joint Select Committee did not achieve a targeted deficit reduction, whic</w:t>
      </w:r>
      <w:r>
        <w:rPr>
          <w:sz w:val="20"/>
          <w:szCs w:val="20"/>
        </w:rPr>
        <w:t>h triggered the legislation’s automatic reductions. In concert with subsequent legislation, this has resulted in aggregate reductions to Medicare payments to providers of, on average, 2% per fiscal year through 2027 unless Congress takes additional action.</w:t>
      </w:r>
      <w:r>
        <w:rPr>
          <w:sz w:val="20"/>
          <w:szCs w:val="20"/>
        </w:rPr>
        <w:t xml:space="preserve"> As long as these cuts remain in effect, they could adversely impact payment for any products that are reimbursed under Medicare. We expect that additional state and federal healthcare reform measures will be adopted in the future, any of which could limit</w:t>
      </w:r>
      <w:r>
        <w:rPr>
          <w:sz w:val="20"/>
          <w:szCs w:val="20"/>
        </w:rPr>
        <w:t xml:space="preserve"> the amounts that federal and state governments will pay for healthcare products and services, which could result in reduced demand for product or additional pricing pressures for our collaboration partners, or those commercializing products with respect t</w:t>
      </w:r>
      <w:r>
        <w:rPr>
          <w:sz w:val="20"/>
          <w:szCs w:val="20"/>
        </w:rPr>
        <w:t>o which we have an economic interest or right to receive royalties, which could impact our revenues.</w:t>
      </w:r>
    </w:p>
    <w:p w:rsidR="00000000" w:rsidRDefault="00C96329">
      <w:pPr>
        <w:pStyle w:val="a3"/>
        <w:spacing w:before="0" w:beforeAutospacing="0" w:after="120" w:afterAutospacing="0"/>
        <w:divId w:val="1547133688"/>
        <w:rPr>
          <w:sz w:val="20"/>
          <w:szCs w:val="20"/>
        </w:rPr>
      </w:pPr>
      <w:r>
        <w:rPr>
          <w:b/>
          <w:bCs/>
          <w:i/>
          <w:iCs/>
          <w:sz w:val="20"/>
          <w:szCs w:val="20"/>
        </w:rPr>
        <w:t>If we failed to comply with our reporting and payment obligations under the Medicaid Drug Rebate program or other governmental pricing programs, we could b</w:t>
      </w:r>
      <w:r>
        <w:rPr>
          <w:b/>
          <w:bCs/>
          <w:i/>
          <w:iCs/>
          <w:sz w:val="20"/>
          <w:szCs w:val="20"/>
        </w:rPr>
        <w:t>e subject to additional reimbursement requirements, penalties, sanctions and fines, which could have a material adverse effect on our business, financial condition, results of operations and growth prospects.</w:t>
      </w:r>
    </w:p>
    <w:p w:rsidR="00000000" w:rsidRDefault="00C96329">
      <w:pPr>
        <w:pStyle w:val="a3"/>
        <w:spacing w:before="0" w:beforeAutospacing="0" w:after="200" w:afterAutospacing="0"/>
        <w:ind w:firstLine="720"/>
        <w:divId w:val="1547133688"/>
        <w:rPr>
          <w:sz w:val="20"/>
          <w:szCs w:val="20"/>
        </w:rPr>
      </w:pPr>
      <w:r>
        <w:rPr>
          <w:sz w:val="20"/>
          <w:szCs w:val="20"/>
        </w:rPr>
        <w:t xml:space="preserve">Prior to the sale of VIBATIV to Cumberland, we </w:t>
      </w:r>
      <w:r>
        <w:rPr>
          <w:sz w:val="20"/>
          <w:szCs w:val="20"/>
        </w:rPr>
        <w:t>had certain price reporting obligations to the Medicaid Drug Rebate program and other governmental pricing programs, and we had obligations to report average sales price under the Medicare program. Following the consummation of the transaction with Cumberl</w:t>
      </w:r>
      <w:r>
        <w:rPr>
          <w:sz w:val="20"/>
          <w:szCs w:val="20"/>
        </w:rPr>
        <w:t>and, our price reporting obligations related to VIBATIV have been transitioned to Cumberland, and price reporting obligations for YUPELRI reside with Mylan. However, we retain liability related to price reporting for VIBATIV for historic periods.</w:t>
      </w:r>
    </w:p>
    <w:p w:rsidR="00000000" w:rsidRDefault="00C96329">
      <w:pPr>
        <w:pStyle w:val="a3"/>
        <w:spacing w:before="0" w:beforeAutospacing="0" w:after="200" w:afterAutospacing="0"/>
        <w:ind w:firstLine="720"/>
        <w:divId w:val="1547133688"/>
        <w:rPr>
          <w:sz w:val="20"/>
          <w:szCs w:val="20"/>
        </w:rPr>
      </w:pPr>
      <w:r>
        <w:rPr>
          <w:sz w:val="20"/>
          <w:szCs w:val="20"/>
        </w:rPr>
        <w:t>Under the</w:t>
      </w:r>
      <w:r>
        <w:rPr>
          <w:sz w:val="20"/>
          <w:szCs w:val="20"/>
        </w:rPr>
        <w:t xml:space="preserve"> Medicaid Drug Rebate program, a manufacturer is required to pay a rebate to each state Medicaid program for its covered outpatient drugs that are dispensed to Medicaid beneficiaries and paid for by a state Medicaid program as a condition of having federal</w:t>
      </w:r>
      <w:r>
        <w:rPr>
          <w:sz w:val="20"/>
          <w:szCs w:val="20"/>
        </w:rPr>
        <w:t xml:space="preserve"> funds being made available to the states for our drugs under Medicaid and Medicare Part B. Those rebates are based on pricing data reported by the manufacturer on a monthly and quarterly basis to CMS, the federal agency that administers the Medicaid Drug </w:t>
      </w:r>
      <w:r>
        <w:rPr>
          <w:sz w:val="20"/>
          <w:szCs w:val="20"/>
        </w:rPr>
        <w:t>Rebate program. These data include the average manufacturer price and, in the case of innovator products, the best price for each drug which, in general, represents the lowest price available from the manufacturer to any entity in the US in any pricing str</w:t>
      </w:r>
      <w:r>
        <w:rPr>
          <w:sz w:val="20"/>
          <w:szCs w:val="20"/>
        </w:rPr>
        <w:t>ucture, calculated to include all sales and associated rebates, discounts and other price concessions.</w:t>
      </w:r>
    </w:p>
    <w:p w:rsidR="00000000" w:rsidRDefault="00C96329">
      <w:pPr>
        <w:pStyle w:val="a3"/>
        <w:spacing w:before="360" w:beforeAutospacing="0" w:after="0" w:afterAutospacing="0"/>
        <w:jc w:val="center"/>
        <w:divId w:val="1866408320"/>
        <w:rPr>
          <w:sz w:val="20"/>
          <w:szCs w:val="20"/>
        </w:rPr>
      </w:pPr>
      <w:r>
        <w:rPr>
          <w:sz w:val="20"/>
          <w:szCs w:val="20"/>
        </w:rPr>
        <w:t>63</w:t>
      </w:r>
    </w:p>
    <w:p w:rsidR="00000000" w:rsidRDefault="00C96329">
      <w:pPr>
        <w:pStyle w:val="a3"/>
        <w:spacing w:before="0" w:beforeAutospacing="0" w:after="600" w:afterAutospacing="0"/>
        <w:divId w:val="1114405626"/>
        <w:rPr>
          <w:sz w:val="20"/>
          <w:szCs w:val="20"/>
        </w:rPr>
      </w:pPr>
      <w:hyperlink w:anchor="TOC" w:history="1">
        <w:r>
          <w:rPr>
            <w:rStyle w:val="a4"/>
            <w:sz w:val="20"/>
            <w:szCs w:val="20"/>
          </w:rPr>
          <w:t>Table of Contents</w:t>
        </w:r>
      </w:hyperlink>
    </w:p>
    <w:p w:rsidR="00000000" w:rsidRDefault="00C96329">
      <w:pPr>
        <w:pStyle w:val="a3"/>
        <w:spacing w:before="0" w:beforeAutospacing="0" w:after="200" w:afterAutospacing="0"/>
        <w:ind w:firstLine="720"/>
        <w:divId w:val="1742948782"/>
        <w:rPr>
          <w:sz w:val="20"/>
          <w:szCs w:val="20"/>
        </w:rPr>
      </w:pPr>
      <w:r>
        <w:rPr>
          <w:sz w:val="20"/>
          <w:szCs w:val="20"/>
        </w:rPr>
        <w:t>Federal law requires that any company that participates in the Medicaid Drug Rebate program also participa</w:t>
      </w:r>
      <w:r>
        <w:rPr>
          <w:sz w:val="20"/>
          <w:szCs w:val="20"/>
        </w:rPr>
        <w:t>te in the Public Health Service’s 340B drug pricing program in order for federal funds to be available for the manufacturer’s drugs under Medicaid and Medicare Part B. The 340B program requires participating manufacturers to agree to charge no more than th</w:t>
      </w:r>
      <w:r>
        <w:rPr>
          <w:sz w:val="20"/>
          <w:szCs w:val="20"/>
        </w:rPr>
        <w:t xml:space="preserve">e 340B “ceiling price” for the manufacturer’s covered outpatient drugs to a variety of community health clinics and other entities that receive health services grants from the Public Health Service, as well as hospitals that serve a disproportionate share </w:t>
      </w:r>
      <w:r>
        <w:rPr>
          <w:sz w:val="20"/>
          <w:szCs w:val="20"/>
        </w:rPr>
        <w:t>of low-income patients. Manufacturers also are required to report their 340B ceiling prices to HRSA on a quarterly basis. A final regulation regarding the calculation of the 340B ceiling price and the imposition of civil monetary penalties on manufacturers</w:t>
      </w:r>
      <w:r>
        <w:rPr>
          <w:sz w:val="20"/>
          <w:szCs w:val="20"/>
        </w:rPr>
        <w:t xml:space="preserve"> that knowingly and intentionally overcharge covered entities became effective on January 1, 2019.</w:t>
      </w:r>
    </w:p>
    <w:p w:rsidR="00000000" w:rsidRDefault="00C96329">
      <w:pPr>
        <w:pStyle w:val="a3"/>
        <w:spacing w:before="0" w:beforeAutospacing="0" w:after="200" w:afterAutospacing="0"/>
        <w:ind w:firstLine="720"/>
        <w:divId w:val="1742948782"/>
        <w:rPr>
          <w:sz w:val="20"/>
          <w:szCs w:val="20"/>
        </w:rPr>
      </w:pPr>
      <w:r>
        <w:rPr>
          <w:sz w:val="20"/>
          <w:szCs w:val="20"/>
        </w:rPr>
        <w:t>Federal law also requires that a company that participates in the Medicaid Drug Rebate program report average sales price information each quarter to CMS for certain categories of drugs that are paid under the Medicare Part B program. Manufacturers calcula</w:t>
      </w:r>
      <w:r>
        <w:rPr>
          <w:sz w:val="20"/>
          <w:szCs w:val="20"/>
        </w:rPr>
        <w:t>te the average sales price based on a statutorily defined formula as well as regulations and interpretations of the statute by CMS. CMS uses these submissions to determine payment rates for drugs under Medicare Part B.</w:t>
      </w:r>
    </w:p>
    <w:p w:rsidR="00000000" w:rsidRDefault="00C96329">
      <w:pPr>
        <w:pStyle w:val="a3"/>
        <w:spacing w:before="0" w:beforeAutospacing="0" w:after="200" w:afterAutospacing="0"/>
        <w:ind w:firstLine="720"/>
        <w:divId w:val="1742948782"/>
        <w:rPr>
          <w:sz w:val="20"/>
          <w:szCs w:val="20"/>
        </w:rPr>
      </w:pPr>
      <w:r>
        <w:rPr>
          <w:sz w:val="20"/>
          <w:szCs w:val="20"/>
        </w:rPr>
        <w:t xml:space="preserve">Pricing and rebate calculations vary </w:t>
      </w:r>
      <w:r>
        <w:rPr>
          <w:sz w:val="20"/>
          <w:szCs w:val="20"/>
        </w:rPr>
        <w:t xml:space="preserve">across products and programs, are complex, and are often subject to interpretation by the manufacturer, governmental or regulatory agencies and the courts. A manufacturer that becomes aware that its Medicaid reporting for a prior quarter was incorrect, or </w:t>
      </w:r>
      <w:r>
        <w:rPr>
          <w:sz w:val="20"/>
          <w:szCs w:val="20"/>
        </w:rPr>
        <w:t>has changed as a result of recalculation of the pricing data, is are obligated to resubmit the corrected data for up to three years after those data originally were due. Such restatements and recalculations increase the costs for complying with the laws an</w:t>
      </w:r>
      <w:r>
        <w:rPr>
          <w:sz w:val="20"/>
          <w:szCs w:val="20"/>
        </w:rPr>
        <w:t>d regulations governing the Medicaid Drug Rebate program and could result in an overage or underage in our rebate liability for past quarters. Price recalculations also may affect the 340B ceiling price.</w:t>
      </w:r>
    </w:p>
    <w:p w:rsidR="00000000" w:rsidRDefault="00C96329">
      <w:pPr>
        <w:pStyle w:val="a3"/>
        <w:spacing w:before="0" w:beforeAutospacing="0" w:after="200" w:afterAutospacing="0"/>
        <w:ind w:firstLine="720"/>
        <w:divId w:val="1742948782"/>
        <w:rPr>
          <w:sz w:val="20"/>
          <w:szCs w:val="20"/>
        </w:rPr>
      </w:pPr>
      <w:r>
        <w:rPr>
          <w:sz w:val="20"/>
          <w:szCs w:val="20"/>
        </w:rPr>
        <w:t>We are liable for errors associated with our submiss</w:t>
      </w:r>
      <w:r>
        <w:rPr>
          <w:sz w:val="20"/>
          <w:szCs w:val="20"/>
        </w:rPr>
        <w:t>ion of pricing data. In addition to retroactive rebates and the potential for 340B program refunds, if we are found to have knowingly submitted any false price information to the government, we may be liable for significant civil monetary penalties per ite</w:t>
      </w:r>
      <w:r>
        <w:rPr>
          <w:sz w:val="20"/>
          <w:szCs w:val="20"/>
        </w:rPr>
        <w:t>m of false information. If we are found to have made a misrepresentation in the reporting of our average sales price, the Medicare statute provides for significant civil monetary penalties for each misrepresentation for each day in which the misrepresentat</w:t>
      </w:r>
      <w:r>
        <w:rPr>
          <w:sz w:val="20"/>
          <w:szCs w:val="20"/>
        </w:rPr>
        <w:t>ion was applied. If we are found to have charged 340B covered entities more than the statutorily mandated ceiling price, we could be subject to significant civil monetary penalties. Our failure to submit the required price data on a timely basis could resu</w:t>
      </w:r>
      <w:r>
        <w:rPr>
          <w:sz w:val="20"/>
          <w:szCs w:val="20"/>
        </w:rPr>
        <w:t>lt in a significant civil monetary penalty per day for each day the information is late beyond the due date. Such failure also could be grounds for CMS to terminate our Medicaid drug rebate agreement, pursuant to which we participate in the Medicaid progra</w:t>
      </w:r>
      <w:r>
        <w:rPr>
          <w:sz w:val="20"/>
          <w:szCs w:val="20"/>
        </w:rPr>
        <w:t>m. In the event that CMS terminates our rebate agreement, federal payments may not be available under Medicaid or Medicare Part B for our covered outpatient drugs.</w:t>
      </w:r>
    </w:p>
    <w:p w:rsidR="00000000" w:rsidRDefault="00C96329">
      <w:pPr>
        <w:pStyle w:val="a3"/>
        <w:spacing w:before="0" w:beforeAutospacing="0" w:after="200" w:afterAutospacing="0"/>
        <w:ind w:firstLine="720"/>
        <w:divId w:val="1742948782"/>
        <w:rPr>
          <w:sz w:val="20"/>
          <w:szCs w:val="20"/>
        </w:rPr>
      </w:pPr>
      <w:r>
        <w:rPr>
          <w:sz w:val="20"/>
          <w:szCs w:val="20"/>
        </w:rPr>
        <w:t xml:space="preserve">In order to be eligible to have its products paid for with federal funds under the Medicaid </w:t>
      </w:r>
      <w:r>
        <w:rPr>
          <w:sz w:val="20"/>
          <w:szCs w:val="20"/>
        </w:rPr>
        <w:t>and Medicare Part B programs and purchased by the Department of Veterans Affairs (“VA”), Department of Defense (“DoD”), Public Health Service, and Coast Guard (the “Big Four agencies”) and certain federal grantees, a manufacturer is required to participate</w:t>
      </w:r>
      <w:r>
        <w:rPr>
          <w:sz w:val="20"/>
          <w:szCs w:val="20"/>
        </w:rPr>
        <w:t xml:space="preserve"> in the VA Federal Supply Schedule (“FSS”) pricing program, established under Section 603 of the Veterans Health Care Act of 1992. Under this program, the manufacturer is obligated to make its covered drugs available for procurement on an FSS contract and </w:t>
      </w:r>
      <w:r>
        <w:rPr>
          <w:sz w:val="20"/>
          <w:szCs w:val="20"/>
        </w:rPr>
        <w:t>charge a price to the Big Four agencies that is no higher than the Federal Ceiling Price (“FCP”), which is a price calculated pursuant to a statutory formula. The FCP is derived from a calculated price point called the “non-federal average manufacturer pri</w:t>
      </w:r>
      <w:r>
        <w:rPr>
          <w:sz w:val="20"/>
          <w:szCs w:val="20"/>
        </w:rPr>
        <w:t>ce” (“Non-FAMP”), which the manufacturer calculates and reports to the VA on a quarterly and annual basis. Pursuant to applicable law, knowing provision of false information in connection with a Non-FAMP filing can subject a manufacturer to significant pen</w:t>
      </w:r>
      <w:r>
        <w:rPr>
          <w:sz w:val="20"/>
          <w:szCs w:val="20"/>
        </w:rPr>
        <w:t>alties for each item of false information. The FSS contract also contains extensive disclosure and certification requirements.</w:t>
      </w:r>
    </w:p>
    <w:p w:rsidR="00000000" w:rsidRDefault="00C96329">
      <w:pPr>
        <w:pStyle w:val="a3"/>
        <w:spacing w:before="0" w:beforeAutospacing="0" w:after="200" w:afterAutospacing="0"/>
        <w:ind w:firstLine="720"/>
        <w:divId w:val="1742948782"/>
        <w:rPr>
          <w:sz w:val="20"/>
          <w:szCs w:val="20"/>
        </w:rPr>
      </w:pPr>
      <w:r>
        <w:rPr>
          <w:sz w:val="20"/>
          <w:szCs w:val="20"/>
        </w:rPr>
        <w:t>Under Section 703 of the National Defense Authorization Act for FY 2008, the manufacturer is required to pay quarterly rebates to</w:t>
      </w:r>
      <w:r>
        <w:rPr>
          <w:sz w:val="20"/>
          <w:szCs w:val="20"/>
        </w:rPr>
        <w:t xml:space="preserve"> DoD on utilization of its innovator products that are dispensed through DoD’s Tricare network pharmacies to Tricare beneficiaries. The rebates are calculated as the difference between the annual Non-FAMP and FCP for the calendar year that the product was </w:t>
      </w:r>
      <w:r>
        <w:rPr>
          <w:sz w:val="20"/>
          <w:szCs w:val="20"/>
        </w:rPr>
        <w:t>dispensed. A manufacturer that overcharges the government in connection with the FSS contract or Tricare Retail Pharmacy Rebate Program, whether due to a misstated FCP or otherwise, is required to refund the difference to the government. Failure to make ne</w:t>
      </w:r>
      <w:r>
        <w:rPr>
          <w:sz w:val="20"/>
          <w:szCs w:val="20"/>
        </w:rPr>
        <w:t>cessary disclosures and/or to identify contract overcharges can result in allegations against us under the False Claims Act and other laws and regulations.</w:t>
      </w:r>
    </w:p>
    <w:p w:rsidR="00000000" w:rsidRDefault="00C96329">
      <w:pPr>
        <w:pStyle w:val="a3"/>
        <w:spacing w:before="360" w:beforeAutospacing="0" w:after="0" w:afterAutospacing="0"/>
        <w:jc w:val="center"/>
        <w:divId w:val="1148399874"/>
        <w:rPr>
          <w:sz w:val="20"/>
          <w:szCs w:val="20"/>
        </w:rPr>
      </w:pPr>
      <w:r>
        <w:rPr>
          <w:sz w:val="20"/>
          <w:szCs w:val="20"/>
        </w:rPr>
        <w:t>64</w:t>
      </w:r>
    </w:p>
    <w:p w:rsidR="00000000" w:rsidRDefault="00C96329">
      <w:pPr>
        <w:pStyle w:val="a3"/>
        <w:spacing w:before="0" w:beforeAutospacing="0" w:after="600" w:afterAutospacing="0"/>
        <w:divId w:val="231241194"/>
        <w:rPr>
          <w:sz w:val="20"/>
          <w:szCs w:val="20"/>
        </w:rPr>
      </w:pPr>
      <w:hyperlink w:anchor="TOC" w:history="1">
        <w:r>
          <w:rPr>
            <w:rStyle w:val="a4"/>
            <w:sz w:val="20"/>
            <w:szCs w:val="20"/>
          </w:rPr>
          <w:t>Table of Contents</w:t>
        </w:r>
      </w:hyperlink>
    </w:p>
    <w:p w:rsidR="00000000" w:rsidRDefault="00C96329">
      <w:pPr>
        <w:pStyle w:val="a3"/>
        <w:spacing w:before="0" w:beforeAutospacing="0" w:after="120" w:afterAutospacing="0"/>
        <w:divId w:val="1979844164"/>
        <w:rPr>
          <w:sz w:val="20"/>
          <w:szCs w:val="20"/>
        </w:rPr>
      </w:pPr>
      <w:r>
        <w:rPr>
          <w:b/>
          <w:bCs/>
          <w:i/>
          <w:iCs/>
          <w:sz w:val="20"/>
          <w:szCs w:val="20"/>
        </w:rPr>
        <w:t>Our relationships with customers and third-party payo</w:t>
      </w:r>
      <w:r>
        <w:rPr>
          <w:b/>
          <w:bCs/>
          <w:i/>
          <w:iCs/>
          <w:sz w:val="20"/>
          <w:szCs w:val="20"/>
        </w:rPr>
        <w:t xml:space="preserve">rs are subject to applicable anti-kickback, fraud and abuse, transparency and other healthcare laws and regulations, which could expose us to criminal sanctions, civil penalties, exclusion, contractual damages, reputational harm and diminished profits and </w:t>
      </w:r>
      <w:r>
        <w:rPr>
          <w:b/>
          <w:bCs/>
          <w:i/>
          <w:iCs/>
          <w:sz w:val="20"/>
          <w:szCs w:val="20"/>
        </w:rPr>
        <w:t>future earnings.</w:t>
      </w:r>
    </w:p>
    <w:p w:rsidR="00000000" w:rsidRDefault="00C96329">
      <w:pPr>
        <w:pStyle w:val="a3"/>
        <w:spacing w:before="0" w:beforeAutospacing="0" w:after="200" w:afterAutospacing="0"/>
        <w:ind w:firstLine="720"/>
        <w:divId w:val="1979844164"/>
        <w:rPr>
          <w:sz w:val="20"/>
          <w:szCs w:val="20"/>
        </w:rPr>
      </w:pPr>
      <w:r>
        <w:rPr>
          <w:sz w:val="20"/>
          <w:szCs w:val="20"/>
        </w:rPr>
        <w:t>Healthcare providers, physicians, distributors and third-party payors play a primary role in the distribution, recommendation and prescription of any pharmaceutical product for which we obtain marketing approval. Our arrangements with thir</w:t>
      </w:r>
      <w:r>
        <w:rPr>
          <w:sz w:val="20"/>
          <w:szCs w:val="20"/>
        </w:rPr>
        <w:t>d-party payors and customers expose us to broadly applicable fraud and abuse and other healthcare laws and regulations that may constrain the business or financial arrangements through which we market, sell and distribute any products for which we have obt</w:t>
      </w:r>
      <w:r>
        <w:rPr>
          <w:sz w:val="20"/>
          <w:szCs w:val="20"/>
        </w:rPr>
        <w:t>ained or may obtain marketing approval. Restrictions under applicable federal and state healthcare laws and regulations include the following: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79844164"/>
        </w:trPr>
        <w:tc>
          <w:tcPr>
            <w:tcW w:w="720" w:type="dxa"/>
            <w:tcMar>
              <w:top w:w="0" w:type="dxa"/>
              <w:left w:w="0" w:type="dxa"/>
              <w:bottom w:w="0" w:type="dxa"/>
              <w:right w:w="0" w:type="dxa"/>
            </w:tcMar>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US federal healthcare Anti-Kickback Statute prohibits any person from, among other things, knowingly and w</w:t>
            </w:r>
            <w:r>
              <w:rPr>
                <w:sz w:val="20"/>
                <w:szCs w:val="20"/>
              </w:rPr>
              <w:t>illfully offering, paying, soliciting, or receiving remuneration, directly or indirectly, in cash or in kind, to induce or reward either the referral of an individual for, or the purchasing, leasing, ordering or arranging for or recommending of any good or</w:t>
            </w:r>
            <w:r>
              <w:rPr>
                <w:sz w:val="20"/>
                <w:szCs w:val="20"/>
              </w:rPr>
              <w:t xml:space="preserve"> service for which payment may be made, in whole or in part, under federal and state healthcare programs such as Medicare and Medicaid. The term “remuneration” has been broadly interpreted to include anything of value. The Anti-Kickback Statute is subject </w:t>
            </w:r>
            <w:r>
              <w:rPr>
                <w:sz w:val="20"/>
                <w:szCs w:val="20"/>
              </w:rPr>
              <w:t>to evolving interpretation and has been applied by government enforcement officials to a number of common business arrangements in the pharmaceutical industry. The government can establish a violation of the Anti-Kickback Statute without proving that a per</w:t>
            </w:r>
            <w:r>
              <w:rPr>
                <w:sz w:val="20"/>
                <w:szCs w:val="20"/>
              </w:rPr>
              <w:t>son or entity had actual knowledge of the statute or specific intent to violate it. There are a number of statutory exemptions and regulatory safe harbors protecting some common activities from prosecution; however, those exceptions and safe harbors are dr</w:t>
            </w:r>
            <w:r>
              <w:rPr>
                <w:sz w:val="20"/>
                <w:szCs w:val="20"/>
              </w:rPr>
              <w:t>awn narrowly. Failure to meet all of the requirements of a particular statutory exception or regulatory safe harbor does not make the conduct per se illegal under the Anti-Kickback Statute, but the legality of the arrangement will be evaluated on a case-by</w:t>
            </w:r>
            <w:r>
              <w:rPr>
                <w:sz w:val="20"/>
                <w:szCs w:val="20"/>
              </w:rPr>
              <w:t xml:space="preserve">-case basis based on the totality of the facts and circumstances. We seek to comply with the available statutory exemptions and safe harbors whenever possible, but our practices may not in all cases meet all of the criteria for safe harbor protection from </w:t>
            </w:r>
            <w:r>
              <w:rPr>
                <w:sz w:val="20"/>
                <w:szCs w:val="20"/>
              </w:rPr>
              <w:t>anti-kickback liability. Moreover, there are no safe harbors for many common practices, such as educational and research grants or patient or product assistance programs. In October 2019, the federal government published a proposed regulation that would cr</w:t>
            </w:r>
            <w:r>
              <w:rPr>
                <w:sz w:val="20"/>
                <w:szCs w:val="20"/>
              </w:rPr>
              <w:t>eate new safe harbors for (among other things) certain value-based arrangements and patient engagement tools and modify and clarify the scope of existing safe harbors for warranties and personal service agreements; even if it is finalized, the impact of th</w:t>
            </w:r>
            <w:r>
              <w:rPr>
                <w:sz w:val="20"/>
                <w:szCs w:val="20"/>
              </w:rPr>
              <w:t>e proposed regulation on our operations is not yet clear.</w:t>
            </w:r>
          </w:p>
        </w:tc>
      </w:tr>
    </w:tbl>
    <w:p w:rsidR="00000000" w:rsidRDefault="00C96329">
      <w:pPr>
        <w:divId w:val="197984416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79844164"/>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0"/>
                <w:szCs w:val="20"/>
              </w:rPr>
              <w:t>The federal civil False Claims Act prohibits, among other things, knowingly presenting, or causing to be presented, claims for payment of government funds that are false or fraudulent, or knowi</w:t>
            </w:r>
            <w:r>
              <w:rPr>
                <w:sz w:val="20"/>
                <w:szCs w:val="20"/>
              </w:rPr>
              <w:t>ngly making, or using or causing to be made or used, a false record or statement material to a false or fraudulent claim to avoid, decrease, or conceal an obligation to pay money to the federal government. Private individuals, commonly known as “whistleblo</w:t>
            </w:r>
            <w:r>
              <w:rPr>
                <w:sz w:val="20"/>
                <w:szCs w:val="20"/>
              </w:rPr>
              <w:t xml:space="preserve">wers,” can bring civil False Claims Act </w:t>
            </w:r>
            <w:r>
              <w:rPr>
                <w:i/>
                <w:iCs/>
                <w:sz w:val="20"/>
                <w:szCs w:val="20"/>
              </w:rPr>
              <w:t>qui tam</w:t>
            </w:r>
            <w:r>
              <w:rPr>
                <w:sz w:val="20"/>
                <w:szCs w:val="20"/>
              </w:rPr>
              <w:t xml:space="preserve"> actions, on behalf of the government and such individuals and may share in amounts paid by the entity to the government in recovery or settlement. In recent years, several pharmaceutical and other healthcare </w:t>
            </w:r>
            <w:r>
              <w:rPr>
                <w:sz w:val="20"/>
                <w:szCs w:val="20"/>
              </w:rPr>
              <w:t>companies have faced enforcement actions under the federal False Claims Act for, among other things, allegedly submitting false or misleading pricing information to government health care programs and providing free product to customers with the expectatio</w:t>
            </w:r>
            <w:r>
              <w:rPr>
                <w:sz w:val="20"/>
                <w:szCs w:val="20"/>
              </w:rPr>
              <w:t>n that the customers would bill federal programs for the product. Federal enforcement agencies also have showed increased interest in pharmaceutical companies’ product and patient assistance programs, including reimbursement and co-pay support services, an</w:t>
            </w:r>
            <w:r>
              <w:rPr>
                <w:sz w:val="20"/>
                <w:szCs w:val="20"/>
              </w:rPr>
              <w:t>d a number of investigations into these programs have resulted in significant civil and criminal settlements. Other companies have faced enforcement actions for causing false claims to be submitted because of the company’s marketing the product for unappro</w:t>
            </w:r>
            <w:r>
              <w:rPr>
                <w:sz w:val="20"/>
                <w:szCs w:val="20"/>
              </w:rPr>
              <w:t xml:space="preserve">ved, and thus non-reimbursable, uses. In addition, a claim including items or services resulting from a violation of the federal Anti-Kickback Statute constitutes a false or fraudulent claim for purposes of the federal civil False Claims Act. False Claims </w:t>
            </w:r>
            <w:r>
              <w:rPr>
                <w:sz w:val="20"/>
                <w:szCs w:val="20"/>
              </w:rPr>
              <w:t>Act liability is potentially significant in the healthcare industry because the statute provides for treble damages and significant mandatory penalties per false claim or statement for violations. Because of the potential for large monetary exposure, healt</w:t>
            </w:r>
            <w:r>
              <w:rPr>
                <w:sz w:val="20"/>
                <w:szCs w:val="20"/>
              </w:rPr>
              <w:t>hcare and pharmaceutical companies often resolve allegations without admissions of liability for significant and material amounts to avoid the uncertainty of treble damages and per claim penalties that may be awarded in litigation proceedings. Companies ma</w:t>
            </w:r>
            <w:r>
              <w:rPr>
                <w:sz w:val="20"/>
                <w:szCs w:val="20"/>
              </w:rPr>
              <w:t xml:space="preserve">y be required, however, to enter into corporate integrity agreements with the government, which may impose substantial costs on </w:t>
            </w:r>
          </w:p>
        </w:tc>
      </w:tr>
    </w:tbl>
    <w:p w:rsidR="00000000" w:rsidRDefault="00C96329">
      <w:pPr>
        <w:pStyle w:val="a3"/>
        <w:spacing w:before="360" w:beforeAutospacing="0" w:after="0" w:afterAutospacing="0"/>
        <w:jc w:val="center"/>
        <w:divId w:val="1646931717"/>
        <w:rPr>
          <w:sz w:val="20"/>
          <w:szCs w:val="20"/>
        </w:rPr>
      </w:pPr>
      <w:r>
        <w:rPr>
          <w:sz w:val="20"/>
          <w:szCs w:val="20"/>
        </w:rPr>
        <w:t>65</w:t>
      </w:r>
    </w:p>
    <w:p w:rsidR="00000000" w:rsidRDefault="00C96329">
      <w:pPr>
        <w:pStyle w:val="a3"/>
        <w:spacing w:before="0" w:beforeAutospacing="0" w:after="600" w:afterAutospacing="0"/>
        <w:divId w:val="1652905983"/>
        <w:rPr>
          <w:sz w:val="20"/>
          <w:szCs w:val="20"/>
        </w:rPr>
      </w:pPr>
      <w:hyperlink w:anchor="TOC" w:history="1">
        <w:r>
          <w:rPr>
            <w:rStyle w:val="a4"/>
            <w:sz w:val="20"/>
            <w:szCs w:val="20"/>
          </w:rPr>
          <w:t>Table of Contents</w:t>
        </w:r>
      </w:hyperlink>
    </w:p>
    <w:p w:rsidR="00000000" w:rsidRDefault="00C96329">
      <w:pPr>
        <w:pStyle w:val="a3"/>
        <w:spacing w:before="0" w:beforeAutospacing="0" w:after="200" w:afterAutospacing="0"/>
        <w:ind w:left="1080"/>
        <w:divId w:val="1480879914"/>
        <w:rPr>
          <w:sz w:val="20"/>
          <w:szCs w:val="20"/>
        </w:rPr>
      </w:pPr>
      <w:r>
        <w:rPr>
          <w:sz w:val="20"/>
          <w:szCs w:val="20"/>
        </w:rPr>
        <w:t>companies to ensure compliance. Criminal penalties, including imprisonment and criminal fines, are also possible for making or presenting a false, fictitious or fraudulent claim to the federal government.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0879914"/>
        </w:trPr>
        <w:tc>
          <w:tcPr>
            <w:tcW w:w="720" w:type="dxa"/>
            <w:tcMar>
              <w:top w:w="0" w:type="dxa"/>
              <w:left w:w="0" w:type="dxa"/>
              <w:bottom w:w="0" w:type="dxa"/>
              <w:right w:w="0" w:type="dxa"/>
            </w:tcMar>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 xml:space="preserve">HIPAA, among other things, imposes criminal and </w:t>
            </w:r>
            <w:r>
              <w:rPr>
                <w:sz w:val="20"/>
                <w:szCs w:val="20"/>
              </w:rPr>
              <w:t>civil liability for knowingly and willfully executing a scheme to defraud any healthcare benefit program, including private third-party payors, and also imposes obligations, including mandatory contractual terms, with respect to safeguarding the privacy, s</w:t>
            </w:r>
            <w:r>
              <w:rPr>
                <w:sz w:val="20"/>
                <w:szCs w:val="20"/>
              </w:rPr>
              <w:t>ecurity and transmission of individually identifiable health information. HIPAA also prohibits knowingly and willfully falsifying, concealing or covering up a material fact or making any materially false, fictitious or fraudulent statement or representatio</w:t>
            </w:r>
            <w:r>
              <w:rPr>
                <w:sz w:val="20"/>
                <w:szCs w:val="20"/>
              </w:rPr>
              <w:t>n, or making or using any false writing or document knowing the same to contain any materially false fictitious or fraudulent statement or entry in connection with the delivery of or payment for healthcare benefits, items or services. Similar to the federa</w:t>
            </w:r>
            <w:r>
              <w:rPr>
                <w:sz w:val="20"/>
                <w:szCs w:val="20"/>
              </w:rPr>
              <w:t>l healthcare Anti-Kickback Statute, a person or entity does not need to have actual knowledge of the statute or specific intent to violate it to have committed a violation.</w:t>
            </w:r>
          </w:p>
        </w:tc>
      </w:tr>
    </w:tbl>
    <w:p w:rsidR="00000000" w:rsidRDefault="00C96329">
      <w:pPr>
        <w:divId w:val="148087991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0879914"/>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federal Physician Payment Sunshine Act, being implemented as the Open Paym</w:t>
            </w:r>
            <w:r>
              <w:rPr>
                <w:sz w:val="20"/>
                <w:szCs w:val="20"/>
              </w:rPr>
              <w:t>ents Program, requires certain manufacturers of drugs, devices, biologics, and medical supplies for which payment is available under Medicare, Medicaid or the Children’s Health Insurance Program (with certain exceptions) to report annually to the US Depart</w:t>
            </w:r>
            <w:r>
              <w:rPr>
                <w:sz w:val="20"/>
                <w:szCs w:val="20"/>
              </w:rPr>
              <w:t>ment of Health and Human Services, Centers for Medicare and Medicaid Services, information related to payments and other transfers of value, directly or indirectly, to physicians (defined to include doctors, dentists, optometrists, podiatrists, and chiropr</w:t>
            </w:r>
            <w:r>
              <w:rPr>
                <w:sz w:val="20"/>
                <w:szCs w:val="20"/>
              </w:rPr>
              <w:t>actors) and teaching hospitals, as well as ownership and investment interests held by physicians and their immediate family members. Beginning in 2022, applicable manufacturers also will be required to report information regarding payments and transfers of</w:t>
            </w:r>
            <w:r>
              <w:rPr>
                <w:sz w:val="20"/>
                <w:szCs w:val="20"/>
              </w:rPr>
              <w:t xml:space="preserve"> value provided to physician assistants, nurse practitioners, clinical nurse specialists, certified nurse anesthetists, and certified nurse-midwives. A manufacturer’s failure to submit timely, accurately and completely the required information for all paym</w:t>
            </w:r>
            <w:r>
              <w:rPr>
                <w:sz w:val="20"/>
                <w:szCs w:val="20"/>
              </w:rPr>
              <w:t xml:space="preserve">ents, transfers of value or ownership or investment interests may result in civil monetary penalties of up to an aggregate of $150,000 per year, and up to an aggregate of $1 million per year for “knowing failures.” Manufacturers must submit reports by the </w:t>
            </w:r>
            <w:r>
              <w:rPr>
                <w:sz w:val="20"/>
                <w:szCs w:val="20"/>
              </w:rPr>
              <w:t>90th day of each calendar year.</w:t>
            </w:r>
          </w:p>
        </w:tc>
      </w:tr>
    </w:tbl>
    <w:p w:rsidR="00000000" w:rsidRDefault="00C96329">
      <w:pPr>
        <w:divId w:val="148087991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0879914"/>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Analogous state laws and regulations, such as state anti-kickback and false claims laws, may apply to sales or marketing arrangements and claims involving healthcare items or services reimbursed by any third-party payor</w:t>
            </w:r>
            <w:r>
              <w:rPr>
                <w:sz w:val="20"/>
                <w:szCs w:val="20"/>
              </w:rPr>
              <w:t>s, including private insurers or patients. Several states also require pharmaceutical companies to report expenses relating to the marketing and promotion of pharmaceutical products in those states and to report gifts and payments to individual health care</w:t>
            </w:r>
            <w:r>
              <w:rPr>
                <w:sz w:val="20"/>
                <w:szCs w:val="20"/>
              </w:rPr>
              <w:t xml:space="preserve"> providers in those states. Some of these states also prohibit certain marketing-related activities, including the provision of gifts, meals, or other items to certain health care providers, and restrict the ability of manufacturers to offer co-pay support</w:t>
            </w:r>
            <w:r>
              <w:rPr>
                <w:sz w:val="20"/>
                <w:szCs w:val="20"/>
              </w:rPr>
              <w:t xml:space="preserve"> to patients for certain prescription drugs. Some states require the posting of information relating to clinical studies and their outcomes. Some states and cities require identification or licensing of sales representatives. In addition, several states re</w:t>
            </w:r>
            <w:r>
              <w:rPr>
                <w:sz w:val="20"/>
                <w:szCs w:val="20"/>
              </w:rPr>
              <w:t>quire pharmaceutical companies to implement compliance programs or marketing codes.</w:t>
            </w:r>
          </w:p>
        </w:tc>
      </w:tr>
    </w:tbl>
    <w:p w:rsidR="00000000" w:rsidRDefault="00C96329">
      <w:pPr>
        <w:divId w:val="148087991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0879914"/>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Similar restrictions are imposed on the promotion and marketing of medicinal products in the EU Member States and other countries, including restrictions prohibiting the promotion of a compound prior to its approval. Laws (including those governing promoti</w:t>
            </w:r>
            <w:r>
              <w:rPr>
                <w:sz w:val="20"/>
                <w:szCs w:val="20"/>
              </w:rPr>
              <w:t>on, marketing and anti-kickback provisions), industry regulations and professional codes of conduct often are strictly enforced. Even in those countries where we may decide not to directly promote or market our products, inappropriate activity by our inter</w:t>
            </w:r>
            <w:r>
              <w:rPr>
                <w:sz w:val="20"/>
                <w:szCs w:val="20"/>
              </w:rPr>
              <w:t>national distribution partners could have implications for us.</w:t>
            </w:r>
          </w:p>
        </w:tc>
      </w:tr>
    </w:tbl>
    <w:p w:rsidR="00000000" w:rsidRDefault="00C96329">
      <w:pPr>
        <w:pStyle w:val="a3"/>
        <w:spacing w:before="0" w:beforeAutospacing="0" w:after="0" w:afterAutospacing="0"/>
        <w:ind w:firstLine="720"/>
        <w:divId w:val="1480879914"/>
        <w:rPr>
          <w:sz w:val="20"/>
          <w:szCs w:val="20"/>
        </w:rPr>
      </w:pPr>
      <w:r>
        <w:rPr>
          <w:sz w:val="20"/>
          <w:szCs w:val="20"/>
        </w:rPr>
        <w:t>The shifting commercial compliance environment and the need to build and maintain robust and expandable systems to comply with different compliance or reporting requirements in multiple jurisd</w:t>
      </w:r>
      <w:r>
        <w:rPr>
          <w:sz w:val="20"/>
          <w:szCs w:val="20"/>
        </w:rPr>
        <w:t>ictions increase the possibility that we or our partners may fail to comply fully with one or more of these requirements. Efforts to ensure that our business arrangements with third parties will comply with applicable healthcare laws and regulations may in</w:t>
      </w:r>
      <w:r>
        <w:rPr>
          <w:sz w:val="20"/>
          <w:szCs w:val="20"/>
        </w:rPr>
        <w:t>volve substantial costs. It is possible that governmental authorities will conclude that our business practices may not comply with applicable fraud and abuse or other healthcare laws and regulations or guidance. If our operations are found to be in violat</w:t>
      </w:r>
      <w:r>
        <w:rPr>
          <w:sz w:val="20"/>
          <w:szCs w:val="20"/>
        </w:rPr>
        <w:t xml:space="preserve">ion of any of these laws or any other governmental regulations that may apply to us, we may be subject to significant civil, criminal and administrative penalties, damages, fines, disgorgement, exclusion from government funded healthcare programs, such as </w:t>
      </w:r>
      <w:r>
        <w:rPr>
          <w:sz w:val="20"/>
          <w:szCs w:val="20"/>
        </w:rPr>
        <w:t xml:space="preserve">Medicare and Medicaid in the US and similar programs outside the US, contractual damages, diminished profits and future earnings, and </w:t>
      </w:r>
    </w:p>
    <w:p w:rsidR="00000000" w:rsidRDefault="00C96329">
      <w:pPr>
        <w:pStyle w:val="a3"/>
        <w:spacing w:before="360" w:beforeAutospacing="0" w:after="0" w:afterAutospacing="0"/>
        <w:jc w:val="center"/>
        <w:divId w:val="1372075633"/>
        <w:rPr>
          <w:sz w:val="20"/>
          <w:szCs w:val="20"/>
        </w:rPr>
      </w:pPr>
      <w:r>
        <w:rPr>
          <w:sz w:val="20"/>
          <w:szCs w:val="20"/>
        </w:rPr>
        <w:t>66</w:t>
      </w:r>
    </w:p>
    <w:p w:rsidR="00000000" w:rsidRDefault="00C96329">
      <w:pPr>
        <w:pStyle w:val="a3"/>
        <w:spacing w:before="0" w:beforeAutospacing="0" w:after="600" w:afterAutospacing="0"/>
        <w:divId w:val="1476987884"/>
        <w:rPr>
          <w:sz w:val="20"/>
          <w:szCs w:val="20"/>
        </w:rPr>
      </w:pPr>
      <w:hyperlink w:anchor="TOC" w:history="1">
        <w:r>
          <w:rPr>
            <w:rStyle w:val="a4"/>
            <w:sz w:val="20"/>
            <w:szCs w:val="20"/>
          </w:rPr>
          <w:t>Table of Contents</w:t>
        </w:r>
      </w:hyperlink>
    </w:p>
    <w:p w:rsidR="00000000" w:rsidRDefault="00C96329">
      <w:pPr>
        <w:pStyle w:val="a3"/>
        <w:spacing w:before="0" w:beforeAutospacing="0" w:after="200" w:afterAutospacing="0"/>
        <w:divId w:val="120997914"/>
        <w:rPr>
          <w:sz w:val="20"/>
          <w:szCs w:val="20"/>
        </w:rPr>
      </w:pPr>
      <w:r>
        <w:rPr>
          <w:sz w:val="20"/>
          <w:szCs w:val="20"/>
        </w:rPr>
        <w:t>the curtailment or restructuring of our operations, any of which could adv</w:t>
      </w:r>
      <w:r>
        <w:rPr>
          <w:sz w:val="20"/>
          <w:szCs w:val="20"/>
        </w:rPr>
        <w:t>ersely affect our ability to operate our business and our financial results. If any of the physicians or other providers or entities with whom we do or expect to do business are found to not be in compliance with applicable laws, they may be subject to cri</w:t>
      </w:r>
      <w:r>
        <w:rPr>
          <w:sz w:val="20"/>
          <w:szCs w:val="20"/>
        </w:rPr>
        <w:t>minal, civil or administrative sanctions, including exclusions from government funded healthcare programs. Even if we are not determined to have violated these laws, government investigations into these issues typically require the expenditure of significa</w:t>
      </w:r>
      <w:r>
        <w:rPr>
          <w:sz w:val="20"/>
          <w:szCs w:val="20"/>
        </w:rPr>
        <w:t>nt resources and generate negative publicity, which could harm our financial condition and divert resources and the attention of our management from operating our business.</w:t>
      </w:r>
    </w:p>
    <w:p w:rsidR="00000000" w:rsidRDefault="00C96329">
      <w:pPr>
        <w:pStyle w:val="a3"/>
        <w:spacing w:before="0" w:beforeAutospacing="0" w:after="120" w:afterAutospacing="0"/>
        <w:divId w:val="120997914"/>
        <w:rPr>
          <w:sz w:val="20"/>
          <w:szCs w:val="20"/>
        </w:rPr>
      </w:pPr>
      <w:r>
        <w:rPr>
          <w:b/>
          <w:bCs/>
          <w:i/>
          <w:iCs/>
          <w:sz w:val="20"/>
          <w:szCs w:val="20"/>
        </w:rPr>
        <w:t>Our business and operations, including the use of hazardous and biological material</w:t>
      </w:r>
      <w:r>
        <w:rPr>
          <w:b/>
          <w:bCs/>
          <w:i/>
          <w:iCs/>
          <w:sz w:val="20"/>
          <w:szCs w:val="20"/>
        </w:rPr>
        <w:t>s may result in liabilities with respect to environmental, health and safety matters.</w:t>
      </w:r>
    </w:p>
    <w:p w:rsidR="00000000" w:rsidRDefault="00C96329">
      <w:pPr>
        <w:pStyle w:val="a3"/>
        <w:spacing w:before="0" w:beforeAutospacing="0" w:after="200" w:afterAutospacing="0"/>
        <w:ind w:firstLine="720"/>
        <w:divId w:val="120997914"/>
        <w:rPr>
          <w:sz w:val="20"/>
          <w:szCs w:val="20"/>
        </w:rPr>
      </w:pPr>
      <w:r>
        <w:rPr>
          <w:sz w:val="20"/>
          <w:szCs w:val="20"/>
        </w:rPr>
        <w:t>Our research and development activities involve the controlled use of potentially hazardous substances, including chemical, biological and radioactive materials. In addit</w:t>
      </w:r>
      <w:r>
        <w:rPr>
          <w:sz w:val="20"/>
          <w:szCs w:val="20"/>
        </w:rPr>
        <w:t>ion, our operations produce hazardous waste products, including hazardous waste. Federal, state and local laws and regulations govern the use, manufacture, management, storage, handling and disposal of hazardous materials and wastes. We may incur significa</w:t>
      </w:r>
      <w:r>
        <w:rPr>
          <w:sz w:val="20"/>
          <w:szCs w:val="20"/>
        </w:rPr>
        <w:t>nt additional costs or liabilities to comply with, or for violations of, these and other applicable laws in the future. Also, even if we are in compliance with applicable laws, we cannot completely eliminate the risk of contamination or injury resulting fr</w:t>
      </w:r>
      <w:r>
        <w:rPr>
          <w:sz w:val="20"/>
          <w:szCs w:val="20"/>
        </w:rPr>
        <w:t>om hazardous materials and we may incur liability as a result of any such contamination or injury. Further, in the event of a release of or exposure to hazardous materials, including at the sites we currently or formerly operate or at sites such as landfil</w:t>
      </w:r>
      <w:r>
        <w:rPr>
          <w:sz w:val="20"/>
          <w:szCs w:val="20"/>
        </w:rPr>
        <w:t>ls where we send wastes for disposal, we could be held liable for cleanup costs or damages or subject to other costs or penalties and such liability could exceed our resources. We do not have any insurance for liabilities arising from hazardous materials o</w:t>
      </w:r>
      <w:r>
        <w:rPr>
          <w:sz w:val="20"/>
          <w:szCs w:val="20"/>
        </w:rPr>
        <w:t>r under environmental laws. Compliance with or liability under applicable environmental laws and regulations or with respect to hazardous materials may be expensive, and current or future environmental regulations may impair our research, development and p</w:t>
      </w:r>
      <w:r>
        <w:rPr>
          <w:sz w:val="20"/>
          <w:szCs w:val="20"/>
        </w:rPr>
        <w:t>roduction efforts, which could harm our business, which could cause the price of our securities to fall.</w:t>
      </w:r>
    </w:p>
    <w:p w:rsidR="00000000" w:rsidRDefault="00C96329">
      <w:pPr>
        <w:pStyle w:val="a3"/>
        <w:spacing w:before="0" w:beforeAutospacing="0" w:after="120" w:afterAutospacing="0"/>
        <w:divId w:val="120997914"/>
        <w:rPr>
          <w:rFonts w:ascii="Times" w:hAnsi="Times"/>
          <w:b/>
          <w:bCs/>
          <w:sz w:val="20"/>
          <w:szCs w:val="20"/>
        </w:rPr>
      </w:pPr>
      <w:r>
        <w:rPr>
          <w:b/>
          <w:bCs/>
          <w:sz w:val="20"/>
          <w:szCs w:val="20"/>
        </w:rPr>
        <w:t xml:space="preserve">RISKS RELATING TO OUR ORDINARY SHARES </w:t>
      </w:r>
    </w:p>
    <w:p w:rsidR="00000000" w:rsidRDefault="00C96329">
      <w:pPr>
        <w:pStyle w:val="a3"/>
        <w:spacing w:before="0" w:beforeAutospacing="0" w:after="120" w:afterAutospacing="0"/>
        <w:divId w:val="120997914"/>
        <w:rPr>
          <w:sz w:val="20"/>
          <w:szCs w:val="20"/>
        </w:rPr>
      </w:pPr>
      <w:r>
        <w:rPr>
          <w:b/>
          <w:bCs/>
          <w:i/>
          <w:iCs/>
          <w:sz w:val="20"/>
          <w:szCs w:val="20"/>
        </w:rPr>
        <w:t>The market price for our shares has and may continue to fluctuate widely and may result in substantial losses for purchasers of our ordinary shares.</w:t>
      </w:r>
    </w:p>
    <w:p w:rsidR="00000000" w:rsidRDefault="00C96329">
      <w:pPr>
        <w:pStyle w:val="a3"/>
        <w:spacing w:before="0" w:beforeAutospacing="0" w:after="200" w:afterAutospacing="0"/>
        <w:ind w:firstLine="720"/>
        <w:divId w:val="120997914"/>
        <w:rPr>
          <w:sz w:val="20"/>
          <w:szCs w:val="20"/>
        </w:rPr>
      </w:pPr>
      <w:r>
        <w:rPr>
          <w:sz w:val="20"/>
          <w:szCs w:val="20"/>
        </w:rPr>
        <w:t>The market price for our shares has and may continue to fluctuate widely and may result in substantial loss</w:t>
      </w:r>
      <w:r>
        <w:rPr>
          <w:sz w:val="20"/>
          <w:szCs w:val="20"/>
        </w:rPr>
        <w:t>es for purchasers of our ordinary shares. To the extent that low trading volumes for our ordinary shares continues, our stock price may fluctuate significantly more than the stock market as a whole or the stock prices of similar companies. Without a larger</w:t>
      </w:r>
      <w:r>
        <w:rPr>
          <w:sz w:val="20"/>
          <w:szCs w:val="20"/>
        </w:rPr>
        <w:t xml:space="preserve"> public float of actively traded shares, our ordinary shares are likely to be more sensitive to changes in sales volumes, market fluctuations and events or perceived events with respect to our business, than the shares of common stock of companies with bro</w:t>
      </w:r>
      <w:r>
        <w:rPr>
          <w:sz w:val="20"/>
          <w:szCs w:val="20"/>
        </w:rPr>
        <w:t>ader public ownership, and as a result, the trading prices for our ordinary shares may be more volatile. Among other things, trading of a relatively small volume of ordinary shares may have a greater effect on the trading price than would be the case if ou</w:t>
      </w:r>
      <w:r>
        <w:rPr>
          <w:sz w:val="20"/>
          <w:szCs w:val="20"/>
        </w:rPr>
        <w:t>r public float of actively traded shares were larger. In addition, as further described below under the risk factor entitled “—</w:t>
      </w:r>
      <w:r>
        <w:rPr>
          <w:i/>
          <w:iCs/>
          <w:sz w:val="20"/>
          <w:szCs w:val="20"/>
        </w:rPr>
        <w:t>Concentration of ownership will limit your ability to influence corporate matters,”</w:t>
      </w:r>
      <w:r>
        <w:rPr>
          <w:sz w:val="20"/>
          <w:szCs w:val="20"/>
        </w:rPr>
        <w:t xml:space="preserve"> a number of shareholders hold large concentra</w:t>
      </w:r>
      <w:r>
        <w:rPr>
          <w:sz w:val="20"/>
          <w:szCs w:val="20"/>
        </w:rPr>
        <w:t>tions of our shares which, if sold within a relatively short timeframe, could cause the price of our shares to drop significantly. In addition, as a result of the exchangeable note offering by GSK, up to 9,644,792 ordinary shares held by GSK could become f</w:t>
      </w:r>
      <w:r>
        <w:rPr>
          <w:sz w:val="20"/>
          <w:szCs w:val="20"/>
        </w:rPr>
        <w:t>reely tradeable after September 1, 2020, if holders of the exchangeable notes were to exchange their notes for our ordinary shares.</w:t>
      </w:r>
    </w:p>
    <w:p w:rsidR="00000000" w:rsidRDefault="00C96329">
      <w:pPr>
        <w:pStyle w:val="a3"/>
        <w:spacing w:before="0" w:beforeAutospacing="0" w:after="200" w:afterAutospacing="0"/>
        <w:ind w:firstLine="720"/>
        <w:divId w:val="120997914"/>
        <w:rPr>
          <w:sz w:val="20"/>
          <w:szCs w:val="20"/>
        </w:rPr>
      </w:pPr>
      <w:r>
        <w:rPr>
          <w:sz w:val="20"/>
          <w:szCs w:val="20"/>
        </w:rPr>
        <w:t xml:space="preserve">Market prices for securities of biotechnology and biopharmaceutical companies have been highly volatile, and we expect such </w:t>
      </w:r>
      <w:r>
        <w:rPr>
          <w:sz w:val="20"/>
          <w:szCs w:val="20"/>
        </w:rPr>
        <w:t>volatility to continue for the foreseeable future, so that investment in our ordinary shares involves substantial risk. Additionally, the stock market from time to time has experienced significant price and volume fluctuations unrelated to the operating pe</w:t>
      </w:r>
      <w:r>
        <w:rPr>
          <w:sz w:val="20"/>
          <w:szCs w:val="20"/>
        </w:rPr>
        <w:t>rformance of particular companies.</w:t>
      </w:r>
    </w:p>
    <w:p w:rsidR="00000000" w:rsidRDefault="00C96329">
      <w:pPr>
        <w:pStyle w:val="a3"/>
        <w:spacing w:before="0" w:beforeAutospacing="0" w:after="200" w:afterAutospacing="0"/>
        <w:ind w:firstLine="720"/>
        <w:divId w:val="120997914"/>
        <w:rPr>
          <w:sz w:val="20"/>
          <w:szCs w:val="20"/>
        </w:rPr>
      </w:pPr>
      <w:r>
        <w:rPr>
          <w:sz w:val="20"/>
          <w:szCs w:val="20"/>
        </w:rPr>
        <w:t>The following are some of the factors that may have a significant effect on the market price of our ordinary shares: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216"/>
      </w:tblGrid>
      <w:tr w:rsidR="00000000">
        <w:trPr>
          <w:divId w:val="120997914"/>
        </w:trPr>
        <w:tc>
          <w:tcPr>
            <w:tcW w:w="720" w:type="dxa"/>
            <w:tcMar>
              <w:top w:w="0" w:type="dxa"/>
              <w:left w:w="0" w:type="dxa"/>
              <w:bottom w:w="0" w:type="dxa"/>
              <w:right w:w="0" w:type="dxa"/>
            </w:tcMar>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lower than expected sales of YUPELRI;</w:t>
            </w:r>
          </w:p>
        </w:tc>
      </w:tr>
    </w:tbl>
    <w:p w:rsidR="00000000" w:rsidRDefault="00C96329">
      <w:pPr>
        <w:divId w:val="12099791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0997914"/>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0" w:afterAutospacing="0"/>
              <w:rPr>
                <w:sz w:val="20"/>
                <w:szCs w:val="20"/>
              </w:rPr>
            </w:pPr>
            <w:r>
              <w:rPr>
                <w:sz w:val="20"/>
                <w:szCs w:val="20"/>
              </w:rPr>
              <w:t>any adverse developments or results or perceived adverse developments or results with respect to the GSK Partnered Respiratory Programs including, without limitation, lower than expected sales of TRELEGY, difficulties or delays encountered with regard to t</w:t>
            </w:r>
            <w:r>
              <w:rPr>
                <w:sz w:val="20"/>
                <w:szCs w:val="20"/>
              </w:rPr>
              <w:t xml:space="preserve">he FDA or other regulatory authorities in these programs or </w:t>
            </w:r>
          </w:p>
        </w:tc>
      </w:tr>
    </w:tbl>
    <w:p w:rsidR="00000000" w:rsidRDefault="00C96329">
      <w:pPr>
        <w:pStyle w:val="a3"/>
        <w:spacing w:before="360" w:beforeAutospacing="0" w:after="0" w:afterAutospacing="0"/>
        <w:jc w:val="center"/>
        <w:divId w:val="898445995"/>
        <w:rPr>
          <w:sz w:val="20"/>
          <w:szCs w:val="20"/>
        </w:rPr>
      </w:pPr>
      <w:r>
        <w:rPr>
          <w:sz w:val="20"/>
          <w:szCs w:val="20"/>
        </w:rPr>
        <w:t>67</w:t>
      </w:r>
    </w:p>
    <w:p w:rsidR="00000000" w:rsidRDefault="00C96329">
      <w:pPr>
        <w:pStyle w:val="a3"/>
        <w:spacing w:before="0" w:beforeAutospacing="0" w:after="600" w:afterAutospacing="0"/>
        <w:divId w:val="2032222270"/>
        <w:rPr>
          <w:sz w:val="20"/>
          <w:szCs w:val="20"/>
        </w:rPr>
      </w:pPr>
      <w:hyperlink w:anchor="TOC" w:history="1">
        <w:r>
          <w:rPr>
            <w:rStyle w:val="a4"/>
            <w:sz w:val="20"/>
            <w:szCs w:val="20"/>
          </w:rPr>
          <w:t>Table of Contents</w:t>
        </w:r>
      </w:hyperlink>
    </w:p>
    <w:p w:rsidR="00000000" w:rsidRDefault="00C96329">
      <w:pPr>
        <w:pStyle w:val="a3"/>
        <w:spacing w:before="0" w:beforeAutospacing="0" w:after="200" w:afterAutospacing="0"/>
        <w:ind w:left="1080"/>
        <w:divId w:val="1049496181"/>
        <w:rPr>
          <w:sz w:val="20"/>
          <w:szCs w:val="20"/>
        </w:rPr>
      </w:pPr>
      <w:r>
        <w:rPr>
          <w:sz w:val="20"/>
          <w:szCs w:val="20"/>
        </w:rPr>
        <w:t>any indication from clinical or non-clinical studies that the compounds in such programs are not safe or efficacious;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49496181"/>
        </w:trPr>
        <w:tc>
          <w:tcPr>
            <w:tcW w:w="720" w:type="dxa"/>
            <w:tcMar>
              <w:top w:w="0" w:type="dxa"/>
              <w:left w:w="0" w:type="dxa"/>
              <w:bottom w:w="0" w:type="dxa"/>
              <w:right w:w="0" w:type="dxa"/>
            </w:tcMar>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any adverse developments o</w:t>
            </w:r>
            <w:r>
              <w:rPr>
                <w:sz w:val="20"/>
                <w:szCs w:val="20"/>
              </w:rPr>
              <w:t>r results or perceived adverse developments or results with respect to our key clinical development programs, for example our JAK inhibitor program or ampreloxetine, including, without limitation, any delays in development in these programs, any halting of</w:t>
            </w:r>
            <w:r>
              <w:rPr>
                <w:sz w:val="20"/>
                <w:szCs w:val="20"/>
              </w:rPr>
              <w:t xml:space="preserve"> development in these programs, any difficulties or delays encountered with regard to the FDA or other regulatory authorities in these programs (including any class-based risks that emerge as a FDA or other regulatory agency focus), or any indication from </w:t>
            </w:r>
            <w:r>
              <w:rPr>
                <w:sz w:val="20"/>
                <w:szCs w:val="20"/>
              </w:rPr>
              <w:t>clinical or non-clinical studies that the compounds in such programs are not safe or efficacious;</w:t>
            </w:r>
          </w:p>
        </w:tc>
      </w:tr>
    </w:tbl>
    <w:p w:rsidR="00000000" w:rsidRDefault="00C96329">
      <w:pPr>
        <w:divId w:val="10494961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4949618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any announcements of developments with, or comments by, the FDA or other regulatory authorities with respect to products we or our partners have under development, are manufacturing or have commercialized;</w:t>
            </w:r>
          </w:p>
        </w:tc>
      </w:tr>
    </w:tbl>
    <w:p w:rsidR="00000000" w:rsidRDefault="00C96329">
      <w:pPr>
        <w:divId w:val="10494961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4949618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 xml:space="preserve">any adverse developments or disagreements or </w:t>
            </w:r>
            <w:r>
              <w:rPr>
                <w:sz w:val="20"/>
                <w:szCs w:val="20"/>
              </w:rPr>
              <w:t>perceived adverse developments or disagreements with respect to our relationship with Innoviva, such as our 2019 arbitration proceeding or our current disagreement with them concerning their proposed use of TRC funds to make investments in private companie</w:t>
            </w:r>
            <w:r>
              <w:rPr>
                <w:sz w:val="20"/>
                <w:szCs w:val="20"/>
              </w:rPr>
              <w:t>s, or the relationship of Innoviva or TRC on the one hand and GSK on the other hand, including any such developments or disagreements resulting from or relating to the TRC LLC Agreement or to the Spin-Off;</w:t>
            </w:r>
          </w:p>
        </w:tc>
      </w:tr>
    </w:tbl>
    <w:p w:rsidR="00000000" w:rsidRDefault="00C96329">
      <w:pPr>
        <w:divId w:val="10494961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4949618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any adverse developments or perceived adverse</w:t>
            </w:r>
            <w:r>
              <w:rPr>
                <w:sz w:val="20"/>
                <w:szCs w:val="20"/>
              </w:rPr>
              <w:t xml:space="preserve"> developments with respect to our relationship with any of our research, development or commercialization partners, including, without limitation, disagreements that may arise between us and any of those partners;</w:t>
            </w:r>
          </w:p>
        </w:tc>
      </w:tr>
    </w:tbl>
    <w:p w:rsidR="00000000" w:rsidRDefault="00C96329">
      <w:pPr>
        <w:divId w:val="10494961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4949618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any adverse developments or perceived</w:t>
            </w:r>
            <w:r>
              <w:rPr>
                <w:sz w:val="20"/>
                <w:szCs w:val="20"/>
              </w:rPr>
              <w:t xml:space="preserve"> adverse developments in our programs with respect to partnering efforts or otherwise;</w:t>
            </w:r>
          </w:p>
        </w:tc>
      </w:tr>
    </w:tbl>
    <w:p w:rsidR="00000000" w:rsidRDefault="00C96329">
      <w:pPr>
        <w:divId w:val="10494961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4949618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announcements of patent issuances or denials, technological innovations or new commercial products by us or our competitors;</w:t>
            </w:r>
          </w:p>
        </w:tc>
      </w:tr>
    </w:tbl>
    <w:p w:rsidR="00000000" w:rsidRDefault="00C96329">
      <w:pPr>
        <w:divId w:val="10494961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4949618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publicity regarding actual or potential study results or the outcome of regulatory review relating to products under developme</w:t>
            </w:r>
            <w:r>
              <w:rPr>
                <w:sz w:val="20"/>
                <w:szCs w:val="20"/>
              </w:rPr>
              <w:t>nt by us, our partners or our competitors;</w:t>
            </w:r>
          </w:p>
        </w:tc>
      </w:tr>
    </w:tbl>
    <w:p w:rsidR="00000000" w:rsidRDefault="00C96329">
      <w:pPr>
        <w:divId w:val="10494961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594"/>
      </w:tblGrid>
      <w:tr w:rsidR="00000000">
        <w:trPr>
          <w:divId w:val="104949618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regulatory developments in the US and foreign countries;</w:t>
            </w:r>
          </w:p>
        </w:tc>
      </w:tr>
    </w:tbl>
    <w:p w:rsidR="00000000" w:rsidRDefault="00C96329">
      <w:pPr>
        <w:divId w:val="10494961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026"/>
      </w:tblGrid>
      <w:tr w:rsidR="00000000">
        <w:trPr>
          <w:divId w:val="104949618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announcements with respect to governmental or private insurer reimbursement policies;</w:t>
            </w:r>
          </w:p>
        </w:tc>
      </w:tr>
    </w:tbl>
    <w:p w:rsidR="00000000" w:rsidRDefault="00C96329">
      <w:pPr>
        <w:divId w:val="10494961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561"/>
      </w:tblGrid>
      <w:tr w:rsidR="00000000">
        <w:trPr>
          <w:divId w:val="104949618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announcements of equity or debt financings;</w:t>
            </w:r>
          </w:p>
        </w:tc>
      </w:tr>
    </w:tbl>
    <w:p w:rsidR="00000000" w:rsidRDefault="00C96329">
      <w:pPr>
        <w:divId w:val="10494961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55"/>
      </w:tblGrid>
      <w:tr w:rsidR="00000000">
        <w:trPr>
          <w:divId w:val="104949618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possible impairment charges on non-marketable equity securities;</w:t>
            </w:r>
          </w:p>
        </w:tc>
      </w:tr>
    </w:tbl>
    <w:p w:rsidR="00000000" w:rsidRDefault="00C96329">
      <w:pPr>
        <w:divId w:val="10494961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4949618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economic and other external factors beyond our control, such as the COVID-19 pandemic and fluctuations in interest rates;</w:t>
            </w:r>
          </w:p>
        </w:tc>
      </w:tr>
    </w:tbl>
    <w:p w:rsidR="00000000" w:rsidRDefault="00C96329">
      <w:pPr>
        <w:divId w:val="10494961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1750"/>
      </w:tblGrid>
      <w:tr w:rsidR="00000000">
        <w:trPr>
          <w:divId w:val="104949618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loss of key personnel;</w:t>
            </w:r>
          </w:p>
        </w:tc>
      </w:tr>
    </w:tbl>
    <w:p w:rsidR="00000000" w:rsidRDefault="00C96329">
      <w:pPr>
        <w:divId w:val="10494961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4949618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likelihood of our ordinary shar</w:t>
            </w:r>
            <w:r>
              <w:rPr>
                <w:sz w:val="20"/>
                <w:szCs w:val="20"/>
              </w:rPr>
              <w:t>es to be more sensitive to changes in sales volume, market fluctuations and events or perceived events with respect to our business due to our small public float;</w:t>
            </w:r>
          </w:p>
        </w:tc>
      </w:tr>
    </w:tbl>
    <w:p w:rsidR="00000000" w:rsidRDefault="00C96329">
      <w:pPr>
        <w:divId w:val="10494961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4949618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low public market trading volumes for our ordinary shares related in part to the concent</w:t>
            </w:r>
            <w:r>
              <w:rPr>
                <w:sz w:val="20"/>
                <w:szCs w:val="20"/>
              </w:rPr>
              <w:t>ration of ownership of our shares;</w:t>
            </w:r>
          </w:p>
        </w:tc>
      </w:tr>
    </w:tbl>
    <w:p w:rsidR="00000000" w:rsidRDefault="00C96329">
      <w:pPr>
        <w:divId w:val="10494961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4949618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sale of large concentrations of our shares, which may be more likely to occur due to the concentration of ownership of our shares, such as what we experienced when our largest shareholder, Woodford Investment Management Limited, divested its holdings i</w:t>
            </w:r>
            <w:r>
              <w:rPr>
                <w:sz w:val="20"/>
                <w:szCs w:val="20"/>
              </w:rPr>
              <w:t>n 2019;</w:t>
            </w:r>
          </w:p>
        </w:tc>
      </w:tr>
    </w:tbl>
    <w:p w:rsidR="00000000" w:rsidRDefault="00C96329">
      <w:pPr>
        <w:divId w:val="10494961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171"/>
      </w:tblGrid>
      <w:tr w:rsidR="00000000">
        <w:trPr>
          <w:divId w:val="1049496181"/>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developments or disputes as to patent or other proprietary rights;</w:t>
            </w:r>
          </w:p>
        </w:tc>
      </w:tr>
    </w:tbl>
    <w:p w:rsidR="00000000" w:rsidRDefault="00C96329">
      <w:pPr>
        <w:pStyle w:val="a3"/>
        <w:spacing w:before="360" w:beforeAutospacing="0" w:after="0" w:afterAutospacing="0"/>
        <w:jc w:val="center"/>
        <w:divId w:val="1028919763"/>
        <w:rPr>
          <w:sz w:val="20"/>
          <w:szCs w:val="20"/>
        </w:rPr>
      </w:pPr>
      <w:r>
        <w:rPr>
          <w:sz w:val="20"/>
          <w:szCs w:val="20"/>
        </w:rPr>
        <w:t>68</w:t>
      </w:r>
    </w:p>
    <w:p w:rsidR="00000000" w:rsidRDefault="00C96329">
      <w:pPr>
        <w:pStyle w:val="a3"/>
        <w:spacing w:before="0" w:beforeAutospacing="0" w:after="600" w:afterAutospacing="0"/>
        <w:divId w:val="2010789575"/>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49"/>
      </w:tblGrid>
      <w:tr w:rsidR="00000000">
        <w:trPr>
          <w:divId w:val="692611808"/>
        </w:trPr>
        <w:tc>
          <w:tcPr>
            <w:tcW w:w="720" w:type="dxa"/>
            <w:tcMar>
              <w:top w:w="0" w:type="dxa"/>
              <w:left w:w="0" w:type="dxa"/>
              <w:bottom w:w="0" w:type="dxa"/>
              <w:right w:w="0" w:type="dxa"/>
            </w:tcMar>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approval or introduction of competing products and technologies;</w:t>
            </w:r>
          </w:p>
        </w:tc>
      </w:tr>
    </w:tbl>
    <w:p w:rsidR="00000000" w:rsidRDefault="00C96329">
      <w:pPr>
        <w:divId w:val="6926118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1883"/>
      </w:tblGrid>
      <w:tr w:rsidR="00000000">
        <w:trPr>
          <w:divId w:val="692611808"/>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results of clinical trials;</w:t>
            </w:r>
          </w:p>
        </w:tc>
      </w:tr>
    </w:tbl>
    <w:p w:rsidR="00000000" w:rsidRDefault="00C96329">
      <w:pPr>
        <w:divId w:val="6926118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92611808"/>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failures or unexpected delays in timelines for our potential products in development, including the obtaining of regulatory approvals;</w:t>
            </w:r>
          </w:p>
        </w:tc>
      </w:tr>
    </w:tbl>
    <w:p w:rsidR="00000000" w:rsidRDefault="00C96329">
      <w:pPr>
        <w:divId w:val="6926118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298"/>
      </w:tblGrid>
      <w:tr w:rsidR="00000000">
        <w:trPr>
          <w:divId w:val="692611808"/>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delays in manufacturing adversely affecting clinical or commercial operations;</w:t>
            </w:r>
          </w:p>
        </w:tc>
      </w:tr>
    </w:tbl>
    <w:p w:rsidR="00000000" w:rsidRDefault="00C96329">
      <w:pPr>
        <w:divId w:val="6926118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900"/>
      </w:tblGrid>
      <w:tr w:rsidR="00000000">
        <w:trPr>
          <w:divId w:val="692611808"/>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fluctuations in our operating re</w:t>
            </w:r>
            <w:r>
              <w:rPr>
                <w:sz w:val="20"/>
                <w:szCs w:val="20"/>
              </w:rPr>
              <w:t>sults;</w:t>
            </w:r>
          </w:p>
        </w:tc>
      </w:tr>
    </w:tbl>
    <w:p w:rsidR="00000000" w:rsidRDefault="00C96329">
      <w:pPr>
        <w:divId w:val="6926118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104"/>
      </w:tblGrid>
      <w:tr w:rsidR="00000000">
        <w:trPr>
          <w:divId w:val="692611808"/>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market reaction to announcements by other biotechnology or pharmaceutical companies;</w:t>
            </w:r>
          </w:p>
        </w:tc>
      </w:tr>
    </w:tbl>
    <w:p w:rsidR="00000000" w:rsidRDefault="00C96329">
      <w:pPr>
        <w:divId w:val="6926118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92611808"/>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initiation, termination or modification of agreements with our collaborators or disputes or disagreements with collaborators;</w:t>
            </w:r>
          </w:p>
        </w:tc>
      </w:tr>
    </w:tbl>
    <w:p w:rsidR="00000000" w:rsidRDefault="00C96329">
      <w:pPr>
        <w:divId w:val="6926118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783"/>
      </w:tblGrid>
      <w:tr w:rsidR="00000000">
        <w:trPr>
          <w:divId w:val="692611808"/>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litigation or the threat of litigation;</w:t>
            </w:r>
          </w:p>
        </w:tc>
      </w:tr>
    </w:tbl>
    <w:p w:rsidR="00000000" w:rsidRDefault="00C96329">
      <w:pPr>
        <w:divId w:val="6926118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020"/>
      </w:tblGrid>
      <w:tr w:rsidR="00000000">
        <w:trPr>
          <w:divId w:val="692611808"/>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 xml:space="preserve">public concern as to the safety of product candidates or medicines developed by </w:t>
            </w:r>
            <w:r>
              <w:rPr>
                <w:sz w:val="20"/>
                <w:szCs w:val="20"/>
              </w:rPr>
              <w:t>us; and</w:t>
            </w:r>
          </w:p>
        </w:tc>
      </w:tr>
    </w:tbl>
    <w:p w:rsidR="00000000" w:rsidRDefault="00C96329">
      <w:pPr>
        <w:divId w:val="6926118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271"/>
      </w:tblGrid>
      <w:tr w:rsidR="00000000">
        <w:trPr>
          <w:divId w:val="692611808"/>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comments and expectations of results made by securities analysts or investors.</w:t>
            </w:r>
          </w:p>
        </w:tc>
      </w:tr>
    </w:tbl>
    <w:p w:rsidR="00000000" w:rsidRDefault="00C96329">
      <w:pPr>
        <w:pStyle w:val="a3"/>
        <w:spacing w:before="0" w:beforeAutospacing="0" w:after="200" w:afterAutospacing="0"/>
        <w:ind w:firstLine="720"/>
        <w:divId w:val="692611808"/>
        <w:rPr>
          <w:sz w:val="20"/>
          <w:szCs w:val="20"/>
        </w:rPr>
      </w:pPr>
      <w:r>
        <w:rPr>
          <w:sz w:val="20"/>
          <w:szCs w:val="20"/>
        </w:rPr>
        <w:t>If any of these factors causes us to fail to meet the expectations of securities analysts or investors, or if adverse conditions prevail or are perceived to prevai</w:t>
      </w:r>
      <w:r>
        <w:rPr>
          <w:sz w:val="20"/>
          <w:szCs w:val="20"/>
        </w:rPr>
        <w:t>l with respect to our business, the price of the ordinary shares would likely drop significantly. A significant drop in the price of a company’s securities often leads to the filing of securities class action litigation against the company. This type of li</w:t>
      </w:r>
      <w:r>
        <w:rPr>
          <w:sz w:val="20"/>
          <w:szCs w:val="20"/>
        </w:rPr>
        <w:t>tigation against us could result in substantial costs and a diversion of management’s attention and resources.</w:t>
      </w:r>
    </w:p>
    <w:p w:rsidR="00000000" w:rsidRDefault="00C96329">
      <w:pPr>
        <w:pStyle w:val="a3"/>
        <w:spacing w:before="0" w:beforeAutospacing="0" w:after="120" w:afterAutospacing="0"/>
        <w:divId w:val="692611808"/>
        <w:rPr>
          <w:rFonts w:ascii="Times" w:hAnsi="Times"/>
          <w:b/>
          <w:bCs/>
          <w:i/>
          <w:iCs/>
          <w:sz w:val="20"/>
          <w:szCs w:val="20"/>
        </w:rPr>
      </w:pPr>
      <w:r>
        <w:rPr>
          <w:b/>
          <w:bCs/>
          <w:i/>
          <w:iCs/>
          <w:sz w:val="20"/>
          <w:szCs w:val="20"/>
        </w:rPr>
        <w:t xml:space="preserve">Concentration of ownership will limit your ability to influence corporate matters. </w:t>
      </w:r>
    </w:p>
    <w:p w:rsidR="00000000" w:rsidRDefault="00C96329">
      <w:pPr>
        <w:pStyle w:val="a3"/>
        <w:spacing w:before="0" w:beforeAutospacing="0" w:after="200" w:afterAutospacing="0"/>
        <w:ind w:firstLine="720"/>
        <w:divId w:val="692611808"/>
        <w:rPr>
          <w:sz w:val="20"/>
          <w:szCs w:val="20"/>
        </w:rPr>
      </w:pPr>
      <w:r>
        <w:rPr>
          <w:sz w:val="20"/>
          <w:szCs w:val="20"/>
        </w:rPr>
        <w:t>Based on our review of publicly available filings, as of June 30, 2020, our three largest shareholders collectively owned 43.7% of our outstanding ordinary shares. These shareholders could control the outcome of actions taken by us that require shareholder</w:t>
      </w:r>
      <w:r>
        <w:rPr>
          <w:sz w:val="20"/>
          <w:szCs w:val="20"/>
        </w:rPr>
        <w:t xml:space="preserve"> approval, including a transaction in which shareholders might receive a premium over the prevailing market price for their shares.</w:t>
      </w:r>
    </w:p>
    <w:p w:rsidR="00000000" w:rsidRDefault="00C96329">
      <w:pPr>
        <w:pStyle w:val="a3"/>
        <w:spacing w:before="0" w:beforeAutospacing="0" w:after="120" w:afterAutospacing="0"/>
        <w:divId w:val="692611808"/>
        <w:rPr>
          <w:sz w:val="20"/>
          <w:szCs w:val="20"/>
        </w:rPr>
      </w:pPr>
      <w:r>
        <w:rPr>
          <w:b/>
          <w:bCs/>
          <w:i/>
          <w:iCs/>
          <w:sz w:val="20"/>
          <w:szCs w:val="20"/>
        </w:rPr>
        <w:t>Certain provisions in our constitutional and other documents may discourage our acquisition by a third-party, which could li</w:t>
      </w:r>
      <w:r>
        <w:rPr>
          <w:b/>
          <w:bCs/>
          <w:i/>
          <w:iCs/>
          <w:sz w:val="20"/>
          <w:szCs w:val="20"/>
        </w:rPr>
        <w:t>mit your opportunity to sell shares at a premium.</w:t>
      </w:r>
    </w:p>
    <w:p w:rsidR="00000000" w:rsidRDefault="00C96329">
      <w:pPr>
        <w:pStyle w:val="a3"/>
        <w:spacing w:before="0" w:beforeAutospacing="0" w:after="200" w:afterAutospacing="0"/>
        <w:ind w:firstLine="720"/>
        <w:divId w:val="692611808"/>
        <w:rPr>
          <w:sz w:val="20"/>
          <w:szCs w:val="20"/>
        </w:rPr>
      </w:pPr>
      <w:r>
        <w:rPr>
          <w:sz w:val="20"/>
          <w:szCs w:val="20"/>
        </w:rPr>
        <w:t>Our constitutional documents include provisions that could limit the ability of others to acquire control of us, modify our structure or cause us to engage in change-of-control transactions, including, amon</w:t>
      </w:r>
      <w:r>
        <w:rPr>
          <w:sz w:val="20"/>
          <w:szCs w:val="20"/>
        </w:rPr>
        <w:t>g other things, provisions that: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92611808"/>
        </w:trPr>
        <w:tc>
          <w:tcPr>
            <w:tcW w:w="720" w:type="dxa"/>
            <w:tcMar>
              <w:top w:w="0" w:type="dxa"/>
              <w:left w:w="0" w:type="dxa"/>
              <w:bottom w:w="0" w:type="dxa"/>
              <w:right w:w="0" w:type="dxa"/>
            </w:tcMar>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require supermajority shareholder voting to effect certain amendments to our amended and restated memorandum and articles of association;</w:t>
            </w:r>
          </w:p>
        </w:tc>
      </w:tr>
    </w:tbl>
    <w:p w:rsidR="00000000" w:rsidRDefault="00C96329">
      <w:pPr>
        <w:divId w:val="6926118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72"/>
      </w:tblGrid>
      <w:tr w:rsidR="00000000">
        <w:trPr>
          <w:divId w:val="692611808"/>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establish a classified board of directors;</w:t>
            </w:r>
          </w:p>
        </w:tc>
      </w:tr>
    </w:tbl>
    <w:p w:rsidR="00000000" w:rsidRDefault="00C96329">
      <w:pPr>
        <w:divId w:val="6926118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92611808"/>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restrict our shareholders fro</w:t>
            </w:r>
            <w:r>
              <w:rPr>
                <w:sz w:val="20"/>
                <w:szCs w:val="20"/>
              </w:rPr>
              <w:t>m calling meetings or acting by written consent in lieu of a meeting;</w:t>
            </w:r>
          </w:p>
        </w:tc>
      </w:tr>
    </w:tbl>
    <w:p w:rsidR="00000000" w:rsidRDefault="00C96329">
      <w:pPr>
        <w:divId w:val="6926118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916"/>
      </w:tblGrid>
      <w:tr w:rsidR="00000000">
        <w:trPr>
          <w:divId w:val="692611808"/>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limit the ability of our shareholders to propose actions at duly convened meetings; and</w:t>
            </w:r>
          </w:p>
        </w:tc>
      </w:tr>
    </w:tbl>
    <w:p w:rsidR="00000000" w:rsidRDefault="00C96329">
      <w:pPr>
        <w:divId w:val="6926118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92611808"/>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authorize our board of directors, without action by our shareholders, to issue preferred shares and additional ordinary shares.</w:t>
            </w:r>
          </w:p>
        </w:tc>
      </w:tr>
    </w:tbl>
    <w:p w:rsidR="00000000" w:rsidRDefault="00C96329">
      <w:pPr>
        <w:pStyle w:val="a3"/>
        <w:spacing w:before="0" w:beforeAutospacing="0" w:after="200" w:afterAutospacing="0"/>
        <w:ind w:firstLine="720"/>
        <w:divId w:val="692611808"/>
        <w:rPr>
          <w:sz w:val="20"/>
          <w:szCs w:val="20"/>
        </w:rPr>
      </w:pPr>
      <w:r>
        <w:rPr>
          <w:sz w:val="20"/>
          <w:szCs w:val="20"/>
        </w:rPr>
        <w:t xml:space="preserve">In addition, in May 2018, our shareholders approved a resolution authorizing our board of directors to adopt a shareholder rights plan in the future intended to deter any person from acquiring more than 19.9% of our outstanding ordinary shares without the </w:t>
      </w:r>
      <w:r>
        <w:rPr>
          <w:sz w:val="20"/>
          <w:szCs w:val="20"/>
        </w:rPr>
        <w:t>approval of our board of directors.</w:t>
      </w:r>
    </w:p>
    <w:p w:rsidR="00000000" w:rsidRDefault="00C96329">
      <w:pPr>
        <w:pStyle w:val="a3"/>
        <w:spacing w:before="360" w:beforeAutospacing="0" w:after="0" w:afterAutospacing="0"/>
        <w:jc w:val="center"/>
        <w:divId w:val="1214736872"/>
        <w:rPr>
          <w:sz w:val="20"/>
          <w:szCs w:val="20"/>
        </w:rPr>
      </w:pPr>
      <w:r>
        <w:rPr>
          <w:sz w:val="20"/>
          <w:szCs w:val="20"/>
        </w:rPr>
        <w:t>69</w:t>
      </w:r>
    </w:p>
    <w:p w:rsidR="00000000" w:rsidRDefault="00C96329">
      <w:pPr>
        <w:pStyle w:val="a3"/>
        <w:spacing w:before="0" w:beforeAutospacing="0" w:after="600" w:afterAutospacing="0"/>
        <w:divId w:val="1047412746"/>
        <w:rPr>
          <w:sz w:val="20"/>
          <w:szCs w:val="20"/>
        </w:rPr>
      </w:pPr>
      <w:hyperlink w:anchor="TOC" w:history="1">
        <w:r>
          <w:rPr>
            <w:rStyle w:val="a4"/>
            <w:sz w:val="20"/>
            <w:szCs w:val="20"/>
          </w:rPr>
          <w:t>Table of Contents</w:t>
        </w:r>
      </w:hyperlink>
    </w:p>
    <w:p w:rsidR="00000000" w:rsidRDefault="00C96329">
      <w:pPr>
        <w:pStyle w:val="a3"/>
        <w:spacing w:before="0" w:beforeAutospacing="0" w:after="200" w:afterAutospacing="0"/>
        <w:ind w:firstLine="720"/>
        <w:divId w:val="1805080889"/>
        <w:rPr>
          <w:sz w:val="20"/>
          <w:szCs w:val="20"/>
        </w:rPr>
      </w:pPr>
      <w:r>
        <w:rPr>
          <w:sz w:val="20"/>
          <w:szCs w:val="20"/>
        </w:rPr>
        <w:t>These provisions could have the effect of depriving you of an opportunity to sell your ordinary shares at a premium over prevailing market prices by discouraging third parti</w:t>
      </w:r>
      <w:r>
        <w:rPr>
          <w:sz w:val="20"/>
          <w:szCs w:val="20"/>
        </w:rPr>
        <w:t>es from seeking to acquire control of us in a tender offer or similar transaction.</w:t>
      </w:r>
    </w:p>
    <w:p w:rsidR="00000000" w:rsidRDefault="00C96329">
      <w:pPr>
        <w:pStyle w:val="a3"/>
        <w:spacing w:before="0" w:beforeAutospacing="0" w:after="120" w:afterAutospacing="0"/>
        <w:divId w:val="1805080889"/>
        <w:rPr>
          <w:sz w:val="20"/>
          <w:szCs w:val="20"/>
        </w:rPr>
      </w:pPr>
      <w:r>
        <w:rPr>
          <w:b/>
          <w:bCs/>
          <w:i/>
          <w:iCs/>
          <w:sz w:val="20"/>
          <w:szCs w:val="20"/>
        </w:rPr>
        <w:t>Our shareholders may face difficulties in protecting their interests because we are incorporated under Cayman Islands law.</w:t>
      </w:r>
    </w:p>
    <w:p w:rsidR="00000000" w:rsidRDefault="00C96329">
      <w:pPr>
        <w:pStyle w:val="a3"/>
        <w:spacing w:before="0" w:beforeAutospacing="0" w:after="200" w:afterAutospacing="0"/>
        <w:ind w:firstLine="720"/>
        <w:divId w:val="1805080889"/>
        <w:rPr>
          <w:sz w:val="20"/>
          <w:szCs w:val="20"/>
        </w:rPr>
      </w:pPr>
      <w:r>
        <w:rPr>
          <w:sz w:val="20"/>
          <w:szCs w:val="20"/>
        </w:rPr>
        <w:t xml:space="preserve">Our corporate affairs are governed by our amended </w:t>
      </w:r>
      <w:r>
        <w:rPr>
          <w:sz w:val="20"/>
          <w:szCs w:val="20"/>
        </w:rPr>
        <w:t>and restated memorandum and articles of association, by the Companies Law (2020 Revision) of the Cayman Islands and by the common law of the Cayman Islands. The rights of our shareholders and the fiduciary responsibilities of our directors under the laws o</w:t>
      </w:r>
      <w:r>
        <w:rPr>
          <w:sz w:val="20"/>
          <w:szCs w:val="20"/>
        </w:rPr>
        <w:t>f the Cayman Islands are different from those under statutes or judicial precedent in existence in jurisdictions in the US. Therefore, you may have more difficulty in protecting your interests than would shareholders of a corporation incorporated in a juri</w:t>
      </w:r>
      <w:r>
        <w:rPr>
          <w:sz w:val="20"/>
          <w:szCs w:val="20"/>
        </w:rPr>
        <w:t>sdiction in the US, due to the different nature of Cayman Islands law in this area.</w:t>
      </w:r>
    </w:p>
    <w:p w:rsidR="00000000" w:rsidRDefault="00C96329">
      <w:pPr>
        <w:pStyle w:val="a3"/>
        <w:spacing w:before="0" w:beforeAutospacing="0" w:after="200" w:afterAutospacing="0"/>
        <w:ind w:firstLine="720"/>
        <w:divId w:val="1805080889"/>
        <w:rPr>
          <w:sz w:val="20"/>
          <w:szCs w:val="20"/>
        </w:rPr>
      </w:pPr>
      <w:r>
        <w:rPr>
          <w:sz w:val="20"/>
          <w:szCs w:val="20"/>
        </w:rPr>
        <w:t>Shareholders of Cayman Islands exempted companies such as our company have no general rights under Cayman Islands law to inspect corporate records and accounts or to obtain</w:t>
      </w:r>
      <w:r>
        <w:rPr>
          <w:sz w:val="20"/>
          <w:szCs w:val="20"/>
        </w:rPr>
        <w:t xml:space="preserve"> copies of lists of shareholders. Our directors have discretion under our amended and restated memorandum and articles of association to determine whether or not, and under what conditions, our corporate records may be inspected by our shareholders, but ar</w:t>
      </w:r>
      <w:r>
        <w:rPr>
          <w:sz w:val="20"/>
          <w:szCs w:val="20"/>
        </w:rPr>
        <w:t xml:space="preserve">e not obliged to make them available to our shareholders. This may make it more difficult for you to obtain the information needed to establish any facts necessary for a shareholder motion or to solicit proxies from other shareholders in connection with a </w:t>
      </w:r>
      <w:r>
        <w:rPr>
          <w:sz w:val="20"/>
          <w:szCs w:val="20"/>
        </w:rPr>
        <w:t>proxy contest.</w:t>
      </w:r>
    </w:p>
    <w:p w:rsidR="00000000" w:rsidRDefault="00C96329">
      <w:pPr>
        <w:pStyle w:val="a3"/>
        <w:spacing w:before="0" w:beforeAutospacing="0" w:after="200" w:afterAutospacing="0"/>
        <w:ind w:firstLine="720"/>
        <w:divId w:val="1805080889"/>
        <w:rPr>
          <w:sz w:val="20"/>
          <w:szCs w:val="20"/>
        </w:rPr>
      </w:pPr>
      <w:r>
        <w:rPr>
          <w:sz w:val="20"/>
          <w:szCs w:val="20"/>
        </w:rPr>
        <w:t>Our Cayman Islands counsel, Maples and Calder, is not aware of any reported class action having been brought in a Cayman Islands court. Derivative actions have been brought in the Cayman Islands courts, and the Cayman Islands courts have con</w:t>
      </w:r>
      <w:r>
        <w:rPr>
          <w:sz w:val="20"/>
          <w:szCs w:val="20"/>
        </w:rPr>
        <w:t>firmed the availability for such actions. In most cases, the company will be the proper plaintiff in any claim based on a breach of duty owed to it, and a claim against (for example) our officers or directors usually may not be brought by a shareholder. Ho</w:t>
      </w:r>
      <w:r>
        <w:rPr>
          <w:sz w:val="20"/>
          <w:szCs w:val="20"/>
        </w:rPr>
        <w:t>wever, based on English authorities, which would in all likelihood be of persuasive authority and be applied by a court in the Cayman Islands, exceptions to the foregoing principle apply in circumstances in which:</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893"/>
      </w:tblGrid>
      <w:tr w:rsidR="00000000">
        <w:trPr>
          <w:divId w:val="1805080889"/>
        </w:trPr>
        <w:tc>
          <w:tcPr>
            <w:tcW w:w="720" w:type="dxa"/>
            <w:tcMar>
              <w:top w:w="0" w:type="dxa"/>
              <w:left w:w="0" w:type="dxa"/>
              <w:bottom w:w="0" w:type="dxa"/>
              <w:right w:w="0" w:type="dxa"/>
            </w:tcMar>
            <w:vAlign w:val="center"/>
            <w:hideMark/>
          </w:tcPr>
          <w:p w:rsidR="00000000" w:rsidRDefault="00C96329">
            <w:pPr>
              <w:rPr>
                <w:sz w:val="20"/>
                <w:szCs w:val="20"/>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a company is acting, or proposing to ac</w:t>
            </w:r>
            <w:r>
              <w:rPr>
                <w:sz w:val="20"/>
                <w:szCs w:val="20"/>
              </w:rPr>
              <w:t>t, illegally or beyond the scope of its authority;</w:t>
            </w:r>
          </w:p>
        </w:tc>
      </w:tr>
    </w:tbl>
    <w:p w:rsidR="00000000" w:rsidRDefault="00C96329">
      <w:pPr>
        <w:divId w:val="180508088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05080889"/>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the act complained of, although not beyond the scope of the authority, could be effected if duly authorized by more than the number of votes which have actually been obtained; or</w:t>
            </w:r>
          </w:p>
        </w:tc>
      </w:tr>
    </w:tbl>
    <w:p w:rsidR="00000000" w:rsidRDefault="00C96329">
      <w:pPr>
        <w:divId w:val="180508088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943"/>
      </w:tblGrid>
      <w:tr w:rsidR="00000000">
        <w:trPr>
          <w:divId w:val="1805080889"/>
        </w:trPr>
        <w:tc>
          <w:tcPr>
            <w:tcW w:w="720" w:type="dxa"/>
            <w:tcMar>
              <w:top w:w="0" w:type="dxa"/>
              <w:left w:w="0" w:type="dxa"/>
              <w:bottom w:w="0" w:type="dxa"/>
              <w:right w:w="0" w:type="dxa"/>
            </w:tcMar>
            <w:vAlign w:val="center"/>
            <w:hideMark/>
          </w:tcPr>
          <w:p w:rsidR="00000000" w:rsidRDefault="00C96329">
            <w:pPr>
              <w:rPr>
                <w:rFonts w:eastAsia="Times New Roman"/>
              </w:rPr>
            </w:pPr>
          </w:p>
        </w:tc>
        <w:tc>
          <w:tcPr>
            <w:tcW w:w="360" w:type="dxa"/>
            <w:noWrap/>
            <w:tcMar>
              <w:top w:w="0" w:type="dxa"/>
              <w:left w:w="0" w:type="dxa"/>
              <w:bottom w:w="0" w:type="dxa"/>
              <w:right w:w="0" w:type="dxa"/>
            </w:tcMar>
            <w:hideMark/>
          </w:tcPr>
          <w:p w:rsidR="00000000" w:rsidRDefault="00C9632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C96329">
            <w:pPr>
              <w:pStyle w:val="a3"/>
              <w:spacing w:before="0" w:beforeAutospacing="0" w:after="200" w:afterAutospacing="0"/>
              <w:rPr>
                <w:sz w:val="20"/>
                <w:szCs w:val="20"/>
              </w:rPr>
            </w:pPr>
            <w:r>
              <w:rPr>
                <w:sz w:val="20"/>
                <w:szCs w:val="20"/>
              </w:rPr>
              <w:t>those who control the company are perpetrating a “fraud on the minority.</w:t>
            </w:r>
            <w:r>
              <w:rPr>
                <w:sz w:val="20"/>
                <w:szCs w:val="20"/>
              </w:rPr>
              <w:t>”</w:t>
            </w:r>
          </w:p>
        </w:tc>
      </w:tr>
    </w:tbl>
    <w:p w:rsidR="00000000" w:rsidRDefault="00C96329">
      <w:pPr>
        <w:pStyle w:val="a3"/>
        <w:spacing w:before="0" w:beforeAutospacing="0" w:after="200" w:afterAutospacing="0"/>
        <w:ind w:firstLine="720"/>
        <w:divId w:val="1805080889"/>
        <w:rPr>
          <w:sz w:val="20"/>
          <w:szCs w:val="20"/>
        </w:rPr>
      </w:pPr>
      <w:r>
        <w:rPr>
          <w:sz w:val="20"/>
          <w:szCs w:val="20"/>
        </w:rPr>
        <w:t>A shareholder may have a direct right of action against the company where the individual rights of that shareholder have been infringed or are about to be infringed.</w:t>
      </w:r>
    </w:p>
    <w:p w:rsidR="00000000" w:rsidRDefault="00C96329">
      <w:pPr>
        <w:pStyle w:val="a3"/>
        <w:spacing w:before="0" w:beforeAutospacing="0" w:after="120" w:afterAutospacing="0"/>
        <w:divId w:val="1805080889"/>
        <w:rPr>
          <w:sz w:val="20"/>
          <w:szCs w:val="20"/>
        </w:rPr>
      </w:pPr>
      <w:r>
        <w:rPr>
          <w:b/>
          <w:bCs/>
          <w:i/>
          <w:iCs/>
          <w:sz w:val="20"/>
          <w:szCs w:val="20"/>
        </w:rPr>
        <w:t>There is uncertainty as to shareholders’ ability to enforce certain foreign civil liabi</w:t>
      </w:r>
      <w:r>
        <w:rPr>
          <w:b/>
          <w:bCs/>
          <w:i/>
          <w:iCs/>
          <w:sz w:val="20"/>
          <w:szCs w:val="20"/>
        </w:rPr>
        <w:t>lities in the Cayman Islands.</w:t>
      </w:r>
    </w:p>
    <w:p w:rsidR="00000000" w:rsidRDefault="00C96329">
      <w:pPr>
        <w:pStyle w:val="a3"/>
        <w:spacing w:before="0" w:beforeAutospacing="0" w:after="200" w:afterAutospacing="0"/>
        <w:ind w:firstLine="720"/>
        <w:divId w:val="1805080889"/>
        <w:rPr>
          <w:sz w:val="20"/>
          <w:szCs w:val="20"/>
        </w:rPr>
      </w:pPr>
      <w:r>
        <w:rPr>
          <w:sz w:val="20"/>
          <w:szCs w:val="20"/>
        </w:rPr>
        <w:t>We are incorporated as an exempted company limited by shares with limited liability under the laws of the Cayman Islands. A material portion of our assets are located outside of the US. As a result, it may be difficult for our</w:t>
      </w:r>
      <w:r>
        <w:rPr>
          <w:sz w:val="20"/>
          <w:szCs w:val="20"/>
        </w:rPr>
        <w:t xml:space="preserve"> shareholders to enforce judgments against us or judgments obtained in US courts predicated upon the civil liability provisions of the federal securities laws of the US or any state of the US.</w:t>
      </w:r>
    </w:p>
    <w:p w:rsidR="00000000" w:rsidRDefault="00C96329">
      <w:pPr>
        <w:pStyle w:val="a3"/>
        <w:spacing w:before="0" w:beforeAutospacing="0" w:after="0" w:afterAutospacing="0"/>
        <w:ind w:firstLine="720"/>
        <w:divId w:val="1805080889"/>
        <w:rPr>
          <w:sz w:val="20"/>
          <w:szCs w:val="20"/>
        </w:rPr>
      </w:pPr>
      <w:r>
        <w:rPr>
          <w:sz w:val="20"/>
          <w:szCs w:val="20"/>
        </w:rPr>
        <w:t>We understand that the courts of the Cayman Islands are unlikel</w:t>
      </w:r>
      <w:r>
        <w:rPr>
          <w:sz w:val="20"/>
          <w:szCs w:val="20"/>
        </w:rPr>
        <w:t>y (i) to recognize or enforce against Theravance Biopharma judgments of courts of the US predicated upon the civil liability provisions of the securities laws of the US or any State; and (ii) in original actions brought in the Cayman Islands, to impose lia</w:t>
      </w:r>
      <w:r>
        <w:rPr>
          <w:sz w:val="20"/>
          <w:szCs w:val="20"/>
        </w:rPr>
        <w:t>bilities against Theravance Biopharma predicated upon the civil liability provisions of the securities laws of the US or any State, on the grounds that such provisions are penal in nature. However, in the case of laws that are not penal in nature, although</w:t>
      </w:r>
      <w:r>
        <w:rPr>
          <w:sz w:val="20"/>
          <w:szCs w:val="20"/>
        </w:rPr>
        <w:t xml:space="preserve"> there is no statutory enforcement in the Cayman Islands of judgments obtained in the US, the courts of the Cayman Islands will recognize and enforce a foreign money judgment of a foreign court of competent jurisdiction without retrial on the merits based </w:t>
      </w:r>
      <w:r>
        <w:rPr>
          <w:sz w:val="20"/>
          <w:szCs w:val="20"/>
        </w:rPr>
        <w:t xml:space="preserve">on the principle that a judgment of a competent foreign court imposes upon the judgment debtor an obligation to pay the sum for which judgment has been given provided certain conditions are met. For a foreign judgment to be enforced in the Cayman Islands, </w:t>
      </w:r>
      <w:r>
        <w:rPr>
          <w:sz w:val="20"/>
          <w:szCs w:val="20"/>
        </w:rPr>
        <w:t xml:space="preserve">such judgment must be final and conclusive and for a liquidated sum, and must not be in respect of taxes or a fine or penalty, inconsistent with a Cayman Islands’ judgment in respect of the same matter, impeachable on the grounds of fraud or obtained </w:t>
      </w:r>
    </w:p>
    <w:p w:rsidR="00000000" w:rsidRDefault="00C96329">
      <w:pPr>
        <w:pStyle w:val="a3"/>
        <w:spacing w:before="360" w:beforeAutospacing="0" w:after="0" w:afterAutospacing="0"/>
        <w:jc w:val="center"/>
        <w:divId w:val="232353533"/>
        <w:rPr>
          <w:sz w:val="20"/>
          <w:szCs w:val="20"/>
        </w:rPr>
      </w:pPr>
      <w:r>
        <w:rPr>
          <w:sz w:val="20"/>
          <w:szCs w:val="20"/>
        </w:rPr>
        <w:t>70</w:t>
      </w:r>
    </w:p>
    <w:p w:rsidR="00000000" w:rsidRDefault="00C96329">
      <w:pPr>
        <w:pStyle w:val="a3"/>
        <w:spacing w:before="0" w:beforeAutospacing="0" w:after="600" w:afterAutospacing="0"/>
        <w:divId w:val="1407144345"/>
        <w:rPr>
          <w:sz w:val="20"/>
          <w:szCs w:val="20"/>
        </w:rPr>
      </w:pPr>
      <w:hyperlink w:anchor="TOC" w:history="1">
        <w:r>
          <w:rPr>
            <w:rStyle w:val="a4"/>
            <w:sz w:val="20"/>
            <w:szCs w:val="20"/>
          </w:rPr>
          <w:t>Table of Contents</w:t>
        </w:r>
      </w:hyperlink>
    </w:p>
    <w:p w:rsidR="00000000" w:rsidRDefault="00C96329">
      <w:pPr>
        <w:pStyle w:val="a3"/>
        <w:spacing w:before="0" w:beforeAutospacing="0" w:after="200" w:afterAutospacing="0"/>
        <w:divId w:val="2038768525"/>
        <w:rPr>
          <w:sz w:val="20"/>
          <w:szCs w:val="20"/>
        </w:rPr>
      </w:pPr>
      <w:r>
        <w:rPr>
          <w:sz w:val="20"/>
          <w:szCs w:val="20"/>
        </w:rPr>
        <w:t>in a manner, and or be of a kind the enforcement of which is, contrary to natural justice or the public policy of the Cayman Islands (awards of punitive or multiple damages may well be held to be contrary to public policy). A Cayman Islands court, includin</w:t>
      </w:r>
      <w:r>
        <w:rPr>
          <w:sz w:val="20"/>
          <w:szCs w:val="20"/>
        </w:rPr>
        <w:t>g the Grand Court of the Cayman Islands, may stay proceedings if concurrent proceedings are being brought elsewhere, which would delay proceedings and make it more difficult for our shareholders to bring action against us.</w:t>
      </w:r>
    </w:p>
    <w:p w:rsidR="00000000" w:rsidRDefault="00C96329">
      <w:pPr>
        <w:pStyle w:val="a3"/>
        <w:spacing w:before="0" w:beforeAutospacing="0" w:after="120" w:afterAutospacing="0"/>
        <w:divId w:val="2038768525"/>
        <w:rPr>
          <w:sz w:val="20"/>
          <w:szCs w:val="20"/>
        </w:rPr>
      </w:pPr>
      <w:r>
        <w:rPr>
          <w:b/>
          <w:bCs/>
          <w:i/>
          <w:iCs/>
          <w:sz w:val="20"/>
          <w:szCs w:val="20"/>
        </w:rPr>
        <w:t>If securities or industry analyst</w:t>
      </w:r>
      <w:r>
        <w:rPr>
          <w:b/>
          <w:bCs/>
          <w:i/>
          <w:iCs/>
          <w:sz w:val="20"/>
          <w:szCs w:val="20"/>
        </w:rPr>
        <w:t>s cease coverage of us or do not publish research, or publish inaccurate or unfavorable research, about our business, the price of our ordinary shares and trading volume could decline.</w:t>
      </w:r>
    </w:p>
    <w:p w:rsidR="00000000" w:rsidRDefault="00C96329">
      <w:pPr>
        <w:pStyle w:val="a3"/>
        <w:spacing w:before="0" w:beforeAutospacing="0" w:after="200" w:afterAutospacing="0"/>
        <w:ind w:firstLine="720"/>
        <w:divId w:val="2038768525"/>
        <w:rPr>
          <w:sz w:val="20"/>
          <w:szCs w:val="20"/>
        </w:rPr>
      </w:pPr>
      <w:r>
        <w:rPr>
          <w:sz w:val="20"/>
          <w:szCs w:val="20"/>
        </w:rPr>
        <w:t>The trading market for our ordinary shares depends in part on the resea</w:t>
      </w:r>
      <w:r>
        <w:rPr>
          <w:sz w:val="20"/>
          <w:szCs w:val="20"/>
        </w:rPr>
        <w:t>rch and reports that securities or industry analysts publish about us or our business. If few securities analysts commence coverage of us, or if industry analysts cease coverage of us, the trading price for our ordinary shares could be negatively affected.</w:t>
      </w:r>
      <w:r>
        <w:rPr>
          <w:sz w:val="20"/>
          <w:szCs w:val="20"/>
        </w:rPr>
        <w:t xml:space="preserve"> If one or more of the analysts who cover us downgrade our ordinary shares or publish inaccurate or unfavorable research about our business or if our results fail to meet the expectations of these analysts, the price of our ordinary shares would likely dec</w:t>
      </w:r>
      <w:r>
        <w:rPr>
          <w:sz w:val="20"/>
          <w:szCs w:val="20"/>
        </w:rPr>
        <w:t>line. If one or more of these analysts cease coverage of us or fail to publish reports on us regularly, demand for our ordinary shares could decrease, which might cause our share price and trading volume to decline.</w:t>
      </w:r>
    </w:p>
    <w:p w:rsidR="00000000" w:rsidRDefault="00C96329">
      <w:pPr>
        <w:pStyle w:val="a3"/>
        <w:spacing w:before="0" w:beforeAutospacing="0" w:after="120" w:afterAutospacing="0"/>
        <w:divId w:val="2038768525"/>
        <w:rPr>
          <w:sz w:val="20"/>
          <w:szCs w:val="20"/>
        </w:rPr>
      </w:pPr>
      <w:r>
        <w:rPr>
          <w:b/>
          <w:bCs/>
          <w:i/>
          <w:iCs/>
          <w:sz w:val="20"/>
          <w:szCs w:val="20"/>
        </w:rPr>
        <w:t>We do not anticipate paying any cash div</w:t>
      </w:r>
      <w:r>
        <w:rPr>
          <w:b/>
          <w:bCs/>
          <w:i/>
          <w:iCs/>
          <w:sz w:val="20"/>
          <w:szCs w:val="20"/>
        </w:rPr>
        <w:t>idends on our capital shares in the foreseeable future; as a result, capital appreciation, if any, of our ordinary shares will be your sole source of gain for the foreseeable future.</w:t>
      </w:r>
    </w:p>
    <w:p w:rsidR="00000000" w:rsidRDefault="00C96329">
      <w:pPr>
        <w:pStyle w:val="a3"/>
        <w:spacing w:before="0" w:beforeAutospacing="0" w:after="0" w:afterAutospacing="0"/>
        <w:ind w:firstLine="720"/>
        <w:divId w:val="2038768525"/>
        <w:rPr>
          <w:sz w:val="20"/>
          <w:szCs w:val="20"/>
        </w:rPr>
      </w:pPr>
      <w:r>
        <w:rPr>
          <w:sz w:val="20"/>
          <w:szCs w:val="20"/>
        </w:rPr>
        <w:t>We have never declared or paid cash dividends on our capital shares. We d</w:t>
      </w:r>
      <w:r>
        <w:rPr>
          <w:sz w:val="20"/>
          <w:szCs w:val="20"/>
        </w:rPr>
        <w:t>o not anticipate paying any cash dividends on our capital shares in the foreseeable future. We currently intend to retain all available funds and any future earnings to fund the development and growth of our business. In addition, the terms of any future d</w:t>
      </w:r>
      <w:r>
        <w:rPr>
          <w:sz w:val="20"/>
          <w:szCs w:val="20"/>
        </w:rPr>
        <w:t>ebt financing arrangement may contain terms prohibiting or limiting the amount of dividends that may be declared or paid on our ordinary shares. As a result, capital appreciation, if any, of our ordinary shares will be your sole source of gain for the fore</w:t>
      </w:r>
      <w:r>
        <w:rPr>
          <w:sz w:val="20"/>
          <w:szCs w:val="20"/>
        </w:rPr>
        <w:t>seeable future.</w:t>
      </w:r>
    </w:p>
    <w:p w:rsidR="00000000" w:rsidRDefault="00C96329">
      <w:pPr>
        <w:pStyle w:val="a3"/>
        <w:spacing w:before="0" w:beforeAutospacing="0" w:after="0" w:afterAutospacing="0"/>
        <w:divId w:val="2038768525"/>
        <w:rPr>
          <w:sz w:val="20"/>
          <w:szCs w:val="20"/>
        </w:rPr>
      </w:pPr>
      <w:r>
        <w:rPr>
          <w:sz w:val="20"/>
          <w:szCs w:val="20"/>
        </w:rPr>
        <w:t>​</w:t>
      </w:r>
    </w:p>
    <w:p w:rsidR="00000000" w:rsidRDefault="00C96329">
      <w:pPr>
        <w:pStyle w:val="a3"/>
        <w:spacing w:before="0" w:beforeAutospacing="0" w:after="0" w:afterAutospacing="0"/>
        <w:divId w:val="2038768525"/>
        <w:rPr>
          <w:sz w:val="20"/>
          <w:szCs w:val="20"/>
        </w:rPr>
      </w:pPr>
      <w:r>
        <w:rPr>
          <w:b/>
          <w:bCs/>
          <w:sz w:val="20"/>
          <w:szCs w:val="20"/>
        </w:rPr>
        <w:t>ITEM 2.   UNREGISTERED SALES OF EQUITY SECURITIES AND USE OF PROCEEDS</w:t>
      </w:r>
    </w:p>
    <w:p w:rsidR="00000000" w:rsidRDefault="00C96329">
      <w:pPr>
        <w:pStyle w:val="a3"/>
        <w:spacing w:before="0" w:beforeAutospacing="0" w:after="0" w:afterAutospacing="0"/>
        <w:divId w:val="2038768525"/>
        <w:rPr>
          <w:sz w:val="20"/>
          <w:szCs w:val="20"/>
        </w:rPr>
      </w:pPr>
      <w:r>
        <w:rPr>
          <w:sz w:val="20"/>
          <w:szCs w:val="20"/>
        </w:rPr>
        <w:t>​</w:t>
      </w:r>
    </w:p>
    <w:p w:rsidR="00000000" w:rsidRDefault="00C96329">
      <w:pPr>
        <w:pStyle w:val="a3"/>
        <w:spacing w:before="0" w:beforeAutospacing="0" w:after="0" w:afterAutospacing="0"/>
        <w:ind w:firstLine="720"/>
        <w:divId w:val="2038768525"/>
        <w:rPr>
          <w:sz w:val="20"/>
          <w:szCs w:val="20"/>
        </w:rPr>
      </w:pPr>
      <w:r>
        <w:rPr>
          <w:sz w:val="20"/>
          <w:szCs w:val="20"/>
        </w:rPr>
        <w:t>None.</w:t>
      </w:r>
    </w:p>
    <w:p w:rsidR="00000000" w:rsidRDefault="00C96329">
      <w:pPr>
        <w:pStyle w:val="a3"/>
        <w:spacing w:before="0" w:beforeAutospacing="0" w:after="0" w:afterAutospacing="0"/>
        <w:divId w:val="2038768525"/>
        <w:rPr>
          <w:sz w:val="20"/>
          <w:szCs w:val="20"/>
        </w:rPr>
      </w:pPr>
      <w:r>
        <w:rPr>
          <w:b/>
          <w:bCs/>
          <w:sz w:val="20"/>
          <w:szCs w:val="20"/>
        </w:rPr>
        <w:t>​</w:t>
      </w:r>
    </w:p>
    <w:p w:rsidR="00000000" w:rsidRDefault="00C96329">
      <w:pPr>
        <w:pStyle w:val="a3"/>
        <w:spacing w:before="0" w:beforeAutospacing="0" w:after="0" w:afterAutospacing="0"/>
        <w:divId w:val="2038768525"/>
        <w:rPr>
          <w:sz w:val="20"/>
          <w:szCs w:val="20"/>
        </w:rPr>
      </w:pPr>
      <w:r>
        <w:rPr>
          <w:b/>
          <w:bCs/>
          <w:sz w:val="20"/>
          <w:szCs w:val="20"/>
        </w:rPr>
        <w:t>​</w:t>
      </w:r>
    </w:p>
    <w:p w:rsidR="00000000" w:rsidRDefault="00C96329">
      <w:pPr>
        <w:pStyle w:val="a3"/>
        <w:spacing w:before="360" w:beforeAutospacing="0" w:after="0" w:afterAutospacing="0"/>
        <w:jc w:val="center"/>
        <w:divId w:val="1499272627"/>
        <w:rPr>
          <w:sz w:val="20"/>
          <w:szCs w:val="20"/>
        </w:rPr>
      </w:pPr>
      <w:r>
        <w:rPr>
          <w:sz w:val="20"/>
          <w:szCs w:val="20"/>
        </w:rPr>
        <w:t>71</w:t>
      </w:r>
    </w:p>
    <w:p w:rsidR="00000000" w:rsidRDefault="00C96329">
      <w:pPr>
        <w:pStyle w:val="a3"/>
        <w:spacing w:before="0" w:beforeAutospacing="0" w:after="600" w:afterAutospacing="0"/>
        <w:divId w:val="1356268881"/>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divId w:val="1460759414"/>
        <w:rPr>
          <w:sz w:val="20"/>
          <w:szCs w:val="20"/>
        </w:rPr>
      </w:pPr>
      <w:r>
        <w:rPr>
          <w:b/>
          <w:bCs/>
          <w:sz w:val="20"/>
          <w:szCs w:val="20"/>
        </w:rPr>
        <w:t>ITEM 6.   EXHIBITS</w:t>
      </w:r>
    </w:p>
    <w:p w:rsidR="00000000" w:rsidRDefault="00C96329">
      <w:pPr>
        <w:pStyle w:val="a3"/>
        <w:spacing w:before="0" w:beforeAutospacing="0" w:after="0" w:afterAutospacing="0"/>
        <w:divId w:val="146075941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6"/>
        <w:gridCol w:w="204"/>
        <w:gridCol w:w="3822"/>
        <w:gridCol w:w="204"/>
        <w:gridCol w:w="1027"/>
        <w:gridCol w:w="205"/>
        <w:gridCol w:w="995"/>
        <w:gridCol w:w="205"/>
        <w:gridCol w:w="1068"/>
      </w:tblGrid>
      <w:tr w:rsidR="00000000">
        <w:trPr>
          <w:divId w:val="1460759414"/>
          <w:trHeight w:val="20"/>
        </w:trPr>
        <w:tc>
          <w:tcPr>
            <w:tcW w:w="349" w:type="pct"/>
            <w:tcMar>
              <w:top w:w="0" w:type="dxa"/>
              <w:left w:w="0" w:type="dxa"/>
              <w:bottom w:w="0" w:type="dxa"/>
              <w:right w:w="0" w:type="dxa"/>
            </w:tcMar>
            <w:vAlign w:val="bottom"/>
            <w:hideMark/>
          </w:tcPr>
          <w:p w:rsidR="00000000" w:rsidRDefault="00C96329">
            <w:pPr>
              <w:rPr>
                <w:sz w:val="20"/>
                <w:szCs w:val="20"/>
              </w:rPr>
            </w:pPr>
          </w:p>
        </w:tc>
        <w:tc>
          <w:tcPr>
            <w:tcW w:w="125" w:type="pct"/>
            <w:tcMar>
              <w:top w:w="0" w:type="dxa"/>
              <w:left w:w="0" w:type="dxa"/>
              <w:bottom w:w="0" w:type="dxa"/>
              <w:right w:w="0" w:type="dxa"/>
            </w:tcMar>
            <w:vAlign w:val="bottom"/>
            <w:hideMark/>
          </w:tcPr>
          <w:p w:rsidR="00000000" w:rsidRDefault="00C96329">
            <w:pPr>
              <w:rPr>
                <w:rFonts w:eastAsia="Times New Roman"/>
                <w:sz w:val="20"/>
                <w:szCs w:val="20"/>
              </w:rPr>
            </w:pPr>
          </w:p>
        </w:tc>
        <w:tc>
          <w:tcPr>
            <w:tcW w:w="2303" w:type="pct"/>
            <w:tcMar>
              <w:top w:w="0" w:type="dxa"/>
              <w:left w:w="0" w:type="dxa"/>
              <w:bottom w:w="0" w:type="dxa"/>
              <w:right w:w="0" w:type="dxa"/>
            </w:tcMar>
            <w:vAlign w:val="bottom"/>
            <w:hideMark/>
          </w:tcPr>
          <w:p w:rsidR="00000000" w:rsidRDefault="00C96329">
            <w:pPr>
              <w:rPr>
                <w:rFonts w:eastAsia="Times New Roman"/>
                <w:sz w:val="20"/>
                <w:szCs w:val="20"/>
              </w:rPr>
            </w:pPr>
          </w:p>
        </w:tc>
        <w:tc>
          <w:tcPr>
            <w:tcW w:w="125" w:type="pct"/>
            <w:tcMar>
              <w:top w:w="0" w:type="dxa"/>
              <w:left w:w="0" w:type="dxa"/>
              <w:bottom w:w="0" w:type="dxa"/>
              <w:right w:w="0" w:type="dxa"/>
            </w:tcMar>
            <w:vAlign w:val="bottom"/>
            <w:hideMark/>
          </w:tcPr>
          <w:p w:rsidR="00000000" w:rsidRDefault="00C96329">
            <w:pPr>
              <w:rPr>
                <w:rFonts w:eastAsia="Times New Roman"/>
                <w:sz w:val="20"/>
                <w:szCs w:val="20"/>
              </w:rPr>
            </w:pPr>
          </w:p>
        </w:tc>
        <w:tc>
          <w:tcPr>
            <w:tcW w:w="601" w:type="pct"/>
            <w:tcMar>
              <w:top w:w="0" w:type="dxa"/>
              <w:left w:w="0" w:type="dxa"/>
              <w:bottom w:w="0" w:type="dxa"/>
              <w:right w:w="0" w:type="dxa"/>
            </w:tcMar>
            <w:vAlign w:val="bottom"/>
            <w:hideMark/>
          </w:tcPr>
          <w:p w:rsidR="00000000" w:rsidRDefault="00C96329">
            <w:pPr>
              <w:rPr>
                <w:rFonts w:eastAsia="Times New Roman"/>
                <w:sz w:val="20"/>
                <w:szCs w:val="20"/>
              </w:rPr>
            </w:pPr>
          </w:p>
        </w:tc>
        <w:tc>
          <w:tcPr>
            <w:tcW w:w="125" w:type="pct"/>
            <w:tcMar>
              <w:top w:w="0" w:type="dxa"/>
              <w:left w:w="0" w:type="dxa"/>
              <w:bottom w:w="0" w:type="dxa"/>
              <w:right w:w="0" w:type="dxa"/>
            </w:tcMar>
            <w:vAlign w:val="bottom"/>
            <w:hideMark/>
          </w:tcPr>
          <w:p w:rsidR="00000000" w:rsidRDefault="00C96329">
            <w:pPr>
              <w:rPr>
                <w:rFonts w:eastAsia="Times New Roman"/>
                <w:sz w:val="20"/>
                <w:szCs w:val="20"/>
              </w:rPr>
            </w:pPr>
          </w:p>
        </w:tc>
        <w:tc>
          <w:tcPr>
            <w:tcW w:w="601" w:type="pct"/>
            <w:tcMar>
              <w:top w:w="0" w:type="dxa"/>
              <w:left w:w="0" w:type="dxa"/>
              <w:bottom w:w="0" w:type="dxa"/>
              <w:right w:w="0" w:type="dxa"/>
            </w:tcMar>
            <w:vAlign w:val="bottom"/>
            <w:hideMark/>
          </w:tcPr>
          <w:p w:rsidR="00000000" w:rsidRDefault="00C96329">
            <w:pPr>
              <w:rPr>
                <w:rFonts w:eastAsia="Times New Roman"/>
                <w:sz w:val="20"/>
                <w:szCs w:val="20"/>
              </w:rPr>
            </w:pPr>
          </w:p>
        </w:tc>
        <w:tc>
          <w:tcPr>
            <w:tcW w:w="125" w:type="pct"/>
            <w:tcMar>
              <w:top w:w="0" w:type="dxa"/>
              <w:left w:w="0" w:type="dxa"/>
              <w:bottom w:w="0" w:type="dxa"/>
              <w:right w:w="0" w:type="dxa"/>
            </w:tcMar>
            <w:vAlign w:val="bottom"/>
            <w:hideMark/>
          </w:tcPr>
          <w:p w:rsidR="00000000" w:rsidRDefault="00C96329">
            <w:pPr>
              <w:rPr>
                <w:rFonts w:eastAsia="Times New Roman"/>
                <w:sz w:val="20"/>
                <w:szCs w:val="20"/>
              </w:rPr>
            </w:pPr>
          </w:p>
        </w:tc>
        <w:tc>
          <w:tcPr>
            <w:tcW w:w="644" w:type="pct"/>
            <w:tcMar>
              <w:top w:w="0" w:type="dxa"/>
              <w:left w:w="0" w:type="dxa"/>
              <w:bottom w:w="0" w:type="dxa"/>
              <w:right w:w="0" w:type="dxa"/>
            </w:tcMar>
            <w:vAlign w:val="bottom"/>
            <w:hideMark/>
          </w:tcPr>
          <w:p w:rsidR="00000000" w:rsidRDefault="00C96329">
            <w:pPr>
              <w:rPr>
                <w:rFonts w:eastAsia="Times New Roman"/>
                <w:sz w:val="20"/>
                <w:szCs w:val="20"/>
              </w:rPr>
            </w:pPr>
          </w:p>
        </w:tc>
      </w:tr>
      <w:tr w:rsidR="00000000">
        <w:trPr>
          <w:divId w:val="1460759414"/>
        </w:trPr>
        <w:tc>
          <w:tcPr>
            <w:tcW w:w="349"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16"/>
                <w:szCs w:val="16"/>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2303"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601"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16"/>
                <w:szCs w:val="16"/>
              </w:rPr>
              <w:t>​</w:t>
            </w:r>
          </w:p>
        </w:tc>
        <w:tc>
          <w:tcPr>
            <w:tcW w:w="1371" w:type="pct"/>
            <w:gridSpan w:val="3"/>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Incorporated by Reference</w:t>
            </w:r>
          </w:p>
        </w:tc>
      </w:tr>
      <w:tr w:rsidR="00000000">
        <w:trPr>
          <w:divId w:val="1460759414"/>
        </w:trPr>
        <w:tc>
          <w:tcPr>
            <w:tcW w:w="349"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Exhibit</w:t>
            </w:r>
            <w:r>
              <w:rPr>
                <w:sz w:val="16"/>
                <w:szCs w:val="16"/>
              </w:rPr>
              <w:br/>
            </w:r>
            <w:r>
              <w:rPr>
                <w:b/>
                <w:bCs/>
                <w:sz w:val="16"/>
                <w:szCs w:val="16"/>
              </w:rPr>
              <w:t>Number</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2303"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Exhibit Description</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601"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Filed Herewith</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601"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Form</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16"/>
                <w:szCs w:val="16"/>
              </w:rPr>
            </w:pPr>
            <w:r>
              <w:rPr>
                <w:b/>
                <w:bCs/>
                <w:sz w:val="16"/>
                <w:szCs w:val="16"/>
              </w:rPr>
              <w:t>    </w:t>
            </w:r>
          </w:p>
        </w:tc>
        <w:tc>
          <w:tcPr>
            <w:tcW w:w="644" w:type="pct"/>
            <w:tcBorders>
              <w:bottom w:val="single" w:sz="6" w:space="0" w:color="000000"/>
            </w:tcBorders>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16"/>
                <w:szCs w:val="16"/>
              </w:rPr>
            </w:pPr>
            <w:r>
              <w:rPr>
                <w:b/>
                <w:bCs/>
                <w:sz w:val="16"/>
                <w:szCs w:val="16"/>
              </w:rPr>
              <w:t>Filing</w:t>
            </w:r>
            <w:r>
              <w:rPr>
                <w:sz w:val="16"/>
                <w:szCs w:val="16"/>
              </w:rPr>
              <w:br/>
            </w:r>
            <w:r>
              <w:rPr>
                <w:b/>
                <w:bCs/>
                <w:sz w:val="16"/>
                <w:szCs w:val="16"/>
              </w:rPr>
              <w:t>Date/Period</w:t>
            </w:r>
            <w:r>
              <w:rPr>
                <w:sz w:val="16"/>
                <w:szCs w:val="16"/>
              </w:rPr>
              <w:br/>
            </w:r>
            <w:r>
              <w:rPr>
                <w:b/>
                <w:bCs/>
                <w:sz w:val="16"/>
                <w:szCs w:val="16"/>
              </w:rPr>
              <w:t>End Date</w:t>
            </w:r>
          </w:p>
        </w:tc>
      </w:tr>
      <w:tr w:rsidR="00000000">
        <w:trPr>
          <w:divId w:val="1460759414"/>
        </w:trPr>
        <w:tc>
          <w:tcPr>
            <w:tcW w:w="349"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w:t>
            </w:r>
          </w:p>
        </w:tc>
        <w:tc>
          <w:tcPr>
            <w:tcW w:w="2303"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w:t>
            </w:r>
          </w:p>
        </w:tc>
        <w:tc>
          <w:tcPr>
            <w:tcW w:w="601"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w:t>
            </w:r>
          </w:p>
        </w:tc>
        <w:tc>
          <w:tcPr>
            <w:tcW w:w="601"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w:t>
            </w:r>
          </w:p>
        </w:tc>
        <w:tc>
          <w:tcPr>
            <w:tcW w:w="644"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b/>
                <w:bCs/>
                <w:sz w:val="20"/>
                <w:szCs w:val="20"/>
              </w:rPr>
              <w:t>​</w:t>
            </w:r>
          </w:p>
        </w:tc>
      </w:tr>
      <w:tr w:rsidR="00000000">
        <w:trPr>
          <w:divId w:val="1460759414"/>
        </w:trPr>
        <w:tc>
          <w:tcPr>
            <w:tcW w:w="349" w:type="pct"/>
            <w:tcMar>
              <w:top w:w="0" w:type="dxa"/>
              <w:left w:w="0" w:type="dxa"/>
              <w:bottom w:w="0" w:type="dxa"/>
              <w:right w:w="0" w:type="dxa"/>
            </w:tcMar>
            <w:hideMark/>
          </w:tcPr>
          <w:p w:rsidR="00000000" w:rsidRDefault="00C96329">
            <w:pPr>
              <w:pStyle w:val="a3"/>
              <w:spacing w:before="0" w:beforeAutospacing="0" w:after="0" w:afterAutospacing="0"/>
              <w:ind w:hanging="202"/>
              <w:jc w:val="right"/>
              <w:rPr>
                <w:sz w:val="20"/>
                <w:szCs w:val="20"/>
              </w:rPr>
            </w:pPr>
            <w:r>
              <w:rPr>
                <w:sz w:val="20"/>
                <w:szCs w:val="20"/>
              </w:rPr>
              <w:t>10.1</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hyperlink r:id="rId4" w:history="1">
              <w:r>
                <w:rPr>
                  <w:rStyle w:val="a4"/>
                  <w:sz w:val="20"/>
                  <w:szCs w:val="20"/>
                </w:rPr>
                <w:t>Registration Rights Agreement among Theravance Biopharma, Inc., GSK Finance (No.3) plc and GlaxoSmithKline plc dated June 22, 2020</w:t>
              </w:r>
            </w:hyperlink>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8-K</w:t>
            </w:r>
          </w:p>
        </w:tc>
        <w:tc>
          <w:tcPr>
            <w:tcW w:w="125"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w:t>
            </w:r>
          </w:p>
        </w:tc>
        <w:tc>
          <w:tcPr>
            <w:tcW w:w="644"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June 25, 2020</w:t>
            </w:r>
          </w:p>
        </w:tc>
      </w:tr>
      <w:tr w:rsidR="00000000">
        <w:trPr>
          <w:divId w:val="1460759414"/>
        </w:trPr>
        <w:tc>
          <w:tcPr>
            <w:tcW w:w="349" w:type="pct"/>
            <w:tcMar>
              <w:top w:w="0" w:type="dxa"/>
              <w:left w:w="0" w:type="dxa"/>
              <w:bottom w:w="0" w:type="dxa"/>
              <w:right w:w="0" w:type="dxa"/>
            </w:tcMar>
            <w:hideMark/>
          </w:tcPr>
          <w:p w:rsidR="00000000" w:rsidRDefault="00C96329">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C96329">
            <w:pPr>
              <w:pStyle w:val="a3"/>
              <w:spacing w:before="0" w:beforeAutospacing="0" w:after="0" w:afterAutospacing="0"/>
              <w:jc w:val="center"/>
              <w:rPr>
                <w:sz w:val="20"/>
                <w:szCs w:val="20"/>
              </w:rPr>
            </w:pPr>
            <w:r>
              <w:rPr>
                <w:sz w:val="20"/>
                <w:szCs w:val="20"/>
              </w:rPr>
              <w:t>​</w:t>
            </w:r>
          </w:p>
        </w:tc>
      </w:tr>
      <w:tr w:rsidR="00000000">
        <w:trPr>
          <w:divId w:val="1460759414"/>
        </w:trPr>
        <w:tc>
          <w:tcPr>
            <w:tcW w:w="349" w:type="pct"/>
            <w:tcMar>
              <w:top w:w="0" w:type="dxa"/>
              <w:left w:w="0" w:type="dxa"/>
              <w:bottom w:w="0" w:type="dxa"/>
              <w:right w:w="0" w:type="dxa"/>
            </w:tcMar>
            <w:hideMark/>
          </w:tcPr>
          <w:p w:rsidR="00000000" w:rsidRDefault="00C96329">
            <w:pPr>
              <w:pStyle w:val="a3"/>
              <w:spacing w:before="0" w:beforeAutospacing="0" w:after="0" w:afterAutospacing="0"/>
              <w:ind w:hanging="202"/>
              <w:jc w:val="right"/>
              <w:rPr>
                <w:sz w:val="20"/>
                <w:szCs w:val="20"/>
              </w:rPr>
            </w:pPr>
            <w:r>
              <w:rPr>
                <w:sz w:val="20"/>
                <w:szCs w:val="20"/>
              </w:rPr>
              <w:t>10.2</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hyperlink r:id="rId5" w:history="1">
              <w:r>
                <w:rPr>
                  <w:rStyle w:val="a4"/>
                  <w:sz w:val="20"/>
                  <w:szCs w:val="20"/>
                </w:rPr>
                <w:t>Waiver and Assignment of Registration Rights and Voting Agreement among GSK Finance (No.3) plc, Glaxo Group L</w:t>
              </w:r>
              <w:r>
                <w:rPr>
                  <w:rStyle w:val="a4"/>
                  <w:sz w:val="20"/>
                  <w:szCs w:val="20"/>
                </w:rPr>
                <w:t>imited and Theravance Biopharma, Inc. dated as of June 22, 2020</w:t>
              </w:r>
            </w:hyperlink>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8-K</w:t>
            </w:r>
          </w:p>
        </w:tc>
        <w:tc>
          <w:tcPr>
            <w:tcW w:w="125"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w:t>
            </w:r>
          </w:p>
        </w:tc>
        <w:tc>
          <w:tcPr>
            <w:tcW w:w="644"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June 25, 2020</w:t>
            </w:r>
          </w:p>
        </w:tc>
      </w:tr>
      <w:tr w:rsidR="00000000">
        <w:trPr>
          <w:divId w:val="1460759414"/>
        </w:trPr>
        <w:tc>
          <w:tcPr>
            <w:tcW w:w="349" w:type="pct"/>
            <w:tcMar>
              <w:top w:w="0" w:type="dxa"/>
              <w:left w:w="0" w:type="dxa"/>
              <w:bottom w:w="0" w:type="dxa"/>
              <w:right w:w="0" w:type="dxa"/>
            </w:tcMar>
            <w:hideMark/>
          </w:tcPr>
          <w:p w:rsidR="00000000" w:rsidRDefault="00C96329">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r>
      <w:tr w:rsidR="00000000">
        <w:trPr>
          <w:divId w:val="1460759414"/>
        </w:trPr>
        <w:tc>
          <w:tcPr>
            <w:tcW w:w="349" w:type="pct"/>
            <w:tcMar>
              <w:top w:w="0" w:type="dxa"/>
              <w:left w:w="0" w:type="dxa"/>
              <w:bottom w:w="0" w:type="dxa"/>
              <w:right w:w="0" w:type="dxa"/>
            </w:tcMar>
            <w:hideMark/>
          </w:tcPr>
          <w:p w:rsidR="00000000" w:rsidRDefault="00C96329">
            <w:pPr>
              <w:pStyle w:val="a3"/>
              <w:spacing w:before="0" w:beforeAutospacing="0" w:after="0" w:afterAutospacing="0"/>
              <w:ind w:hanging="202"/>
              <w:jc w:val="right"/>
              <w:rPr>
                <w:sz w:val="20"/>
                <w:szCs w:val="20"/>
              </w:rPr>
            </w:pPr>
            <w:r>
              <w:rPr>
                <w:sz w:val="20"/>
                <w:szCs w:val="20"/>
              </w:rPr>
              <w:t>10.3</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hyperlink r:id="rId6" w:history="1">
              <w:r>
                <w:rPr>
                  <w:rStyle w:val="a4"/>
                  <w:sz w:val="20"/>
                  <w:szCs w:val="20"/>
                </w:rPr>
                <w:t>Cooperation Agreement among Theravance Biopharma, Inc., GSK Finance (No.3) plc and GlaxoSmithKline plc dated June 22, 2020</w:t>
              </w:r>
            </w:hyperlink>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8-K</w:t>
            </w:r>
          </w:p>
        </w:tc>
        <w:tc>
          <w:tcPr>
            <w:tcW w:w="125"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w:t>
            </w:r>
          </w:p>
        </w:tc>
        <w:tc>
          <w:tcPr>
            <w:tcW w:w="644"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June 25, 2020</w:t>
            </w:r>
          </w:p>
        </w:tc>
      </w:tr>
      <w:tr w:rsidR="00000000">
        <w:trPr>
          <w:divId w:val="1460759414"/>
        </w:trPr>
        <w:tc>
          <w:tcPr>
            <w:tcW w:w="349" w:type="pct"/>
            <w:tcMar>
              <w:top w:w="0" w:type="dxa"/>
              <w:left w:w="0" w:type="dxa"/>
              <w:bottom w:w="0" w:type="dxa"/>
              <w:right w:w="0" w:type="dxa"/>
            </w:tcMar>
            <w:hideMark/>
          </w:tcPr>
          <w:p w:rsidR="00000000" w:rsidRDefault="00C96329">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r>
      <w:tr w:rsidR="00000000">
        <w:trPr>
          <w:divId w:val="1460759414"/>
        </w:trPr>
        <w:tc>
          <w:tcPr>
            <w:tcW w:w="349" w:type="pct"/>
            <w:tcMar>
              <w:top w:w="0" w:type="dxa"/>
              <w:left w:w="0" w:type="dxa"/>
              <w:bottom w:w="0" w:type="dxa"/>
              <w:right w:w="0" w:type="dxa"/>
            </w:tcMar>
            <w:hideMark/>
          </w:tcPr>
          <w:p w:rsidR="00000000" w:rsidRDefault="00C96329">
            <w:pPr>
              <w:pStyle w:val="a3"/>
              <w:spacing w:before="0" w:beforeAutospacing="0" w:after="0" w:afterAutospacing="0"/>
              <w:ind w:hanging="202"/>
              <w:jc w:val="right"/>
              <w:rPr>
                <w:sz w:val="20"/>
                <w:szCs w:val="20"/>
              </w:rPr>
            </w:pPr>
            <w:r>
              <w:rPr>
                <w:sz w:val="20"/>
                <w:szCs w:val="20"/>
              </w:rPr>
              <w:t>31.1</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hyperlink r:id="rId7" w:history="1">
              <w:r>
                <w:rPr>
                  <w:rStyle w:val="a4"/>
                  <w:sz w:val="20"/>
                  <w:szCs w:val="20"/>
                </w:rPr>
                <w:t>Certification of Chief Executive Officer Pursuant to Rules 13a-14(a) and 15d-14(a) promulgated pursuant to the Securities Exchange Act of 1934, as amended</w:t>
              </w:r>
            </w:hyperlink>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r>
      <w:tr w:rsidR="00000000">
        <w:trPr>
          <w:divId w:val="1460759414"/>
        </w:trPr>
        <w:tc>
          <w:tcPr>
            <w:tcW w:w="349" w:type="pct"/>
            <w:tcMar>
              <w:top w:w="0" w:type="dxa"/>
              <w:left w:w="0" w:type="dxa"/>
              <w:bottom w:w="0" w:type="dxa"/>
              <w:right w:w="0" w:type="dxa"/>
            </w:tcMar>
            <w:hideMark/>
          </w:tcPr>
          <w:p w:rsidR="00000000" w:rsidRDefault="00C96329">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r>
      <w:tr w:rsidR="00000000">
        <w:trPr>
          <w:divId w:val="1460759414"/>
        </w:trPr>
        <w:tc>
          <w:tcPr>
            <w:tcW w:w="349" w:type="pct"/>
            <w:tcMar>
              <w:top w:w="0" w:type="dxa"/>
              <w:left w:w="0" w:type="dxa"/>
              <w:bottom w:w="0" w:type="dxa"/>
              <w:right w:w="0" w:type="dxa"/>
            </w:tcMar>
            <w:hideMark/>
          </w:tcPr>
          <w:p w:rsidR="00000000" w:rsidRDefault="00C96329">
            <w:pPr>
              <w:pStyle w:val="a3"/>
              <w:spacing w:before="0" w:beforeAutospacing="0" w:after="0" w:afterAutospacing="0"/>
              <w:ind w:hanging="202"/>
              <w:jc w:val="right"/>
              <w:rPr>
                <w:sz w:val="20"/>
                <w:szCs w:val="20"/>
              </w:rPr>
            </w:pPr>
            <w:r>
              <w:rPr>
                <w:sz w:val="20"/>
                <w:szCs w:val="20"/>
              </w:rPr>
              <w:t>31.2</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hyperlink r:id="rId8" w:history="1">
              <w:r>
                <w:rPr>
                  <w:rStyle w:val="a4"/>
                  <w:sz w:val="20"/>
                  <w:szCs w:val="20"/>
                </w:rPr>
                <w:t>Certification of Chief Financial Officer Pursuant to Rules 13a-14(a) and 15d-14(a) promulgated pursuant to the Securities Exchange Act of 1934, as amended</w:t>
              </w:r>
            </w:hyperlink>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r>
      <w:tr w:rsidR="00000000">
        <w:trPr>
          <w:divId w:val="1460759414"/>
        </w:trPr>
        <w:tc>
          <w:tcPr>
            <w:tcW w:w="349" w:type="pct"/>
            <w:tcMar>
              <w:top w:w="0" w:type="dxa"/>
              <w:left w:w="0" w:type="dxa"/>
              <w:bottom w:w="0" w:type="dxa"/>
              <w:right w:w="0" w:type="dxa"/>
            </w:tcMar>
            <w:hideMark/>
          </w:tcPr>
          <w:p w:rsidR="00000000" w:rsidRDefault="00C96329">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r>
      <w:tr w:rsidR="00000000">
        <w:trPr>
          <w:divId w:val="1460759414"/>
        </w:trPr>
        <w:tc>
          <w:tcPr>
            <w:tcW w:w="349" w:type="pct"/>
            <w:tcMar>
              <w:top w:w="0" w:type="dxa"/>
              <w:left w:w="0" w:type="dxa"/>
              <w:bottom w:w="0" w:type="dxa"/>
              <w:right w:w="0" w:type="dxa"/>
            </w:tcMar>
            <w:hideMark/>
          </w:tcPr>
          <w:p w:rsidR="00000000" w:rsidRDefault="00C96329">
            <w:pPr>
              <w:pStyle w:val="a3"/>
              <w:spacing w:before="0" w:beforeAutospacing="0" w:after="0" w:afterAutospacing="0"/>
              <w:ind w:hanging="202"/>
              <w:jc w:val="right"/>
              <w:rPr>
                <w:sz w:val="20"/>
                <w:szCs w:val="20"/>
              </w:rPr>
            </w:pPr>
            <w:r>
              <w:rPr>
                <w:sz w:val="20"/>
                <w:szCs w:val="20"/>
              </w:rPr>
              <w:t>32(1)</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hyperlink r:id="rId9" w:history="1">
              <w:r>
                <w:rPr>
                  <w:rStyle w:val="a4"/>
                  <w:sz w:val="20"/>
                  <w:szCs w:val="20"/>
                </w:rPr>
                <w:t>Certifications Pursuant to 18 U.S.C. Section 1350</w:t>
              </w:r>
            </w:hyperlink>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r>
      <w:tr w:rsidR="00000000">
        <w:trPr>
          <w:divId w:val="1460759414"/>
        </w:trPr>
        <w:tc>
          <w:tcPr>
            <w:tcW w:w="349" w:type="pct"/>
            <w:tcMar>
              <w:top w:w="0" w:type="dxa"/>
              <w:left w:w="0" w:type="dxa"/>
              <w:bottom w:w="0" w:type="dxa"/>
              <w:right w:w="0" w:type="dxa"/>
            </w:tcMar>
            <w:hideMark/>
          </w:tcPr>
          <w:p w:rsidR="00000000" w:rsidRDefault="00C96329">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r>
      <w:tr w:rsidR="00000000">
        <w:trPr>
          <w:divId w:val="1460759414"/>
        </w:trPr>
        <w:tc>
          <w:tcPr>
            <w:tcW w:w="349" w:type="pct"/>
            <w:tcMar>
              <w:top w:w="0" w:type="dxa"/>
              <w:left w:w="0" w:type="dxa"/>
              <w:bottom w:w="0" w:type="dxa"/>
              <w:right w:w="0" w:type="dxa"/>
            </w:tcMar>
            <w:hideMark/>
          </w:tcPr>
          <w:p w:rsidR="00000000" w:rsidRDefault="00C96329">
            <w:pPr>
              <w:pStyle w:val="a3"/>
              <w:spacing w:before="0" w:beforeAutospacing="0" w:after="0" w:afterAutospacing="0"/>
              <w:ind w:hanging="202"/>
              <w:jc w:val="right"/>
              <w:rPr>
                <w:sz w:val="20"/>
                <w:szCs w:val="20"/>
              </w:rPr>
            </w:pPr>
            <w:r>
              <w:rPr>
                <w:sz w:val="20"/>
                <w:szCs w:val="20"/>
              </w:rPr>
              <w:t>101</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Financial statements from the quarterly report on Form </w:t>
            </w:r>
            <w:r>
              <w:rPr>
                <w:sz w:val="20"/>
                <w:szCs w:val="20"/>
              </w:rPr>
              <w:t>10-Q of the Company for the quarter ended June 30, 2020, formatted in iXBRL: (i) the Condensed Consolidated Balance Sheets, (ii) the Condensed Consolidated Statements of Operations and Comprehensive Loss, (iii) Condensed Consolidated Statement of Sharehold</w:t>
            </w:r>
            <w:r>
              <w:rPr>
                <w:sz w:val="20"/>
                <w:szCs w:val="20"/>
              </w:rPr>
              <w:t>ers’ Deficit, (iv)  the Condensed Consolidated Statements of Cash Flows, and (v) the Notes to the Condensed Consolidated Financial Statements</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r>
      <w:tr w:rsidR="00000000">
        <w:trPr>
          <w:divId w:val="1460759414"/>
        </w:trPr>
        <w:tc>
          <w:tcPr>
            <w:tcW w:w="349" w:type="pct"/>
            <w:tcMar>
              <w:top w:w="0" w:type="dxa"/>
              <w:left w:w="0" w:type="dxa"/>
              <w:bottom w:w="0" w:type="dxa"/>
              <w:right w:w="0" w:type="dxa"/>
            </w:tcMar>
            <w:hideMark/>
          </w:tcPr>
          <w:p w:rsidR="00000000" w:rsidRDefault="00C96329">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r>
      <w:tr w:rsidR="00000000">
        <w:trPr>
          <w:divId w:val="1460759414"/>
        </w:trPr>
        <w:tc>
          <w:tcPr>
            <w:tcW w:w="349" w:type="pct"/>
            <w:tcMar>
              <w:top w:w="0" w:type="dxa"/>
              <w:left w:w="0" w:type="dxa"/>
              <w:bottom w:w="0" w:type="dxa"/>
              <w:right w:w="0" w:type="dxa"/>
            </w:tcMar>
            <w:hideMark/>
          </w:tcPr>
          <w:p w:rsidR="00000000" w:rsidRDefault="00C96329">
            <w:pPr>
              <w:pStyle w:val="a3"/>
              <w:spacing w:before="0" w:beforeAutospacing="0" w:after="0" w:afterAutospacing="0"/>
              <w:ind w:hanging="202"/>
              <w:jc w:val="right"/>
              <w:rPr>
                <w:sz w:val="20"/>
                <w:szCs w:val="20"/>
              </w:rPr>
            </w:pPr>
            <w:r>
              <w:rPr>
                <w:sz w:val="20"/>
                <w:szCs w:val="20"/>
              </w:rPr>
              <w:t>104</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 xml:space="preserve">Cover Page Interactive Data File – </w:t>
            </w:r>
            <w:r>
              <w:rPr>
                <w:sz w:val="20"/>
                <w:szCs w:val="20"/>
              </w:rPr>
              <w:t>the cover page interactive file does not appear in the Interactive Data File because its XBRL tags are embedded within the Inline XBRL document (contained in Exhibit 101)</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C96329">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C96329">
            <w:pPr>
              <w:pStyle w:val="a3"/>
              <w:spacing w:before="0" w:beforeAutospacing="0" w:after="0" w:afterAutospacing="0"/>
              <w:jc w:val="right"/>
              <w:rPr>
                <w:sz w:val="20"/>
                <w:szCs w:val="20"/>
              </w:rPr>
            </w:pPr>
            <w:r>
              <w:rPr>
                <w:sz w:val="20"/>
                <w:szCs w:val="20"/>
              </w:rPr>
              <w:t>​</w:t>
            </w:r>
          </w:p>
        </w:tc>
      </w:tr>
    </w:tbl>
    <w:p w:rsidR="00000000" w:rsidRDefault="00C96329">
      <w:pPr>
        <w:pStyle w:val="a3"/>
        <w:spacing w:before="0" w:beforeAutospacing="0" w:after="0" w:afterAutospacing="0"/>
        <w:divId w:val="146075941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460759414"/>
        </w:trPr>
        <w:tc>
          <w:tcPr>
            <w:tcW w:w="360" w:type="dxa"/>
            <w:noWrap/>
            <w:tcMar>
              <w:top w:w="0" w:type="dxa"/>
              <w:left w:w="0" w:type="dxa"/>
              <w:bottom w:w="0" w:type="dxa"/>
              <w:right w:w="0" w:type="dxa"/>
            </w:tcMar>
            <w:hideMark/>
          </w:tcPr>
          <w:p w:rsidR="00000000" w:rsidRDefault="00C96329">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C96329">
            <w:pPr>
              <w:rPr>
                <w:rFonts w:eastAsia="Times New Roman"/>
                <w:sz w:val="20"/>
                <w:szCs w:val="20"/>
              </w:rPr>
            </w:pPr>
            <w:r>
              <w:rPr>
                <w:rFonts w:eastAsia="Times New Roman"/>
                <w:color w:val="000000"/>
                <w:sz w:val="20"/>
                <w:szCs w:val="20"/>
              </w:rPr>
              <w:t xml:space="preserve">The certifications provided as Exhibit 32 are being furnished to accompany the Report pursuant to 18 U.S.C. Section 1350 and shall not be deemed filed by the Company for purposes of Section 18 of the Securities Exchange Act of 1934, as amended, and is not </w:t>
            </w:r>
            <w:r>
              <w:rPr>
                <w:rFonts w:eastAsia="Times New Roman"/>
                <w:color w:val="000000"/>
                <w:sz w:val="20"/>
                <w:szCs w:val="20"/>
              </w:rPr>
              <w:t>to be incorporated by reference into any filing of the Company, whether made before or after the date hereof, regardless of any general incorporation language in such filing.</w:t>
            </w:r>
          </w:p>
        </w:tc>
      </w:tr>
    </w:tbl>
    <w:p w:rsidR="00000000" w:rsidRDefault="00C96329">
      <w:pPr>
        <w:pStyle w:val="a3"/>
        <w:spacing w:before="0" w:beforeAutospacing="0" w:after="0" w:afterAutospacing="0"/>
        <w:divId w:val="1460759414"/>
        <w:rPr>
          <w:sz w:val="20"/>
          <w:szCs w:val="20"/>
        </w:rPr>
      </w:pPr>
      <w:r>
        <w:rPr>
          <w:sz w:val="20"/>
          <w:szCs w:val="20"/>
        </w:rPr>
        <w:t>​</w:t>
      </w:r>
    </w:p>
    <w:p w:rsidR="00000000" w:rsidRDefault="00C96329">
      <w:pPr>
        <w:pStyle w:val="a3"/>
        <w:spacing w:before="360" w:beforeAutospacing="0" w:after="0" w:afterAutospacing="0"/>
        <w:jc w:val="center"/>
        <w:divId w:val="875116325"/>
        <w:rPr>
          <w:sz w:val="20"/>
          <w:szCs w:val="20"/>
        </w:rPr>
      </w:pPr>
      <w:r>
        <w:rPr>
          <w:sz w:val="20"/>
          <w:szCs w:val="20"/>
        </w:rPr>
        <w:t>72</w:t>
      </w:r>
    </w:p>
    <w:p w:rsidR="00000000" w:rsidRDefault="00C96329">
      <w:pPr>
        <w:pStyle w:val="a3"/>
        <w:spacing w:before="0" w:beforeAutospacing="0" w:after="600" w:afterAutospacing="0"/>
        <w:divId w:val="849949316"/>
        <w:rPr>
          <w:sz w:val="20"/>
          <w:szCs w:val="20"/>
        </w:rPr>
      </w:pPr>
      <w:hyperlink w:anchor="TOC" w:history="1">
        <w:r>
          <w:rPr>
            <w:rStyle w:val="a4"/>
            <w:sz w:val="20"/>
            <w:szCs w:val="20"/>
          </w:rPr>
          <w:t>Table of Contents</w:t>
        </w:r>
      </w:hyperlink>
    </w:p>
    <w:p w:rsidR="00000000" w:rsidRDefault="00C96329">
      <w:pPr>
        <w:pStyle w:val="a3"/>
        <w:spacing w:before="0" w:beforeAutospacing="0" w:after="0" w:afterAutospacing="0"/>
        <w:jc w:val="center"/>
        <w:divId w:val="1264804061"/>
        <w:rPr>
          <w:sz w:val="20"/>
          <w:szCs w:val="20"/>
        </w:rPr>
      </w:pPr>
      <w:r>
        <w:rPr>
          <w:b/>
          <w:bCs/>
          <w:sz w:val="20"/>
          <w:szCs w:val="20"/>
        </w:rPr>
        <w:t>SIGNATURES</w:t>
      </w:r>
    </w:p>
    <w:p w:rsidR="00000000" w:rsidRDefault="00C96329">
      <w:pPr>
        <w:pStyle w:val="a3"/>
        <w:spacing w:before="0" w:beforeAutospacing="0" w:after="0" w:afterAutospacing="0"/>
        <w:divId w:val="1264804061"/>
        <w:rPr>
          <w:sz w:val="20"/>
          <w:szCs w:val="20"/>
        </w:rPr>
      </w:pPr>
      <w:r>
        <w:rPr>
          <w:sz w:val="20"/>
          <w:szCs w:val="20"/>
        </w:rPr>
        <w:t>​</w:t>
      </w:r>
    </w:p>
    <w:p w:rsidR="00000000" w:rsidRDefault="00C96329">
      <w:pPr>
        <w:pStyle w:val="a3"/>
        <w:spacing w:before="0" w:beforeAutospacing="0" w:after="0" w:afterAutospacing="0"/>
        <w:divId w:val="1264804061"/>
        <w:rPr>
          <w:sz w:val="20"/>
          <w:szCs w:val="20"/>
        </w:rPr>
      </w:pPr>
      <w:r>
        <w:rPr>
          <w:sz w:val="20"/>
          <w:szCs w:val="20"/>
        </w:rPr>
        <w:t>Pursuant to the Securities Exchange Act of 1934, the registrant has duly caused this report to be signed on its behalf by the undersigned thereunto duly authorized.</w:t>
      </w:r>
    </w:p>
    <w:p w:rsidR="00000000" w:rsidRDefault="00C96329">
      <w:pPr>
        <w:pStyle w:val="a3"/>
        <w:spacing w:before="0" w:beforeAutospacing="0" w:after="0" w:afterAutospacing="0"/>
        <w:divId w:val="126480406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264804061"/>
          <w:trHeight w:val="20"/>
        </w:trPr>
        <w:tc>
          <w:tcPr>
            <w:tcW w:w="2500" w:type="pct"/>
            <w:tcMar>
              <w:top w:w="0" w:type="dxa"/>
              <w:left w:w="0" w:type="dxa"/>
              <w:bottom w:w="0" w:type="dxa"/>
              <w:right w:w="0" w:type="dxa"/>
            </w:tcMar>
            <w:hideMark/>
          </w:tcPr>
          <w:p w:rsidR="00000000" w:rsidRDefault="00C96329">
            <w:pPr>
              <w:pStyle w:val="a3"/>
              <w:spacing w:before="0" w:beforeAutospacing="0" w:after="0" w:afterAutospacing="0"/>
              <w:divId w:val="35012650"/>
              <w:rPr>
                <w:sz w:val="20"/>
                <w:szCs w:val="20"/>
              </w:rPr>
            </w:pPr>
            <w:r>
              <w:rPr>
                <w:sz w:val="20"/>
                <w:szCs w:val="20"/>
              </w:rPr>
              <w:t>​</w:t>
            </w:r>
          </w:p>
        </w:tc>
        <w:tc>
          <w:tcPr>
            <w:tcW w:w="2500" w:type="pct"/>
            <w:tcMar>
              <w:top w:w="0" w:type="dxa"/>
              <w:left w:w="0" w:type="dxa"/>
              <w:bottom w:w="0" w:type="dxa"/>
              <w:right w:w="0" w:type="dxa"/>
            </w:tcMar>
            <w:hideMark/>
          </w:tcPr>
          <w:p w:rsidR="00000000" w:rsidRDefault="00C96329">
            <w:pPr>
              <w:rPr>
                <w:sz w:val="20"/>
                <w:szCs w:val="20"/>
              </w:rPr>
            </w:pPr>
          </w:p>
        </w:tc>
      </w:tr>
      <w:tr w:rsidR="00000000">
        <w:trPr>
          <w:divId w:val="1264804061"/>
        </w:trPr>
        <w:tc>
          <w:tcPr>
            <w:tcW w:w="2500" w:type="pct"/>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20"/>
                <w:szCs w:val="20"/>
              </w:rPr>
              <w:t>Theravance Biopharma, Inc.</w:t>
            </w:r>
          </w:p>
        </w:tc>
      </w:tr>
      <w:tr w:rsidR="00000000">
        <w:trPr>
          <w:divId w:val="1264804061"/>
        </w:trPr>
        <w:tc>
          <w:tcPr>
            <w:tcW w:w="2500" w:type="pct"/>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20"/>
                <w:szCs w:val="20"/>
              </w:rPr>
              <w:t>​</w:t>
            </w:r>
          </w:p>
        </w:tc>
      </w:tr>
      <w:tr w:rsidR="00000000">
        <w:trPr>
          <w:divId w:val="1264804061"/>
        </w:trPr>
        <w:tc>
          <w:tcPr>
            <w:tcW w:w="2500" w:type="pct"/>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20"/>
                <w:szCs w:val="20"/>
              </w:rPr>
              <w:t>Date: August 10, 2020</w:t>
            </w:r>
          </w:p>
        </w:tc>
        <w:tc>
          <w:tcPr>
            <w:tcW w:w="2500" w:type="pct"/>
            <w:tcBorders>
              <w:bottom w:val="single" w:sz="6" w:space="0" w:color="000000"/>
            </w:tcBorders>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/s/ R</w:t>
            </w:r>
            <w:r>
              <w:rPr>
                <w:smallCaps/>
                <w:sz w:val="20"/>
                <w:szCs w:val="20"/>
              </w:rPr>
              <w:t>ick</w:t>
            </w:r>
            <w:r>
              <w:rPr>
                <w:sz w:val="20"/>
                <w:szCs w:val="20"/>
              </w:rPr>
              <w:t xml:space="preserve"> E W</w:t>
            </w:r>
            <w:r>
              <w:rPr>
                <w:smallCaps/>
                <w:sz w:val="20"/>
                <w:szCs w:val="20"/>
              </w:rPr>
              <w:t>inningham</w:t>
            </w:r>
          </w:p>
        </w:tc>
      </w:tr>
      <w:tr w:rsidR="00000000">
        <w:trPr>
          <w:divId w:val="1264804061"/>
        </w:trPr>
        <w:tc>
          <w:tcPr>
            <w:tcW w:w="2500" w:type="pct"/>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b/>
                <w:bCs/>
                <w:sz w:val="20"/>
                <w:szCs w:val="20"/>
              </w:rPr>
              <w:t>​</w:t>
            </w:r>
          </w:p>
        </w:tc>
        <w:tc>
          <w:tcPr>
            <w:tcW w:w="2500" w:type="pct"/>
            <w:tcBorders>
              <w:top w:val="single" w:sz="6" w:space="0" w:color="000000"/>
            </w:tcBorders>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Rick E Winningham</w:t>
            </w:r>
          </w:p>
        </w:tc>
      </w:tr>
      <w:tr w:rsidR="00000000">
        <w:trPr>
          <w:divId w:val="1264804061"/>
        </w:trPr>
        <w:tc>
          <w:tcPr>
            <w:tcW w:w="2500" w:type="pct"/>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Chairman of the Board and Chief Executive Officer</w:t>
            </w:r>
          </w:p>
        </w:tc>
      </w:tr>
      <w:tr w:rsidR="00000000">
        <w:trPr>
          <w:divId w:val="1264804061"/>
        </w:trPr>
        <w:tc>
          <w:tcPr>
            <w:tcW w:w="2500" w:type="pct"/>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(Principal Executive Officer)</w:t>
            </w:r>
          </w:p>
        </w:tc>
      </w:tr>
      <w:tr w:rsidR="00000000">
        <w:trPr>
          <w:divId w:val="1264804061"/>
        </w:trPr>
        <w:tc>
          <w:tcPr>
            <w:tcW w:w="2500" w:type="pct"/>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w:t>
            </w:r>
          </w:p>
        </w:tc>
      </w:tr>
      <w:tr w:rsidR="00000000">
        <w:trPr>
          <w:divId w:val="1264804061"/>
        </w:trPr>
        <w:tc>
          <w:tcPr>
            <w:tcW w:w="2500" w:type="pct"/>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20"/>
                <w:szCs w:val="20"/>
              </w:rPr>
              <w:t>Date: August 10, 2020</w:t>
            </w:r>
          </w:p>
        </w:tc>
        <w:tc>
          <w:tcPr>
            <w:tcW w:w="2500" w:type="pct"/>
            <w:tcBorders>
              <w:bottom w:val="single" w:sz="6" w:space="0" w:color="000000"/>
            </w:tcBorders>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/s/ A</w:t>
            </w:r>
            <w:r>
              <w:rPr>
                <w:smallCaps/>
                <w:sz w:val="20"/>
                <w:szCs w:val="20"/>
              </w:rPr>
              <w:t>ndrew</w:t>
            </w:r>
            <w:r>
              <w:rPr>
                <w:sz w:val="20"/>
                <w:szCs w:val="20"/>
              </w:rPr>
              <w:t xml:space="preserve"> H</w:t>
            </w:r>
            <w:r>
              <w:rPr>
                <w:smallCaps/>
                <w:sz w:val="20"/>
                <w:szCs w:val="20"/>
              </w:rPr>
              <w:t>indman</w:t>
            </w:r>
          </w:p>
        </w:tc>
      </w:tr>
      <w:tr w:rsidR="00000000">
        <w:trPr>
          <w:divId w:val="1264804061"/>
        </w:trPr>
        <w:tc>
          <w:tcPr>
            <w:tcW w:w="2500" w:type="pct"/>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b/>
                <w:bCs/>
                <w:sz w:val="20"/>
                <w:szCs w:val="20"/>
              </w:rPr>
              <w:t>​</w:t>
            </w:r>
          </w:p>
        </w:tc>
        <w:tc>
          <w:tcPr>
            <w:tcW w:w="2500" w:type="pct"/>
            <w:tcBorders>
              <w:top w:val="single" w:sz="6" w:space="0" w:color="000000"/>
            </w:tcBorders>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Andrew Hindman</w:t>
            </w:r>
          </w:p>
          <w:p w:rsidR="00000000" w:rsidRDefault="00C96329">
            <w:pPr>
              <w:pStyle w:val="a3"/>
              <w:spacing w:before="0" w:beforeAutospacing="0" w:after="0" w:afterAutospacing="0"/>
              <w:jc w:val="center"/>
              <w:rPr>
                <w:sz w:val="20"/>
                <w:szCs w:val="20"/>
              </w:rPr>
            </w:pPr>
            <w:r>
              <w:rPr>
                <w:sz w:val="20"/>
                <w:szCs w:val="20"/>
              </w:rPr>
              <w:t>Senior Vice President and Chief Financial Officer</w:t>
            </w:r>
          </w:p>
        </w:tc>
      </w:tr>
      <w:tr w:rsidR="00000000">
        <w:trPr>
          <w:divId w:val="1264804061"/>
        </w:trPr>
        <w:tc>
          <w:tcPr>
            <w:tcW w:w="2500" w:type="pct"/>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(Principal Financial Officer)</w:t>
            </w:r>
          </w:p>
        </w:tc>
      </w:tr>
      <w:tr w:rsidR="00000000">
        <w:trPr>
          <w:divId w:val="1264804061"/>
        </w:trPr>
        <w:tc>
          <w:tcPr>
            <w:tcW w:w="2500" w:type="pct"/>
            <w:tcMar>
              <w:top w:w="0" w:type="dxa"/>
              <w:left w:w="0" w:type="dxa"/>
              <w:bottom w:w="0" w:type="dxa"/>
              <w:right w:w="0" w:type="dxa"/>
            </w:tcMar>
            <w:hideMark/>
          </w:tcPr>
          <w:p w:rsidR="00000000" w:rsidRDefault="00C96329">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C96329">
            <w:pPr>
              <w:pStyle w:val="a3"/>
              <w:spacing w:before="0" w:beforeAutospacing="0" w:after="0" w:afterAutospacing="0"/>
              <w:jc w:val="center"/>
              <w:rPr>
                <w:sz w:val="20"/>
                <w:szCs w:val="20"/>
              </w:rPr>
            </w:pPr>
            <w:r>
              <w:rPr>
                <w:sz w:val="20"/>
                <w:szCs w:val="20"/>
              </w:rPr>
              <w:t>​</w:t>
            </w:r>
          </w:p>
        </w:tc>
      </w:tr>
    </w:tbl>
    <w:p w:rsidR="00000000" w:rsidRDefault="00C96329">
      <w:pPr>
        <w:pStyle w:val="a3"/>
        <w:spacing w:before="0" w:beforeAutospacing="0" w:after="0" w:afterAutospacing="0"/>
        <w:divId w:val="1264804061"/>
        <w:rPr>
          <w:sz w:val="20"/>
          <w:szCs w:val="20"/>
        </w:rPr>
      </w:pPr>
      <w:r>
        <w:rPr>
          <w:sz w:val="2"/>
          <w:szCs w:val="2"/>
        </w:rPr>
        <w:t>​</w:t>
      </w:r>
    </w:p>
    <w:p w:rsidR="00000000" w:rsidRDefault="00C96329">
      <w:pPr>
        <w:pStyle w:val="a3"/>
        <w:spacing w:before="0" w:beforeAutospacing="0" w:after="0" w:afterAutospacing="0"/>
        <w:divId w:val="1264804061"/>
        <w:rPr>
          <w:sz w:val="20"/>
          <w:szCs w:val="20"/>
        </w:rPr>
      </w:pPr>
      <w:r>
        <w:rPr>
          <w:sz w:val="20"/>
          <w:szCs w:val="20"/>
        </w:rPr>
        <w:t>​</w:t>
      </w:r>
    </w:p>
    <w:p w:rsidR="00000000" w:rsidRDefault="00C96329">
      <w:pPr>
        <w:pStyle w:val="a3"/>
        <w:spacing w:before="0" w:beforeAutospacing="0" w:after="0" w:afterAutospacing="0"/>
        <w:divId w:val="1264804061"/>
        <w:rPr>
          <w:sz w:val="20"/>
          <w:szCs w:val="20"/>
        </w:rPr>
      </w:pPr>
      <w:r>
        <w:rPr>
          <w:sz w:val="20"/>
          <w:szCs w:val="20"/>
        </w:rPr>
        <w:t>​</w:t>
      </w:r>
    </w:p>
    <w:p w:rsidR="00C96329" w:rsidRDefault="00C96329">
      <w:pPr>
        <w:pStyle w:val="a3"/>
        <w:spacing w:before="360" w:beforeAutospacing="0" w:after="0" w:afterAutospacing="0"/>
        <w:jc w:val="center"/>
        <w:divId w:val="486164368"/>
        <w:rPr>
          <w:sz w:val="20"/>
          <w:szCs w:val="20"/>
        </w:rPr>
      </w:pPr>
      <w:r>
        <w:rPr>
          <w:sz w:val="20"/>
          <w:szCs w:val="20"/>
        </w:rPr>
        <w:t>73</w:t>
      </w:r>
    </w:p>
    <w:sectPr w:rsidR="00C9632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Times New Roman Bold">
    <w:panose1 w:val="00000000000000000000"/>
    <w:charset w:val="00"/>
    <w:family w:val="roman"/>
    <w:notTrueType/>
    <w:pitch w:val="default"/>
  </w:font>
  <w:font w:name="Times">
    <w:panose1 w:val="02020603050405020304"/>
    <w:charset w:val="00"/>
    <w:family w:val="roman"/>
    <w:pitch w:val="default"/>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96329"/>
    <w:rsid w:val="00C96329"/>
  </w:rsids>
  <m:mathPr>
    <m:mathFont m:val="Cambria Math"/>
    <m:brkBin m:val="before"/>
    <m:brkBinSub m:val="--"/>
    <m:smallFrac m:val="0"/>
    <m:dispDef/>
    <m:lMargin m:val="0"/>
    <m:rMargin m:val="0"/>
    <m:defJc m:val="centerGroup"/>
    <m:wrapIndent m:val="1440"/>
    <m:intLim m:val="subSup"/>
    <m:naryLim m:val="undOvr"/>
  </m:mathPr>
  <w:attachedSchema w:val="http://fasb.org/us-gaap/2019-01-31"/>
  <w:attachedSchema w:val="http://www.theravance.com/20200630"/>
  <w:attachedSchema w:val="http://www.xbrl.org/2003/linkbase"/>
  <w:attachedSchema w:val="http://xbrl.org/2005/xbrldt"/>
  <w:attachedSchema w:val="http://www.sec.gov/inlineXBRL/transformation/2015-08-31"/>
  <w:attachedSchema w:val="http://fasb.org/srt/2019-01-31"/>
  <w:attachedSchema w:val="http://www.xbrl.org/2013/inlineXBRL"/>
  <w:attachedSchema w:val="http://www.xbrl.org/2006/ref"/>
  <w:attachedSchema w:val="http://www.xbrl.org/2003/instance"/>
  <w:attachedSchema w:val="http://xbrl.sec.gov/dei/2019-01-31"/>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9433">
      <w:marLeft w:val="0"/>
      <w:marRight w:val="0"/>
      <w:marTop w:val="0"/>
      <w:marBottom w:val="0"/>
      <w:divBdr>
        <w:top w:val="none" w:sz="0" w:space="0" w:color="auto"/>
        <w:left w:val="none" w:sz="0" w:space="0" w:color="auto"/>
        <w:bottom w:val="none" w:sz="0" w:space="0" w:color="auto"/>
        <w:right w:val="none" w:sz="0" w:space="0" w:color="auto"/>
      </w:divBdr>
      <w:divsChild>
        <w:div w:id="1605650445">
          <w:marLeft w:val="0"/>
          <w:marRight w:val="0"/>
          <w:marTop w:val="547"/>
          <w:marBottom w:val="0"/>
          <w:divBdr>
            <w:top w:val="none" w:sz="0" w:space="0" w:color="auto"/>
            <w:left w:val="none" w:sz="0" w:space="0" w:color="auto"/>
            <w:bottom w:val="none" w:sz="0" w:space="0" w:color="auto"/>
            <w:right w:val="none" w:sz="0" w:space="0" w:color="auto"/>
          </w:divBdr>
        </w:div>
        <w:div w:id="1505704343">
          <w:marLeft w:val="0"/>
          <w:marRight w:val="0"/>
          <w:marTop w:val="0"/>
          <w:marBottom w:val="0"/>
          <w:divBdr>
            <w:top w:val="none" w:sz="0" w:space="0" w:color="auto"/>
            <w:left w:val="none" w:sz="0" w:space="0" w:color="auto"/>
            <w:bottom w:val="none" w:sz="0" w:space="0" w:color="auto"/>
            <w:right w:val="none" w:sz="0" w:space="0" w:color="auto"/>
          </w:divBdr>
        </w:div>
        <w:div w:id="1560020432">
          <w:marLeft w:val="0"/>
          <w:marRight w:val="0"/>
          <w:marTop w:val="0"/>
          <w:marBottom w:val="600"/>
          <w:divBdr>
            <w:top w:val="none" w:sz="0" w:space="0" w:color="auto"/>
            <w:left w:val="none" w:sz="0" w:space="0" w:color="auto"/>
            <w:bottom w:val="none" w:sz="0" w:space="0" w:color="auto"/>
            <w:right w:val="none" w:sz="0" w:space="0" w:color="auto"/>
          </w:divBdr>
        </w:div>
      </w:divsChild>
    </w:div>
    <w:div w:id="20595058">
      <w:marLeft w:val="0"/>
      <w:marRight w:val="0"/>
      <w:marTop w:val="0"/>
      <w:marBottom w:val="0"/>
      <w:divBdr>
        <w:top w:val="none" w:sz="0" w:space="0" w:color="auto"/>
        <w:left w:val="none" w:sz="0" w:space="0" w:color="auto"/>
        <w:bottom w:val="none" w:sz="0" w:space="0" w:color="auto"/>
        <w:right w:val="none" w:sz="0" w:space="0" w:color="auto"/>
      </w:divBdr>
      <w:divsChild>
        <w:div w:id="111751610">
          <w:marLeft w:val="0"/>
          <w:marRight w:val="0"/>
          <w:marTop w:val="547"/>
          <w:marBottom w:val="0"/>
          <w:divBdr>
            <w:top w:val="none" w:sz="0" w:space="0" w:color="auto"/>
            <w:left w:val="none" w:sz="0" w:space="0" w:color="auto"/>
            <w:bottom w:val="none" w:sz="0" w:space="0" w:color="auto"/>
            <w:right w:val="none" w:sz="0" w:space="0" w:color="auto"/>
          </w:divBdr>
        </w:div>
        <w:div w:id="1910725455">
          <w:marLeft w:val="0"/>
          <w:marRight w:val="0"/>
          <w:marTop w:val="0"/>
          <w:marBottom w:val="0"/>
          <w:divBdr>
            <w:top w:val="none" w:sz="0" w:space="0" w:color="auto"/>
            <w:left w:val="none" w:sz="0" w:space="0" w:color="auto"/>
            <w:bottom w:val="none" w:sz="0" w:space="0" w:color="auto"/>
            <w:right w:val="none" w:sz="0" w:space="0" w:color="auto"/>
          </w:divBdr>
          <w:divsChild>
            <w:div w:id="728575604">
              <w:marLeft w:val="0"/>
              <w:marRight w:val="0"/>
              <w:marTop w:val="0"/>
              <w:marBottom w:val="0"/>
              <w:divBdr>
                <w:top w:val="none" w:sz="0" w:space="0" w:color="auto"/>
                <w:left w:val="none" w:sz="0" w:space="0" w:color="auto"/>
                <w:bottom w:val="none" w:sz="0" w:space="0" w:color="auto"/>
                <w:right w:val="none" w:sz="0" w:space="0" w:color="auto"/>
              </w:divBdr>
              <w:divsChild>
                <w:div w:id="1339651385">
                  <w:marLeft w:val="0"/>
                  <w:marRight w:val="0"/>
                  <w:marTop w:val="0"/>
                  <w:marBottom w:val="0"/>
                  <w:divBdr>
                    <w:top w:val="none" w:sz="0" w:space="0" w:color="auto"/>
                    <w:left w:val="none" w:sz="0" w:space="0" w:color="auto"/>
                    <w:bottom w:val="none" w:sz="0" w:space="0" w:color="auto"/>
                    <w:right w:val="none" w:sz="0" w:space="0" w:color="auto"/>
                  </w:divBdr>
                </w:div>
              </w:divsChild>
            </w:div>
            <w:div w:id="321353620">
              <w:marLeft w:val="0"/>
              <w:marRight w:val="0"/>
              <w:marTop w:val="0"/>
              <w:marBottom w:val="0"/>
              <w:divBdr>
                <w:top w:val="none" w:sz="0" w:space="0" w:color="auto"/>
                <w:left w:val="none" w:sz="0" w:space="0" w:color="auto"/>
                <w:bottom w:val="none" w:sz="0" w:space="0" w:color="auto"/>
                <w:right w:val="none" w:sz="0" w:space="0" w:color="auto"/>
              </w:divBdr>
              <w:divsChild>
                <w:div w:id="480968998">
                  <w:marLeft w:val="0"/>
                  <w:marRight w:val="0"/>
                  <w:marTop w:val="0"/>
                  <w:marBottom w:val="0"/>
                  <w:divBdr>
                    <w:top w:val="none" w:sz="0" w:space="0" w:color="auto"/>
                    <w:left w:val="none" w:sz="0" w:space="0" w:color="auto"/>
                    <w:bottom w:val="none" w:sz="0" w:space="0" w:color="auto"/>
                    <w:right w:val="none" w:sz="0" w:space="0" w:color="auto"/>
                  </w:divBdr>
                </w:div>
              </w:divsChild>
            </w:div>
            <w:div w:id="184559478">
              <w:marLeft w:val="0"/>
              <w:marRight w:val="0"/>
              <w:marTop w:val="0"/>
              <w:marBottom w:val="0"/>
              <w:divBdr>
                <w:top w:val="none" w:sz="0" w:space="0" w:color="auto"/>
                <w:left w:val="none" w:sz="0" w:space="0" w:color="auto"/>
                <w:bottom w:val="none" w:sz="0" w:space="0" w:color="auto"/>
                <w:right w:val="none" w:sz="0" w:space="0" w:color="auto"/>
              </w:divBdr>
              <w:divsChild>
                <w:div w:id="322517056">
                  <w:marLeft w:val="0"/>
                  <w:marRight w:val="0"/>
                  <w:marTop w:val="0"/>
                  <w:marBottom w:val="0"/>
                  <w:divBdr>
                    <w:top w:val="none" w:sz="0" w:space="0" w:color="auto"/>
                    <w:left w:val="none" w:sz="0" w:space="0" w:color="auto"/>
                    <w:bottom w:val="none" w:sz="0" w:space="0" w:color="auto"/>
                    <w:right w:val="none" w:sz="0" w:space="0" w:color="auto"/>
                  </w:divBdr>
                </w:div>
              </w:divsChild>
            </w:div>
            <w:div w:id="89786233">
              <w:marLeft w:val="0"/>
              <w:marRight w:val="0"/>
              <w:marTop w:val="0"/>
              <w:marBottom w:val="0"/>
              <w:divBdr>
                <w:top w:val="none" w:sz="0" w:space="0" w:color="auto"/>
                <w:left w:val="none" w:sz="0" w:space="0" w:color="auto"/>
                <w:bottom w:val="none" w:sz="0" w:space="0" w:color="auto"/>
                <w:right w:val="none" w:sz="0" w:space="0" w:color="auto"/>
              </w:divBdr>
              <w:divsChild>
                <w:div w:id="1756439965">
                  <w:marLeft w:val="0"/>
                  <w:marRight w:val="0"/>
                  <w:marTop w:val="0"/>
                  <w:marBottom w:val="0"/>
                  <w:divBdr>
                    <w:top w:val="none" w:sz="0" w:space="0" w:color="auto"/>
                    <w:left w:val="none" w:sz="0" w:space="0" w:color="auto"/>
                    <w:bottom w:val="none" w:sz="0" w:space="0" w:color="auto"/>
                    <w:right w:val="none" w:sz="0" w:space="0" w:color="auto"/>
                  </w:divBdr>
                </w:div>
              </w:divsChild>
            </w:div>
            <w:div w:id="1594391428">
              <w:marLeft w:val="0"/>
              <w:marRight w:val="0"/>
              <w:marTop w:val="0"/>
              <w:marBottom w:val="0"/>
              <w:divBdr>
                <w:top w:val="none" w:sz="0" w:space="0" w:color="auto"/>
                <w:left w:val="none" w:sz="0" w:space="0" w:color="auto"/>
                <w:bottom w:val="none" w:sz="0" w:space="0" w:color="auto"/>
                <w:right w:val="none" w:sz="0" w:space="0" w:color="auto"/>
              </w:divBdr>
              <w:divsChild>
                <w:div w:id="1179082044">
                  <w:marLeft w:val="0"/>
                  <w:marRight w:val="0"/>
                  <w:marTop w:val="0"/>
                  <w:marBottom w:val="0"/>
                  <w:divBdr>
                    <w:top w:val="none" w:sz="0" w:space="0" w:color="auto"/>
                    <w:left w:val="none" w:sz="0" w:space="0" w:color="auto"/>
                    <w:bottom w:val="none" w:sz="0" w:space="0" w:color="auto"/>
                    <w:right w:val="none" w:sz="0" w:space="0" w:color="auto"/>
                  </w:divBdr>
                </w:div>
              </w:divsChild>
            </w:div>
            <w:div w:id="2065177198">
              <w:marLeft w:val="0"/>
              <w:marRight w:val="0"/>
              <w:marTop w:val="0"/>
              <w:marBottom w:val="0"/>
              <w:divBdr>
                <w:top w:val="none" w:sz="0" w:space="0" w:color="auto"/>
                <w:left w:val="none" w:sz="0" w:space="0" w:color="auto"/>
                <w:bottom w:val="none" w:sz="0" w:space="0" w:color="auto"/>
                <w:right w:val="none" w:sz="0" w:space="0" w:color="auto"/>
              </w:divBdr>
              <w:divsChild>
                <w:div w:id="794762572">
                  <w:marLeft w:val="0"/>
                  <w:marRight w:val="0"/>
                  <w:marTop w:val="0"/>
                  <w:marBottom w:val="0"/>
                  <w:divBdr>
                    <w:top w:val="none" w:sz="0" w:space="0" w:color="auto"/>
                    <w:left w:val="none" w:sz="0" w:space="0" w:color="auto"/>
                    <w:bottom w:val="none" w:sz="0" w:space="0" w:color="auto"/>
                    <w:right w:val="none" w:sz="0" w:space="0" w:color="auto"/>
                  </w:divBdr>
                </w:div>
              </w:divsChild>
            </w:div>
            <w:div w:id="734010890">
              <w:marLeft w:val="0"/>
              <w:marRight w:val="0"/>
              <w:marTop w:val="0"/>
              <w:marBottom w:val="0"/>
              <w:divBdr>
                <w:top w:val="none" w:sz="0" w:space="0" w:color="auto"/>
                <w:left w:val="none" w:sz="0" w:space="0" w:color="auto"/>
                <w:bottom w:val="none" w:sz="0" w:space="0" w:color="auto"/>
                <w:right w:val="none" w:sz="0" w:space="0" w:color="auto"/>
              </w:divBdr>
              <w:divsChild>
                <w:div w:id="2144540902">
                  <w:marLeft w:val="0"/>
                  <w:marRight w:val="0"/>
                  <w:marTop w:val="0"/>
                  <w:marBottom w:val="0"/>
                  <w:divBdr>
                    <w:top w:val="none" w:sz="0" w:space="0" w:color="auto"/>
                    <w:left w:val="none" w:sz="0" w:space="0" w:color="auto"/>
                    <w:bottom w:val="none" w:sz="0" w:space="0" w:color="auto"/>
                    <w:right w:val="none" w:sz="0" w:space="0" w:color="auto"/>
                  </w:divBdr>
                </w:div>
              </w:divsChild>
            </w:div>
            <w:div w:id="1188442814">
              <w:marLeft w:val="0"/>
              <w:marRight w:val="0"/>
              <w:marTop w:val="0"/>
              <w:marBottom w:val="0"/>
              <w:divBdr>
                <w:top w:val="none" w:sz="0" w:space="0" w:color="auto"/>
                <w:left w:val="none" w:sz="0" w:space="0" w:color="auto"/>
                <w:bottom w:val="none" w:sz="0" w:space="0" w:color="auto"/>
                <w:right w:val="none" w:sz="0" w:space="0" w:color="auto"/>
              </w:divBdr>
              <w:divsChild>
                <w:div w:id="1766026099">
                  <w:marLeft w:val="0"/>
                  <w:marRight w:val="0"/>
                  <w:marTop w:val="0"/>
                  <w:marBottom w:val="0"/>
                  <w:divBdr>
                    <w:top w:val="none" w:sz="0" w:space="0" w:color="auto"/>
                    <w:left w:val="none" w:sz="0" w:space="0" w:color="auto"/>
                    <w:bottom w:val="none" w:sz="0" w:space="0" w:color="auto"/>
                    <w:right w:val="none" w:sz="0" w:space="0" w:color="auto"/>
                  </w:divBdr>
                </w:div>
              </w:divsChild>
            </w:div>
            <w:div w:id="1919904303">
              <w:marLeft w:val="0"/>
              <w:marRight w:val="0"/>
              <w:marTop w:val="0"/>
              <w:marBottom w:val="0"/>
              <w:divBdr>
                <w:top w:val="none" w:sz="0" w:space="0" w:color="auto"/>
                <w:left w:val="none" w:sz="0" w:space="0" w:color="auto"/>
                <w:bottom w:val="none" w:sz="0" w:space="0" w:color="auto"/>
                <w:right w:val="none" w:sz="0" w:space="0" w:color="auto"/>
              </w:divBdr>
              <w:divsChild>
                <w:div w:id="753164518">
                  <w:marLeft w:val="0"/>
                  <w:marRight w:val="0"/>
                  <w:marTop w:val="0"/>
                  <w:marBottom w:val="0"/>
                  <w:divBdr>
                    <w:top w:val="none" w:sz="0" w:space="0" w:color="auto"/>
                    <w:left w:val="none" w:sz="0" w:space="0" w:color="auto"/>
                    <w:bottom w:val="none" w:sz="0" w:space="0" w:color="auto"/>
                    <w:right w:val="none" w:sz="0" w:space="0" w:color="auto"/>
                  </w:divBdr>
                </w:div>
              </w:divsChild>
            </w:div>
            <w:div w:id="685712037">
              <w:marLeft w:val="0"/>
              <w:marRight w:val="0"/>
              <w:marTop w:val="0"/>
              <w:marBottom w:val="0"/>
              <w:divBdr>
                <w:top w:val="none" w:sz="0" w:space="0" w:color="auto"/>
                <w:left w:val="none" w:sz="0" w:space="0" w:color="auto"/>
                <w:bottom w:val="none" w:sz="0" w:space="0" w:color="auto"/>
                <w:right w:val="none" w:sz="0" w:space="0" w:color="auto"/>
              </w:divBdr>
              <w:divsChild>
                <w:div w:id="947202262">
                  <w:marLeft w:val="0"/>
                  <w:marRight w:val="0"/>
                  <w:marTop w:val="0"/>
                  <w:marBottom w:val="0"/>
                  <w:divBdr>
                    <w:top w:val="none" w:sz="0" w:space="0" w:color="auto"/>
                    <w:left w:val="none" w:sz="0" w:space="0" w:color="auto"/>
                    <w:bottom w:val="none" w:sz="0" w:space="0" w:color="auto"/>
                    <w:right w:val="none" w:sz="0" w:space="0" w:color="auto"/>
                  </w:divBdr>
                </w:div>
              </w:divsChild>
            </w:div>
            <w:div w:id="284236184">
              <w:marLeft w:val="0"/>
              <w:marRight w:val="0"/>
              <w:marTop w:val="0"/>
              <w:marBottom w:val="0"/>
              <w:divBdr>
                <w:top w:val="none" w:sz="0" w:space="0" w:color="auto"/>
                <w:left w:val="none" w:sz="0" w:space="0" w:color="auto"/>
                <w:bottom w:val="none" w:sz="0" w:space="0" w:color="auto"/>
                <w:right w:val="none" w:sz="0" w:space="0" w:color="auto"/>
              </w:divBdr>
              <w:divsChild>
                <w:div w:id="578948661">
                  <w:marLeft w:val="0"/>
                  <w:marRight w:val="0"/>
                  <w:marTop w:val="0"/>
                  <w:marBottom w:val="0"/>
                  <w:divBdr>
                    <w:top w:val="none" w:sz="0" w:space="0" w:color="auto"/>
                    <w:left w:val="none" w:sz="0" w:space="0" w:color="auto"/>
                    <w:bottom w:val="none" w:sz="0" w:space="0" w:color="auto"/>
                    <w:right w:val="none" w:sz="0" w:space="0" w:color="auto"/>
                  </w:divBdr>
                </w:div>
              </w:divsChild>
            </w:div>
            <w:div w:id="854224906">
              <w:marLeft w:val="0"/>
              <w:marRight w:val="0"/>
              <w:marTop w:val="0"/>
              <w:marBottom w:val="0"/>
              <w:divBdr>
                <w:top w:val="none" w:sz="0" w:space="0" w:color="auto"/>
                <w:left w:val="none" w:sz="0" w:space="0" w:color="auto"/>
                <w:bottom w:val="none" w:sz="0" w:space="0" w:color="auto"/>
                <w:right w:val="none" w:sz="0" w:space="0" w:color="auto"/>
              </w:divBdr>
              <w:divsChild>
                <w:div w:id="1774131613">
                  <w:marLeft w:val="0"/>
                  <w:marRight w:val="0"/>
                  <w:marTop w:val="0"/>
                  <w:marBottom w:val="0"/>
                  <w:divBdr>
                    <w:top w:val="none" w:sz="0" w:space="0" w:color="auto"/>
                    <w:left w:val="none" w:sz="0" w:space="0" w:color="auto"/>
                    <w:bottom w:val="none" w:sz="0" w:space="0" w:color="auto"/>
                    <w:right w:val="none" w:sz="0" w:space="0" w:color="auto"/>
                  </w:divBdr>
                </w:div>
              </w:divsChild>
            </w:div>
            <w:div w:id="668752451">
              <w:marLeft w:val="0"/>
              <w:marRight w:val="0"/>
              <w:marTop w:val="0"/>
              <w:marBottom w:val="0"/>
              <w:divBdr>
                <w:top w:val="none" w:sz="0" w:space="0" w:color="auto"/>
                <w:left w:val="none" w:sz="0" w:space="0" w:color="auto"/>
                <w:bottom w:val="none" w:sz="0" w:space="0" w:color="auto"/>
                <w:right w:val="none" w:sz="0" w:space="0" w:color="auto"/>
              </w:divBdr>
              <w:divsChild>
                <w:div w:id="1289624112">
                  <w:marLeft w:val="0"/>
                  <w:marRight w:val="0"/>
                  <w:marTop w:val="0"/>
                  <w:marBottom w:val="0"/>
                  <w:divBdr>
                    <w:top w:val="none" w:sz="0" w:space="0" w:color="auto"/>
                    <w:left w:val="none" w:sz="0" w:space="0" w:color="auto"/>
                    <w:bottom w:val="none" w:sz="0" w:space="0" w:color="auto"/>
                    <w:right w:val="none" w:sz="0" w:space="0" w:color="auto"/>
                  </w:divBdr>
                </w:div>
              </w:divsChild>
            </w:div>
            <w:div w:id="1066142960">
              <w:marLeft w:val="0"/>
              <w:marRight w:val="0"/>
              <w:marTop w:val="0"/>
              <w:marBottom w:val="0"/>
              <w:divBdr>
                <w:top w:val="none" w:sz="0" w:space="0" w:color="auto"/>
                <w:left w:val="none" w:sz="0" w:space="0" w:color="auto"/>
                <w:bottom w:val="none" w:sz="0" w:space="0" w:color="auto"/>
                <w:right w:val="none" w:sz="0" w:space="0" w:color="auto"/>
              </w:divBdr>
              <w:divsChild>
                <w:div w:id="1566524532">
                  <w:marLeft w:val="0"/>
                  <w:marRight w:val="0"/>
                  <w:marTop w:val="0"/>
                  <w:marBottom w:val="0"/>
                  <w:divBdr>
                    <w:top w:val="none" w:sz="0" w:space="0" w:color="auto"/>
                    <w:left w:val="none" w:sz="0" w:space="0" w:color="auto"/>
                    <w:bottom w:val="none" w:sz="0" w:space="0" w:color="auto"/>
                    <w:right w:val="none" w:sz="0" w:space="0" w:color="auto"/>
                  </w:divBdr>
                </w:div>
              </w:divsChild>
            </w:div>
            <w:div w:id="1133788">
              <w:marLeft w:val="0"/>
              <w:marRight w:val="0"/>
              <w:marTop w:val="0"/>
              <w:marBottom w:val="0"/>
              <w:divBdr>
                <w:top w:val="none" w:sz="0" w:space="0" w:color="auto"/>
                <w:left w:val="none" w:sz="0" w:space="0" w:color="auto"/>
                <w:bottom w:val="none" w:sz="0" w:space="0" w:color="auto"/>
                <w:right w:val="none" w:sz="0" w:space="0" w:color="auto"/>
              </w:divBdr>
              <w:divsChild>
                <w:div w:id="1401562458">
                  <w:marLeft w:val="0"/>
                  <w:marRight w:val="0"/>
                  <w:marTop w:val="0"/>
                  <w:marBottom w:val="0"/>
                  <w:divBdr>
                    <w:top w:val="none" w:sz="0" w:space="0" w:color="auto"/>
                    <w:left w:val="none" w:sz="0" w:space="0" w:color="auto"/>
                    <w:bottom w:val="none" w:sz="0" w:space="0" w:color="auto"/>
                    <w:right w:val="none" w:sz="0" w:space="0" w:color="auto"/>
                  </w:divBdr>
                </w:div>
              </w:divsChild>
            </w:div>
            <w:div w:id="1508865713">
              <w:marLeft w:val="0"/>
              <w:marRight w:val="0"/>
              <w:marTop w:val="0"/>
              <w:marBottom w:val="0"/>
              <w:divBdr>
                <w:top w:val="none" w:sz="0" w:space="0" w:color="auto"/>
                <w:left w:val="none" w:sz="0" w:space="0" w:color="auto"/>
                <w:bottom w:val="none" w:sz="0" w:space="0" w:color="auto"/>
                <w:right w:val="none" w:sz="0" w:space="0" w:color="auto"/>
              </w:divBdr>
              <w:divsChild>
                <w:div w:id="920799179">
                  <w:marLeft w:val="0"/>
                  <w:marRight w:val="0"/>
                  <w:marTop w:val="0"/>
                  <w:marBottom w:val="0"/>
                  <w:divBdr>
                    <w:top w:val="none" w:sz="0" w:space="0" w:color="auto"/>
                    <w:left w:val="none" w:sz="0" w:space="0" w:color="auto"/>
                    <w:bottom w:val="none" w:sz="0" w:space="0" w:color="auto"/>
                    <w:right w:val="none" w:sz="0" w:space="0" w:color="auto"/>
                  </w:divBdr>
                </w:div>
              </w:divsChild>
            </w:div>
            <w:div w:id="1384138215">
              <w:marLeft w:val="0"/>
              <w:marRight w:val="0"/>
              <w:marTop w:val="0"/>
              <w:marBottom w:val="0"/>
              <w:divBdr>
                <w:top w:val="none" w:sz="0" w:space="0" w:color="auto"/>
                <w:left w:val="none" w:sz="0" w:space="0" w:color="auto"/>
                <w:bottom w:val="none" w:sz="0" w:space="0" w:color="auto"/>
                <w:right w:val="none" w:sz="0" w:space="0" w:color="auto"/>
              </w:divBdr>
              <w:divsChild>
                <w:div w:id="515702869">
                  <w:marLeft w:val="0"/>
                  <w:marRight w:val="0"/>
                  <w:marTop w:val="0"/>
                  <w:marBottom w:val="0"/>
                  <w:divBdr>
                    <w:top w:val="none" w:sz="0" w:space="0" w:color="auto"/>
                    <w:left w:val="none" w:sz="0" w:space="0" w:color="auto"/>
                    <w:bottom w:val="none" w:sz="0" w:space="0" w:color="auto"/>
                    <w:right w:val="none" w:sz="0" w:space="0" w:color="auto"/>
                  </w:divBdr>
                </w:div>
              </w:divsChild>
            </w:div>
            <w:div w:id="409154008">
              <w:marLeft w:val="0"/>
              <w:marRight w:val="0"/>
              <w:marTop w:val="0"/>
              <w:marBottom w:val="0"/>
              <w:divBdr>
                <w:top w:val="none" w:sz="0" w:space="0" w:color="auto"/>
                <w:left w:val="none" w:sz="0" w:space="0" w:color="auto"/>
                <w:bottom w:val="none" w:sz="0" w:space="0" w:color="auto"/>
                <w:right w:val="none" w:sz="0" w:space="0" w:color="auto"/>
              </w:divBdr>
              <w:divsChild>
                <w:div w:id="987435657">
                  <w:marLeft w:val="0"/>
                  <w:marRight w:val="0"/>
                  <w:marTop w:val="0"/>
                  <w:marBottom w:val="0"/>
                  <w:divBdr>
                    <w:top w:val="none" w:sz="0" w:space="0" w:color="auto"/>
                    <w:left w:val="none" w:sz="0" w:space="0" w:color="auto"/>
                    <w:bottom w:val="none" w:sz="0" w:space="0" w:color="auto"/>
                    <w:right w:val="none" w:sz="0" w:space="0" w:color="auto"/>
                  </w:divBdr>
                </w:div>
              </w:divsChild>
            </w:div>
            <w:div w:id="600796427">
              <w:marLeft w:val="0"/>
              <w:marRight w:val="0"/>
              <w:marTop w:val="0"/>
              <w:marBottom w:val="0"/>
              <w:divBdr>
                <w:top w:val="none" w:sz="0" w:space="0" w:color="auto"/>
                <w:left w:val="none" w:sz="0" w:space="0" w:color="auto"/>
                <w:bottom w:val="none" w:sz="0" w:space="0" w:color="auto"/>
                <w:right w:val="none" w:sz="0" w:space="0" w:color="auto"/>
              </w:divBdr>
              <w:divsChild>
                <w:div w:id="875653031">
                  <w:marLeft w:val="0"/>
                  <w:marRight w:val="0"/>
                  <w:marTop w:val="0"/>
                  <w:marBottom w:val="0"/>
                  <w:divBdr>
                    <w:top w:val="none" w:sz="0" w:space="0" w:color="auto"/>
                    <w:left w:val="none" w:sz="0" w:space="0" w:color="auto"/>
                    <w:bottom w:val="none" w:sz="0" w:space="0" w:color="auto"/>
                    <w:right w:val="none" w:sz="0" w:space="0" w:color="auto"/>
                  </w:divBdr>
                </w:div>
              </w:divsChild>
            </w:div>
            <w:div w:id="299000237">
              <w:marLeft w:val="0"/>
              <w:marRight w:val="0"/>
              <w:marTop w:val="0"/>
              <w:marBottom w:val="0"/>
              <w:divBdr>
                <w:top w:val="none" w:sz="0" w:space="0" w:color="auto"/>
                <w:left w:val="none" w:sz="0" w:space="0" w:color="auto"/>
                <w:bottom w:val="none" w:sz="0" w:space="0" w:color="auto"/>
                <w:right w:val="none" w:sz="0" w:space="0" w:color="auto"/>
              </w:divBdr>
              <w:divsChild>
                <w:div w:id="1767529782">
                  <w:marLeft w:val="0"/>
                  <w:marRight w:val="0"/>
                  <w:marTop w:val="0"/>
                  <w:marBottom w:val="0"/>
                  <w:divBdr>
                    <w:top w:val="none" w:sz="0" w:space="0" w:color="auto"/>
                    <w:left w:val="none" w:sz="0" w:space="0" w:color="auto"/>
                    <w:bottom w:val="none" w:sz="0" w:space="0" w:color="auto"/>
                    <w:right w:val="none" w:sz="0" w:space="0" w:color="auto"/>
                  </w:divBdr>
                </w:div>
              </w:divsChild>
            </w:div>
            <w:div w:id="946162120">
              <w:marLeft w:val="0"/>
              <w:marRight w:val="0"/>
              <w:marTop w:val="0"/>
              <w:marBottom w:val="0"/>
              <w:divBdr>
                <w:top w:val="none" w:sz="0" w:space="0" w:color="auto"/>
                <w:left w:val="none" w:sz="0" w:space="0" w:color="auto"/>
                <w:bottom w:val="none" w:sz="0" w:space="0" w:color="auto"/>
                <w:right w:val="none" w:sz="0" w:space="0" w:color="auto"/>
              </w:divBdr>
              <w:divsChild>
                <w:div w:id="1553930793">
                  <w:marLeft w:val="0"/>
                  <w:marRight w:val="0"/>
                  <w:marTop w:val="0"/>
                  <w:marBottom w:val="0"/>
                  <w:divBdr>
                    <w:top w:val="none" w:sz="0" w:space="0" w:color="auto"/>
                    <w:left w:val="none" w:sz="0" w:space="0" w:color="auto"/>
                    <w:bottom w:val="none" w:sz="0" w:space="0" w:color="auto"/>
                    <w:right w:val="none" w:sz="0" w:space="0" w:color="auto"/>
                  </w:divBdr>
                </w:div>
              </w:divsChild>
            </w:div>
            <w:div w:id="122384380">
              <w:marLeft w:val="0"/>
              <w:marRight w:val="0"/>
              <w:marTop w:val="0"/>
              <w:marBottom w:val="0"/>
              <w:divBdr>
                <w:top w:val="none" w:sz="0" w:space="0" w:color="auto"/>
                <w:left w:val="none" w:sz="0" w:space="0" w:color="auto"/>
                <w:bottom w:val="none" w:sz="0" w:space="0" w:color="auto"/>
                <w:right w:val="none" w:sz="0" w:space="0" w:color="auto"/>
              </w:divBdr>
              <w:divsChild>
                <w:div w:id="271862399">
                  <w:marLeft w:val="0"/>
                  <w:marRight w:val="0"/>
                  <w:marTop w:val="0"/>
                  <w:marBottom w:val="0"/>
                  <w:divBdr>
                    <w:top w:val="none" w:sz="0" w:space="0" w:color="auto"/>
                    <w:left w:val="none" w:sz="0" w:space="0" w:color="auto"/>
                    <w:bottom w:val="none" w:sz="0" w:space="0" w:color="auto"/>
                    <w:right w:val="none" w:sz="0" w:space="0" w:color="auto"/>
                  </w:divBdr>
                </w:div>
              </w:divsChild>
            </w:div>
            <w:div w:id="1048601169">
              <w:marLeft w:val="0"/>
              <w:marRight w:val="0"/>
              <w:marTop w:val="0"/>
              <w:marBottom w:val="0"/>
              <w:divBdr>
                <w:top w:val="none" w:sz="0" w:space="0" w:color="auto"/>
                <w:left w:val="none" w:sz="0" w:space="0" w:color="auto"/>
                <w:bottom w:val="none" w:sz="0" w:space="0" w:color="auto"/>
                <w:right w:val="none" w:sz="0" w:space="0" w:color="auto"/>
              </w:divBdr>
              <w:divsChild>
                <w:div w:id="1060902742">
                  <w:marLeft w:val="0"/>
                  <w:marRight w:val="0"/>
                  <w:marTop w:val="0"/>
                  <w:marBottom w:val="0"/>
                  <w:divBdr>
                    <w:top w:val="none" w:sz="0" w:space="0" w:color="auto"/>
                    <w:left w:val="none" w:sz="0" w:space="0" w:color="auto"/>
                    <w:bottom w:val="none" w:sz="0" w:space="0" w:color="auto"/>
                    <w:right w:val="none" w:sz="0" w:space="0" w:color="auto"/>
                  </w:divBdr>
                </w:div>
              </w:divsChild>
            </w:div>
            <w:div w:id="1476870409">
              <w:marLeft w:val="0"/>
              <w:marRight w:val="0"/>
              <w:marTop w:val="0"/>
              <w:marBottom w:val="0"/>
              <w:divBdr>
                <w:top w:val="none" w:sz="0" w:space="0" w:color="auto"/>
                <w:left w:val="none" w:sz="0" w:space="0" w:color="auto"/>
                <w:bottom w:val="none" w:sz="0" w:space="0" w:color="auto"/>
                <w:right w:val="none" w:sz="0" w:space="0" w:color="auto"/>
              </w:divBdr>
              <w:divsChild>
                <w:div w:id="1803187521">
                  <w:marLeft w:val="0"/>
                  <w:marRight w:val="0"/>
                  <w:marTop w:val="0"/>
                  <w:marBottom w:val="0"/>
                  <w:divBdr>
                    <w:top w:val="none" w:sz="0" w:space="0" w:color="auto"/>
                    <w:left w:val="none" w:sz="0" w:space="0" w:color="auto"/>
                    <w:bottom w:val="none" w:sz="0" w:space="0" w:color="auto"/>
                    <w:right w:val="none" w:sz="0" w:space="0" w:color="auto"/>
                  </w:divBdr>
                </w:div>
              </w:divsChild>
            </w:div>
            <w:div w:id="1355502481">
              <w:marLeft w:val="0"/>
              <w:marRight w:val="0"/>
              <w:marTop w:val="0"/>
              <w:marBottom w:val="0"/>
              <w:divBdr>
                <w:top w:val="none" w:sz="0" w:space="0" w:color="auto"/>
                <w:left w:val="none" w:sz="0" w:space="0" w:color="auto"/>
                <w:bottom w:val="none" w:sz="0" w:space="0" w:color="auto"/>
                <w:right w:val="none" w:sz="0" w:space="0" w:color="auto"/>
              </w:divBdr>
              <w:divsChild>
                <w:div w:id="1622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305">
          <w:marLeft w:val="0"/>
          <w:marRight w:val="0"/>
          <w:marTop w:val="0"/>
          <w:marBottom w:val="600"/>
          <w:divBdr>
            <w:top w:val="none" w:sz="0" w:space="0" w:color="auto"/>
            <w:left w:val="none" w:sz="0" w:space="0" w:color="auto"/>
            <w:bottom w:val="none" w:sz="0" w:space="0" w:color="auto"/>
            <w:right w:val="none" w:sz="0" w:space="0" w:color="auto"/>
          </w:divBdr>
        </w:div>
      </w:divsChild>
    </w:div>
    <w:div w:id="30804634">
      <w:marLeft w:val="0"/>
      <w:marRight w:val="0"/>
      <w:marTop w:val="0"/>
      <w:marBottom w:val="0"/>
      <w:divBdr>
        <w:top w:val="none" w:sz="0" w:space="0" w:color="auto"/>
        <w:left w:val="none" w:sz="0" w:space="0" w:color="auto"/>
        <w:bottom w:val="none" w:sz="0" w:space="0" w:color="auto"/>
        <w:right w:val="none" w:sz="0" w:space="0" w:color="auto"/>
      </w:divBdr>
      <w:divsChild>
        <w:div w:id="1047412746">
          <w:marLeft w:val="0"/>
          <w:marRight w:val="0"/>
          <w:marTop w:val="547"/>
          <w:marBottom w:val="0"/>
          <w:divBdr>
            <w:top w:val="none" w:sz="0" w:space="0" w:color="auto"/>
            <w:left w:val="none" w:sz="0" w:space="0" w:color="auto"/>
            <w:bottom w:val="none" w:sz="0" w:space="0" w:color="auto"/>
            <w:right w:val="none" w:sz="0" w:space="0" w:color="auto"/>
          </w:divBdr>
        </w:div>
        <w:div w:id="1805080889">
          <w:marLeft w:val="0"/>
          <w:marRight w:val="0"/>
          <w:marTop w:val="0"/>
          <w:marBottom w:val="0"/>
          <w:divBdr>
            <w:top w:val="none" w:sz="0" w:space="0" w:color="auto"/>
            <w:left w:val="none" w:sz="0" w:space="0" w:color="auto"/>
            <w:bottom w:val="none" w:sz="0" w:space="0" w:color="auto"/>
            <w:right w:val="none" w:sz="0" w:space="0" w:color="auto"/>
          </w:divBdr>
        </w:div>
        <w:div w:id="232353533">
          <w:marLeft w:val="0"/>
          <w:marRight w:val="0"/>
          <w:marTop w:val="0"/>
          <w:marBottom w:val="600"/>
          <w:divBdr>
            <w:top w:val="none" w:sz="0" w:space="0" w:color="auto"/>
            <w:left w:val="none" w:sz="0" w:space="0" w:color="auto"/>
            <w:bottom w:val="none" w:sz="0" w:space="0" w:color="auto"/>
            <w:right w:val="none" w:sz="0" w:space="0" w:color="auto"/>
          </w:divBdr>
        </w:div>
      </w:divsChild>
    </w:div>
    <w:div w:id="84814740">
      <w:marLeft w:val="0"/>
      <w:marRight w:val="0"/>
      <w:marTop w:val="0"/>
      <w:marBottom w:val="0"/>
      <w:divBdr>
        <w:top w:val="none" w:sz="0" w:space="0" w:color="auto"/>
        <w:left w:val="none" w:sz="0" w:space="0" w:color="auto"/>
        <w:bottom w:val="none" w:sz="0" w:space="0" w:color="auto"/>
        <w:right w:val="none" w:sz="0" w:space="0" w:color="auto"/>
      </w:divBdr>
      <w:divsChild>
        <w:div w:id="1049962110">
          <w:marLeft w:val="0"/>
          <w:marRight w:val="0"/>
          <w:marTop w:val="547"/>
          <w:marBottom w:val="0"/>
          <w:divBdr>
            <w:top w:val="none" w:sz="0" w:space="0" w:color="auto"/>
            <w:left w:val="none" w:sz="0" w:space="0" w:color="auto"/>
            <w:bottom w:val="none" w:sz="0" w:space="0" w:color="auto"/>
            <w:right w:val="none" w:sz="0" w:space="0" w:color="auto"/>
          </w:divBdr>
        </w:div>
        <w:div w:id="705060880">
          <w:marLeft w:val="0"/>
          <w:marRight w:val="0"/>
          <w:marTop w:val="0"/>
          <w:marBottom w:val="0"/>
          <w:divBdr>
            <w:top w:val="none" w:sz="0" w:space="0" w:color="auto"/>
            <w:left w:val="none" w:sz="0" w:space="0" w:color="auto"/>
            <w:bottom w:val="none" w:sz="0" w:space="0" w:color="auto"/>
            <w:right w:val="none" w:sz="0" w:space="0" w:color="auto"/>
          </w:divBdr>
          <w:divsChild>
            <w:div w:id="1636910736">
              <w:marLeft w:val="0"/>
              <w:marRight w:val="0"/>
              <w:marTop w:val="0"/>
              <w:marBottom w:val="0"/>
              <w:divBdr>
                <w:top w:val="none" w:sz="0" w:space="0" w:color="auto"/>
                <w:left w:val="none" w:sz="0" w:space="0" w:color="auto"/>
                <w:bottom w:val="none" w:sz="0" w:space="0" w:color="auto"/>
                <w:right w:val="none" w:sz="0" w:space="0" w:color="auto"/>
              </w:divBdr>
              <w:divsChild>
                <w:div w:id="822740655">
                  <w:marLeft w:val="0"/>
                  <w:marRight w:val="0"/>
                  <w:marTop w:val="0"/>
                  <w:marBottom w:val="0"/>
                  <w:divBdr>
                    <w:top w:val="none" w:sz="0" w:space="0" w:color="auto"/>
                    <w:left w:val="none" w:sz="0" w:space="0" w:color="auto"/>
                    <w:bottom w:val="none" w:sz="0" w:space="0" w:color="auto"/>
                    <w:right w:val="none" w:sz="0" w:space="0" w:color="auto"/>
                  </w:divBdr>
                </w:div>
              </w:divsChild>
            </w:div>
            <w:div w:id="1750611545">
              <w:marLeft w:val="0"/>
              <w:marRight w:val="0"/>
              <w:marTop w:val="0"/>
              <w:marBottom w:val="0"/>
              <w:divBdr>
                <w:top w:val="none" w:sz="0" w:space="0" w:color="auto"/>
                <w:left w:val="none" w:sz="0" w:space="0" w:color="auto"/>
                <w:bottom w:val="none" w:sz="0" w:space="0" w:color="auto"/>
                <w:right w:val="none" w:sz="0" w:space="0" w:color="auto"/>
              </w:divBdr>
              <w:divsChild>
                <w:div w:id="334381757">
                  <w:marLeft w:val="0"/>
                  <w:marRight w:val="0"/>
                  <w:marTop w:val="0"/>
                  <w:marBottom w:val="0"/>
                  <w:divBdr>
                    <w:top w:val="none" w:sz="0" w:space="0" w:color="auto"/>
                    <w:left w:val="none" w:sz="0" w:space="0" w:color="auto"/>
                    <w:bottom w:val="none" w:sz="0" w:space="0" w:color="auto"/>
                    <w:right w:val="none" w:sz="0" w:space="0" w:color="auto"/>
                  </w:divBdr>
                </w:div>
              </w:divsChild>
            </w:div>
            <w:div w:id="962492436">
              <w:marLeft w:val="0"/>
              <w:marRight w:val="0"/>
              <w:marTop w:val="0"/>
              <w:marBottom w:val="0"/>
              <w:divBdr>
                <w:top w:val="none" w:sz="0" w:space="0" w:color="auto"/>
                <w:left w:val="none" w:sz="0" w:space="0" w:color="auto"/>
                <w:bottom w:val="none" w:sz="0" w:space="0" w:color="auto"/>
                <w:right w:val="none" w:sz="0" w:space="0" w:color="auto"/>
              </w:divBdr>
              <w:divsChild>
                <w:div w:id="442916448">
                  <w:marLeft w:val="0"/>
                  <w:marRight w:val="0"/>
                  <w:marTop w:val="0"/>
                  <w:marBottom w:val="0"/>
                  <w:divBdr>
                    <w:top w:val="none" w:sz="0" w:space="0" w:color="auto"/>
                    <w:left w:val="none" w:sz="0" w:space="0" w:color="auto"/>
                    <w:bottom w:val="none" w:sz="0" w:space="0" w:color="auto"/>
                    <w:right w:val="none" w:sz="0" w:space="0" w:color="auto"/>
                  </w:divBdr>
                </w:div>
              </w:divsChild>
            </w:div>
            <w:div w:id="1972176320">
              <w:marLeft w:val="0"/>
              <w:marRight w:val="0"/>
              <w:marTop w:val="0"/>
              <w:marBottom w:val="0"/>
              <w:divBdr>
                <w:top w:val="none" w:sz="0" w:space="0" w:color="auto"/>
                <w:left w:val="none" w:sz="0" w:space="0" w:color="auto"/>
                <w:bottom w:val="none" w:sz="0" w:space="0" w:color="auto"/>
                <w:right w:val="none" w:sz="0" w:space="0" w:color="auto"/>
              </w:divBdr>
              <w:divsChild>
                <w:div w:id="969747168">
                  <w:marLeft w:val="0"/>
                  <w:marRight w:val="0"/>
                  <w:marTop w:val="0"/>
                  <w:marBottom w:val="0"/>
                  <w:divBdr>
                    <w:top w:val="none" w:sz="0" w:space="0" w:color="auto"/>
                    <w:left w:val="none" w:sz="0" w:space="0" w:color="auto"/>
                    <w:bottom w:val="none" w:sz="0" w:space="0" w:color="auto"/>
                    <w:right w:val="none" w:sz="0" w:space="0" w:color="auto"/>
                  </w:divBdr>
                </w:div>
              </w:divsChild>
            </w:div>
            <w:div w:id="1424181466">
              <w:marLeft w:val="0"/>
              <w:marRight w:val="0"/>
              <w:marTop w:val="0"/>
              <w:marBottom w:val="0"/>
              <w:divBdr>
                <w:top w:val="none" w:sz="0" w:space="0" w:color="auto"/>
                <w:left w:val="none" w:sz="0" w:space="0" w:color="auto"/>
                <w:bottom w:val="none" w:sz="0" w:space="0" w:color="auto"/>
                <w:right w:val="none" w:sz="0" w:space="0" w:color="auto"/>
              </w:divBdr>
              <w:divsChild>
                <w:div w:id="682125645">
                  <w:marLeft w:val="0"/>
                  <w:marRight w:val="0"/>
                  <w:marTop w:val="0"/>
                  <w:marBottom w:val="0"/>
                  <w:divBdr>
                    <w:top w:val="none" w:sz="0" w:space="0" w:color="auto"/>
                    <w:left w:val="none" w:sz="0" w:space="0" w:color="auto"/>
                    <w:bottom w:val="none" w:sz="0" w:space="0" w:color="auto"/>
                    <w:right w:val="none" w:sz="0" w:space="0" w:color="auto"/>
                  </w:divBdr>
                </w:div>
              </w:divsChild>
            </w:div>
            <w:div w:id="410004446">
              <w:marLeft w:val="0"/>
              <w:marRight w:val="0"/>
              <w:marTop w:val="0"/>
              <w:marBottom w:val="0"/>
              <w:divBdr>
                <w:top w:val="none" w:sz="0" w:space="0" w:color="auto"/>
                <w:left w:val="none" w:sz="0" w:space="0" w:color="auto"/>
                <w:bottom w:val="none" w:sz="0" w:space="0" w:color="auto"/>
                <w:right w:val="none" w:sz="0" w:space="0" w:color="auto"/>
              </w:divBdr>
              <w:divsChild>
                <w:div w:id="1811050237">
                  <w:marLeft w:val="0"/>
                  <w:marRight w:val="0"/>
                  <w:marTop w:val="0"/>
                  <w:marBottom w:val="0"/>
                  <w:divBdr>
                    <w:top w:val="none" w:sz="0" w:space="0" w:color="auto"/>
                    <w:left w:val="none" w:sz="0" w:space="0" w:color="auto"/>
                    <w:bottom w:val="none" w:sz="0" w:space="0" w:color="auto"/>
                    <w:right w:val="none" w:sz="0" w:space="0" w:color="auto"/>
                  </w:divBdr>
                </w:div>
              </w:divsChild>
            </w:div>
            <w:div w:id="1757750630">
              <w:marLeft w:val="0"/>
              <w:marRight w:val="0"/>
              <w:marTop w:val="0"/>
              <w:marBottom w:val="0"/>
              <w:divBdr>
                <w:top w:val="none" w:sz="0" w:space="0" w:color="auto"/>
                <w:left w:val="none" w:sz="0" w:space="0" w:color="auto"/>
                <w:bottom w:val="none" w:sz="0" w:space="0" w:color="auto"/>
                <w:right w:val="none" w:sz="0" w:space="0" w:color="auto"/>
              </w:divBdr>
              <w:divsChild>
                <w:div w:id="2142847327">
                  <w:marLeft w:val="0"/>
                  <w:marRight w:val="0"/>
                  <w:marTop w:val="0"/>
                  <w:marBottom w:val="0"/>
                  <w:divBdr>
                    <w:top w:val="none" w:sz="0" w:space="0" w:color="auto"/>
                    <w:left w:val="none" w:sz="0" w:space="0" w:color="auto"/>
                    <w:bottom w:val="none" w:sz="0" w:space="0" w:color="auto"/>
                    <w:right w:val="none" w:sz="0" w:space="0" w:color="auto"/>
                  </w:divBdr>
                </w:div>
              </w:divsChild>
            </w:div>
            <w:div w:id="1393431340">
              <w:marLeft w:val="0"/>
              <w:marRight w:val="0"/>
              <w:marTop w:val="0"/>
              <w:marBottom w:val="0"/>
              <w:divBdr>
                <w:top w:val="none" w:sz="0" w:space="0" w:color="auto"/>
                <w:left w:val="none" w:sz="0" w:space="0" w:color="auto"/>
                <w:bottom w:val="none" w:sz="0" w:space="0" w:color="auto"/>
                <w:right w:val="none" w:sz="0" w:space="0" w:color="auto"/>
              </w:divBdr>
              <w:divsChild>
                <w:div w:id="1368678986">
                  <w:marLeft w:val="0"/>
                  <w:marRight w:val="0"/>
                  <w:marTop w:val="0"/>
                  <w:marBottom w:val="0"/>
                  <w:divBdr>
                    <w:top w:val="none" w:sz="0" w:space="0" w:color="auto"/>
                    <w:left w:val="none" w:sz="0" w:space="0" w:color="auto"/>
                    <w:bottom w:val="none" w:sz="0" w:space="0" w:color="auto"/>
                    <w:right w:val="none" w:sz="0" w:space="0" w:color="auto"/>
                  </w:divBdr>
                </w:div>
              </w:divsChild>
            </w:div>
            <w:div w:id="722757926">
              <w:marLeft w:val="0"/>
              <w:marRight w:val="0"/>
              <w:marTop w:val="0"/>
              <w:marBottom w:val="0"/>
              <w:divBdr>
                <w:top w:val="none" w:sz="0" w:space="0" w:color="auto"/>
                <w:left w:val="none" w:sz="0" w:space="0" w:color="auto"/>
                <w:bottom w:val="none" w:sz="0" w:space="0" w:color="auto"/>
                <w:right w:val="none" w:sz="0" w:space="0" w:color="auto"/>
              </w:divBdr>
              <w:divsChild>
                <w:div w:id="20015823">
                  <w:marLeft w:val="0"/>
                  <w:marRight w:val="0"/>
                  <w:marTop w:val="0"/>
                  <w:marBottom w:val="0"/>
                  <w:divBdr>
                    <w:top w:val="none" w:sz="0" w:space="0" w:color="auto"/>
                    <w:left w:val="none" w:sz="0" w:space="0" w:color="auto"/>
                    <w:bottom w:val="none" w:sz="0" w:space="0" w:color="auto"/>
                    <w:right w:val="none" w:sz="0" w:space="0" w:color="auto"/>
                  </w:divBdr>
                </w:div>
              </w:divsChild>
            </w:div>
            <w:div w:id="404228840">
              <w:marLeft w:val="0"/>
              <w:marRight w:val="0"/>
              <w:marTop w:val="0"/>
              <w:marBottom w:val="0"/>
              <w:divBdr>
                <w:top w:val="none" w:sz="0" w:space="0" w:color="auto"/>
                <w:left w:val="none" w:sz="0" w:space="0" w:color="auto"/>
                <w:bottom w:val="none" w:sz="0" w:space="0" w:color="auto"/>
                <w:right w:val="none" w:sz="0" w:space="0" w:color="auto"/>
              </w:divBdr>
              <w:divsChild>
                <w:div w:id="1914507012">
                  <w:marLeft w:val="0"/>
                  <w:marRight w:val="0"/>
                  <w:marTop w:val="0"/>
                  <w:marBottom w:val="0"/>
                  <w:divBdr>
                    <w:top w:val="none" w:sz="0" w:space="0" w:color="auto"/>
                    <w:left w:val="none" w:sz="0" w:space="0" w:color="auto"/>
                    <w:bottom w:val="none" w:sz="0" w:space="0" w:color="auto"/>
                    <w:right w:val="none" w:sz="0" w:space="0" w:color="auto"/>
                  </w:divBdr>
                </w:div>
              </w:divsChild>
            </w:div>
            <w:div w:id="1939867233">
              <w:marLeft w:val="0"/>
              <w:marRight w:val="0"/>
              <w:marTop w:val="0"/>
              <w:marBottom w:val="0"/>
              <w:divBdr>
                <w:top w:val="none" w:sz="0" w:space="0" w:color="auto"/>
                <w:left w:val="none" w:sz="0" w:space="0" w:color="auto"/>
                <w:bottom w:val="none" w:sz="0" w:space="0" w:color="auto"/>
                <w:right w:val="none" w:sz="0" w:space="0" w:color="auto"/>
              </w:divBdr>
              <w:divsChild>
                <w:div w:id="31073636">
                  <w:marLeft w:val="0"/>
                  <w:marRight w:val="0"/>
                  <w:marTop w:val="0"/>
                  <w:marBottom w:val="0"/>
                  <w:divBdr>
                    <w:top w:val="none" w:sz="0" w:space="0" w:color="auto"/>
                    <w:left w:val="none" w:sz="0" w:space="0" w:color="auto"/>
                    <w:bottom w:val="none" w:sz="0" w:space="0" w:color="auto"/>
                    <w:right w:val="none" w:sz="0" w:space="0" w:color="auto"/>
                  </w:divBdr>
                </w:div>
              </w:divsChild>
            </w:div>
            <w:div w:id="1733115171">
              <w:marLeft w:val="0"/>
              <w:marRight w:val="0"/>
              <w:marTop w:val="0"/>
              <w:marBottom w:val="0"/>
              <w:divBdr>
                <w:top w:val="none" w:sz="0" w:space="0" w:color="auto"/>
                <w:left w:val="none" w:sz="0" w:space="0" w:color="auto"/>
                <w:bottom w:val="none" w:sz="0" w:space="0" w:color="auto"/>
                <w:right w:val="none" w:sz="0" w:space="0" w:color="auto"/>
              </w:divBdr>
              <w:divsChild>
                <w:div w:id="908923698">
                  <w:marLeft w:val="0"/>
                  <w:marRight w:val="0"/>
                  <w:marTop w:val="0"/>
                  <w:marBottom w:val="0"/>
                  <w:divBdr>
                    <w:top w:val="none" w:sz="0" w:space="0" w:color="auto"/>
                    <w:left w:val="none" w:sz="0" w:space="0" w:color="auto"/>
                    <w:bottom w:val="none" w:sz="0" w:space="0" w:color="auto"/>
                    <w:right w:val="none" w:sz="0" w:space="0" w:color="auto"/>
                  </w:divBdr>
                </w:div>
              </w:divsChild>
            </w:div>
            <w:div w:id="1793354399">
              <w:marLeft w:val="0"/>
              <w:marRight w:val="0"/>
              <w:marTop w:val="0"/>
              <w:marBottom w:val="0"/>
              <w:divBdr>
                <w:top w:val="none" w:sz="0" w:space="0" w:color="auto"/>
                <w:left w:val="none" w:sz="0" w:space="0" w:color="auto"/>
                <w:bottom w:val="none" w:sz="0" w:space="0" w:color="auto"/>
                <w:right w:val="none" w:sz="0" w:space="0" w:color="auto"/>
              </w:divBdr>
              <w:divsChild>
                <w:div w:id="2020892491">
                  <w:marLeft w:val="0"/>
                  <w:marRight w:val="0"/>
                  <w:marTop w:val="0"/>
                  <w:marBottom w:val="0"/>
                  <w:divBdr>
                    <w:top w:val="none" w:sz="0" w:space="0" w:color="auto"/>
                    <w:left w:val="none" w:sz="0" w:space="0" w:color="auto"/>
                    <w:bottom w:val="none" w:sz="0" w:space="0" w:color="auto"/>
                    <w:right w:val="none" w:sz="0" w:space="0" w:color="auto"/>
                  </w:divBdr>
                </w:div>
              </w:divsChild>
            </w:div>
            <w:div w:id="1750275172">
              <w:marLeft w:val="0"/>
              <w:marRight w:val="0"/>
              <w:marTop w:val="0"/>
              <w:marBottom w:val="0"/>
              <w:divBdr>
                <w:top w:val="none" w:sz="0" w:space="0" w:color="auto"/>
                <w:left w:val="none" w:sz="0" w:space="0" w:color="auto"/>
                <w:bottom w:val="none" w:sz="0" w:space="0" w:color="auto"/>
                <w:right w:val="none" w:sz="0" w:space="0" w:color="auto"/>
              </w:divBdr>
              <w:divsChild>
                <w:div w:id="1813135664">
                  <w:marLeft w:val="0"/>
                  <w:marRight w:val="0"/>
                  <w:marTop w:val="0"/>
                  <w:marBottom w:val="0"/>
                  <w:divBdr>
                    <w:top w:val="none" w:sz="0" w:space="0" w:color="auto"/>
                    <w:left w:val="none" w:sz="0" w:space="0" w:color="auto"/>
                    <w:bottom w:val="none" w:sz="0" w:space="0" w:color="auto"/>
                    <w:right w:val="none" w:sz="0" w:space="0" w:color="auto"/>
                  </w:divBdr>
                </w:div>
              </w:divsChild>
            </w:div>
            <w:div w:id="824198208">
              <w:marLeft w:val="0"/>
              <w:marRight w:val="0"/>
              <w:marTop w:val="0"/>
              <w:marBottom w:val="0"/>
              <w:divBdr>
                <w:top w:val="none" w:sz="0" w:space="0" w:color="auto"/>
                <w:left w:val="none" w:sz="0" w:space="0" w:color="auto"/>
                <w:bottom w:val="none" w:sz="0" w:space="0" w:color="auto"/>
                <w:right w:val="none" w:sz="0" w:space="0" w:color="auto"/>
              </w:divBdr>
              <w:divsChild>
                <w:div w:id="1550216731">
                  <w:marLeft w:val="0"/>
                  <w:marRight w:val="0"/>
                  <w:marTop w:val="0"/>
                  <w:marBottom w:val="0"/>
                  <w:divBdr>
                    <w:top w:val="none" w:sz="0" w:space="0" w:color="auto"/>
                    <w:left w:val="none" w:sz="0" w:space="0" w:color="auto"/>
                    <w:bottom w:val="none" w:sz="0" w:space="0" w:color="auto"/>
                    <w:right w:val="none" w:sz="0" w:space="0" w:color="auto"/>
                  </w:divBdr>
                </w:div>
              </w:divsChild>
            </w:div>
            <w:div w:id="1583022316">
              <w:marLeft w:val="0"/>
              <w:marRight w:val="0"/>
              <w:marTop w:val="0"/>
              <w:marBottom w:val="0"/>
              <w:divBdr>
                <w:top w:val="none" w:sz="0" w:space="0" w:color="auto"/>
                <w:left w:val="none" w:sz="0" w:space="0" w:color="auto"/>
                <w:bottom w:val="none" w:sz="0" w:space="0" w:color="auto"/>
                <w:right w:val="none" w:sz="0" w:space="0" w:color="auto"/>
              </w:divBdr>
              <w:divsChild>
                <w:div w:id="1654334549">
                  <w:marLeft w:val="0"/>
                  <w:marRight w:val="0"/>
                  <w:marTop w:val="0"/>
                  <w:marBottom w:val="0"/>
                  <w:divBdr>
                    <w:top w:val="none" w:sz="0" w:space="0" w:color="auto"/>
                    <w:left w:val="none" w:sz="0" w:space="0" w:color="auto"/>
                    <w:bottom w:val="none" w:sz="0" w:space="0" w:color="auto"/>
                    <w:right w:val="none" w:sz="0" w:space="0" w:color="auto"/>
                  </w:divBdr>
                </w:div>
              </w:divsChild>
            </w:div>
            <w:div w:id="1390959982">
              <w:marLeft w:val="0"/>
              <w:marRight w:val="0"/>
              <w:marTop w:val="0"/>
              <w:marBottom w:val="0"/>
              <w:divBdr>
                <w:top w:val="none" w:sz="0" w:space="0" w:color="auto"/>
                <w:left w:val="none" w:sz="0" w:space="0" w:color="auto"/>
                <w:bottom w:val="none" w:sz="0" w:space="0" w:color="auto"/>
                <w:right w:val="none" w:sz="0" w:space="0" w:color="auto"/>
              </w:divBdr>
              <w:divsChild>
                <w:div w:id="1720931956">
                  <w:marLeft w:val="0"/>
                  <w:marRight w:val="0"/>
                  <w:marTop w:val="0"/>
                  <w:marBottom w:val="0"/>
                  <w:divBdr>
                    <w:top w:val="none" w:sz="0" w:space="0" w:color="auto"/>
                    <w:left w:val="none" w:sz="0" w:space="0" w:color="auto"/>
                    <w:bottom w:val="none" w:sz="0" w:space="0" w:color="auto"/>
                    <w:right w:val="none" w:sz="0" w:space="0" w:color="auto"/>
                  </w:divBdr>
                </w:div>
              </w:divsChild>
            </w:div>
            <w:div w:id="1942949938">
              <w:marLeft w:val="0"/>
              <w:marRight w:val="0"/>
              <w:marTop w:val="0"/>
              <w:marBottom w:val="0"/>
              <w:divBdr>
                <w:top w:val="none" w:sz="0" w:space="0" w:color="auto"/>
                <w:left w:val="none" w:sz="0" w:space="0" w:color="auto"/>
                <w:bottom w:val="none" w:sz="0" w:space="0" w:color="auto"/>
                <w:right w:val="none" w:sz="0" w:space="0" w:color="auto"/>
              </w:divBdr>
              <w:divsChild>
                <w:div w:id="1933394084">
                  <w:marLeft w:val="0"/>
                  <w:marRight w:val="0"/>
                  <w:marTop w:val="0"/>
                  <w:marBottom w:val="0"/>
                  <w:divBdr>
                    <w:top w:val="none" w:sz="0" w:space="0" w:color="auto"/>
                    <w:left w:val="none" w:sz="0" w:space="0" w:color="auto"/>
                    <w:bottom w:val="none" w:sz="0" w:space="0" w:color="auto"/>
                    <w:right w:val="none" w:sz="0" w:space="0" w:color="auto"/>
                  </w:divBdr>
                </w:div>
              </w:divsChild>
            </w:div>
            <w:div w:id="856162645">
              <w:marLeft w:val="0"/>
              <w:marRight w:val="0"/>
              <w:marTop w:val="0"/>
              <w:marBottom w:val="0"/>
              <w:divBdr>
                <w:top w:val="none" w:sz="0" w:space="0" w:color="auto"/>
                <w:left w:val="none" w:sz="0" w:space="0" w:color="auto"/>
                <w:bottom w:val="none" w:sz="0" w:space="0" w:color="auto"/>
                <w:right w:val="none" w:sz="0" w:space="0" w:color="auto"/>
              </w:divBdr>
              <w:divsChild>
                <w:div w:id="1830094593">
                  <w:marLeft w:val="0"/>
                  <w:marRight w:val="0"/>
                  <w:marTop w:val="0"/>
                  <w:marBottom w:val="0"/>
                  <w:divBdr>
                    <w:top w:val="none" w:sz="0" w:space="0" w:color="auto"/>
                    <w:left w:val="none" w:sz="0" w:space="0" w:color="auto"/>
                    <w:bottom w:val="none" w:sz="0" w:space="0" w:color="auto"/>
                    <w:right w:val="none" w:sz="0" w:space="0" w:color="auto"/>
                  </w:divBdr>
                </w:div>
              </w:divsChild>
            </w:div>
            <w:div w:id="129516139">
              <w:marLeft w:val="0"/>
              <w:marRight w:val="0"/>
              <w:marTop w:val="0"/>
              <w:marBottom w:val="0"/>
              <w:divBdr>
                <w:top w:val="none" w:sz="0" w:space="0" w:color="auto"/>
                <w:left w:val="none" w:sz="0" w:space="0" w:color="auto"/>
                <w:bottom w:val="none" w:sz="0" w:space="0" w:color="auto"/>
                <w:right w:val="none" w:sz="0" w:space="0" w:color="auto"/>
              </w:divBdr>
              <w:divsChild>
                <w:div w:id="330717310">
                  <w:marLeft w:val="0"/>
                  <w:marRight w:val="0"/>
                  <w:marTop w:val="0"/>
                  <w:marBottom w:val="0"/>
                  <w:divBdr>
                    <w:top w:val="none" w:sz="0" w:space="0" w:color="auto"/>
                    <w:left w:val="none" w:sz="0" w:space="0" w:color="auto"/>
                    <w:bottom w:val="none" w:sz="0" w:space="0" w:color="auto"/>
                    <w:right w:val="none" w:sz="0" w:space="0" w:color="auto"/>
                  </w:divBdr>
                </w:div>
              </w:divsChild>
            </w:div>
            <w:div w:id="2067726670">
              <w:marLeft w:val="0"/>
              <w:marRight w:val="0"/>
              <w:marTop w:val="0"/>
              <w:marBottom w:val="0"/>
              <w:divBdr>
                <w:top w:val="none" w:sz="0" w:space="0" w:color="auto"/>
                <w:left w:val="none" w:sz="0" w:space="0" w:color="auto"/>
                <w:bottom w:val="none" w:sz="0" w:space="0" w:color="auto"/>
                <w:right w:val="none" w:sz="0" w:space="0" w:color="auto"/>
              </w:divBdr>
              <w:divsChild>
                <w:div w:id="732194389">
                  <w:marLeft w:val="0"/>
                  <w:marRight w:val="0"/>
                  <w:marTop w:val="0"/>
                  <w:marBottom w:val="0"/>
                  <w:divBdr>
                    <w:top w:val="none" w:sz="0" w:space="0" w:color="auto"/>
                    <w:left w:val="none" w:sz="0" w:space="0" w:color="auto"/>
                    <w:bottom w:val="none" w:sz="0" w:space="0" w:color="auto"/>
                    <w:right w:val="none" w:sz="0" w:space="0" w:color="auto"/>
                  </w:divBdr>
                </w:div>
              </w:divsChild>
            </w:div>
            <w:div w:id="1532457555">
              <w:marLeft w:val="0"/>
              <w:marRight w:val="0"/>
              <w:marTop w:val="0"/>
              <w:marBottom w:val="0"/>
              <w:divBdr>
                <w:top w:val="none" w:sz="0" w:space="0" w:color="auto"/>
                <w:left w:val="none" w:sz="0" w:space="0" w:color="auto"/>
                <w:bottom w:val="none" w:sz="0" w:space="0" w:color="auto"/>
                <w:right w:val="none" w:sz="0" w:space="0" w:color="auto"/>
              </w:divBdr>
              <w:divsChild>
                <w:div w:id="156658634">
                  <w:marLeft w:val="0"/>
                  <w:marRight w:val="0"/>
                  <w:marTop w:val="0"/>
                  <w:marBottom w:val="0"/>
                  <w:divBdr>
                    <w:top w:val="none" w:sz="0" w:space="0" w:color="auto"/>
                    <w:left w:val="none" w:sz="0" w:space="0" w:color="auto"/>
                    <w:bottom w:val="none" w:sz="0" w:space="0" w:color="auto"/>
                    <w:right w:val="none" w:sz="0" w:space="0" w:color="auto"/>
                  </w:divBdr>
                </w:div>
              </w:divsChild>
            </w:div>
            <w:div w:id="1927878383">
              <w:marLeft w:val="0"/>
              <w:marRight w:val="0"/>
              <w:marTop w:val="0"/>
              <w:marBottom w:val="0"/>
              <w:divBdr>
                <w:top w:val="none" w:sz="0" w:space="0" w:color="auto"/>
                <w:left w:val="none" w:sz="0" w:space="0" w:color="auto"/>
                <w:bottom w:val="none" w:sz="0" w:space="0" w:color="auto"/>
                <w:right w:val="none" w:sz="0" w:space="0" w:color="auto"/>
              </w:divBdr>
              <w:divsChild>
                <w:div w:id="41370161">
                  <w:marLeft w:val="0"/>
                  <w:marRight w:val="0"/>
                  <w:marTop w:val="0"/>
                  <w:marBottom w:val="0"/>
                  <w:divBdr>
                    <w:top w:val="none" w:sz="0" w:space="0" w:color="auto"/>
                    <w:left w:val="none" w:sz="0" w:space="0" w:color="auto"/>
                    <w:bottom w:val="none" w:sz="0" w:space="0" w:color="auto"/>
                    <w:right w:val="none" w:sz="0" w:space="0" w:color="auto"/>
                  </w:divBdr>
                </w:div>
              </w:divsChild>
            </w:div>
            <w:div w:id="984507732">
              <w:marLeft w:val="0"/>
              <w:marRight w:val="0"/>
              <w:marTop w:val="0"/>
              <w:marBottom w:val="0"/>
              <w:divBdr>
                <w:top w:val="none" w:sz="0" w:space="0" w:color="auto"/>
                <w:left w:val="none" w:sz="0" w:space="0" w:color="auto"/>
                <w:bottom w:val="none" w:sz="0" w:space="0" w:color="auto"/>
                <w:right w:val="none" w:sz="0" w:space="0" w:color="auto"/>
              </w:divBdr>
              <w:divsChild>
                <w:div w:id="1804276532">
                  <w:marLeft w:val="0"/>
                  <w:marRight w:val="0"/>
                  <w:marTop w:val="0"/>
                  <w:marBottom w:val="0"/>
                  <w:divBdr>
                    <w:top w:val="none" w:sz="0" w:space="0" w:color="auto"/>
                    <w:left w:val="none" w:sz="0" w:space="0" w:color="auto"/>
                    <w:bottom w:val="none" w:sz="0" w:space="0" w:color="auto"/>
                    <w:right w:val="none" w:sz="0" w:space="0" w:color="auto"/>
                  </w:divBdr>
                </w:div>
              </w:divsChild>
            </w:div>
            <w:div w:id="800344464">
              <w:marLeft w:val="0"/>
              <w:marRight w:val="0"/>
              <w:marTop w:val="0"/>
              <w:marBottom w:val="0"/>
              <w:divBdr>
                <w:top w:val="none" w:sz="0" w:space="0" w:color="auto"/>
                <w:left w:val="none" w:sz="0" w:space="0" w:color="auto"/>
                <w:bottom w:val="none" w:sz="0" w:space="0" w:color="auto"/>
                <w:right w:val="none" w:sz="0" w:space="0" w:color="auto"/>
              </w:divBdr>
              <w:divsChild>
                <w:div w:id="1958245989">
                  <w:marLeft w:val="0"/>
                  <w:marRight w:val="0"/>
                  <w:marTop w:val="0"/>
                  <w:marBottom w:val="0"/>
                  <w:divBdr>
                    <w:top w:val="none" w:sz="0" w:space="0" w:color="auto"/>
                    <w:left w:val="none" w:sz="0" w:space="0" w:color="auto"/>
                    <w:bottom w:val="none" w:sz="0" w:space="0" w:color="auto"/>
                    <w:right w:val="none" w:sz="0" w:space="0" w:color="auto"/>
                  </w:divBdr>
                </w:div>
              </w:divsChild>
            </w:div>
            <w:div w:id="1546723244">
              <w:marLeft w:val="0"/>
              <w:marRight w:val="0"/>
              <w:marTop w:val="0"/>
              <w:marBottom w:val="0"/>
              <w:divBdr>
                <w:top w:val="none" w:sz="0" w:space="0" w:color="auto"/>
                <w:left w:val="none" w:sz="0" w:space="0" w:color="auto"/>
                <w:bottom w:val="none" w:sz="0" w:space="0" w:color="auto"/>
                <w:right w:val="none" w:sz="0" w:space="0" w:color="auto"/>
              </w:divBdr>
              <w:divsChild>
                <w:div w:id="823426810">
                  <w:marLeft w:val="0"/>
                  <w:marRight w:val="0"/>
                  <w:marTop w:val="0"/>
                  <w:marBottom w:val="0"/>
                  <w:divBdr>
                    <w:top w:val="none" w:sz="0" w:space="0" w:color="auto"/>
                    <w:left w:val="none" w:sz="0" w:space="0" w:color="auto"/>
                    <w:bottom w:val="none" w:sz="0" w:space="0" w:color="auto"/>
                    <w:right w:val="none" w:sz="0" w:space="0" w:color="auto"/>
                  </w:divBdr>
                </w:div>
              </w:divsChild>
            </w:div>
            <w:div w:id="780221254">
              <w:marLeft w:val="0"/>
              <w:marRight w:val="0"/>
              <w:marTop w:val="0"/>
              <w:marBottom w:val="0"/>
              <w:divBdr>
                <w:top w:val="none" w:sz="0" w:space="0" w:color="auto"/>
                <w:left w:val="none" w:sz="0" w:space="0" w:color="auto"/>
                <w:bottom w:val="none" w:sz="0" w:space="0" w:color="auto"/>
                <w:right w:val="none" w:sz="0" w:space="0" w:color="auto"/>
              </w:divBdr>
              <w:divsChild>
                <w:div w:id="288630955">
                  <w:marLeft w:val="0"/>
                  <w:marRight w:val="0"/>
                  <w:marTop w:val="0"/>
                  <w:marBottom w:val="0"/>
                  <w:divBdr>
                    <w:top w:val="none" w:sz="0" w:space="0" w:color="auto"/>
                    <w:left w:val="none" w:sz="0" w:space="0" w:color="auto"/>
                    <w:bottom w:val="none" w:sz="0" w:space="0" w:color="auto"/>
                    <w:right w:val="none" w:sz="0" w:space="0" w:color="auto"/>
                  </w:divBdr>
                </w:div>
              </w:divsChild>
            </w:div>
            <w:div w:id="1246188747">
              <w:marLeft w:val="0"/>
              <w:marRight w:val="0"/>
              <w:marTop w:val="0"/>
              <w:marBottom w:val="0"/>
              <w:divBdr>
                <w:top w:val="none" w:sz="0" w:space="0" w:color="auto"/>
                <w:left w:val="none" w:sz="0" w:space="0" w:color="auto"/>
                <w:bottom w:val="none" w:sz="0" w:space="0" w:color="auto"/>
                <w:right w:val="none" w:sz="0" w:space="0" w:color="auto"/>
              </w:divBdr>
              <w:divsChild>
                <w:div w:id="1962805000">
                  <w:marLeft w:val="0"/>
                  <w:marRight w:val="0"/>
                  <w:marTop w:val="0"/>
                  <w:marBottom w:val="0"/>
                  <w:divBdr>
                    <w:top w:val="none" w:sz="0" w:space="0" w:color="auto"/>
                    <w:left w:val="none" w:sz="0" w:space="0" w:color="auto"/>
                    <w:bottom w:val="none" w:sz="0" w:space="0" w:color="auto"/>
                    <w:right w:val="none" w:sz="0" w:space="0" w:color="auto"/>
                  </w:divBdr>
                </w:div>
              </w:divsChild>
            </w:div>
            <w:div w:id="1455948529">
              <w:marLeft w:val="0"/>
              <w:marRight w:val="0"/>
              <w:marTop w:val="0"/>
              <w:marBottom w:val="0"/>
              <w:divBdr>
                <w:top w:val="none" w:sz="0" w:space="0" w:color="auto"/>
                <w:left w:val="none" w:sz="0" w:space="0" w:color="auto"/>
                <w:bottom w:val="none" w:sz="0" w:space="0" w:color="auto"/>
                <w:right w:val="none" w:sz="0" w:space="0" w:color="auto"/>
              </w:divBdr>
              <w:divsChild>
                <w:div w:id="545341400">
                  <w:marLeft w:val="0"/>
                  <w:marRight w:val="0"/>
                  <w:marTop w:val="0"/>
                  <w:marBottom w:val="0"/>
                  <w:divBdr>
                    <w:top w:val="none" w:sz="0" w:space="0" w:color="auto"/>
                    <w:left w:val="none" w:sz="0" w:space="0" w:color="auto"/>
                    <w:bottom w:val="none" w:sz="0" w:space="0" w:color="auto"/>
                    <w:right w:val="none" w:sz="0" w:space="0" w:color="auto"/>
                  </w:divBdr>
                </w:div>
              </w:divsChild>
            </w:div>
            <w:div w:id="1436906926">
              <w:marLeft w:val="0"/>
              <w:marRight w:val="0"/>
              <w:marTop w:val="0"/>
              <w:marBottom w:val="0"/>
              <w:divBdr>
                <w:top w:val="none" w:sz="0" w:space="0" w:color="auto"/>
                <w:left w:val="none" w:sz="0" w:space="0" w:color="auto"/>
                <w:bottom w:val="none" w:sz="0" w:space="0" w:color="auto"/>
                <w:right w:val="none" w:sz="0" w:space="0" w:color="auto"/>
              </w:divBdr>
              <w:divsChild>
                <w:div w:id="1526793312">
                  <w:marLeft w:val="0"/>
                  <w:marRight w:val="0"/>
                  <w:marTop w:val="0"/>
                  <w:marBottom w:val="0"/>
                  <w:divBdr>
                    <w:top w:val="none" w:sz="0" w:space="0" w:color="auto"/>
                    <w:left w:val="none" w:sz="0" w:space="0" w:color="auto"/>
                    <w:bottom w:val="none" w:sz="0" w:space="0" w:color="auto"/>
                    <w:right w:val="none" w:sz="0" w:space="0" w:color="auto"/>
                  </w:divBdr>
                </w:div>
              </w:divsChild>
            </w:div>
            <w:div w:id="1276982332">
              <w:marLeft w:val="0"/>
              <w:marRight w:val="0"/>
              <w:marTop w:val="0"/>
              <w:marBottom w:val="0"/>
              <w:divBdr>
                <w:top w:val="none" w:sz="0" w:space="0" w:color="auto"/>
                <w:left w:val="none" w:sz="0" w:space="0" w:color="auto"/>
                <w:bottom w:val="none" w:sz="0" w:space="0" w:color="auto"/>
                <w:right w:val="none" w:sz="0" w:space="0" w:color="auto"/>
              </w:divBdr>
              <w:divsChild>
                <w:div w:id="1165240949">
                  <w:marLeft w:val="0"/>
                  <w:marRight w:val="0"/>
                  <w:marTop w:val="0"/>
                  <w:marBottom w:val="0"/>
                  <w:divBdr>
                    <w:top w:val="none" w:sz="0" w:space="0" w:color="auto"/>
                    <w:left w:val="none" w:sz="0" w:space="0" w:color="auto"/>
                    <w:bottom w:val="none" w:sz="0" w:space="0" w:color="auto"/>
                    <w:right w:val="none" w:sz="0" w:space="0" w:color="auto"/>
                  </w:divBdr>
                </w:div>
              </w:divsChild>
            </w:div>
            <w:div w:id="1288512602">
              <w:marLeft w:val="0"/>
              <w:marRight w:val="0"/>
              <w:marTop w:val="0"/>
              <w:marBottom w:val="0"/>
              <w:divBdr>
                <w:top w:val="none" w:sz="0" w:space="0" w:color="auto"/>
                <w:left w:val="none" w:sz="0" w:space="0" w:color="auto"/>
                <w:bottom w:val="none" w:sz="0" w:space="0" w:color="auto"/>
                <w:right w:val="none" w:sz="0" w:space="0" w:color="auto"/>
              </w:divBdr>
              <w:divsChild>
                <w:div w:id="1770543319">
                  <w:marLeft w:val="0"/>
                  <w:marRight w:val="0"/>
                  <w:marTop w:val="0"/>
                  <w:marBottom w:val="0"/>
                  <w:divBdr>
                    <w:top w:val="none" w:sz="0" w:space="0" w:color="auto"/>
                    <w:left w:val="none" w:sz="0" w:space="0" w:color="auto"/>
                    <w:bottom w:val="none" w:sz="0" w:space="0" w:color="auto"/>
                    <w:right w:val="none" w:sz="0" w:space="0" w:color="auto"/>
                  </w:divBdr>
                </w:div>
              </w:divsChild>
            </w:div>
            <w:div w:id="953370553">
              <w:marLeft w:val="0"/>
              <w:marRight w:val="0"/>
              <w:marTop w:val="0"/>
              <w:marBottom w:val="0"/>
              <w:divBdr>
                <w:top w:val="none" w:sz="0" w:space="0" w:color="auto"/>
                <w:left w:val="none" w:sz="0" w:space="0" w:color="auto"/>
                <w:bottom w:val="none" w:sz="0" w:space="0" w:color="auto"/>
                <w:right w:val="none" w:sz="0" w:space="0" w:color="auto"/>
              </w:divBdr>
              <w:divsChild>
                <w:div w:id="873613739">
                  <w:marLeft w:val="0"/>
                  <w:marRight w:val="0"/>
                  <w:marTop w:val="0"/>
                  <w:marBottom w:val="0"/>
                  <w:divBdr>
                    <w:top w:val="none" w:sz="0" w:space="0" w:color="auto"/>
                    <w:left w:val="none" w:sz="0" w:space="0" w:color="auto"/>
                    <w:bottom w:val="none" w:sz="0" w:space="0" w:color="auto"/>
                    <w:right w:val="none" w:sz="0" w:space="0" w:color="auto"/>
                  </w:divBdr>
                </w:div>
              </w:divsChild>
            </w:div>
            <w:div w:id="794911941">
              <w:marLeft w:val="0"/>
              <w:marRight w:val="0"/>
              <w:marTop w:val="0"/>
              <w:marBottom w:val="0"/>
              <w:divBdr>
                <w:top w:val="none" w:sz="0" w:space="0" w:color="auto"/>
                <w:left w:val="none" w:sz="0" w:space="0" w:color="auto"/>
                <w:bottom w:val="none" w:sz="0" w:space="0" w:color="auto"/>
                <w:right w:val="none" w:sz="0" w:space="0" w:color="auto"/>
              </w:divBdr>
              <w:divsChild>
                <w:div w:id="463079202">
                  <w:marLeft w:val="0"/>
                  <w:marRight w:val="0"/>
                  <w:marTop w:val="0"/>
                  <w:marBottom w:val="0"/>
                  <w:divBdr>
                    <w:top w:val="none" w:sz="0" w:space="0" w:color="auto"/>
                    <w:left w:val="none" w:sz="0" w:space="0" w:color="auto"/>
                    <w:bottom w:val="none" w:sz="0" w:space="0" w:color="auto"/>
                    <w:right w:val="none" w:sz="0" w:space="0" w:color="auto"/>
                  </w:divBdr>
                </w:div>
              </w:divsChild>
            </w:div>
            <w:div w:id="2043163091">
              <w:marLeft w:val="0"/>
              <w:marRight w:val="0"/>
              <w:marTop w:val="0"/>
              <w:marBottom w:val="0"/>
              <w:divBdr>
                <w:top w:val="none" w:sz="0" w:space="0" w:color="auto"/>
                <w:left w:val="none" w:sz="0" w:space="0" w:color="auto"/>
                <w:bottom w:val="none" w:sz="0" w:space="0" w:color="auto"/>
                <w:right w:val="none" w:sz="0" w:space="0" w:color="auto"/>
              </w:divBdr>
              <w:divsChild>
                <w:div w:id="46884270">
                  <w:marLeft w:val="0"/>
                  <w:marRight w:val="0"/>
                  <w:marTop w:val="0"/>
                  <w:marBottom w:val="0"/>
                  <w:divBdr>
                    <w:top w:val="none" w:sz="0" w:space="0" w:color="auto"/>
                    <w:left w:val="none" w:sz="0" w:space="0" w:color="auto"/>
                    <w:bottom w:val="none" w:sz="0" w:space="0" w:color="auto"/>
                    <w:right w:val="none" w:sz="0" w:space="0" w:color="auto"/>
                  </w:divBdr>
                </w:div>
              </w:divsChild>
            </w:div>
            <w:div w:id="1300959250">
              <w:marLeft w:val="0"/>
              <w:marRight w:val="0"/>
              <w:marTop w:val="0"/>
              <w:marBottom w:val="0"/>
              <w:divBdr>
                <w:top w:val="none" w:sz="0" w:space="0" w:color="auto"/>
                <w:left w:val="none" w:sz="0" w:space="0" w:color="auto"/>
                <w:bottom w:val="none" w:sz="0" w:space="0" w:color="auto"/>
                <w:right w:val="none" w:sz="0" w:space="0" w:color="auto"/>
              </w:divBdr>
              <w:divsChild>
                <w:div w:id="238366392">
                  <w:marLeft w:val="0"/>
                  <w:marRight w:val="0"/>
                  <w:marTop w:val="0"/>
                  <w:marBottom w:val="0"/>
                  <w:divBdr>
                    <w:top w:val="none" w:sz="0" w:space="0" w:color="auto"/>
                    <w:left w:val="none" w:sz="0" w:space="0" w:color="auto"/>
                    <w:bottom w:val="none" w:sz="0" w:space="0" w:color="auto"/>
                    <w:right w:val="none" w:sz="0" w:space="0" w:color="auto"/>
                  </w:divBdr>
                </w:div>
              </w:divsChild>
            </w:div>
            <w:div w:id="1355495910">
              <w:marLeft w:val="0"/>
              <w:marRight w:val="0"/>
              <w:marTop w:val="0"/>
              <w:marBottom w:val="0"/>
              <w:divBdr>
                <w:top w:val="none" w:sz="0" w:space="0" w:color="auto"/>
                <w:left w:val="none" w:sz="0" w:space="0" w:color="auto"/>
                <w:bottom w:val="none" w:sz="0" w:space="0" w:color="auto"/>
                <w:right w:val="none" w:sz="0" w:space="0" w:color="auto"/>
              </w:divBdr>
              <w:divsChild>
                <w:div w:id="322589464">
                  <w:marLeft w:val="0"/>
                  <w:marRight w:val="0"/>
                  <w:marTop w:val="0"/>
                  <w:marBottom w:val="0"/>
                  <w:divBdr>
                    <w:top w:val="none" w:sz="0" w:space="0" w:color="auto"/>
                    <w:left w:val="none" w:sz="0" w:space="0" w:color="auto"/>
                    <w:bottom w:val="none" w:sz="0" w:space="0" w:color="auto"/>
                    <w:right w:val="none" w:sz="0" w:space="0" w:color="auto"/>
                  </w:divBdr>
                </w:div>
              </w:divsChild>
            </w:div>
            <w:div w:id="348458968">
              <w:marLeft w:val="0"/>
              <w:marRight w:val="0"/>
              <w:marTop w:val="0"/>
              <w:marBottom w:val="0"/>
              <w:divBdr>
                <w:top w:val="none" w:sz="0" w:space="0" w:color="auto"/>
                <w:left w:val="none" w:sz="0" w:space="0" w:color="auto"/>
                <w:bottom w:val="none" w:sz="0" w:space="0" w:color="auto"/>
                <w:right w:val="none" w:sz="0" w:space="0" w:color="auto"/>
              </w:divBdr>
              <w:divsChild>
                <w:div w:id="863902412">
                  <w:marLeft w:val="0"/>
                  <w:marRight w:val="0"/>
                  <w:marTop w:val="0"/>
                  <w:marBottom w:val="0"/>
                  <w:divBdr>
                    <w:top w:val="none" w:sz="0" w:space="0" w:color="auto"/>
                    <w:left w:val="none" w:sz="0" w:space="0" w:color="auto"/>
                    <w:bottom w:val="none" w:sz="0" w:space="0" w:color="auto"/>
                    <w:right w:val="none" w:sz="0" w:space="0" w:color="auto"/>
                  </w:divBdr>
                </w:div>
              </w:divsChild>
            </w:div>
            <w:div w:id="1898083781">
              <w:marLeft w:val="0"/>
              <w:marRight w:val="0"/>
              <w:marTop w:val="0"/>
              <w:marBottom w:val="0"/>
              <w:divBdr>
                <w:top w:val="none" w:sz="0" w:space="0" w:color="auto"/>
                <w:left w:val="none" w:sz="0" w:space="0" w:color="auto"/>
                <w:bottom w:val="none" w:sz="0" w:space="0" w:color="auto"/>
                <w:right w:val="none" w:sz="0" w:space="0" w:color="auto"/>
              </w:divBdr>
              <w:divsChild>
                <w:div w:id="1541086493">
                  <w:marLeft w:val="0"/>
                  <w:marRight w:val="0"/>
                  <w:marTop w:val="0"/>
                  <w:marBottom w:val="0"/>
                  <w:divBdr>
                    <w:top w:val="none" w:sz="0" w:space="0" w:color="auto"/>
                    <w:left w:val="none" w:sz="0" w:space="0" w:color="auto"/>
                    <w:bottom w:val="none" w:sz="0" w:space="0" w:color="auto"/>
                    <w:right w:val="none" w:sz="0" w:space="0" w:color="auto"/>
                  </w:divBdr>
                </w:div>
              </w:divsChild>
            </w:div>
            <w:div w:id="1570725881">
              <w:marLeft w:val="0"/>
              <w:marRight w:val="0"/>
              <w:marTop w:val="0"/>
              <w:marBottom w:val="0"/>
              <w:divBdr>
                <w:top w:val="none" w:sz="0" w:space="0" w:color="auto"/>
                <w:left w:val="none" w:sz="0" w:space="0" w:color="auto"/>
                <w:bottom w:val="none" w:sz="0" w:space="0" w:color="auto"/>
                <w:right w:val="none" w:sz="0" w:space="0" w:color="auto"/>
              </w:divBdr>
              <w:divsChild>
                <w:div w:id="615525822">
                  <w:marLeft w:val="0"/>
                  <w:marRight w:val="0"/>
                  <w:marTop w:val="0"/>
                  <w:marBottom w:val="0"/>
                  <w:divBdr>
                    <w:top w:val="none" w:sz="0" w:space="0" w:color="auto"/>
                    <w:left w:val="none" w:sz="0" w:space="0" w:color="auto"/>
                    <w:bottom w:val="none" w:sz="0" w:space="0" w:color="auto"/>
                    <w:right w:val="none" w:sz="0" w:space="0" w:color="auto"/>
                  </w:divBdr>
                </w:div>
              </w:divsChild>
            </w:div>
            <w:div w:id="940911327">
              <w:marLeft w:val="0"/>
              <w:marRight w:val="0"/>
              <w:marTop w:val="0"/>
              <w:marBottom w:val="0"/>
              <w:divBdr>
                <w:top w:val="none" w:sz="0" w:space="0" w:color="auto"/>
                <w:left w:val="none" w:sz="0" w:space="0" w:color="auto"/>
                <w:bottom w:val="none" w:sz="0" w:space="0" w:color="auto"/>
                <w:right w:val="none" w:sz="0" w:space="0" w:color="auto"/>
              </w:divBdr>
              <w:divsChild>
                <w:div w:id="1833712759">
                  <w:marLeft w:val="0"/>
                  <w:marRight w:val="0"/>
                  <w:marTop w:val="0"/>
                  <w:marBottom w:val="0"/>
                  <w:divBdr>
                    <w:top w:val="none" w:sz="0" w:space="0" w:color="auto"/>
                    <w:left w:val="none" w:sz="0" w:space="0" w:color="auto"/>
                    <w:bottom w:val="none" w:sz="0" w:space="0" w:color="auto"/>
                    <w:right w:val="none" w:sz="0" w:space="0" w:color="auto"/>
                  </w:divBdr>
                </w:div>
              </w:divsChild>
            </w:div>
            <w:div w:id="1368095898">
              <w:marLeft w:val="0"/>
              <w:marRight w:val="0"/>
              <w:marTop w:val="0"/>
              <w:marBottom w:val="0"/>
              <w:divBdr>
                <w:top w:val="none" w:sz="0" w:space="0" w:color="auto"/>
                <w:left w:val="none" w:sz="0" w:space="0" w:color="auto"/>
                <w:bottom w:val="none" w:sz="0" w:space="0" w:color="auto"/>
                <w:right w:val="none" w:sz="0" w:space="0" w:color="auto"/>
              </w:divBdr>
              <w:divsChild>
                <w:div w:id="1041249779">
                  <w:marLeft w:val="0"/>
                  <w:marRight w:val="0"/>
                  <w:marTop w:val="0"/>
                  <w:marBottom w:val="0"/>
                  <w:divBdr>
                    <w:top w:val="none" w:sz="0" w:space="0" w:color="auto"/>
                    <w:left w:val="none" w:sz="0" w:space="0" w:color="auto"/>
                    <w:bottom w:val="none" w:sz="0" w:space="0" w:color="auto"/>
                    <w:right w:val="none" w:sz="0" w:space="0" w:color="auto"/>
                  </w:divBdr>
                </w:div>
              </w:divsChild>
            </w:div>
            <w:div w:id="1494682029">
              <w:marLeft w:val="0"/>
              <w:marRight w:val="0"/>
              <w:marTop w:val="0"/>
              <w:marBottom w:val="0"/>
              <w:divBdr>
                <w:top w:val="none" w:sz="0" w:space="0" w:color="auto"/>
                <w:left w:val="none" w:sz="0" w:space="0" w:color="auto"/>
                <w:bottom w:val="none" w:sz="0" w:space="0" w:color="auto"/>
                <w:right w:val="none" w:sz="0" w:space="0" w:color="auto"/>
              </w:divBdr>
              <w:divsChild>
                <w:div w:id="1529102336">
                  <w:marLeft w:val="0"/>
                  <w:marRight w:val="0"/>
                  <w:marTop w:val="0"/>
                  <w:marBottom w:val="0"/>
                  <w:divBdr>
                    <w:top w:val="none" w:sz="0" w:space="0" w:color="auto"/>
                    <w:left w:val="none" w:sz="0" w:space="0" w:color="auto"/>
                    <w:bottom w:val="none" w:sz="0" w:space="0" w:color="auto"/>
                    <w:right w:val="none" w:sz="0" w:space="0" w:color="auto"/>
                  </w:divBdr>
                </w:div>
              </w:divsChild>
            </w:div>
            <w:div w:id="1614627659">
              <w:marLeft w:val="0"/>
              <w:marRight w:val="0"/>
              <w:marTop w:val="0"/>
              <w:marBottom w:val="0"/>
              <w:divBdr>
                <w:top w:val="none" w:sz="0" w:space="0" w:color="auto"/>
                <w:left w:val="none" w:sz="0" w:space="0" w:color="auto"/>
                <w:bottom w:val="none" w:sz="0" w:space="0" w:color="auto"/>
                <w:right w:val="none" w:sz="0" w:space="0" w:color="auto"/>
              </w:divBdr>
              <w:divsChild>
                <w:div w:id="756514283">
                  <w:marLeft w:val="0"/>
                  <w:marRight w:val="0"/>
                  <w:marTop w:val="0"/>
                  <w:marBottom w:val="0"/>
                  <w:divBdr>
                    <w:top w:val="none" w:sz="0" w:space="0" w:color="auto"/>
                    <w:left w:val="none" w:sz="0" w:space="0" w:color="auto"/>
                    <w:bottom w:val="none" w:sz="0" w:space="0" w:color="auto"/>
                    <w:right w:val="none" w:sz="0" w:space="0" w:color="auto"/>
                  </w:divBdr>
                </w:div>
              </w:divsChild>
            </w:div>
            <w:div w:id="494033344">
              <w:marLeft w:val="0"/>
              <w:marRight w:val="0"/>
              <w:marTop w:val="0"/>
              <w:marBottom w:val="0"/>
              <w:divBdr>
                <w:top w:val="none" w:sz="0" w:space="0" w:color="auto"/>
                <w:left w:val="none" w:sz="0" w:space="0" w:color="auto"/>
                <w:bottom w:val="none" w:sz="0" w:space="0" w:color="auto"/>
                <w:right w:val="none" w:sz="0" w:space="0" w:color="auto"/>
              </w:divBdr>
              <w:divsChild>
                <w:div w:id="702553701">
                  <w:marLeft w:val="0"/>
                  <w:marRight w:val="0"/>
                  <w:marTop w:val="0"/>
                  <w:marBottom w:val="0"/>
                  <w:divBdr>
                    <w:top w:val="none" w:sz="0" w:space="0" w:color="auto"/>
                    <w:left w:val="none" w:sz="0" w:space="0" w:color="auto"/>
                    <w:bottom w:val="none" w:sz="0" w:space="0" w:color="auto"/>
                    <w:right w:val="none" w:sz="0" w:space="0" w:color="auto"/>
                  </w:divBdr>
                </w:div>
              </w:divsChild>
            </w:div>
            <w:div w:id="1338191418">
              <w:marLeft w:val="0"/>
              <w:marRight w:val="0"/>
              <w:marTop w:val="0"/>
              <w:marBottom w:val="0"/>
              <w:divBdr>
                <w:top w:val="none" w:sz="0" w:space="0" w:color="auto"/>
                <w:left w:val="none" w:sz="0" w:space="0" w:color="auto"/>
                <w:bottom w:val="none" w:sz="0" w:space="0" w:color="auto"/>
                <w:right w:val="none" w:sz="0" w:space="0" w:color="auto"/>
              </w:divBdr>
              <w:divsChild>
                <w:div w:id="1121262165">
                  <w:marLeft w:val="0"/>
                  <w:marRight w:val="0"/>
                  <w:marTop w:val="0"/>
                  <w:marBottom w:val="0"/>
                  <w:divBdr>
                    <w:top w:val="none" w:sz="0" w:space="0" w:color="auto"/>
                    <w:left w:val="none" w:sz="0" w:space="0" w:color="auto"/>
                    <w:bottom w:val="none" w:sz="0" w:space="0" w:color="auto"/>
                    <w:right w:val="none" w:sz="0" w:space="0" w:color="auto"/>
                  </w:divBdr>
                </w:div>
              </w:divsChild>
            </w:div>
            <w:div w:id="1108233128">
              <w:marLeft w:val="0"/>
              <w:marRight w:val="0"/>
              <w:marTop w:val="0"/>
              <w:marBottom w:val="0"/>
              <w:divBdr>
                <w:top w:val="none" w:sz="0" w:space="0" w:color="auto"/>
                <w:left w:val="none" w:sz="0" w:space="0" w:color="auto"/>
                <w:bottom w:val="none" w:sz="0" w:space="0" w:color="auto"/>
                <w:right w:val="none" w:sz="0" w:space="0" w:color="auto"/>
              </w:divBdr>
              <w:divsChild>
                <w:div w:id="233204398">
                  <w:marLeft w:val="0"/>
                  <w:marRight w:val="0"/>
                  <w:marTop w:val="0"/>
                  <w:marBottom w:val="0"/>
                  <w:divBdr>
                    <w:top w:val="none" w:sz="0" w:space="0" w:color="auto"/>
                    <w:left w:val="none" w:sz="0" w:space="0" w:color="auto"/>
                    <w:bottom w:val="none" w:sz="0" w:space="0" w:color="auto"/>
                    <w:right w:val="none" w:sz="0" w:space="0" w:color="auto"/>
                  </w:divBdr>
                </w:div>
              </w:divsChild>
            </w:div>
            <w:div w:id="902914386">
              <w:marLeft w:val="0"/>
              <w:marRight w:val="0"/>
              <w:marTop w:val="0"/>
              <w:marBottom w:val="0"/>
              <w:divBdr>
                <w:top w:val="none" w:sz="0" w:space="0" w:color="auto"/>
                <w:left w:val="none" w:sz="0" w:space="0" w:color="auto"/>
                <w:bottom w:val="none" w:sz="0" w:space="0" w:color="auto"/>
                <w:right w:val="none" w:sz="0" w:space="0" w:color="auto"/>
              </w:divBdr>
              <w:divsChild>
                <w:div w:id="280383775">
                  <w:marLeft w:val="0"/>
                  <w:marRight w:val="0"/>
                  <w:marTop w:val="0"/>
                  <w:marBottom w:val="0"/>
                  <w:divBdr>
                    <w:top w:val="none" w:sz="0" w:space="0" w:color="auto"/>
                    <w:left w:val="none" w:sz="0" w:space="0" w:color="auto"/>
                    <w:bottom w:val="none" w:sz="0" w:space="0" w:color="auto"/>
                    <w:right w:val="none" w:sz="0" w:space="0" w:color="auto"/>
                  </w:divBdr>
                </w:div>
              </w:divsChild>
            </w:div>
            <w:div w:id="1466973373">
              <w:marLeft w:val="0"/>
              <w:marRight w:val="0"/>
              <w:marTop w:val="0"/>
              <w:marBottom w:val="0"/>
              <w:divBdr>
                <w:top w:val="none" w:sz="0" w:space="0" w:color="auto"/>
                <w:left w:val="none" w:sz="0" w:space="0" w:color="auto"/>
                <w:bottom w:val="none" w:sz="0" w:space="0" w:color="auto"/>
                <w:right w:val="none" w:sz="0" w:space="0" w:color="auto"/>
              </w:divBdr>
              <w:divsChild>
                <w:div w:id="687416765">
                  <w:marLeft w:val="0"/>
                  <w:marRight w:val="0"/>
                  <w:marTop w:val="0"/>
                  <w:marBottom w:val="0"/>
                  <w:divBdr>
                    <w:top w:val="none" w:sz="0" w:space="0" w:color="auto"/>
                    <w:left w:val="none" w:sz="0" w:space="0" w:color="auto"/>
                    <w:bottom w:val="none" w:sz="0" w:space="0" w:color="auto"/>
                    <w:right w:val="none" w:sz="0" w:space="0" w:color="auto"/>
                  </w:divBdr>
                </w:div>
              </w:divsChild>
            </w:div>
            <w:div w:id="1341471075">
              <w:marLeft w:val="0"/>
              <w:marRight w:val="0"/>
              <w:marTop w:val="0"/>
              <w:marBottom w:val="0"/>
              <w:divBdr>
                <w:top w:val="none" w:sz="0" w:space="0" w:color="auto"/>
                <w:left w:val="none" w:sz="0" w:space="0" w:color="auto"/>
                <w:bottom w:val="none" w:sz="0" w:space="0" w:color="auto"/>
                <w:right w:val="none" w:sz="0" w:space="0" w:color="auto"/>
              </w:divBdr>
              <w:divsChild>
                <w:div w:id="6475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9650">
          <w:marLeft w:val="0"/>
          <w:marRight w:val="0"/>
          <w:marTop w:val="0"/>
          <w:marBottom w:val="600"/>
          <w:divBdr>
            <w:top w:val="none" w:sz="0" w:space="0" w:color="auto"/>
            <w:left w:val="none" w:sz="0" w:space="0" w:color="auto"/>
            <w:bottom w:val="none" w:sz="0" w:space="0" w:color="auto"/>
            <w:right w:val="none" w:sz="0" w:space="0" w:color="auto"/>
          </w:divBdr>
        </w:div>
      </w:divsChild>
    </w:div>
    <w:div w:id="89474585">
      <w:marLeft w:val="0"/>
      <w:marRight w:val="0"/>
      <w:marTop w:val="0"/>
      <w:marBottom w:val="0"/>
      <w:divBdr>
        <w:top w:val="none" w:sz="0" w:space="0" w:color="auto"/>
        <w:left w:val="none" w:sz="0" w:space="0" w:color="auto"/>
        <w:bottom w:val="none" w:sz="0" w:space="0" w:color="auto"/>
        <w:right w:val="none" w:sz="0" w:space="0" w:color="auto"/>
      </w:divBdr>
      <w:divsChild>
        <w:div w:id="1225221268">
          <w:marLeft w:val="0"/>
          <w:marRight w:val="0"/>
          <w:marTop w:val="547"/>
          <w:marBottom w:val="0"/>
          <w:divBdr>
            <w:top w:val="none" w:sz="0" w:space="0" w:color="auto"/>
            <w:left w:val="none" w:sz="0" w:space="0" w:color="auto"/>
            <w:bottom w:val="none" w:sz="0" w:space="0" w:color="auto"/>
            <w:right w:val="none" w:sz="0" w:space="0" w:color="auto"/>
          </w:divBdr>
        </w:div>
        <w:div w:id="169148683">
          <w:marLeft w:val="0"/>
          <w:marRight w:val="0"/>
          <w:marTop w:val="0"/>
          <w:marBottom w:val="0"/>
          <w:divBdr>
            <w:top w:val="none" w:sz="0" w:space="0" w:color="auto"/>
            <w:left w:val="none" w:sz="0" w:space="0" w:color="auto"/>
            <w:bottom w:val="none" w:sz="0" w:space="0" w:color="auto"/>
            <w:right w:val="none" w:sz="0" w:space="0" w:color="auto"/>
          </w:divBdr>
          <w:divsChild>
            <w:div w:id="835802355">
              <w:marLeft w:val="720"/>
              <w:marRight w:val="0"/>
              <w:marTop w:val="0"/>
              <w:marBottom w:val="0"/>
              <w:divBdr>
                <w:top w:val="none" w:sz="0" w:space="0" w:color="auto"/>
                <w:left w:val="none" w:sz="0" w:space="0" w:color="auto"/>
                <w:bottom w:val="none" w:sz="0" w:space="0" w:color="auto"/>
                <w:right w:val="none" w:sz="0" w:space="0" w:color="auto"/>
              </w:divBdr>
            </w:div>
            <w:div w:id="203829760">
              <w:marLeft w:val="720"/>
              <w:marRight w:val="0"/>
              <w:marTop w:val="0"/>
              <w:marBottom w:val="0"/>
              <w:divBdr>
                <w:top w:val="none" w:sz="0" w:space="0" w:color="auto"/>
                <w:left w:val="none" w:sz="0" w:space="0" w:color="auto"/>
                <w:bottom w:val="none" w:sz="0" w:space="0" w:color="auto"/>
                <w:right w:val="none" w:sz="0" w:space="0" w:color="auto"/>
              </w:divBdr>
            </w:div>
            <w:div w:id="777407112">
              <w:marLeft w:val="720"/>
              <w:marRight w:val="0"/>
              <w:marTop w:val="0"/>
              <w:marBottom w:val="0"/>
              <w:divBdr>
                <w:top w:val="none" w:sz="0" w:space="0" w:color="auto"/>
                <w:left w:val="none" w:sz="0" w:space="0" w:color="auto"/>
                <w:bottom w:val="none" w:sz="0" w:space="0" w:color="auto"/>
                <w:right w:val="none" w:sz="0" w:space="0" w:color="auto"/>
              </w:divBdr>
            </w:div>
            <w:div w:id="1842157055">
              <w:marLeft w:val="720"/>
              <w:marRight w:val="0"/>
              <w:marTop w:val="0"/>
              <w:marBottom w:val="0"/>
              <w:divBdr>
                <w:top w:val="none" w:sz="0" w:space="0" w:color="auto"/>
                <w:left w:val="none" w:sz="0" w:space="0" w:color="auto"/>
                <w:bottom w:val="none" w:sz="0" w:space="0" w:color="auto"/>
                <w:right w:val="none" w:sz="0" w:space="0" w:color="auto"/>
              </w:divBdr>
            </w:div>
            <w:div w:id="92937971">
              <w:marLeft w:val="0"/>
              <w:marRight w:val="0"/>
              <w:marTop w:val="0"/>
              <w:marBottom w:val="0"/>
              <w:divBdr>
                <w:top w:val="none" w:sz="0" w:space="0" w:color="auto"/>
                <w:left w:val="none" w:sz="0" w:space="0" w:color="auto"/>
                <w:bottom w:val="none" w:sz="0" w:space="0" w:color="auto"/>
                <w:right w:val="none" w:sz="0" w:space="0" w:color="auto"/>
              </w:divBdr>
              <w:divsChild>
                <w:div w:id="1867743144">
                  <w:marLeft w:val="0"/>
                  <w:marRight w:val="0"/>
                  <w:marTop w:val="0"/>
                  <w:marBottom w:val="0"/>
                  <w:divBdr>
                    <w:top w:val="none" w:sz="0" w:space="0" w:color="auto"/>
                    <w:left w:val="none" w:sz="0" w:space="0" w:color="auto"/>
                    <w:bottom w:val="none" w:sz="0" w:space="0" w:color="auto"/>
                    <w:right w:val="none" w:sz="0" w:space="0" w:color="auto"/>
                  </w:divBdr>
                </w:div>
              </w:divsChild>
            </w:div>
            <w:div w:id="1260141414">
              <w:marLeft w:val="0"/>
              <w:marRight w:val="0"/>
              <w:marTop w:val="0"/>
              <w:marBottom w:val="0"/>
              <w:divBdr>
                <w:top w:val="none" w:sz="0" w:space="0" w:color="auto"/>
                <w:left w:val="none" w:sz="0" w:space="0" w:color="auto"/>
                <w:bottom w:val="none" w:sz="0" w:space="0" w:color="auto"/>
                <w:right w:val="none" w:sz="0" w:space="0" w:color="auto"/>
              </w:divBdr>
              <w:divsChild>
                <w:div w:id="1950232534">
                  <w:marLeft w:val="0"/>
                  <w:marRight w:val="0"/>
                  <w:marTop w:val="0"/>
                  <w:marBottom w:val="0"/>
                  <w:divBdr>
                    <w:top w:val="none" w:sz="0" w:space="0" w:color="auto"/>
                    <w:left w:val="none" w:sz="0" w:space="0" w:color="auto"/>
                    <w:bottom w:val="none" w:sz="0" w:space="0" w:color="auto"/>
                    <w:right w:val="none" w:sz="0" w:space="0" w:color="auto"/>
                  </w:divBdr>
                </w:div>
              </w:divsChild>
            </w:div>
            <w:div w:id="1104492781">
              <w:marLeft w:val="0"/>
              <w:marRight w:val="0"/>
              <w:marTop w:val="0"/>
              <w:marBottom w:val="0"/>
              <w:divBdr>
                <w:top w:val="none" w:sz="0" w:space="0" w:color="auto"/>
                <w:left w:val="none" w:sz="0" w:space="0" w:color="auto"/>
                <w:bottom w:val="none" w:sz="0" w:space="0" w:color="auto"/>
                <w:right w:val="none" w:sz="0" w:space="0" w:color="auto"/>
              </w:divBdr>
              <w:divsChild>
                <w:div w:id="1414815559">
                  <w:marLeft w:val="0"/>
                  <w:marRight w:val="0"/>
                  <w:marTop w:val="0"/>
                  <w:marBottom w:val="0"/>
                  <w:divBdr>
                    <w:top w:val="none" w:sz="0" w:space="0" w:color="auto"/>
                    <w:left w:val="none" w:sz="0" w:space="0" w:color="auto"/>
                    <w:bottom w:val="none" w:sz="0" w:space="0" w:color="auto"/>
                    <w:right w:val="none" w:sz="0" w:space="0" w:color="auto"/>
                  </w:divBdr>
                </w:div>
              </w:divsChild>
            </w:div>
            <w:div w:id="1738094377">
              <w:marLeft w:val="0"/>
              <w:marRight w:val="0"/>
              <w:marTop w:val="0"/>
              <w:marBottom w:val="0"/>
              <w:divBdr>
                <w:top w:val="none" w:sz="0" w:space="0" w:color="auto"/>
                <w:left w:val="none" w:sz="0" w:space="0" w:color="auto"/>
                <w:bottom w:val="none" w:sz="0" w:space="0" w:color="auto"/>
                <w:right w:val="none" w:sz="0" w:space="0" w:color="auto"/>
              </w:divBdr>
              <w:divsChild>
                <w:div w:id="2046365406">
                  <w:marLeft w:val="0"/>
                  <w:marRight w:val="0"/>
                  <w:marTop w:val="0"/>
                  <w:marBottom w:val="0"/>
                  <w:divBdr>
                    <w:top w:val="none" w:sz="0" w:space="0" w:color="auto"/>
                    <w:left w:val="none" w:sz="0" w:space="0" w:color="auto"/>
                    <w:bottom w:val="none" w:sz="0" w:space="0" w:color="auto"/>
                    <w:right w:val="none" w:sz="0" w:space="0" w:color="auto"/>
                  </w:divBdr>
                </w:div>
              </w:divsChild>
            </w:div>
            <w:div w:id="11498964">
              <w:marLeft w:val="0"/>
              <w:marRight w:val="0"/>
              <w:marTop w:val="0"/>
              <w:marBottom w:val="0"/>
              <w:divBdr>
                <w:top w:val="none" w:sz="0" w:space="0" w:color="auto"/>
                <w:left w:val="none" w:sz="0" w:space="0" w:color="auto"/>
                <w:bottom w:val="none" w:sz="0" w:space="0" w:color="auto"/>
                <w:right w:val="none" w:sz="0" w:space="0" w:color="auto"/>
              </w:divBdr>
              <w:divsChild>
                <w:div w:id="936057027">
                  <w:marLeft w:val="0"/>
                  <w:marRight w:val="0"/>
                  <w:marTop w:val="0"/>
                  <w:marBottom w:val="0"/>
                  <w:divBdr>
                    <w:top w:val="none" w:sz="0" w:space="0" w:color="auto"/>
                    <w:left w:val="none" w:sz="0" w:space="0" w:color="auto"/>
                    <w:bottom w:val="none" w:sz="0" w:space="0" w:color="auto"/>
                    <w:right w:val="none" w:sz="0" w:space="0" w:color="auto"/>
                  </w:divBdr>
                </w:div>
              </w:divsChild>
            </w:div>
            <w:div w:id="1471941105">
              <w:marLeft w:val="0"/>
              <w:marRight w:val="0"/>
              <w:marTop w:val="0"/>
              <w:marBottom w:val="0"/>
              <w:divBdr>
                <w:top w:val="none" w:sz="0" w:space="0" w:color="auto"/>
                <w:left w:val="none" w:sz="0" w:space="0" w:color="auto"/>
                <w:bottom w:val="none" w:sz="0" w:space="0" w:color="auto"/>
                <w:right w:val="none" w:sz="0" w:space="0" w:color="auto"/>
              </w:divBdr>
              <w:divsChild>
                <w:div w:id="1628198260">
                  <w:marLeft w:val="0"/>
                  <w:marRight w:val="0"/>
                  <w:marTop w:val="0"/>
                  <w:marBottom w:val="0"/>
                  <w:divBdr>
                    <w:top w:val="none" w:sz="0" w:space="0" w:color="auto"/>
                    <w:left w:val="none" w:sz="0" w:space="0" w:color="auto"/>
                    <w:bottom w:val="none" w:sz="0" w:space="0" w:color="auto"/>
                    <w:right w:val="none" w:sz="0" w:space="0" w:color="auto"/>
                  </w:divBdr>
                </w:div>
              </w:divsChild>
            </w:div>
            <w:div w:id="917667383">
              <w:marLeft w:val="0"/>
              <w:marRight w:val="0"/>
              <w:marTop w:val="0"/>
              <w:marBottom w:val="0"/>
              <w:divBdr>
                <w:top w:val="none" w:sz="0" w:space="0" w:color="auto"/>
                <w:left w:val="none" w:sz="0" w:space="0" w:color="auto"/>
                <w:bottom w:val="none" w:sz="0" w:space="0" w:color="auto"/>
                <w:right w:val="none" w:sz="0" w:space="0" w:color="auto"/>
              </w:divBdr>
              <w:divsChild>
                <w:div w:id="1802651818">
                  <w:marLeft w:val="0"/>
                  <w:marRight w:val="0"/>
                  <w:marTop w:val="0"/>
                  <w:marBottom w:val="0"/>
                  <w:divBdr>
                    <w:top w:val="none" w:sz="0" w:space="0" w:color="auto"/>
                    <w:left w:val="none" w:sz="0" w:space="0" w:color="auto"/>
                    <w:bottom w:val="none" w:sz="0" w:space="0" w:color="auto"/>
                    <w:right w:val="none" w:sz="0" w:space="0" w:color="auto"/>
                  </w:divBdr>
                </w:div>
              </w:divsChild>
            </w:div>
            <w:div w:id="1584726387">
              <w:marLeft w:val="0"/>
              <w:marRight w:val="0"/>
              <w:marTop w:val="0"/>
              <w:marBottom w:val="0"/>
              <w:divBdr>
                <w:top w:val="none" w:sz="0" w:space="0" w:color="auto"/>
                <w:left w:val="none" w:sz="0" w:space="0" w:color="auto"/>
                <w:bottom w:val="none" w:sz="0" w:space="0" w:color="auto"/>
                <w:right w:val="none" w:sz="0" w:space="0" w:color="auto"/>
              </w:divBdr>
              <w:divsChild>
                <w:div w:id="966736586">
                  <w:marLeft w:val="0"/>
                  <w:marRight w:val="0"/>
                  <w:marTop w:val="0"/>
                  <w:marBottom w:val="0"/>
                  <w:divBdr>
                    <w:top w:val="none" w:sz="0" w:space="0" w:color="auto"/>
                    <w:left w:val="none" w:sz="0" w:space="0" w:color="auto"/>
                    <w:bottom w:val="none" w:sz="0" w:space="0" w:color="auto"/>
                    <w:right w:val="none" w:sz="0" w:space="0" w:color="auto"/>
                  </w:divBdr>
                </w:div>
              </w:divsChild>
            </w:div>
            <w:div w:id="841705459">
              <w:marLeft w:val="0"/>
              <w:marRight w:val="0"/>
              <w:marTop w:val="0"/>
              <w:marBottom w:val="0"/>
              <w:divBdr>
                <w:top w:val="none" w:sz="0" w:space="0" w:color="auto"/>
                <w:left w:val="none" w:sz="0" w:space="0" w:color="auto"/>
                <w:bottom w:val="none" w:sz="0" w:space="0" w:color="auto"/>
                <w:right w:val="none" w:sz="0" w:space="0" w:color="auto"/>
              </w:divBdr>
              <w:divsChild>
                <w:div w:id="684941814">
                  <w:marLeft w:val="0"/>
                  <w:marRight w:val="0"/>
                  <w:marTop w:val="0"/>
                  <w:marBottom w:val="0"/>
                  <w:divBdr>
                    <w:top w:val="none" w:sz="0" w:space="0" w:color="auto"/>
                    <w:left w:val="none" w:sz="0" w:space="0" w:color="auto"/>
                    <w:bottom w:val="none" w:sz="0" w:space="0" w:color="auto"/>
                    <w:right w:val="none" w:sz="0" w:space="0" w:color="auto"/>
                  </w:divBdr>
                </w:div>
              </w:divsChild>
            </w:div>
            <w:div w:id="1837110413">
              <w:marLeft w:val="0"/>
              <w:marRight w:val="0"/>
              <w:marTop w:val="0"/>
              <w:marBottom w:val="0"/>
              <w:divBdr>
                <w:top w:val="none" w:sz="0" w:space="0" w:color="auto"/>
                <w:left w:val="none" w:sz="0" w:space="0" w:color="auto"/>
                <w:bottom w:val="none" w:sz="0" w:space="0" w:color="auto"/>
                <w:right w:val="none" w:sz="0" w:space="0" w:color="auto"/>
              </w:divBdr>
              <w:divsChild>
                <w:div w:id="1956131082">
                  <w:marLeft w:val="0"/>
                  <w:marRight w:val="0"/>
                  <w:marTop w:val="0"/>
                  <w:marBottom w:val="0"/>
                  <w:divBdr>
                    <w:top w:val="none" w:sz="0" w:space="0" w:color="auto"/>
                    <w:left w:val="none" w:sz="0" w:space="0" w:color="auto"/>
                    <w:bottom w:val="none" w:sz="0" w:space="0" w:color="auto"/>
                    <w:right w:val="none" w:sz="0" w:space="0" w:color="auto"/>
                  </w:divBdr>
                </w:div>
              </w:divsChild>
            </w:div>
            <w:div w:id="1279334917">
              <w:marLeft w:val="0"/>
              <w:marRight w:val="0"/>
              <w:marTop w:val="0"/>
              <w:marBottom w:val="0"/>
              <w:divBdr>
                <w:top w:val="none" w:sz="0" w:space="0" w:color="auto"/>
                <w:left w:val="none" w:sz="0" w:space="0" w:color="auto"/>
                <w:bottom w:val="none" w:sz="0" w:space="0" w:color="auto"/>
                <w:right w:val="none" w:sz="0" w:space="0" w:color="auto"/>
              </w:divBdr>
              <w:divsChild>
                <w:div w:id="1737781645">
                  <w:marLeft w:val="0"/>
                  <w:marRight w:val="0"/>
                  <w:marTop w:val="0"/>
                  <w:marBottom w:val="0"/>
                  <w:divBdr>
                    <w:top w:val="none" w:sz="0" w:space="0" w:color="auto"/>
                    <w:left w:val="none" w:sz="0" w:space="0" w:color="auto"/>
                    <w:bottom w:val="none" w:sz="0" w:space="0" w:color="auto"/>
                    <w:right w:val="none" w:sz="0" w:space="0" w:color="auto"/>
                  </w:divBdr>
                </w:div>
              </w:divsChild>
            </w:div>
            <w:div w:id="2128891811">
              <w:marLeft w:val="0"/>
              <w:marRight w:val="0"/>
              <w:marTop w:val="0"/>
              <w:marBottom w:val="0"/>
              <w:divBdr>
                <w:top w:val="none" w:sz="0" w:space="0" w:color="auto"/>
                <w:left w:val="none" w:sz="0" w:space="0" w:color="auto"/>
                <w:bottom w:val="none" w:sz="0" w:space="0" w:color="auto"/>
                <w:right w:val="none" w:sz="0" w:space="0" w:color="auto"/>
              </w:divBdr>
              <w:divsChild>
                <w:div w:id="805705302">
                  <w:marLeft w:val="0"/>
                  <w:marRight w:val="0"/>
                  <w:marTop w:val="0"/>
                  <w:marBottom w:val="0"/>
                  <w:divBdr>
                    <w:top w:val="none" w:sz="0" w:space="0" w:color="auto"/>
                    <w:left w:val="none" w:sz="0" w:space="0" w:color="auto"/>
                    <w:bottom w:val="none" w:sz="0" w:space="0" w:color="auto"/>
                    <w:right w:val="none" w:sz="0" w:space="0" w:color="auto"/>
                  </w:divBdr>
                </w:div>
              </w:divsChild>
            </w:div>
            <w:div w:id="1881473077">
              <w:marLeft w:val="0"/>
              <w:marRight w:val="0"/>
              <w:marTop w:val="0"/>
              <w:marBottom w:val="0"/>
              <w:divBdr>
                <w:top w:val="none" w:sz="0" w:space="0" w:color="auto"/>
                <w:left w:val="none" w:sz="0" w:space="0" w:color="auto"/>
                <w:bottom w:val="none" w:sz="0" w:space="0" w:color="auto"/>
                <w:right w:val="none" w:sz="0" w:space="0" w:color="auto"/>
              </w:divBdr>
              <w:divsChild>
                <w:div w:id="931548645">
                  <w:marLeft w:val="0"/>
                  <w:marRight w:val="0"/>
                  <w:marTop w:val="0"/>
                  <w:marBottom w:val="0"/>
                  <w:divBdr>
                    <w:top w:val="none" w:sz="0" w:space="0" w:color="auto"/>
                    <w:left w:val="none" w:sz="0" w:space="0" w:color="auto"/>
                    <w:bottom w:val="none" w:sz="0" w:space="0" w:color="auto"/>
                    <w:right w:val="none" w:sz="0" w:space="0" w:color="auto"/>
                  </w:divBdr>
                </w:div>
              </w:divsChild>
            </w:div>
            <w:div w:id="1824740133">
              <w:marLeft w:val="0"/>
              <w:marRight w:val="0"/>
              <w:marTop w:val="0"/>
              <w:marBottom w:val="0"/>
              <w:divBdr>
                <w:top w:val="none" w:sz="0" w:space="0" w:color="auto"/>
                <w:left w:val="none" w:sz="0" w:space="0" w:color="auto"/>
                <w:bottom w:val="none" w:sz="0" w:space="0" w:color="auto"/>
                <w:right w:val="none" w:sz="0" w:space="0" w:color="auto"/>
              </w:divBdr>
              <w:divsChild>
                <w:div w:id="195586101">
                  <w:marLeft w:val="0"/>
                  <w:marRight w:val="0"/>
                  <w:marTop w:val="0"/>
                  <w:marBottom w:val="0"/>
                  <w:divBdr>
                    <w:top w:val="none" w:sz="0" w:space="0" w:color="auto"/>
                    <w:left w:val="none" w:sz="0" w:space="0" w:color="auto"/>
                    <w:bottom w:val="none" w:sz="0" w:space="0" w:color="auto"/>
                    <w:right w:val="none" w:sz="0" w:space="0" w:color="auto"/>
                  </w:divBdr>
                </w:div>
              </w:divsChild>
            </w:div>
            <w:div w:id="2082871752">
              <w:marLeft w:val="0"/>
              <w:marRight w:val="0"/>
              <w:marTop w:val="0"/>
              <w:marBottom w:val="0"/>
              <w:divBdr>
                <w:top w:val="none" w:sz="0" w:space="0" w:color="auto"/>
                <w:left w:val="none" w:sz="0" w:space="0" w:color="auto"/>
                <w:bottom w:val="none" w:sz="0" w:space="0" w:color="auto"/>
                <w:right w:val="none" w:sz="0" w:space="0" w:color="auto"/>
              </w:divBdr>
              <w:divsChild>
                <w:div w:id="1635286758">
                  <w:marLeft w:val="0"/>
                  <w:marRight w:val="0"/>
                  <w:marTop w:val="0"/>
                  <w:marBottom w:val="0"/>
                  <w:divBdr>
                    <w:top w:val="none" w:sz="0" w:space="0" w:color="auto"/>
                    <w:left w:val="none" w:sz="0" w:space="0" w:color="auto"/>
                    <w:bottom w:val="none" w:sz="0" w:space="0" w:color="auto"/>
                    <w:right w:val="none" w:sz="0" w:space="0" w:color="auto"/>
                  </w:divBdr>
                </w:div>
              </w:divsChild>
            </w:div>
            <w:div w:id="1185635539">
              <w:marLeft w:val="0"/>
              <w:marRight w:val="0"/>
              <w:marTop w:val="0"/>
              <w:marBottom w:val="0"/>
              <w:divBdr>
                <w:top w:val="none" w:sz="0" w:space="0" w:color="auto"/>
                <w:left w:val="none" w:sz="0" w:space="0" w:color="auto"/>
                <w:bottom w:val="none" w:sz="0" w:space="0" w:color="auto"/>
                <w:right w:val="none" w:sz="0" w:space="0" w:color="auto"/>
              </w:divBdr>
              <w:divsChild>
                <w:div w:id="432437605">
                  <w:marLeft w:val="0"/>
                  <w:marRight w:val="0"/>
                  <w:marTop w:val="0"/>
                  <w:marBottom w:val="0"/>
                  <w:divBdr>
                    <w:top w:val="none" w:sz="0" w:space="0" w:color="auto"/>
                    <w:left w:val="none" w:sz="0" w:space="0" w:color="auto"/>
                    <w:bottom w:val="none" w:sz="0" w:space="0" w:color="auto"/>
                    <w:right w:val="none" w:sz="0" w:space="0" w:color="auto"/>
                  </w:divBdr>
                </w:div>
              </w:divsChild>
            </w:div>
            <w:div w:id="1649281649">
              <w:marLeft w:val="0"/>
              <w:marRight w:val="0"/>
              <w:marTop w:val="0"/>
              <w:marBottom w:val="0"/>
              <w:divBdr>
                <w:top w:val="none" w:sz="0" w:space="0" w:color="auto"/>
                <w:left w:val="none" w:sz="0" w:space="0" w:color="auto"/>
                <w:bottom w:val="none" w:sz="0" w:space="0" w:color="auto"/>
                <w:right w:val="none" w:sz="0" w:space="0" w:color="auto"/>
              </w:divBdr>
              <w:divsChild>
                <w:div w:id="946040045">
                  <w:marLeft w:val="0"/>
                  <w:marRight w:val="0"/>
                  <w:marTop w:val="0"/>
                  <w:marBottom w:val="0"/>
                  <w:divBdr>
                    <w:top w:val="none" w:sz="0" w:space="0" w:color="auto"/>
                    <w:left w:val="none" w:sz="0" w:space="0" w:color="auto"/>
                    <w:bottom w:val="none" w:sz="0" w:space="0" w:color="auto"/>
                    <w:right w:val="none" w:sz="0" w:space="0" w:color="auto"/>
                  </w:divBdr>
                </w:div>
              </w:divsChild>
            </w:div>
            <w:div w:id="458887918">
              <w:marLeft w:val="0"/>
              <w:marRight w:val="0"/>
              <w:marTop w:val="0"/>
              <w:marBottom w:val="0"/>
              <w:divBdr>
                <w:top w:val="none" w:sz="0" w:space="0" w:color="auto"/>
                <w:left w:val="none" w:sz="0" w:space="0" w:color="auto"/>
                <w:bottom w:val="none" w:sz="0" w:space="0" w:color="auto"/>
                <w:right w:val="none" w:sz="0" w:space="0" w:color="auto"/>
              </w:divBdr>
              <w:divsChild>
                <w:div w:id="287706711">
                  <w:marLeft w:val="0"/>
                  <w:marRight w:val="0"/>
                  <w:marTop w:val="0"/>
                  <w:marBottom w:val="0"/>
                  <w:divBdr>
                    <w:top w:val="none" w:sz="0" w:space="0" w:color="auto"/>
                    <w:left w:val="none" w:sz="0" w:space="0" w:color="auto"/>
                    <w:bottom w:val="none" w:sz="0" w:space="0" w:color="auto"/>
                    <w:right w:val="none" w:sz="0" w:space="0" w:color="auto"/>
                  </w:divBdr>
                </w:div>
              </w:divsChild>
            </w:div>
            <w:div w:id="192117785">
              <w:marLeft w:val="0"/>
              <w:marRight w:val="0"/>
              <w:marTop w:val="0"/>
              <w:marBottom w:val="0"/>
              <w:divBdr>
                <w:top w:val="none" w:sz="0" w:space="0" w:color="auto"/>
                <w:left w:val="none" w:sz="0" w:space="0" w:color="auto"/>
                <w:bottom w:val="none" w:sz="0" w:space="0" w:color="auto"/>
                <w:right w:val="none" w:sz="0" w:space="0" w:color="auto"/>
              </w:divBdr>
              <w:divsChild>
                <w:div w:id="1093621566">
                  <w:marLeft w:val="0"/>
                  <w:marRight w:val="0"/>
                  <w:marTop w:val="0"/>
                  <w:marBottom w:val="0"/>
                  <w:divBdr>
                    <w:top w:val="none" w:sz="0" w:space="0" w:color="auto"/>
                    <w:left w:val="none" w:sz="0" w:space="0" w:color="auto"/>
                    <w:bottom w:val="none" w:sz="0" w:space="0" w:color="auto"/>
                    <w:right w:val="none" w:sz="0" w:space="0" w:color="auto"/>
                  </w:divBdr>
                </w:div>
              </w:divsChild>
            </w:div>
            <w:div w:id="1722244238">
              <w:marLeft w:val="0"/>
              <w:marRight w:val="0"/>
              <w:marTop w:val="0"/>
              <w:marBottom w:val="0"/>
              <w:divBdr>
                <w:top w:val="none" w:sz="0" w:space="0" w:color="auto"/>
                <w:left w:val="none" w:sz="0" w:space="0" w:color="auto"/>
                <w:bottom w:val="none" w:sz="0" w:space="0" w:color="auto"/>
                <w:right w:val="none" w:sz="0" w:space="0" w:color="auto"/>
              </w:divBdr>
              <w:divsChild>
                <w:div w:id="1774667520">
                  <w:marLeft w:val="0"/>
                  <w:marRight w:val="0"/>
                  <w:marTop w:val="0"/>
                  <w:marBottom w:val="0"/>
                  <w:divBdr>
                    <w:top w:val="none" w:sz="0" w:space="0" w:color="auto"/>
                    <w:left w:val="none" w:sz="0" w:space="0" w:color="auto"/>
                    <w:bottom w:val="none" w:sz="0" w:space="0" w:color="auto"/>
                    <w:right w:val="none" w:sz="0" w:space="0" w:color="auto"/>
                  </w:divBdr>
                </w:div>
              </w:divsChild>
            </w:div>
            <w:div w:id="446320273">
              <w:marLeft w:val="0"/>
              <w:marRight w:val="0"/>
              <w:marTop w:val="0"/>
              <w:marBottom w:val="0"/>
              <w:divBdr>
                <w:top w:val="none" w:sz="0" w:space="0" w:color="auto"/>
                <w:left w:val="none" w:sz="0" w:space="0" w:color="auto"/>
                <w:bottom w:val="none" w:sz="0" w:space="0" w:color="auto"/>
                <w:right w:val="none" w:sz="0" w:space="0" w:color="auto"/>
              </w:divBdr>
              <w:divsChild>
                <w:div w:id="1587811490">
                  <w:marLeft w:val="0"/>
                  <w:marRight w:val="0"/>
                  <w:marTop w:val="0"/>
                  <w:marBottom w:val="0"/>
                  <w:divBdr>
                    <w:top w:val="none" w:sz="0" w:space="0" w:color="auto"/>
                    <w:left w:val="none" w:sz="0" w:space="0" w:color="auto"/>
                    <w:bottom w:val="none" w:sz="0" w:space="0" w:color="auto"/>
                    <w:right w:val="none" w:sz="0" w:space="0" w:color="auto"/>
                  </w:divBdr>
                </w:div>
              </w:divsChild>
            </w:div>
            <w:div w:id="922225433">
              <w:marLeft w:val="0"/>
              <w:marRight w:val="0"/>
              <w:marTop w:val="0"/>
              <w:marBottom w:val="0"/>
              <w:divBdr>
                <w:top w:val="none" w:sz="0" w:space="0" w:color="auto"/>
                <w:left w:val="none" w:sz="0" w:space="0" w:color="auto"/>
                <w:bottom w:val="none" w:sz="0" w:space="0" w:color="auto"/>
                <w:right w:val="none" w:sz="0" w:space="0" w:color="auto"/>
              </w:divBdr>
              <w:divsChild>
                <w:div w:id="728529206">
                  <w:marLeft w:val="0"/>
                  <w:marRight w:val="0"/>
                  <w:marTop w:val="0"/>
                  <w:marBottom w:val="0"/>
                  <w:divBdr>
                    <w:top w:val="none" w:sz="0" w:space="0" w:color="auto"/>
                    <w:left w:val="none" w:sz="0" w:space="0" w:color="auto"/>
                    <w:bottom w:val="none" w:sz="0" w:space="0" w:color="auto"/>
                    <w:right w:val="none" w:sz="0" w:space="0" w:color="auto"/>
                  </w:divBdr>
                </w:div>
              </w:divsChild>
            </w:div>
            <w:div w:id="121507100">
              <w:marLeft w:val="0"/>
              <w:marRight w:val="0"/>
              <w:marTop w:val="0"/>
              <w:marBottom w:val="0"/>
              <w:divBdr>
                <w:top w:val="none" w:sz="0" w:space="0" w:color="auto"/>
                <w:left w:val="none" w:sz="0" w:space="0" w:color="auto"/>
                <w:bottom w:val="none" w:sz="0" w:space="0" w:color="auto"/>
                <w:right w:val="none" w:sz="0" w:space="0" w:color="auto"/>
              </w:divBdr>
              <w:divsChild>
                <w:div w:id="1313410192">
                  <w:marLeft w:val="0"/>
                  <w:marRight w:val="0"/>
                  <w:marTop w:val="0"/>
                  <w:marBottom w:val="0"/>
                  <w:divBdr>
                    <w:top w:val="none" w:sz="0" w:space="0" w:color="auto"/>
                    <w:left w:val="none" w:sz="0" w:space="0" w:color="auto"/>
                    <w:bottom w:val="none" w:sz="0" w:space="0" w:color="auto"/>
                    <w:right w:val="none" w:sz="0" w:space="0" w:color="auto"/>
                  </w:divBdr>
                </w:div>
              </w:divsChild>
            </w:div>
            <w:div w:id="1768232638">
              <w:marLeft w:val="0"/>
              <w:marRight w:val="0"/>
              <w:marTop w:val="0"/>
              <w:marBottom w:val="0"/>
              <w:divBdr>
                <w:top w:val="none" w:sz="0" w:space="0" w:color="auto"/>
                <w:left w:val="none" w:sz="0" w:space="0" w:color="auto"/>
                <w:bottom w:val="none" w:sz="0" w:space="0" w:color="auto"/>
                <w:right w:val="none" w:sz="0" w:space="0" w:color="auto"/>
              </w:divBdr>
              <w:divsChild>
                <w:div w:id="1691376792">
                  <w:marLeft w:val="0"/>
                  <w:marRight w:val="0"/>
                  <w:marTop w:val="0"/>
                  <w:marBottom w:val="0"/>
                  <w:divBdr>
                    <w:top w:val="none" w:sz="0" w:space="0" w:color="auto"/>
                    <w:left w:val="none" w:sz="0" w:space="0" w:color="auto"/>
                    <w:bottom w:val="none" w:sz="0" w:space="0" w:color="auto"/>
                    <w:right w:val="none" w:sz="0" w:space="0" w:color="auto"/>
                  </w:divBdr>
                </w:div>
              </w:divsChild>
            </w:div>
            <w:div w:id="1877615491">
              <w:marLeft w:val="0"/>
              <w:marRight w:val="0"/>
              <w:marTop w:val="0"/>
              <w:marBottom w:val="0"/>
              <w:divBdr>
                <w:top w:val="none" w:sz="0" w:space="0" w:color="auto"/>
                <w:left w:val="none" w:sz="0" w:space="0" w:color="auto"/>
                <w:bottom w:val="none" w:sz="0" w:space="0" w:color="auto"/>
                <w:right w:val="none" w:sz="0" w:space="0" w:color="auto"/>
              </w:divBdr>
              <w:divsChild>
                <w:div w:id="20238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286">
          <w:marLeft w:val="0"/>
          <w:marRight w:val="0"/>
          <w:marTop w:val="0"/>
          <w:marBottom w:val="600"/>
          <w:divBdr>
            <w:top w:val="none" w:sz="0" w:space="0" w:color="auto"/>
            <w:left w:val="none" w:sz="0" w:space="0" w:color="auto"/>
            <w:bottom w:val="none" w:sz="0" w:space="0" w:color="auto"/>
            <w:right w:val="none" w:sz="0" w:space="0" w:color="auto"/>
          </w:divBdr>
        </w:div>
      </w:divsChild>
    </w:div>
    <w:div w:id="113720383">
      <w:marLeft w:val="0"/>
      <w:marRight w:val="0"/>
      <w:marTop w:val="0"/>
      <w:marBottom w:val="0"/>
      <w:divBdr>
        <w:top w:val="none" w:sz="0" w:space="0" w:color="auto"/>
        <w:left w:val="none" w:sz="0" w:space="0" w:color="auto"/>
        <w:bottom w:val="none" w:sz="0" w:space="0" w:color="auto"/>
        <w:right w:val="none" w:sz="0" w:space="0" w:color="auto"/>
      </w:divBdr>
      <w:divsChild>
        <w:div w:id="210113335">
          <w:marLeft w:val="0"/>
          <w:marRight w:val="0"/>
          <w:marTop w:val="547"/>
          <w:marBottom w:val="0"/>
          <w:divBdr>
            <w:top w:val="none" w:sz="0" w:space="0" w:color="auto"/>
            <w:left w:val="none" w:sz="0" w:space="0" w:color="auto"/>
            <w:bottom w:val="none" w:sz="0" w:space="0" w:color="auto"/>
            <w:right w:val="none" w:sz="0" w:space="0" w:color="auto"/>
          </w:divBdr>
        </w:div>
        <w:div w:id="1749109482">
          <w:marLeft w:val="0"/>
          <w:marRight w:val="0"/>
          <w:marTop w:val="0"/>
          <w:marBottom w:val="0"/>
          <w:divBdr>
            <w:top w:val="none" w:sz="0" w:space="0" w:color="auto"/>
            <w:left w:val="none" w:sz="0" w:space="0" w:color="auto"/>
            <w:bottom w:val="none" w:sz="0" w:space="0" w:color="auto"/>
            <w:right w:val="none" w:sz="0" w:space="0" w:color="auto"/>
          </w:divBdr>
        </w:div>
        <w:div w:id="580991454">
          <w:marLeft w:val="0"/>
          <w:marRight w:val="0"/>
          <w:marTop w:val="0"/>
          <w:marBottom w:val="600"/>
          <w:divBdr>
            <w:top w:val="none" w:sz="0" w:space="0" w:color="auto"/>
            <w:left w:val="none" w:sz="0" w:space="0" w:color="auto"/>
            <w:bottom w:val="none" w:sz="0" w:space="0" w:color="auto"/>
            <w:right w:val="none" w:sz="0" w:space="0" w:color="auto"/>
          </w:divBdr>
        </w:div>
      </w:divsChild>
    </w:div>
    <w:div w:id="135807346">
      <w:marLeft w:val="0"/>
      <w:marRight w:val="0"/>
      <w:marTop w:val="0"/>
      <w:marBottom w:val="0"/>
      <w:divBdr>
        <w:top w:val="none" w:sz="0" w:space="0" w:color="auto"/>
        <w:left w:val="none" w:sz="0" w:space="0" w:color="auto"/>
        <w:bottom w:val="none" w:sz="0" w:space="0" w:color="auto"/>
        <w:right w:val="none" w:sz="0" w:space="0" w:color="auto"/>
      </w:divBdr>
      <w:divsChild>
        <w:div w:id="1228489930">
          <w:marLeft w:val="0"/>
          <w:marRight w:val="0"/>
          <w:marTop w:val="144"/>
          <w:marBottom w:val="0"/>
          <w:divBdr>
            <w:top w:val="none" w:sz="0" w:space="0" w:color="auto"/>
            <w:left w:val="none" w:sz="0" w:space="0" w:color="auto"/>
            <w:bottom w:val="none" w:sz="0" w:space="0" w:color="auto"/>
            <w:right w:val="none" w:sz="0" w:space="0" w:color="auto"/>
          </w:divBdr>
        </w:div>
        <w:div w:id="1509785596">
          <w:marLeft w:val="0"/>
          <w:marRight w:val="0"/>
          <w:marTop w:val="0"/>
          <w:marBottom w:val="0"/>
          <w:divBdr>
            <w:top w:val="none" w:sz="0" w:space="0" w:color="auto"/>
            <w:left w:val="none" w:sz="0" w:space="0" w:color="auto"/>
            <w:bottom w:val="none" w:sz="0" w:space="0" w:color="auto"/>
            <w:right w:val="none" w:sz="0" w:space="0" w:color="auto"/>
          </w:divBdr>
          <w:divsChild>
            <w:div w:id="937759665">
              <w:marLeft w:val="0"/>
              <w:marRight w:val="0"/>
              <w:marTop w:val="0"/>
              <w:marBottom w:val="0"/>
              <w:divBdr>
                <w:top w:val="none" w:sz="0" w:space="0" w:color="auto"/>
                <w:left w:val="none" w:sz="0" w:space="0" w:color="auto"/>
                <w:bottom w:val="none" w:sz="0" w:space="0" w:color="auto"/>
                <w:right w:val="none" w:sz="0" w:space="0" w:color="auto"/>
              </w:divBdr>
              <w:divsChild>
                <w:div w:id="1699157805">
                  <w:marLeft w:val="0"/>
                  <w:marRight w:val="0"/>
                  <w:marTop w:val="0"/>
                  <w:marBottom w:val="0"/>
                  <w:divBdr>
                    <w:top w:val="none" w:sz="0" w:space="0" w:color="auto"/>
                    <w:left w:val="none" w:sz="0" w:space="0" w:color="auto"/>
                    <w:bottom w:val="none" w:sz="0" w:space="0" w:color="auto"/>
                    <w:right w:val="none" w:sz="0" w:space="0" w:color="auto"/>
                  </w:divBdr>
                </w:div>
              </w:divsChild>
            </w:div>
            <w:div w:id="1868327818">
              <w:marLeft w:val="0"/>
              <w:marRight w:val="0"/>
              <w:marTop w:val="0"/>
              <w:marBottom w:val="0"/>
              <w:divBdr>
                <w:top w:val="none" w:sz="0" w:space="0" w:color="auto"/>
                <w:left w:val="none" w:sz="0" w:space="0" w:color="auto"/>
                <w:bottom w:val="none" w:sz="0" w:space="0" w:color="auto"/>
                <w:right w:val="none" w:sz="0" w:space="0" w:color="auto"/>
              </w:divBdr>
              <w:divsChild>
                <w:div w:id="574366075">
                  <w:marLeft w:val="0"/>
                  <w:marRight w:val="0"/>
                  <w:marTop w:val="0"/>
                  <w:marBottom w:val="0"/>
                  <w:divBdr>
                    <w:top w:val="none" w:sz="0" w:space="0" w:color="auto"/>
                    <w:left w:val="none" w:sz="0" w:space="0" w:color="auto"/>
                    <w:bottom w:val="none" w:sz="0" w:space="0" w:color="auto"/>
                    <w:right w:val="none" w:sz="0" w:space="0" w:color="auto"/>
                  </w:divBdr>
                </w:div>
              </w:divsChild>
            </w:div>
            <w:div w:id="927810717">
              <w:marLeft w:val="0"/>
              <w:marRight w:val="0"/>
              <w:marTop w:val="0"/>
              <w:marBottom w:val="0"/>
              <w:divBdr>
                <w:top w:val="none" w:sz="0" w:space="0" w:color="auto"/>
                <w:left w:val="none" w:sz="0" w:space="0" w:color="auto"/>
                <w:bottom w:val="none" w:sz="0" w:space="0" w:color="auto"/>
                <w:right w:val="none" w:sz="0" w:space="0" w:color="auto"/>
              </w:divBdr>
              <w:divsChild>
                <w:div w:id="916355949">
                  <w:marLeft w:val="0"/>
                  <w:marRight w:val="0"/>
                  <w:marTop w:val="0"/>
                  <w:marBottom w:val="0"/>
                  <w:divBdr>
                    <w:top w:val="none" w:sz="0" w:space="0" w:color="auto"/>
                    <w:left w:val="none" w:sz="0" w:space="0" w:color="auto"/>
                    <w:bottom w:val="none" w:sz="0" w:space="0" w:color="auto"/>
                    <w:right w:val="none" w:sz="0" w:space="0" w:color="auto"/>
                  </w:divBdr>
                </w:div>
              </w:divsChild>
            </w:div>
            <w:div w:id="1767726413">
              <w:marLeft w:val="0"/>
              <w:marRight w:val="0"/>
              <w:marTop w:val="0"/>
              <w:marBottom w:val="0"/>
              <w:divBdr>
                <w:top w:val="none" w:sz="0" w:space="0" w:color="auto"/>
                <w:left w:val="none" w:sz="0" w:space="0" w:color="auto"/>
                <w:bottom w:val="none" w:sz="0" w:space="0" w:color="auto"/>
                <w:right w:val="none" w:sz="0" w:space="0" w:color="auto"/>
              </w:divBdr>
              <w:divsChild>
                <w:div w:id="12451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7738">
      <w:marLeft w:val="0"/>
      <w:marRight w:val="0"/>
      <w:marTop w:val="0"/>
      <w:marBottom w:val="0"/>
      <w:divBdr>
        <w:top w:val="none" w:sz="0" w:space="0" w:color="auto"/>
        <w:left w:val="none" w:sz="0" w:space="0" w:color="auto"/>
        <w:bottom w:val="none" w:sz="0" w:space="0" w:color="auto"/>
        <w:right w:val="none" w:sz="0" w:space="0" w:color="auto"/>
      </w:divBdr>
      <w:divsChild>
        <w:div w:id="1831096469">
          <w:marLeft w:val="0"/>
          <w:marRight w:val="0"/>
          <w:marTop w:val="547"/>
          <w:marBottom w:val="0"/>
          <w:divBdr>
            <w:top w:val="none" w:sz="0" w:space="0" w:color="auto"/>
            <w:left w:val="none" w:sz="0" w:space="0" w:color="auto"/>
            <w:bottom w:val="none" w:sz="0" w:space="0" w:color="auto"/>
            <w:right w:val="none" w:sz="0" w:space="0" w:color="auto"/>
          </w:divBdr>
        </w:div>
        <w:div w:id="1002270568">
          <w:marLeft w:val="0"/>
          <w:marRight w:val="0"/>
          <w:marTop w:val="0"/>
          <w:marBottom w:val="0"/>
          <w:divBdr>
            <w:top w:val="none" w:sz="0" w:space="0" w:color="auto"/>
            <w:left w:val="none" w:sz="0" w:space="0" w:color="auto"/>
            <w:bottom w:val="none" w:sz="0" w:space="0" w:color="auto"/>
            <w:right w:val="none" w:sz="0" w:space="0" w:color="auto"/>
          </w:divBdr>
        </w:div>
        <w:div w:id="218056959">
          <w:marLeft w:val="0"/>
          <w:marRight w:val="0"/>
          <w:marTop w:val="0"/>
          <w:marBottom w:val="600"/>
          <w:divBdr>
            <w:top w:val="none" w:sz="0" w:space="0" w:color="auto"/>
            <w:left w:val="none" w:sz="0" w:space="0" w:color="auto"/>
            <w:bottom w:val="none" w:sz="0" w:space="0" w:color="auto"/>
            <w:right w:val="none" w:sz="0" w:space="0" w:color="auto"/>
          </w:divBdr>
        </w:div>
      </w:divsChild>
    </w:div>
    <w:div w:id="212886501">
      <w:marLeft w:val="0"/>
      <w:marRight w:val="0"/>
      <w:marTop w:val="0"/>
      <w:marBottom w:val="0"/>
      <w:divBdr>
        <w:top w:val="none" w:sz="0" w:space="0" w:color="auto"/>
        <w:left w:val="none" w:sz="0" w:space="0" w:color="auto"/>
        <w:bottom w:val="none" w:sz="0" w:space="0" w:color="auto"/>
        <w:right w:val="none" w:sz="0" w:space="0" w:color="auto"/>
      </w:divBdr>
      <w:divsChild>
        <w:div w:id="1857035492">
          <w:marLeft w:val="0"/>
          <w:marRight w:val="0"/>
          <w:marTop w:val="547"/>
          <w:marBottom w:val="0"/>
          <w:divBdr>
            <w:top w:val="none" w:sz="0" w:space="0" w:color="auto"/>
            <w:left w:val="none" w:sz="0" w:space="0" w:color="auto"/>
            <w:bottom w:val="none" w:sz="0" w:space="0" w:color="auto"/>
            <w:right w:val="none" w:sz="0" w:space="0" w:color="auto"/>
          </w:divBdr>
        </w:div>
        <w:div w:id="1445342462">
          <w:marLeft w:val="0"/>
          <w:marRight w:val="0"/>
          <w:marTop w:val="0"/>
          <w:marBottom w:val="0"/>
          <w:divBdr>
            <w:top w:val="none" w:sz="0" w:space="0" w:color="auto"/>
            <w:left w:val="none" w:sz="0" w:space="0" w:color="auto"/>
            <w:bottom w:val="none" w:sz="0" w:space="0" w:color="auto"/>
            <w:right w:val="none" w:sz="0" w:space="0" w:color="auto"/>
          </w:divBdr>
          <w:divsChild>
            <w:div w:id="1724988757">
              <w:marLeft w:val="0"/>
              <w:marRight w:val="0"/>
              <w:marTop w:val="0"/>
              <w:marBottom w:val="0"/>
              <w:divBdr>
                <w:top w:val="none" w:sz="0" w:space="0" w:color="auto"/>
                <w:left w:val="none" w:sz="0" w:space="0" w:color="auto"/>
                <w:bottom w:val="none" w:sz="0" w:space="0" w:color="auto"/>
                <w:right w:val="none" w:sz="0" w:space="0" w:color="auto"/>
              </w:divBdr>
              <w:divsChild>
                <w:div w:id="1435125998">
                  <w:marLeft w:val="0"/>
                  <w:marRight w:val="0"/>
                  <w:marTop w:val="0"/>
                  <w:marBottom w:val="0"/>
                  <w:divBdr>
                    <w:top w:val="none" w:sz="0" w:space="0" w:color="auto"/>
                    <w:left w:val="none" w:sz="0" w:space="0" w:color="auto"/>
                    <w:bottom w:val="none" w:sz="0" w:space="0" w:color="auto"/>
                    <w:right w:val="none" w:sz="0" w:space="0" w:color="auto"/>
                  </w:divBdr>
                </w:div>
              </w:divsChild>
            </w:div>
            <w:div w:id="1131561242">
              <w:marLeft w:val="0"/>
              <w:marRight w:val="0"/>
              <w:marTop w:val="0"/>
              <w:marBottom w:val="0"/>
              <w:divBdr>
                <w:top w:val="none" w:sz="0" w:space="0" w:color="auto"/>
                <w:left w:val="none" w:sz="0" w:space="0" w:color="auto"/>
                <w:bottom w:val="none" w:sz="0" w:space="0" w:color="auto"/>
                <w:right w:val="none" w:sz="0" w:space="0" w:color="auto"/>
              </w:divBdr>
              <w:divsChild>
                <w:div w:id="165827908">
                  <w:marLeft w:val="0"/>
                  <w:marRight w:val="0"/>
                  <w:marTop w:val="0"/>
                  <w:marBottom w:val="0"/>
                  <w:divBdr>
                    <w:top w:val="none" w:sz="0" w:space="0" w:color="auto"/>
                    <w:left w:val="none" w:sz="0" w:space="0" w:color="auto"/>
                    <w:bottom w:val="none" w:sz="0" w:space="0" w:color="auto"/>
                    <w:right w:val="none" w:sz="0" w:space="0" w:color="auto"/>
                  </w:divBdr>
                </w:div>
              </w:divsChild>
            </w:div>
            <w:div w:id="1716154527">
              <w:marLeft w:val="0"/>
              <w:marRight w:val="0"/>
              <w:marTop w:val="0"/>
              <w:marBottom w:val="0"/>
              <w:divBdr>
                <w:top w:val="none" w:sz="0" w:space="0" w:color="auto"/>
                <w:left w:val="none" w:sz="0" w:space="0" w:color="auto"/>
                <w:bottom w:val="none" w:sz="0" w:space="0" w:color="auto"/>
                <w:right w:val="none" w:sz="0" w:space="0" w:color="auto"/>
              </w:divBdr>
              <w:divsChild>
                <w:div w:id="792752275">
                  <w:marLeft w:val="0"/>
                  <w:marRight w:val="0"/>
                  <w:marTop w:val="0"/>
                  <w:marBottom w:val="0"/>
                  <w:divBdr>
                    <w:top w:val="none" w:sz="0" w:space="0" w:color="auto"/>
                    <w:left w:val="none" w:sz="0" w:space="0" w:color="auto"/>
                    <w:bottom w:val="none" w:sz="0" w:space="0" w:color="auto"/>
                    <w:right w:val="none" w:sz="0" w:space="0" w:color="auto"/>
                  </w:divBdr>
                </w:div>
              </w:divsChild>
            </w:div>
            <w:div w:id="168302140">
              <w:marLeft w:val="0"/>
              <w:marRight w:val="0"/>
              <w:marTop w:val="0"/>
              <w:marBottom w:val="0"/>
              <w:divBdr>
                <w:top w:val="none" w:sz="0" w:space="0" w:color="auto"/>
                <w:left w:val="none" w:sz="0" w:space="0" w:color="auto"/>
                <w:bottom w:val="none" w:sz="0" w:space="0" w:color="auto"/>
                <w:right w:val="none" w:sz="0" w:space="0" w:color="auto"/>
              </w:divBdr>
              <w:divsChild>
                <w:div w:id="561017237">
                  <w:marLeft w:val="0"/>
                  <w:marRight w:val="0"/>
                  <w:marTop w:val="0"/>
                  <w:marBottom w:val="0"/>
                  <w:divBdr>
                    <w:top w:val="none" w:sz="0" w:space="0" w:color="auto"/>
                    <w:left w:val="none" w:sz="0" w:space="0" w:color="auto"/>
                    <w:bottom w:val="none" w:sz="0" w:space="0" w:color="auto"/>
                    <w:right w:val="none" w:sz="0" w:space="0" w:color="auto"/>
                  </w:divBdr>
                </w:div>
              </w:divsChild>
            </w:div>
            <w:div w:id="262734275">
              <w:marLeft w:val="0"/>
              <w:marRight w:val="0"/>
              <w:marTop w:val="0"/>
              <w:marBottom w:val="0"/>
              <w:divBdr>
                <w:top w:val="none" w:sz="0" w:space="0" w:color="auto"/>
                <w:left w:val="none" w:sz="0" w:space="0" w:color="auto"/>
                <w:bottom w:val="none" w:sz="0" w:space="0" w:color="auto"/>
                <w:right w:val="none" w:sz="0" w:space="0" w:color="auto"/>
              </w:divBdr>
              <w:divsChild>
                <w:div w:id="149711076">
                  <w:marLeft w:val="0"/>
                  <w:marRight w:val="0"/>
                  <w:marTop w:val="0"/>
                  <w:marBottom w:val="0"/>
                  <w:divBdr>
                    <w:top w:val="none" w:sz="0" w:space="0" w:color="auto"/>
                    <w:left w:val="none" w:sz="0" w:space="0" w:color="auto"/>
                    <w:bottom w:val="none" w:sz="0" w:space="0" w:color="auto"/>
                    <w:right w:val="none" w:sz="0" w:space="0" w:color="auto"/>
                  </w:divBdr>
                </w:div>
              </w:divsChild>
            </w:div>
            <w:div w:id="2081782339">
              <w:marLeft w:val="0"/>
              <w:marRight w:val="0"/>
              <w:marTop w:val="0"/>
              <w:marBottom w:val="0"/>
              <w:divBdr>
                <w:top w:val="none" w:sz="0" w:space="0" w:color="auto"/>
                <w:left w:val="none" w:sz="0" w:space="0" w:color="auto"/>
                <w:bottom w:val="none" w:sz="0" w:space="0" w:color="auto"/>
                <w:right w:val="none" w:sz="0" w:space="0" w:color="auto"/>
              </w:divBdr>
              <w:divsChild>
                <w:div w:id="485632923">
                  <w:marLeft w:val="0"/>
                  <w:marRight w:val="0"/>
                  <w:marTop w:val="0"/>
                  <w:marBottom w:val="0"/>
                  <w:divBdr>
                    <w:top w:val="none" w:sz="0" w:space="0" w:color="auto"/>
                    <w:left w:val="none" w:sz="0" w:space="0" w:color="auto"/>
                    <w:bottom w:val="none" w:sz="0" w:space="0" w:color="auto"/>
                    <w:right w:val="none" w:sz="0" w:space="0" w:color="auto"/>
                  </w:divBdr>
                </w:div>
              </w:divsChild>
            </w:div>
            <w:div w:id="1743336672">
              <w:marLeft w:val="0"/>
              <w:marRight w:val="0"/>
              <w:marTop w:val="0"/>
              <w:marBottom w:val="0"/>
              <w:divBdr>
                <w:top w:val="none" w:sz="0" w:space="0" w:color="auto"/>
                <w:left w:val="none" w:sz="0" w:space="0" w:color="auto"/>
                <w:bottom w:val="none" w:sz="0" w:space="0" w:color="auto"/>
                <w:right w:val="none" w:sz="0" w:space="0" w:color="auto"/>
              </w:divBdr>
              <w:divsChild>
                <w:div w:id="350647347">
                  <w:marLeft w:val="0"/>
                  <w:marRight w:val="0"/>
                  <w:marTop w:val="0"/>
                  <w:marBottom w:val="0"/>
                  <w:divBdr>
                    <w:top w:val="none" w:sz="0" w:space="0" w:color="auto"/>
                    <w:left w:val="none" w:sz="0" w:space="0" w:color="auto"/>
                    <w:bottom w:val="none" w:sz="0" w:space="0" w:color="auto"/>
                    <w:right w:val="none" w:sz="0" w:space="0" w:color="auto"/>
                  </w:divBdr>
                </w:div>
              </w:divsChild>
            </w:div>
            <w:div w:id="659306858">
              <w:marLeft w:val="0"/>
              <w:marRight w:val="0"/>
              <w:marTop w:val="0"/>
              <w:marBottom w:val="0"/>
              <w:divBdr>
                <w:top w:val="none" w:sz="0" w:space="0" w:color="auto"/>
                <w:left w:val="none" w:sz="0" w:space="0" w:color="auto"/>
                <w:bottom w:val="none" w:sz="0" w:space="0" w:color="auto"/>
                <w:right w:val="none" w:sz="0" w:space="0" w:color="auto"/>
              </w:divBdr>
              <w:divsChild>
                <w:div w:id="1145779485">
                  <w:marLeft w:val="0"/>
                  <w:marRight w:val="0"/>
                  <w:marTop w:val="0"/>
                  <w:marBottom w:val="0"/>
                  <w:divBdr>
                    <w:top w:val="none" w:sz="0" w:space="0" w:color="auto"/>
                    <w:left w:val="none" w:sz="0" w:space="0" w:color="auto"/>
                    <w:bottom w:val="none" w:sz="0" w:space="0" w:color="auto"/>
                    <w:right w:val="none" w:sz="0" w:space="0" w:color="auto"/>
                  </w:divBdr>
                </w:div>
              </w:divsChild>
            </w:div>
            <w:div w:id="1434477669">
              <w:marLeft w:val="0"/>
              <w:marRight w:val="0"/>
              <w:marTop w:val="0"/>
              <w:marBottom w:val="0"/>
              <w:divBdr>
                <w:top w:val="none" w:sz="0" w:space="0" w:color="auto"/>
                <w:left w:val="none" w:sz="0" w:space="0" w:color="auto"/>
                <w:bottom w:val="none" w:sz="0" w:space="0" w:color="auto"/>
                <w:right w:val="none" w:sz="0" w:space="0" w:color="auto"/>
              </w:divBdr>
              <w:divsChild>
                <w:div w:id="841891703">
                  <w:marLeft w:val="0"/>
                  <w:marRight w:val="0"/>
                  <w:marTop w:val="0"/>
                  <w:marBottom w:val="0"/>
                  <w:divBdr>
                    <w:top w:val="none" w:sz="0" w:space="0" w:color="auto"/>
                    <w:left w:val="none" w:sz="0" w:space="0" w:color="auto"/>
                    <w:bottom w:val="none" w:sz="0" w:space="0" w:color="auto"/>
                    <w:right w:val="none" w:sz="0" w:space="0" w:color="auto"/>
                  </w:divBdr>
                </w:div>
              </w:divsChild>
            </w:div>
            <w:div w:id="743139301">
              <w:marLeft w:val="0"/>
              <w:marRight w:val="0"/>
              <w:marTop w:val="0"/>
              <w:marBottom w:val="0"/>
              <w:divBdr>
                <w:top w:val="none" w:sz="0" w:space="0" w:color="auto"/>
                <w:left w:val="none" w:sz="0" w:space="0" w:color="auto"/>
                <w:bottom w:val="none" w:sz="0" w:space="0" w:color="auto"/>
                <w:right w:val="none" w:sz="0" w:space="0" w:color="auto"/>
              </w:divBdr>
              <w:divsChild>
                <w:div w:id="551889327">
                  <w:marLeft w:val="0"/>
                  <w:marRight w:val="0"/>
                  <w:marTop w:val="0"/>
                  <w:marBottom w:val="0"/>
                  <w:divBdr>
                    <w:top w:val="none" w:sz="0" w:space="0" w:color="auto"/>
                    <w:left w:val="none" w:sz="0" w:space="0" w:color="auto"/>
                    <w:bottom w:val="none" w:sz="0" w:space="0" w:color="auto"/>
                    <w:right w:val="none" w:sz="0" w:space="0" w:color="auto"/>
                  </w:divBdr>
                </w:div>
              </w:divsChild>
            </w:div>
            <w:div w:id="1128860377">
              <w:marLeft w:val="0"/>
              <w:marRight w:val="0"/>
              <w:marTop w:val="0"/>
              <w:marBottom w:val="0"/>
              <w:divBdr>
                <w:top w:val="none" w:sz="0" w:space="0" w:color="auto"/>
                <w:left w:val="none" w:sz="0" w:space="0" w:color="auto"/>
                <w:bottom w:val="none" w:sz="0" w:space="0" w:color="auto"/>
                <w:right w:val="none" w:sz="0" w:space="0" w:color="auto"/>
              </w:divBdr>
              <w:divsChild>
                <w:div w:id="1980457846">
                  <w:marLeft w:val="0"/>
                  <w:marRight w:val="0"/>
                  <w:marTop w:val="0"/>
                  <w:marBottom w:val="0"/>
                  <w:divBdr>
                    <w:top w:val="none" w:sz="0" w:space="0" w:color="auto"/>
                    <w:left w:val="none" w:sz="0" w:space="0" w:color="auto"/>
                    <w:bottom w:val="none" w:sz="0" w:space="0" w:color="auto"/>
                    <w:right w:val="none" w:sz="0" w:space="0" w:color="auto"/>
                  </w:divBdr>
                </w:div>
              </w:divsChild>
            </w:div>
            <w:div w:id="1260523708">
              <w:marLeft w:val="0"/>
              <w:marRight w:val="0"/>
              <w:marTop w:val="0"/>
              <w:marBottom w:val="0"/>
              <w:divBdr>
                <w:top w:val="none" w:sz="0" w:space="0" w:color="auto"/>
                <w:left w:val="none" w:sz="0" w:space="0" w:color="auto"/>
                <w:bottom w:val="none" w:sz="0" w:space="0" w:color="auto"/>
                <w:right w:val="none" w:sz="0" w:space="0" w:color="auto"/>
              </w:divBdr>
              <w:divsChild>
                <w:div w:id="685449167">
                  <w:marLeft w:val="0"/>
                  <w:marRight w:val="0"/>
                  <w:marTop w:val="0"/>
                  <w:marBottom w:val="0"/>
                  <w:divBdr>
                    <w:top w:val="none" w:sz="0" w:space="0" w:color="auto"/>
                    <w:left w:val="none" w:sz="0" w:space="0" w:color="auto"/>
                    <w:bottom w:val="none" w:sz="0" w:space="0" w:color="auto"/>
                    <w:right w:val="none" w:sz="0" w:space="0" w:color="auto"/>
                  </w:divBdr>
                </w:div>
              </w:divsChild>
            </w:div>
            <w:div w:id="2517289">
              <w:marLeft w:val="0"/>
              <w:marRight w:val="0"/>
              <w:marTop w:val="0"/>
              <w:marBottom w:val="0"/>
              <w:divBdr>
                <w:top w:val="none" w:sz="0" w:space="0" w:color="auto"/>
                <w:left w:val="none" w:sz="0" w:space="0" w:color="auto"/>
                <w:bottom w:val="none" w:sz="0" w:space="0" w:color="auto"/>
                <w:right w:val="none" w:sz="0" w:space="0" w:color="auto"/>
              </w:divBdr>
              <w:divsChild>
                <w:div w:id="97798876">
                  <w:marLeft w:val="0"/>
                  <w:marRight w:val="0"/>
                  <w:marTop w:val="0"/>
                  <w:marBottom w:val="0"/>
                  <w:divBdr>
                    <w:top w:val="none" w:sz="0" w:space="0" w:color="auto"/>
                    <w:left w:val="none" w:sz="0" w:space="0" w:color="auto"/>
                    <w:bottom w:val="none" w:sz="0" w:space="0" w:color="auto"/>
                    <w:right w:val="none" w:sz="0" w:space="0" w:color="auto"/>
                  </w:divBdr>
                </w:div>
              </w:divsChild>
            </w:div>
            <w:div w:id="252786086">
              <w:marLeft w:val="0"/>
              <w:marRight w:val="0"/>
              <w:marTop w:val="0"/>
              <w:marBottom w:val="0"/>
              <w:divBdr>
                <w:top w:val="none" w:sz="0" w:space="0" w:color="auto"/>
                <w:left w:val="none" w:sz="0" w:space="0" w:color="auto"/>
                <w:bottom w:val="none" w:sz="0" w:space="0" w:color="auto"/>
                <w:right w:val="none" w:sz="0" w:space="0" w:color="auto"/>
              </w:divBdr>
              <w:divsChild>
                <w:div w:id="39524561">
                  <w:marLeft w:val="0"/>
                  <w:marRight w:val="0"/>
                  <w:marTop w:val="0"/>
                  <w:marBottom w:val="0"/>
                  <w:divBdr>
                    <w:top w:val="none" w:sz="0" w:space="0" w:color="auto"/>
                    <w:left w:val="none" w:sz="0" w:space="0" w:color="auto"/>
                    <w:bottom w:val="none" w:sz="0" w:space="0" w:color="auto"/>
                    <w:right w:val="none" w:sz="0" w:space="0" w:color="auto"/>
                  </w:divBdr>
                </w:div>
              </w:divsChild>
            </w:div>
            <w:div w:id="526993385">
              <w:marLeft w:val="0"/>
              <w:marRight w:val="0"/>
              <w:marTop w:val="0"/>
              <w:marBottom w:val="0"/>
              <w:divBdr>
                <w:top w:val="none" w:sz="0" w:space="0" w:color="auto"/>
                <w:left w:val="none" w:sz="0" w:space="0" w:color="auto"/>
                <w:bottom w:val="none" w:sz="0" w:space="0" w:color="auto"/>
                <w:right w:val="none" w:sz="0" w:space="0" w:color="auto"/>
              </w:divBdr>
              <w:divsChild>
                <w:div w:id="740180067">
                  <w:marLeft w:val="0"/>
                  <w:marRight w:val="0"/>
                  <w:marTop w:val="0"/>
                  <w:marBottom w:val="0"/>
                  <w:divBdr>
                    <w:top w:val="none" w:sz="0" w:space="0" w:color="auto"/>
                    <w:left w:val="none" w:sz="0" w:space="0" w:color="auto"/>
                    <w:bottom w:val="none" w:sz="0" w:space="0" w:color="auto"/>
                    <w:right w:val="none" w:sz="0" w:space="0" w:color="auto"/>
                  </w:divBdr>
                </w:div>
              </w:divsChild>
            </w:div>
            <w:div w:id="191378296">
              <w:marLeft w:val="0"/>
              <w:marRight w:val="0"/>
              <w:marTop w:val="0"/>
              <w:marBottom w:val="0"/>
              <w:divBdr>
                <w:top w:val="none" w:sz="0" w:space="0" w:color="auto"/>
                <w:left w:val="none" w:sz="0" w:space="0" w:color="auto"/>
                <w:bottom w:val="none" w:sz="0" w:space="0" w:color="auto"/>
                <w:right w:val="none" w:sz="0" w:space="0" w:color="auto"/>
              </w:divBdr>
              <w:divsChild>
                <w:div w:id="1509523131">
                  <w:marLeft w:val="0"/>
                  <w:marRight w:val="0"/>
                  <w:marTop w:val="0"/>
                  <w:marBottom w:val="0"/>
                  <w:divBdr>
                    <w:top w:val="none" w:sz="0" w:space="0" w:color="auto"/>
                    <w:left w:val="none" w:sz="0" w:space="0" w:color="auto"/>
                    <w:bottom w:val="none" w:sz="0" w:space="0" w:color="auto"/>
                    <w:right w:val="none" w:sz="0" w:space="0" w:color="auto"/>
                  </w:divBdr>
                </w:div>
              </w:divsChild>
            </w:div>
            <w:div w:id="844633440">
              <w:marLeft w:val="0"/>
              <w:marRight w:val="0"/>
              <w:marTop w:val="0"/>
              <w:marBottom w:val="0"/>
              <w:divBdr>
                <w:top w:val="none" w:sz="0" w:space="0" w:color="auto"/>
                <w:left w:val="none" w:sz="0" w:space="0" w:color="auto"/>
                <w:bottom w:val="none" w:sz="0" w:space="0" w:color="auto"/>
                <w:right w:val="none" w:sz="0" w:space="0" w:color="auto"/>
              </w:divBdr>
              <w:divsChild>
                <w:div w:id="751200898">
                  <w:marLeft w:val="0"/>
                  <w:marRight w:val="0"/>
                  <w:marTop w:val="0"/>
                  <w:marBottom w:val="0"/>
                  <w:divBdr>
                    <w:top w:val="none" w:sz="0" w:space="0" w:color="auto"/>
                    <w:left w:val="none" w:sz="0" w:space="0" w:color="auto"/>
                    <w:bottom w:val="none" w:sz="0" w:space="0" w:color="auto"/>
                    <w:right w:val="none" w:sz="0" w:space="0" w:color="auto"/>
                  </w:divBdr>
                </w:div>
              </w:divsChild>
            </w:div>
            <w:div w:id="1024139919">
              <w:marLeft w:val="0"/>
              <w:marRight w:val="0"/>
              <w:marTop w:val="0"/>
              <w:marBottom w:val="0"/>
              <w:divBdr>
                <w:top w:val="none" w:sz="0" w:space="0" w:color="auto"/>
                <w:left w:val="none" w:sz="0" w:space="0" w:color="auto"/>
                <w:bottom w:val="none" w:sz="0" w:space="0" w:color="auto"/>
                <w:right w:val="none" w:sz="0" w:space="0" w:color="auto"/>
              </w:divBdr>
              <w:divsChild>
                <w:div w:id="496578184">
                  <w:marLeft w:val="0"/>
                  <w:marRight w:val="0"/>
                  <w:marTop w:val="0"/>
                  <w:marBottom w:val="0"/>
                  <w:divBdr>
                    <w:top w:val="none" w:sz="0" w:space="0" w:color="auto"/>
                    <w:left w:val="none" w:sz="0" w:space="0" w:color="auto"/>
                    <w:bottom w:val="none" w:sz="0" w:space="0" w:color="auto"/>
                    <w:right w:val="none" w:sz="0" w:space="0" w:color="auto"/>
                  </w:divBdr>
                </w:div>
              </w:divsChild>
            </w:div>
            <w:div w:id="1914506415">
              <w:marLeft w:val="0"/>
              <w:marRight w:val="0"/>
              <w:marTop w:val="0"/>
              <w:marBottom w:val="0"/>
              <w:divBdr>
                <w:top w:val="none" w:sz="0" w:space="0" w:color="auto"/>
                <w:left w:val="none" w:sz="0" w:space="0" w:color="auto"/>
                <w:bottom w:val="none" w:sz="0" w:space="0" w:color="auto"/>
                <w:right w:val="none" w:sz="0" w:space="0" w:color="auto"/>
              </w:divBdr>
              <w:divsChild>
                <w:div w:id="1337852110">
                  <w:marLeft w:val="0"/>
                  <w:marRight w:val="0"/>
                  <w:marTop w:val="0"/>
                  <w:marBottom w:val="0"/>
                  <w:divBdr>
                    <w:top w:val="none" w:sz="0" w:space="0" w:color="auto"/>
                    <w:left w:val="none" w:sz="0" w:space="0" w:color="auto"/>
                    <w:bottom w:val="none" w:sz="0" w:space="0" w:color="auto"/>
                    <w:right w:val="none" w:sz="0" w:space="0" w:color="auto"/>
                  </w:divBdr>
                </w:div>
              </w:divsChild>
            </w:div>
            <w:div w:id="1749882374">
              <w:marLeft w:val="0"/>
              <w:marRight w:val="0"/>
              <w:marTop w:val="0"/>
              <w:marBottom w:val="0"/>
              <w:divBdr>
                <w:top w:val="none" w:sz="0" w:space="0" w:color="auto"/>
                <w:left w:val="none" w:sz="0" w:space="0" w:color="auto"/>
                <w:bottom w:val="none" w:sz="0" w:space="0" w:color="auto"/>
                <w:right w:val="none" w:sz="0" w:space="0" w:color="auto"/>
              </w:divBdr>
              <w:divsChild>
                <w:div w:id="558128344">
                  <w:marLeft w:val="0"/>
                  <w:marRight w:val="0"/>
                  <w:marTop w:val="0"/>
                  <w:marBottom w:val="0"/>
                  <w:divBdr>
                    <w:top w:val="none" w:sz="0" w:space="0" w:color="auto"/>
                    <w:left w:val="none" w:sz="0" w:space="0" w:color="auto"/>
                    <w:bottom w:val="none" w:sz="0" w:space="0" w:color="auto"/>
                    <w:right w:val="none" w:sz="0" w:space="0" w:color="auto"/>
                  </w:divBdr>
                </w:div>
              </w:divsChild>
            </w:div>
            <w:div w:id="1060716730">
              <w:marLeft w:val="0"/>
              <w:marRight w:val="0"/>
              <w:marTop w:val="0"/>
              <w:marBottom w:val="0"/>
              <w:divBdr>
                <w:top w:val="none" w:sz="0" w:space="0" w:color="auto"/>
                <w:left w:val="none" w:sz="0" w:space="0" w:color="auto"/>
                <w:bottom w:val="none" w:sz="0" w:space="0" w:color="auto"/>
                <w:right w:val="none" w:sz="0" w:space="0" w:color="auto"/>
              </w:divBdr>
              <w:divsChild>
                <w:div w:id="1722368346">
                  <w:marLeft w:val="0"/>
                  <w:marRight w:val="0"/>
                  <w:marTop w:val="0"/>
                  <w:marBottom w:val="0"/>
                  <w:divBdr>
                    <w:top w:val="none" w:sz="0" w:space="0" w:color="auto"/>
                    <w:left w:val="none" w:sz="0" w:space="0" w:color="auto"/>
                    <w:bottom w:val="none" w:sz="0" w:space="0" w:color="auto"/>
                    <w:right w:val="none" w:sz="0" w:space="0" w:color="auto"/>
                  </w:divBdr>
                </w:div>
              </w:divsChild>
            </w:div>
            <w:div w:id="1767727571">
              <w:marLeft w:val="0"/>
              <w:marRight w:val="0"/>
              <w:marTop w:val="0"/>
              <w:marBottom w:val="0"/>
              <w:divBdr>
                <w:top w:val="none" w:sz="0" w:space="0" w:color="auto"/>
                <w:left w:val="none" w:sz="0" w:space="0" w:color="auto"/>
                <w:bottom w:val="none" w:sz="0" w:space="0" w:color="auto"/>
                <w:right w:val="none" w:sz="0" w:space="0" w:color="auto"/>
              </w:divBdr>
              <w:divsChild>
                <w:div w:id="96759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7684">
          <w:marLeft w:val="0"/>
          <w:marRight w:val="0"/>
          <w:marTop w:val="0"/>
          <w:marBottom w:val="600"/>
          <w:divBdr>
            <w:top w:val="none" w:sz="0" w:space="0" w:color="auto"/>
            <w:left w:val="none" w:sz="0" w:space="0" w:color="auto"/>
            <w:bottom w:val="none" w:sz="0" w:space="0" w:color="auto"/>
            <w:right w:val="none" w:sz="0" w:space="0" w:color="auto"/>
          </w:divBdr>
        </w:div>
      </w:divsChild>
    </w:div>
    <w:div w:id="246961570">
      <w:marLeft w:val="0"/>
      <w:marRight w:val="0"/>
      <w:marTop w:val="0"/>
      <w:marBottom w:val="0"/>
      <w:divBdr>
        <w:top w:val="none" w:sz="0" w:space="0" w:color="auto"/>
        <w:left w:val="none" w:sz="0" w:space="0" w:color="auto"/>
        <w:bottom w:val="none" w:sz="0" w:space="0" w:color="auto"/>
        <w:right w:val="none" w:sz="0" w:space="0" w:color="auto"/>
      </w:divBdr>
      <w:divsChild>
        <w:div w:id="1957563386">
          <w:marLeft w:val="0"/>
          <w:marRight w:val="0"/>
          <w:marTop w:val="547"/>
          <w:marBottom w:val="0"/>
          <w:divBdr>
            <w:top w:val="none" w:sz="0" w:space="0" w:color="auto"/>
            <w:left w:val="none" w:sz="0" w:space="0" w:color="auto"/>
            <w:bottom w:val="none" w:sz="0" w:space="0" w:color="auto"/>
            <w:right w:val="none" w:sz="0" w:space="0" w:color="auto"/>
          </w:divBdr>
        </w:div>
        <w:div w:id="2005039483">
          <w:marLeft w:val="0"/>
          <w:marRight w:val="0"/>
          <w:marTop w:val="0"/>
          <w:marBottom w:val="0"/>
          <w:divBdr>
            <w:top w:val="none" w:sz="0" w:space="0" w:color="auto"/>
            <w:left w:val="none" w:sz="0" w:space="0" w:color="auto"/>
            <w:bottom w:val="none" w:sz="0" w:space="0" w:color="auto"/>
            <w:right w:val="none" w:sz="0" w:space="0" w:color="auto"/>
          </w:divBdr>
        </w:div>
        <w:div w:id="423847073">
          <w:marLeft w:val="0"/>
          <w:marRight w:val="0"/>
          <w:marTop w:val="0"/>
          <w:marBottom w:val="600"/>
          <w:divBdr>
            <w:top w:val="none" w:sz="0" w:space="0" w:color="auto"/>
            <w:left w:val="none" w:sz="0" w:space="0" w:color="auto"/>
            <w:bottom w:val="none" w:sz="0" w:space="0" w:color="auto"/>
            <w:right w:val="none" w:sz="0" w:space="0" w:color="auto"/>
          </w:divBdr>
        </w:div>
      </w:divsChild>
    </w:div>
    <w:div w:id="272323968">
      <w:marLeft w:val="0"/>
      <w:marRight w:val="0"/>
      <w:marTop w:val="0"/>
      <w:marBottom w:val="0"/>
      <w:divBdr>
        <w:top w:val="none" w:sz="0" w:space="0" w:color="auto"/>
        <w:left w:val="none" w:sz="0" w:space="0" w:color="auto"/>
        <w:bottom w:val="none" w:sz="0" w:space="0" w:color="auto"/>
        <w:right w:val="none" w:sz="0" w:space="0" w:color="auto"/>
      </w:divBdr>
      <w:divsChild>
        <w:div w:id="1798452860">
          <w:marLeft w:val="0"/>
          <w:marRight w:val="0"/>
          <w:marTop w:val="547"/>
          <w:marBottom w:val="0"/>
          <w:divBdr>
            <w:top w:val="none" w:sz="0" w:space="0" w:color="auto"/>
            <w:left w:val="none" w:sz="0" w:space="0" w:color="auto"/>
            <w:bottom w:val="none" w:sz="0" w:space="0" w:color="auto"/>
            <w:right w:val="none" w:sz="0" w:space="0" w:color="auto"/>
          </w:divBdr>
        </w:div>
        <w:div w:id="1124160193">
          <w:marLeft w:val="0"/>
          <w:marRight w:val="0"/>
          <w:marTop w:val="0"/>
          <w:marBottom w:val="0"/>
          <w:divBdr>
            <w:top w:val="none" w:sz="0" w:space="0" w:color="auto"/>
            <w:left w:val="none" w:sz="0" w:space="0" w:color="auto"/>
            <w:bottom w:val="none" w:sz="0" w:space="0" w:color="auto"/>
            <w:right w:val="none" w:sz="0" w:space="0" w:color="auto"/>
          </w:divBdr>
        </w:div>
        <w:div w:id="1242520539">
          <w:marLeft w:val="0"/>
          <w:marRight w:val="0"/>
          <w:marTop w:val="0"/>
          <w:marBottom w:val="600"/>
          <w:divBdr>
            <w:top w:val="none" w:sz="0" w:space="0" w:color="auto"/>
            <w:left w:val="none" w:sz="0" w:space="0" w:color="auto"/>
            <w:bottom w:val="none" w:sz="0" w:space="0" w:color="auto"/>
            <w:right w:val="none" w:sz="0" w:space="0" w:color="auto"/>
          </w:divBdr>
        </w:div>
      </w:divsChild>
    </w:div>
    <w:div w:id="277755818">
      <w:marLeft w:val="0"/>
      <w:marRight w:val="0"/>
      <w:marTop w:val="0"/>
      <w:marBottom w:val="0"/>
      <w:divBdr>
        <w:top w:val="none" w:sz="0" w:space="0" w:color="auto"/>
        <w:left w:val="none" w:sz="0" w:space="0" w:color="auto"/>
        <w:bottom w:val="none" w:sz="0" w:space="0" w:color="auto"/>
        <w:right w:val="none" w:sz="0" w:space="0" w:color="auto"/>
      </w:divBdr>
      <w:divsChild>
        <w:div w:id="159275279">
          <w:marLeft w:val="0"/>
          <w:marRight w:val="0"/>
          <w:marTop w:val="547"/>
          <w:marBottom w:val="0"/>
          <w:divBdr>
            <w:top w:val="none" w:sz="0" w:space="0" w:color="auto"/>
            <w:left w:val="none" w:sz="0" w:space="0" w:color="auto"/>
            <w:bottom w:val="none" w:sz="0" w:space="0" w:color="auto"/>
            <w:right w:val="none" w:sz="0" w:space="0" w:color="auto"/>
          </w:divBdr>
        </w:div>
        <w:div w:id="694574567">
          <w:marLeft w:val="0"/>
          <w:marRight w:val="0"/>
          <w:marTop w:val="0"/>
          <w:marBottom w:val="0"/>
          <w:divBdr>
            <w:top w:val="none" w:sz="0" w:space="0" w:color="auto"/>
            <w:left w:val="none" w:sz="0" w:space="0" w:color="auto"/>
            <w:bottom w:val="none" w:sz="0" w:space="0" w:color="auto"/>
            <w:right w:val="none" w:sz="0" w:space="0" w:color="auto"/>
          </w:divBdr>
        </w:div>
        <w:div w:id="471797091">
          <w:marLeft w:val="0"/>
          <w:marRight w:val="0"/>
          <w:marTop w:val="0"/>
          <w:marBottom w:val="600"/>
          <w:divBdr>
            <w:top w:val="none" w:sz="0" w:space="0" w:color="auto"/>
            <w:left w:val="none" w:sz="0" w:space="0" w:color="auto"/>
            <w:bottom w:val="none" w:sz="0" w:space="0" w:color="auto"/>
            <w:right w:val="none" w:sz="0" w:space="0" w:color="auto"/>
          </w:divBdr>
        </w:div>
      </w:divsChild>
    </w:div>
    <w:div w:id="293214581">
      <w:marLeft w:val="0"/>
      <w:marRight w:val="0"/>
      <w:marTop w:val="0"/>
      <w:marBottom w:val="0"/>
      <w:divBdr>
        <w:top w:val="none" w:sz="0" w:space="0" w:color="auto"/>
        <w:left w:val="none" w:sz="0" w:space="0" w:color="auto"/>
        <w:bottom w:val="none" w:sz="0" w:space="0" w:color="auto"/>
        <w:right w:val="none" w:sz="0" w:space="0" w:color="auto"/>
      </w:divBdr>
      <w:divsChild>
        <w:div w:id="580334239">
          <w:marLeft w:val="0"/>
          <w:marRight w:val="0"/>
          <w:marTop w:val="547"/>
          <w:marBottom w:val="0"/>
          <w:divBdr>
            <w:top w:val="none" w:sz="0" w:space="0" w:color="auto"/>
            <w:left w:val="none" w:sz="0" w:space="0" w:color="auto"/>
            <w:bottom w:val="none" w:sz="0" w:space="0" w:color="auto"/>
            <w:right w:val="none" w:sz="0" w:space="0" w:color="auto"/>
          </w:divBdr>
        </w:div>
        <w:div w:id="467432097">
          <w:marLeft w:val="0"/>
          <w:marRight w:val="0"/>
          <w:marTop w:val="0"/>
          <w:marBottom w:val="0"/>
          <w:divBdr>
            <w:top w:val="none" w:sz="0" w:space="0" w:color="auto"/>
            <w:left w:val="none" w:sz="0" w:space="0" w:color="auto"/>
            <w:bottom w:val="none" w:sz="0" w:space="0" w:color="auto"/>
            <w:right w:val="none" w:sz="0" w:space="0" w:color="auto"/>
          </w:divBdr>
        </w:div>
        <w:div w:id="605425545">
          <w:marLeft w:val="0"/>
          <w:marRight w:val="0"/>
          <w:marTop w:val="0"/>
          <w:marBottom w:val="600"/>
          <w:divBdr>
            <w:top w:val="none" w:sz="0" w:space="0" w:color="auto"/>
            <w:left w:val="none" w:sz="0" w:space="0" w:color="auto"/>
            <w:bottom w:val="none" w:sz="0" w:space="0" w:color="auto"/>
            <w:right w:val="none" w:sz="0" w:space="0" w:color="auto"/>
          </w:divBdr>
        </w:div>
      </w:divsChild>
    </w:div>
    <w:div w:id="314262404">
      <w:marLeft w:val="0"/>
      <w:marRight w:val="0"/>
      <w:marTop w:val="0"/>
      <w:marBottom w:val="0"/>
      <w:divBdr>
        <w:top w:val="none" w:sz="0" w:space="0" w:color="auto"/>
        <w:left w:val="none" w:sz="0" w:space="0" w:color="auto"/>
        <w:bottom w:val="none" w:sz="0" w:space="0" w:color="auto"/>
        <w:right w:val="none" w:sz="0" w:space="0" w:color="auto"/>
      </w:divBdr>
      <w:divsChild>
        <w:div w:id="2010789575">
          <w:marLeft w:val="0"/>
          <w:marRight w:val="0"/>
          <w:marTop w:val="547"/>
          <w:marBottom w:val="0"/>
          <w:divBdr>
            <w:top w:val="none" w:sz="0" w:space="0" w:color="auto"/>
            <w:left w:val="none" w:sz="0" w:space="0" w:color="auto"/>
            <w:bottom w:val="none" w:sz="0" w:space="0" w:color="auto"/>
            <w:right w:val="none" w:sz="0" w:space="0" w:color="auto"/>
          </w:divBdr>
        </w:div>
        <w:div w:id="692611808">
          <w:marLeft w:val="0"/>
          <w:marRight w:val="0"/>
          <w:marTop w:val="0"/>
          <w:marBottom w:val="0"/>
          <w:divBdr>
            <w:top w:val="none" w:sz="0" w:space="0" w:color="auto"/>
            <w:left w:val="none" w:sz="0" w:space="0" w:color="auto"/>
            <w:bottom w:val="none" w:sz="0" w:space="0" w:color="auto"/>
            <w:right w:val="none" w:sz="0" w:space="0" w:color="auto"/>
          </w:divBdr>
        </w:div>
        <w:div w:id="1214736872">
          <w:marLeft w:val="0"/>
          <w:marRight w:val="0"/>
          <w:marTop w:val="0"/>
          <w:marBottom w:val="600"/>
          <w:divBdr>
            <w:top w:val="none" w:sz="0" w:space="0" w:color="auto"/>
            <w:left w:val="none" w:sz="0" w:space="0" w:color="auto"/>
            <w:bottom w:val="none" w:sz="0" w:space="0" w:color="auto"/>
            <w:right w:val="none" w:sz="0" w:space="0" w:color="auto"/>
          </w:divBdr>
        </w:div>
      </w:divsChild>
    </w:div>
    <w:div w:id="338898693">
      <w:marLeft w:val="0"/>
      <w:marRight w:val="0"/>
      <w:marTop w:val="0"/>
      <w:marBottom w:val="0"/>
      <w:divBdr>
        <w:top w:val="none" w:sz="0" w:space="0" w:color="auto"/>
        <w:left w:val="none" w:sz="0" w:space="0" w:color="auto"/>
        <w:bottom w:val="none" w:sz="0" w:space="0" w:color="auto"/>
        <w:right w:val="none" w:sz="0" w:space="0" w:color="auto"/>
      </w:divBdr>
      <w:divsChild>
        <w:div w:id="1763260934">
          <w:marLeft w:val="0"/>
          <w:marRight w:val="0"/>
          <w:marTop w:val="547"/>
          <w:marBottom w:val="0"/>
          <w:divBdr>
            <w:top w:val="none" w:sz="0" w:space="0" w:color="auto"/>
            <w:left w:val="none" w:sz="0" w:space="0" w:color="auto"/>
            <w:bottom w:val="none" w:sz="0" w:space="0" w:color="auto"/>
            <w:right w:val="none" w:sz="0" w:space="0" w:color="auto"/>
          </w:divBdr>
        </w:div>
        <w:div w:id="1986426144">
          <w:marLeft w:val="0"/>
          <w:marRight w:val="0"/>
          <w:marTop w:val="0"/>
          <w:marBottom w:val="0"/>
          <w:divBdr>
            <w:top w:val="none" w:sz="0" w:space="0" w:color="auto"/>
            <w:left w:val="none" w:sz="0" w:space="0" w:color="auto"/>
            <w:bottom w:val="none" w:sz="0" w:space="0" w:color="auto"/>
            <w:right w:val="none" w:sz="0" w:space="0" w:color="auto"/>
          </w:divBdr>
          <w:divsChild>
            <w:div w:id="652367455">
              <w:marLeft w:val="0"/>
              <w:marRight w:val="0"/>
              <w:marTop w:val="0"/>
              <w:marBottom w:val="0"/>
              <w:divBdr>
                <w:top w:val="none" w:sz="0" w:space="0" w:color="auto"/>
                <w:left w:val="none" w:sz="0" w:space="0" w:color="auto"/>
                <w:bottom w:val="none" w:sz="0" w:space="0" w:color="auto"/>
                <w:right w:val="none" w:sz="0" w:space="0" w:color="auto"/>
              </w:divBdr>
              <w:divsChild>
                <w:div w:id="298075862">
                  <w:marLeft w:val="0"/>
                  <w:marRight w:val="0"/>
                  <w:marTop w:val="0"/>
                  <w:marBottom w:val="0"/>
                  <w:divBdr>
                    <w:top w:val="none" w:sz="0" w:space="0" w:color="auto"/>
                    <w:left w:val="none" w:sz="0" w:space="0" w:color="auto"/>
                    <w:bottom w:val="none" w:sz="0" w:space="0" w:color="auto"/>
                    <w:right w:val="none" w:sz="0" w:space="0" w:color="auto"/>
                  </w:divBdr>
                </w:div>
              </w:divsChild>
            </w:div>
            <w:div w:id="1245258622">
              <w:marLeft w:val="0"/>
              <w:marRight w:val="0"/>
              <w:marTop w:val="0"/>
              <w:marBottom w:val="0"/>
              <w:divBdr>
                <w:top w:val="none" w:sz="0" w:space="0" w:color="auto"/>
                <w:left w:val="none" w:sz="0" w:space="0" w:color="auto"/>
                <w:bottom w:val="none" w:sz="0" w:space="0" w:color="auto"/>
                <w:right w:val="none" w:sz="0" w:space="0" w:color="auto"/>
              </w:divBdr>
              <w:divsChild>
                <w:div w:id="746343641">
                  <w:marLeft w:val="0"/>
                  <w:marRight w:val="0"/>
                  <w:marTop w:val="0"/>
                  <w:marBottom w:val="0"/>
                  <w:divBdr>
                    <w:top w:val="none" w:sz="0" w:space="0" w:color="auto"/>
                    <w:left w:val="none" w:sz="0" w:space="0" w:color="auto"/>
                    <w:bottom w:val="none" w:sz="0" w:space="0" w:color="auto"/>
                    <w:right w:val="none" w:sz="0" w:space="0" w:color="auto"/>
                  </w:divBdr>
                </w:div>
              </w:divsChild>
            </w:div>
            <w:div w:id="1584025025">
              <w:marLeft w:val="0"/>
              <w:marRight w:val="0"/>
              <w:marTop w:val="0"/>
              <w:marBottom w:val="0"/>
              <w:divBdr>
                <w:top w:val="none" w:sz="0" w:space="0" w:color="auto"/>
                <w:left w:val="none" w:sz="0" w:space="0" w:color="auto"/>
                <w:bottom w:val="none" w:sz="0" w:space="0" w:color="auto"/>
                <w:right w:val="none" w:sz="0" w:space="0" w:color="auto"/>
              </w:divBdr>
              <w:divsChild>
                <w:div w:id="458451324">
                  <w:marLeft w:val="0"/>
                  <w:marRight w:val="0"/>
                  <w:marTop w:val="0"/>
                  <w:marBottom w:val="0"/>
                  <w:divBdr>
                    <w:top w:val="none" w:sz="0" w:space="0" w:color="auto"/>
                    <w:left w:val="none" w:sz="0" w:space="0" w:color="auto"/>
                    <w:bottom w:val="none" w:sz="0" w:space="0" w:color="auto"/>
                    <w:right w:val="none" w:sz="0" w:space="0" w:color="auto"/>
                  </w:divBdr>
                </w:div>
              </w:divsChild>
            </w:div>
            <w:div w:id="587349143">
              <w:marLeft w:val="0"/>
              <w:marRight w:val="0"/>
              <w:marTop w:val="0"/>
              <w:marBottom w:val="0"/>
              <w:divBdr>
                <w:top w:val="none" w:sz="0" w:space="0" w:color="auto"/>
                <w:left w:val="none" w:sz="0" w:space="0" w:color="auto"/>
                <w:bottom w:val="none" w:sz="0" w:space="0" w:color="auto"/>
                <w:right w:val="none" w:sz="0" w:space="0" w:color="auto"/>
              </w:divBdr>
              <w:divsChild>
                <w:div w:id="2047635588">
                  <w:marLeft w:val="0"/>
                  <w:marRight w:val="0"/>
                  <w:marTop w:val="0"/>
                  <w:marBottom w:val="0"/>
                  <w:divBdr>
                    <w:top w:val="none" w:sz="0" w:space="0" w:color="auto"/>
                    <w:left w:val="none" w:sz="0" w:space="0" w:color="auto"/>
                    <w:bottom w:val="none" w:sz="0" w:space="0" w:color="auto"/>
                    <w:right w:val="none" w:sz="0" w:space="0" w:color="auto"/>
                  </w:divBdr>
                </w:div>
              </w:divsChild>
            </w:div>
            <w:div w:id="2052336260">
              <w:marLeft w:val="0"/>
              <w:marRight w:val="0"/>
              <w:marTop w:val="0"/>
              <w:marBottom w:val="0"/>
              <w:divBdr>
                <w:top w:val="none" w:sz="0" w:space="0" w:color="auto"/>
                <w:left w:val="none" w:sz="0" w:space="0" w:color="auto"/>
                <w:bottom w:val="none" w:sz="0" w:space="0" w:color="auto"/>
                <w:right w:val="none" w:sz="0" w:space="0" w:color="auto"/>
              </w:divBdr>
              <w:divsChild>
                <w:div w:id="48383991">
                  <w:marLeft w:val="0"/>
                  <w:marRight w:val="0"/>
                  <w:marTop w:val="0"/>
                  <w:marBottom w:val="0"/>
                  <w:divBdr>
                    <w:top w:val="none" w:sz="0" w:space="0" w:color="auto"/>
                    <w:left w:val="none" w:sz="0" w:space="0" w:color="auto"/>
                    <w:bottom w:val="none" w:sz="0" w:space="0" w:color="auto"/>
                    <w:right w:val="none" w:sz="0" w:space="0" w:color="auto"/>
                  </w:divBdr>
                </w:div>
              </w:divsChild>
            </w:div>
            <w:div w:id="1887989337">
              <w:marLeft w:val="0"/>
              <w:marRight w:val="0"/>
              <w:marTop w:val="0"/>
              <w:marBottom w:val="0"/>
              <w:divBdr>
                <w:top w:val="none" w:sz="0" w:space="0" w:color="auto"/>
                <w:left w:val="none" w:sz="0" w:space="0" w:color="auto"/>
                <w:bottom w:val="none" w:sz="0" w:space="0" w:color="auto"/>
                <w:right w:val="none" w:sz="0" w:space="0" w:color="auto"/>
              </w:divBdr>
              <w:divsChild>
                <w:div w:id="305008871">
                  <w:marLeft w:val="0"/>
                  <w:marRight w:val="0"/>
                  <w:marTop w:val="0"/>
                  <w:marBottom w:val="0"/>
                  <w:divBdr>
                    <w:top w:val="none" w:sz="0" w:space="0" w:color="auto"/>
                    <w:left w:val="none" w:sz="0" w:space="0" w:color="auto"/>
                    <w:bottom w:val="none" w:sz="0" w:space="0" w:color="auto"/>
                    <w:right w:val="none" w:sz="0" w:space="0" w:color="auto"/>
                  </w:divBdr>
                </w:div>
              </w:divsChild>
            </w:div>
            <w:div w:id="2010716979">
              <w:marLeft w:val="0"/>
              <w:marRight w:val="0"/>
              <w:marTop w:val="0"/>
              <w:marBottom w:val="0"/>
              <w:divBdr>
                <w:top w:val="none" w:sz="0" w:space="0" w:color="auto"/>
                <w:left w:val="none" w:sz="0" w:space="0" w:color="auto"/>
                <w:bottom w:val="none" w:sz="0" w:space="0" w:color="auto"/>
                <w:right w:val="none" w:sz="0" w:space="0" w:color="auto"/>
              </w:divBdr>
              <w:divsChild>
                <w:div w:id="53622240">
                  <w:marLeft w:val="0"/>
                  <w:marRight w:val="0"/>
                  <w:marTop w:val="0"/>
                  <w:marBottom w:val="0"/>
                  <w:divBdr>
                    <w:top w:val="none" w:sz="0" w:space="0" w:color="auto"/>
                    <w:left w:val="none" w:sz="0" w:space="0" w:color="auto"/>
                    <w:bottom w:val="none" w:sz="0" w:space="0" w:color="auto"/>
                    <w:right w:val="none" w:sz="0" w:space="0" w:color="auto"/>
                  </w:divBdr>
                </w:div>
              </w:divsChild>
            </w:div>
            <w:div w:id="1854952371">
              <w:marLeft w:val="0"/>
              <w:marRight w:val="0"/>
              <w:marTop w:val="0"/>
              <w:marBottom w:val="0"/>
              <w:divBdr>
                <w:top w:val="none" w:sz="0" w:space="0" w:color="auto"/>
                <w:left w:val="none" w:sz="0" w:space="0" w:color="auto"/>
                <w:bottom w:val="none" w:sz="0" w:space="0" w:color="auto"/>
                <w:right w:val="none" w:sz="0" w:space="0" w:color="auto"/>
              </w:divBdr>
              <w:divsChild>
                <w:div w:id="230778620">
                  <w:marLeft w:val="0"/>
                  <w:marRight w:val="0"/>
                  <w:marTop w:val="0"/>
                  <w:marBottom w:val="0"/>
                  <w:divBdr>
                    <w:top w:val="none" w:sz="0" w:space="0" w:color="auto"/>
                    <w:left w:val="none" w:sz="0" w:space="0" w:color="auto"/>
                    <w:bottom w:val="none" w:sz="0" w:space="0" w:color="auto"/>
                    <w:right w:val="none" w:sz="0" w:space="0" w:color="auto"/>
                  </w:divBdr>
                </w:div>
              </w:divsChild>
            </w:div>
            <w:div w:id="1631400734">
              <w:marLeft w:val="0"/>
              <w:marRight w:val="0"/>
              <w:marTop w:val="0"/>
              <w:marBottom w:val="0"/>
              <w:divBdr>
                <w:top w:val="none" w:sz="0" w:space="0" w:color="auto"/>
                <w:left w:val="none" w:sz="0" w:space="0" w:color="auto"/>
                <w:bottom w:val="none" w:sz="0" w:space="0" w:color="auto"/>
                <w:right w:val="none" w:sz="0" w:space="0" w:color="auto"/>
              </w:divBdr>
              <w:divsChild>
                <w:div w:id="419571003">
                  <w:marLeft w:val="0"/>
                  <w:marRight w:val="0"/>
                  <w:marTop w:val="0"/>
                  <w:marBottom w:val="0"/>
                  <w:divBdr>
                    <w:top w:val="none" w:sz="0" w:space="0" w:color="auto"/>
                    <w:left w:val="none" w:sz="0" w:space="0" w:color="auto"/>
                    <w:bottom w:val="none" w:sz="0" w:space="0" w:color="auto"/>
                    <w:right w:val="none" w:sz="0" w:space="0" w:color="auto"/>
                  </w:divBdr>
                </w:div>
              </w:divsChild>
            </w:div>
            <w:div w:id="1189952711">
              <w:marLeft w:val="0"/>
              <w:marRight w:val="0"/>
              <w:marTop w:val="0"/>
              <w:marBottom w:val="0"/>
              <w:divBdr>
                <w:top w:val="none" w:sz="0" w:space="0" w:color="auto"/>
                <w:left w:val="none" w:sz="0" w:space="0" w:color="auto"/>
                <w:bottom w:val="none" w:sz="0" w:space="0" w:color="auto"/>
                <w:right w:val="none" w:sz="0" w:space="0" w:color="auto"/>
              </w:divBdr>
              <w:divsChild>
                <w:div w:id="449714413">
                  <w:marLeft w:val="0"/>
                  <w:marRight w:val="0"/>
                  <w:marTop w:val="0"/>
                  <w:marBottom w:val="0"/>
                  <w:divBdr>
                    <w:top w:val="none" w:sz="0" w:space="0" w:color="auto"/>
                    <w:left w:val="none" w:sz="0" w:space="0" w:color="auto"/>
                    <w:bottom w:val="none" w:sz="0" w:space="0" w:color="auto"/>
                    <w:right w:val="none" w:sz="0" w:space="0" w:color="auto"/>
                  </w:divBdr>
                </w:div>
              </w:divsChild>
            </w:div>
            <w:div w:id="969094302">
              <w:marLeft w:val="0"/>
              <w:marRight w:val="0"/>
              <w:marTop w:val="0"/>
              <w:marBottom w:val="0"/>
              <w:divBdr>
                <w:top w:val="none" w:sz="0" w:space="0" w:color="auto"/>
                <w:left w:val="none" w:sz="0" w:space="0" w:color="auto"/>
                <w:bottom w:val="none" w:sz="0" w:space="0" w:color="auto"/>
                <w:right w:val="none" w:sz="0" w:space="0" w:color="auto"/>
              </w:divBdr>
              <w:divsChild>
                <w:div w:id="1141271734">
                  <w:marLeft w:val="0"/>
                  <w:marRight w:val="0"/>
                  <w:marTop w:val="0"/>
                  <w:marBottom w:val="0"/>
                  <w:divBdr>
                    <w:top w:val="none" w:sz="0" w:space="0" w:color="auto"/>
                    <w:left w:val="none" w:sz="0" w:space="0" w:color="auto"/>
                    <w:bottom w:val="none" w:sz="0" w:space="0" w:color="auto"/>
                    <w:right w:val="none" w:sz="0" w:space="0" w:color="auto"/>
                  </w:divBdr>
                </w:div>
              </w:divsChild>
            </w:div>
            <w:div w:id="1893615542">
              <w:marLeft w:val="0"/>
              <w:marRight w:val="0"/>
              <w:marTop w:val="0"/>
              <w:marBottom w:val="0"/>
              <w:divBdr>
                <w:top w:val="none" w:sz="0" w:space="0" w:color="auto"/>
                <w:left w:val="none" w:sz="0" w:space="0" w:color="auto"/>
                <w:bottom w:val="none" w:sz="0" w:space="0" w:color="auto"/>
                <w:right w:val="none" w:sz="0" w:space="0" w:color="auto"/>
              </w:divBdr>
              <w:divsChild>
                <w:div w:id="494876045">
                  <w:marLeft w:val="0"/>
                  <w:marRight w:val="0"/>
                  <w:marTop w:val="0"/>
                  <w:marBottom w:val="0"/>
                  <w:divBdr>
                    <w:top w:val="none" w:sz="0" w:space="0" w:color="auto"/>
                    <w:left w:val="none" w:sz="0" w:space="0" w:color="auto"/>
                    <w:bottom w:val="none" w:sz="0" w:space="0" w:color="auto"/>
                    <w:right w:val="none" w:sz="0" w:space="0" w:color="auto"/>
                  </w:divBdr>
                </w:div>
              </w:divsChild>
            </w:div>
            <w:div w:id="442461517">
              <w:marLeft w:val="0"/>
              <w:marRight w:val="0"/>
              <w:marTop w:val="0"/>
              <w:marBottom w:val="0"/>
              <w:divBdr>
                <w:top w:val="none" w:sz="0" w:space="0" w:color="auto"/>
                <w:left w:val="none" w:sz="0" w:space="0" w:color="auto"/>
                <w:bottom w:val="none" w:sz="0" w:space="0" w:color="auto"/>
                <w:right w:val="none" w:sz="0" w:space="0" w:color="auto"/>
              </w:divBdr>
              <w:divsChild>
                <w:div w:id="727458862">
                  <w:marLeft w:val="0"/>
                  <w:marRight w:val="0"/>
                  <w:marTop w:val="0"/>
                  <w:marBottom w:val="0"/>
                  <w:divBdr>
                    <w:top w:val="none" w:sz="0" w:space="0" w:color="auto"/>
                    <w:left w:val="none" w:sz="0" w:space="0" w:color="auto"/>
                    <w:bottom w:val="none" w:sz="0" w:space="0" w:color="auto"/>
                    <w:right w:val="none" w:sz="0" w:space="0" w:color="auto"/>
                  </w:divBdr>
                </w:div>
              </w:divsChild>
            </w:div>
            <w:div w:id="1386291525">
              <w:marLeft w:val="0"/>
              <w:marRight w:val="0"/>
              <w:marTop w:val="0"/>
              <w:marBottom w:val="0"/>
              <w:divBdr>
                <w:top w:val="none" w:sz="0" w:space="0" w:color="auto"/>
                <w:left w:val="none" w:sz="0" w:space="0" w:color="auto"/>
                <w:bottom w:val="none" w:sz="0" w:space="0" w:color="auto"/>
                <w:right w:val="none" w:sz="0" w:space="0" w:color="auto"/>
              </w:divBdr>
              <w:divsChild>
                <w:div w:id="1118336951">
                  <w:marLeft w:val="0"/>
                  <w:marRight w:val="0"/>
                  <w:marTop w:val="0"/>
                  <w:marBottom w:val="0"/>
                  <w:divBdr>
                    <w:top w:val="none" w:sz="0" w:space="0" w:color="auto"/>
                    <w:left w:val="none" w:sz="0" w:space="0" w:color="auto"/>
                    <w:bottom w:val="none" w:sz="0" w:space="0" w:color="auto"/>
                    <w:right w:val="none" w:sz="0" w:space="0" w:color="auto"/>
                  </w:divBdr>
                </w:div>
              </w:divsChild>
            </w:div>
            <w:div w:id="1564170436">
              <w:marLeft w:val="0"/>
              <w:marRight w:val="0"/>
              <w:marTop w:val="0"/>
              <w:marBottom w:val="0"/>
              <w:divBdr>
                <w:top w:val="none" w:sz="0" w:space="0" w:color="auto"/>
                <w:left w:val="none" w:sz="0" w:space="0" w:color="auto"/>
                <w:bottom w:val="none" w:sz="0" w:space="0" w:color="auto"/>
                <w:right w:val="none" w:sz="0" w:space="0" w:color="auto"/>
              </w:divBdr>
              <w:divsChild>
                <w:div w:id="1808548527">
                  <w:marLeft w:val="0"/>
                  <w:marRight w:val="0"/>
                  <w:marTop w:val="0"/>
                  <w:marBottom w:val="0"/>
                  <w:divBdr>
                    <w:top w:val="none" w:sz="0" w:space="0" w:color="auto"/>
                    <w:left w:val="none" w:sz="0" w:space="0" w:color="auto"/>
                    <w:bottom w:val="none" w:sz="0" w:space="0" w:color="auto"/>
                    <w:right w:val="none" w:sz="0" w:space="0" w:color="auto"/>
                  </w:divBdr>
                </w:div>
              </w:divsChild>
            </w:div>
            <w:div w:id="391857293">
              <w:marLeft w:val="0"/>
              <w:marRight w:val="0"/>
              <w:marTop w:val="0"/>
              <w:marBottom w:val="0"/>
              <w:divBdr>
                <w:top w:val="none" w:sz="0" w:space="0" w:color="auto"/>
                <w:left w:val="none" w:sz="0" w:space="0" w:color="auto"/>
                <w:bottom w:val="none" w:sz="0" w:space="0" w:color="auto"/>
                <w:right w:val="none" w:sz="0" w:space="0" w:color="auto"/>
              </w:divBdr>
              <w:divsChild>
                <w:div w:id="122626645">
                  <w:marLeft w:val="0"/>
                  <w:marRight w:val="0"/>
                  <w:marTop w:val="0"/>
                  <w:marBottom w:val="0"/>
                  <w:divBdr>
                    <w:top w:val="none" w:sz="0" w:space="0" w:color="auto"/>
                    <w:left w:val="none" w:sz="0" w:space="0" w:color="auto"/>
                    <w:bottom w:val="none" w:sz="0" w:space="0" w:color="auto"/>
                    <w:right w:val="none" w:sz="0" w:space="0" w:color="auto"/>
                  </w:divBdr>
                </w:div>
              </w:divsChild>
            </w:div>
            <w:div w:id="175535593">
              <w:marLeft w:val="0"/>
              <w:marRight w:val="0"/>
              <w:marTop w:val="0"/>
              <w:marBottom w:val="0"/>
              <w:divBdr>
                <w:top w:val="none" w:sz="0" w:space="0" w:color="auto"/>
                <w:left w:val="none" w:sz="0" w:space="0" w:color="auto"/>
                <w:bottom w:val="none" w:sz="0" w:space="0" w:color="auto"/>
                <w:right w:val="none" w:sz="0" w:space="0" w:color="auto"/>
              </w:divBdr>
              <w:divsChild>
                <w:div w:id="1790003098">
                  <w:marLeft w:val="0"/>
                  <w:marRight w:val="0"/>
                  <w:marTop w:val="0"/>
                  <w:marBottom w:val="0"/>
                  <w:divBdr>
                    <w:top w:val="none" w:sz="0" w:space="0" w:color="auto"/>
                    <w:left w:val="none" w:sz="0" w:space="0" w:color="auto"/>
                    <w:bottom w:val="none" w:sz="0" w:space="0" w:color="auto"/>
                    <w:right w:val="none" w:sz="0" w:space="0" w:color="auto"/>
                  </w:divBdr>
                </w:div>
              </w:divsChild>
            </w:div>
            <w:div w:id="146823044">
              <w:marLeft w:val="0"/>
              <w:marRight w:val="0"/>
              <w:marTop w:val="0"/>
              <w:marBottom w:val="0"/>
              <w:divBdr>
                <w:top w:val="none" w:sz="0" w:space="0" w:color="auto"/>
                <w:left w:val="none" w:sz="0" w:space="0" w:color="auto"/>
                <w:bottom w:val="none" w:sz="0" w:space="0" w:color="auto"/>
                <w:right w:val="none" w:sz="0" w:space="0" w:color="auto"/>
              </w:divBdr>
              <w:divsChild>
                <w:div w:id="654838201">
                  <w:marLeft w:val="0"/>
                  <w:marRight w:val="0"/>
                  <w:marTop w:val="0"/>
                  <w:marBottom w:val="0"/>
                  <w:divBdr>
                    <w:top w:val="none" w:sz="0" w:space="0" w:color="auto"/>
                    <w:left w:val="none" w:sz="0" w:space="0" w:color="auto"/>
                    <w:bottom w:val="none" w:sz="0" w:space="0" w:color="auto"/>
                    <w:right w:val="none" w:sz="0" w:space="0" w:color="auto"/>
                  </w:divBdr>
                </w:div>
              </w:divsChild>
            </w:div>
            <w:div w:id="1559904257">
              <w:marLeft w:val="0"/>
              <w:marRight w:val="0"/>
              <w:marTop w:val="0"/>
              <w:marBottom w:val="0"/>
              <w:divBdr>
                <w:top w:val="none" w:sz="0" w:space="0" w:color="auto"/>
                <w:left w:val="none" w:sz="0" w:space="0" w:color="auto"/>
                <w:bottom w:val="none" w:sz="0" w:space="0" w:color="auto"/>
                <w:right w:val="none" w:sz="0" w:space="0" w:color="auto"/>
              </w:divBdr>
              <w:divsChild>
                <w:div w:id="373234462">
                  <w:marLeft w:val="0"/>
                  <w:marRight w:val="0"/>
                  <w:marTop w:val="0"/>
                  <w:marBottom w:val="0"/>
                  <w:divBdr>
                    <w:top w:val="none" w:sz="0" w:space="0" w:color="auto"/>
                    <w:left w:val="none" w:sz="0" w:space="0" w:color="auto"/>
                    <w:bottom w:val="none" w:sz="0" w:space="0" w:color="auto"/>
                    <w:right w:val="none" w:sz="0" w:space="0" w:color="auto"/>
                  </w:divBdr>
                </w:div>
              </w:divsChild>
            </w:div>
            <w:div w:id="1184321764">
              <w:marLeft w:val="0"/>
              <w:marRight w:val="0"/>
              <w:marTop w:val="0"/>
              <w:marBottom w:val="0"/>
              <w:divBdr>
                <w:top w:val="none" w:sz="0" w:space="0" w:color="auto"/>
                <w:left w:val="none" w:sz="0" w:space="0" w:color="auto"/>
                <w:bottom w:val="none" w:sz="0" w:space="0" w:color="auto"/>
                <w:right w:val="none" w:sz="0" w:space="0" w:color="auto"/>
              </w:divBdr>
              <w:divsChild>
                <w:div w:id="2131320580">
                  <w:marLeft w:val="0"/>
                  <w:marRight w:val="0"/>
                  <w:marTop w:val="0"/>
                  <w:marBottom w:val="0"/>
                  <w:divBdr>
                    <w:top w:val="none" w:sz="0" w:space="0" w:color="auto"/>
                    <w:left w:val="none" w:sz="0" w:space="0" w:color="auto"/>
                    <w:bottom w:val="none" w:sz="0" w:space="0" w:color="auto"/>
                    <w:right w:val="none" w:sz="0" w:space="0" w:color="auto"/>
                  </w:divBdr>
                </w:div>
              </w:divsChild>
            </w:div>
            <w:div w:id="1764376367">
              <w:marLeft w:val="0"/>
              <w:marRight w:val="0"/>
              <w:marTop w:val="0"/>
              <w:marBottom w:val="0"/>
              <w:divBdr>
                <w:top w:val="none" w:sz="0" w:space="0" w:color="auto"/>
                <w:left w:val="none" w:sz="0" w:space="0" w:color="auto"/>
                <w:bottom w:val="none" w:sz="0" w:space="0" w:color="auto"/>
                <w:right w:val="none" w:sz="0" w:space="0" w:color="auto"/>
              </w:divBdr>
              <w:divsChild>
                <w:div w:id="1804347371">
                  <w:marLeft w:val="0"/>
                  <w:marRight w:val="0"/>
                  <w:marTop w:val="0"/>
                  <w:marBottom w:val="0"/>
                  <w:divBdr>
                    <w:top w:val="none" w:sz="0" w:space="0" w:color="auto"/>
                    <w:left w:val="none" w:sz="0" w:space="0" w:color="auto"/>
                    <w:bottom w:val="none" w:sz="0" w:space="0" w:color="auto"/>
                    <w:right w:val="none" w:sz="0" w:space="0" w:color="auto"/>
                  </w:divBdr>
                </w:div>
              </w:divsChild>
            </w:div>
            <w:div w:id="1937977004">
              <w:marLeft w:val="0"/>
              <w:marRight w:val="0"/>
              <w:marTop w:val="0"/>
              <w:marBottom w:val="0"/>
              <w:divBdr>
                <w:top w:val="none" w:sz="0" w:space="0" w:color="auto"/>
                <w:left w:val="none" w:sz="0" w:space="0" w:color="auto"/>
                <w:bottom w:val="none" w:sz="0" w:space="0" w:color="auto"/>
                <w:right w:val="none" w:sz="0" w:space="0" w:color="auto"/>
              </w:divBdr>
              <w:divsChild>
                <w:div w:id="340160606">
                  <w:marLeft w:val="0"/>
                  <w:marRight w:val="0"/>
                  <w:marTop w:val="0"/>
                  <w:marBottom w:val="0"/>
                  <w:divBdr>
                    <w:top w:val="none" w:sz="0" w:space="0" w:color="auto"/>
                    <w:left w:val="none" w:sz="0" w:space="0" w:color="auto"/>
                    <w:bottom w:val="none" w:sz="0" w:space="0" w:color="auto"/>
                    <w:right w:val="none" w:sz="0" w:space="0" w:color="auto"/>
                  </w:divBdr>
                </w:div>
              </w:divsChild>
            </w:div>
            <w:div w:id="997687060">
              <w:marLeft w:val="0"/>
              <w:marRight w:val="0"/>
              <w:marTop w:val="0"/>
              <w:marBottom w:val="0"/>
              <w:divBdr>
                <w:top w:val="none" w:sz="0" w:space="0" w:color="auto"/>
                <w:left w:val="none" w:sz="0" w:space="0" w:color="auto"/>
                <w:bottom w:val="none" w:sz="0" w:space="0" w:color="auto"/>
                <w:right w:val="none" w:sz="0" w:space="0" w:color="auto"/>
              </w:divBdr>
              <w:divsChild>
                <w:div w:id="208956975">
                  <w:marLeft w:val="0"/>
                  <w:marRight w:val="0"/>
                  <w:marTop w:val="0"/>
                  <w:marBottom w:val="0"/>
                  <w:divBdr>
                    <w:top w:val="none" w:sz="0" w:space="0" w:color="auto"/>
                    <w:left w:val="none" w:sz="0" w:space="0" w:color="auto"/>
                    <w:bottom w:val="none" w:sz="0" w:space="0" w:color="auto"/>
                    <w:right w:val="none" w:sz="0" w:space="0" w:color="auto"/>
                  </w:divBdr>
                </w:div>
              </w:divsChild>
            </w:div>
            <w:div w:id="1150823290">
              <w:marLeft w:val="0"/>
              <w:marRight w:val="0"/>
              <w:marTop w:val="0"/>
              <w:marBottom w:val="0"/>
              <w:divBdr>
                <w:top w:val="none" w:sz="0" w:space="0" w:color="auto"/>
                <w:left w:val="none" w:sz="0" w:space="0" w:color="auto"/>
                <w:bottom w:val="none" w:sz="0" w:space="0" w:color="auto"/>
                <w:right w:val="none" w:sz="0" w:space="0" w:color="auto"/>
              </w:divBdr>
              <w:divsChild>
                <w:div w:id="1525558864">
                  <w:marLeft w:val="0"/>
                  <w:marRight w:val="0"/>
                  <w:marTop w:val="0"/>
                  <w:marBottom w:val="0"/>
                  <w:divBdr>
                    <w:top w:val="none" w:sz="0" w:space="0" w:color="auto"/>
                    <w:left w:val="none" w:sz="0" w:space="0" w:color="auto"/>
                    <w:bottom w:val="none" w:sz="0" w:space="0" w:color="auto"/>
                    <w:right w:val="none" w:sz="0" w:space="0" w:color="auto"/>
                  </w:divBdr>
                </w:div>
              </w:divsChild>
            </w:div>
            <w:div w:id="618025596">
              <w:marLeft w:val="0"/>
              <w:marRight w:val="0"/>
              <w:marTop w:val="0"/>
              <w:marBottom w:val="0"/>
              <w:divBdr>
                <w:top w:val="none" w:sz="0" w:space="0" w:color="auto"/>
                <w:left w:val="none" w:sz="0" w:space="0" w:color="auto"/>
                <w:bottom w:val="none" w:sz="0" w:space="0" w:color="auto"/>
                <w:right w:val="none" w:sz="0" w:space="0" w:color="auto"/>
              </w:divBdr>
              <w:divsChild>
                <w:div w:id="61874272">
                  <w:marLeft w:val="0"/>
                  <w:marRight w:val="0"/>
                  <w:marTop w:val="0"/>
                  <w:marBottom w:val="0"/>
                  <w:divBdr>
                    <w:top w:val="none" w:sz="0" w:space="0" w:color="auto"/>
                    <w:left w:val="none" w:sz="0" w:space="0" w:color="auto"/>
                    <w:bottom w:val="none" w:sz="0" w:space="0" w:color="auto"/>
                    <w:right w:val="none" w:sz="0" w:space="0" w:color="auto"/>
                  </w:divBdr>
                </w:div>
              </w:divsChild>
            </w:div>
            <w:div w:id="1272978331">
              <w:marLeft w:val="0"/>
              <w:marRight w:val="0"/>
              <w:marTop w:val="0"/>
              <w:marBottom w:val="0"/>
              <w:divBdr>
                <w:top w:val="none" w:sz="0" w:space="0" w:color="auto"/>
                <w:left w:val="none" w:sz="0" w:space="0" w:color="auto"/>
                <w:bottom w:val="none" w:sz="0" w:space="0" w:color="auto"/>
                <w:right w:val="none" w:sz="0" w:space="0" w:color="auto"/>
              </w:divBdr>
              <w:divsChild>
                <w:div w:id="540017753">
                  <w:marLeft w:val="0"/>
                  <w:marRight w:val="0"/>
                  <w:marTop w:val="0"/>
                  <w:marBottom w:val="0"/>
                  <w:divBdr>
                    <w:top w:val="none" w:sz="0" w:space="0" w:color="auto"/>
                    <w:left w:val="none" w:sz="0" w:space="0" w:color="auto"/>
                    <w:bottom w:val="none" w:sz="0" w:space="0" w:color="auto"/>
                    <w:right w:val="none" w:sz="0" w:space="0" w:color="auto"/>
                  </w:divBdr>
                </w:div>
              </w:divsChild>
            </w:div>
            <w:div w:id="872574084">
              <w:marLeft w:val="0"/>
              <w:marRight w:val="0"/>
              <w:marTop w:val="0"/>
              <w:marBottom w:val="0"/>
              <w:divBdr>
                <w:top w:val="none" w:sz="0" w:space="0" w:color="auto"/>
                <w:left w:val="none" w:sz="0" w:space="0" w:color="auto"/>
                <w:bottom w:val="none" w:sz="0" w:space="0" w:color="auto"/>
                <w:right w:val="none" w:sz="0" w:space="0" w:color="auto"/>
              </w:divBdr>
              <w:divsChild>
                <w:div w:id="735275764">
                  <w:marLeft w:val="0"/>
                  <w:marRight w:val="0"/>
                  <w:marTop w:val="0"/>
                  <w:marBottom w:val="0"/>
                  <w:divBdr>
                    <w:top w:val="none" w:sz="0" w:space="0" w:color="auto"/>
                    <w:left w:val="none" w:sz="0" w:space="0" w:color="auto"/>
                    <w:bottom w:val="none" w:sz="0" w:space="0" w:color="auto"/>
                    <w:right w:val="none" w:sz="0" w:space="0" w:color="auto"/>
                  </w:divBdr>
                </w:div>
              </w:divsChild>
            </w:div>
            <w:div w:id="944119202">
              <w:marLeft w:val="0"/>
              <w:marRight w:val="0"/>
              <w:marTop w:val="0"/>
              <w:marBottom w:val="0"/>
              <w:divBdr>
                <w:top w:val="none" w:sz="0" w:space="0" w:color="auto"/>
                <w:left w:val="none" w:sz="0" w:space="0" w:color="auto"/>
                <w:bottom w:val="none" w:sz="0" w:space="0" w:color="auto"/>
                <w:right w:val="none" w:sz="0" w:space="0" w:color="auto"/>
              </w:divBdr>
              <w:divsChild>
                <w:div w:id="974333369">
                  <w:marLeft w:val="0"/>
                  <w:marRight w:val="0"/>
                  <w:marTop w:val="0"/>
                  <w:marBottom w:val="0"/>
                  <w:divBdr>
                    <w:top w:val="none" w:sz="0" w:space="0" w:color="auto"/>
                    <w:left w:val="none" w:sz="0" w:space="0" w:color="auto"/>
                    <w:bottom w:val="none" w:sz="0" w:space="0" w:color="auto"/>
                    <w:right w:val="none" w:sz="0" w:space="0" w:color="auto"/>
                  </w:divBdr>
                </w:div>
              </w:divsChild>
            </w:div>
            <w:div w:id="1944917781">
              <w:marLeft w:val="0"/>
              <w:marRight w:val="0"/>
              <w:marTop w:val="0"/>
              <w:marBottom w:val="0"/>
              <w:divBdr>
                <w:top w:val="none" w:sz="0" w:space="0" w:color="auto"/>
                <w:left w:val="none" w:sz="0" w:space="0" w:color="auto"/>
                <w:bottom w:val="none" w:sz="0" w:space="0" w:color="auto"/>
                <w:right w:val="none" w:sz="0" w:space="0" w:color="auto"/>
              </w:divBdr>
              <w:divsChild>
                <w:div w:id="1738701846">
                  <w:marLeft w:val="0"/>
                  <w:marRight w:val="0"/>
                  <w:marTop w:val="0"/>
                  <w:marBottom w:val="0"/>
                  <w:divBdr>
                    <w:top w:val="none" w:sz="0" w:space="0" w:color="auto"/>
                    <w:left w:val="none" w:sz="0" w:space="0" w:color="auto"/>
                    <w:bottom w:val="none" w:sz="0" w:space="0" w:color="auto"/>
                    <w:right w:val="none" w:sz="0" w:space="0" w:color="auto"/>
                  </w:divBdr>
                </w:div>
              </w:divsChild>
            </w:div>
            <w:div w:id="225646808">
              <w:marLeft w:val="0"/>
              <w:marRight w:val="0"/>
              <w:marTop w:val="0"/>
              <w:marBottom w:val="0"/>
              <w:divBdr>
                <w:top w:val="none" w:sz="0" w:space="0" w:color="auto"/>
                <w:left w:val="none" w:sz="0" w:space="0" w:color="auto"/>
                <w:bottom w:val="none" w:sz="0" w:space="0" w:color="auto"/>
                <w:right w:val="none" w:sz="0" w:space="0" w:color="auto"/>
              </w:divBdr>
              <w:divsChild>
                <w:div w:id="439880134">
                  <w:marLeft w:val="0"/>
                  <w:marRight w:val="0"/>
                  <w:marTop w:val="0"/>
                  <w:marBottom w:val="0"/>
                  <w:divBdr>
                    <w:top w:val="none" w:sz="0" w:space="0" w:color="auto"/>
                    <w:left w:val="none" w:sz="0" w:space="0" w:color="auto"/>
                    <w:bottom w:val="none" w:sz="0" w:space="0" w:color="auto"/>
                    <w:right w:val="none" w:sz="0" w:space="0" w:color="auto"/>
                  </w:divBdr>
                </w:div>
              </w:divsChild>
            </w:div>
            <w:div w:id="996374743">
              <w:marLeft w:val="0"/>
              <w:marRight w:val="0"/>
              <w:marTop w:val="0"/>
              <w:marBottom w:val="0"/>
              <w:divBdr>
                <w:top w:val="none" w:sz="0" w:space="0" w:color="auto"/>
                <w:left w:val="none" w:sz="0" w:space="0" w:color="auto"/>
                <w:bottom w:val="none" w:sz="0" w:space="0" w:color="auto"/>
                <w:right w:val="none" w:sz="0" w:space="0" w:color="auto"/>
              </w:divBdr>
              <w:divsChild>
                <w:div w:id="819879887">
                  <w:marLeft w:val="0"/>
                  <w:marRight w:val="0"/>
                  <w:marTop w:val="0"/>
                  <w:marBottom w:val="0"/>
                  <w:divBdr>
                    <w:top w:val="none" w:sz="0" w:space="0" w:color="auto"/>
                    <w:left w:val="none" w:sz="0" w:space="0" w:color="auto"/>
                    <w:bottom w:val="none" w:sz="0" w:space="0" w:color="auto"/>
                    <w:right w:val="none" w:sz="0" w:space="0" w:color="auto"/>
                  </w:divBdr>
                </w:div>
              </w:divsChild>
            </w:div>
            <w:div w:id="1815180136">
              <w:marLeft w:val="0"/>
              <w:marRight w:val="0"/>
              <w:marTop w:val="0"/>
              <w:marBottom w:val="0"/>
              <w:divBdr>
                <w:top w:val="none" w:sz="0" w:space="0" w:color="auto"/>
                <w:left w:val="none" w:sz="0" w:space="0" w:color="auto"/>
                <w:bottom w:val="none" w:sz="0" w:space="0" w:color="auto"/>
                <w:right w:val="none" w:sz="0" w:space="0" w:color="auto"/>
              </w:divBdr>
              <w:divsChild>
                <w:div w:id="178586937">
                  <w:marLeft w:val="0"/>
                  <w:marRight w:val="0"/>
                  <w:marTop w:val="0"/>
                  <w:marBottom w:val="0"/>
                  <w:divBdr>
                    <w:top w:val="none" w:sz="0" w:space="0" w:color="auto"/>
                    <w:left w:val="none" w:sz="0" w:space="0" w:color="auto"/>
                    <w:bottom w:val="none" w:sz="0" w:space="0" w:color="auto"/>
                    <w:right w:val="none" w:sz="0" w:space="0" w:color="auto"/>
                  </w:divBdr>
                </w:div>
              </w:divsChild>
            </w:div>
            <w:div w:id="345907618">
              <w:marLeft w:val="0"/>
              <w:marRight w:val="0"/>
              <w:marTop w:val="0"/>
              <w:marBottom w:val="0"/>
              <w:divBdr>
                <w:top w:val="none" w:sz="0" w:space="0" w:color="auto"/>
                <w:left w:val="none" w:sz="0" w:space="0" w:color="auto"/>
                <w:bottom w:val="none" w:sz="0" w:space="0" w:color="auto"/>
                <w:right w:val="none" w:sz="0" w:space="0" w:color="auto"/>
              </w:divBdr>
              <w:divsChild>
                <w:div w:id="165948116">
                  <w:marLeft w:val="0"/>
                  <w:marRight w:val="0"/>
                  <w:marTop w:val="0"/>
                  <w:marBottom w:val="0"/>
                  <w:divBdr>
                    <w:top w:val="none" w:sz="0" w:space="0" w:color="auto"/>
                    <w:left w:val="none" w:sz="0" w:space="0" w:color="auto"/>
                    <w:bottom w:val="none" w:sz="0" w:space="0" w:color="auto"/>
                    <w:right w:val="none" w:sz="0" w:space="0" w:color="auto"/>
                  </w:divBdr>
                </w:div>
              </w:divsChild>
            </w:div>
            <w:div w:id="1259018259">
              <w:marLeft w:val="0"/>
              <w:marRight w:val="0"/>
              <w:marTop w:val="0"/>
              <w:marBottom w:val="0"/>
              <w:divBdr>
                <w:top w:val="none" w:sz="0" w:space="0" w:color="auto"/>
                <w:left w:val="none" w:sz="0" w:space="0" w:color="auto"/>
                <w:bottom w:val="none" w:sz="0" w:space="0" w:color="auto"/>
                <w:right w:val="none" w:sz="0" w:space="0" w:color="auto"/>
              </w:divBdr>
              <w:divsChild>
                <w:div w:id="1680082476">
                  <w:marLeft w:val="0"/>
                  <w:marRight w:val="0"/>
                  <w:marTop w:val="0"/>
                  <w:marBottom w:val="0"/>
                  <w:divBdr>
                    <w:top w:val="none" w:sz="0" w:space="0" w:color="auto"/>
                    <w:left w:val="none" w:sz="0" w:space="0" w:color="auto"/>
                    <w:bottom w:val="none" w:sz="0" w:space="0" w:color="auto"/>
                    <w:right w:val="none" w:sz="0" w:space="0" w:color="auto"/>
                  </w:divBdr>
                </w:div>
              </w:divsChild>
            </w:div>
            <w:div w:id="897396105">
              <w:marLeft w:val="0"/>
              <w:marRight w:val="0"/>
              <w:marTop w:val="0"/>
              <w:marBottom w:val="0"/>
              <w:divBdr>
                <w:top w:val="none" w:sz="0" w:space="0" w:color="auto"/>
                <w:left w:val="none" w:sz="0" w:space="0" w:color="auto"/>
                <w:bottom w:val="none" w:sz="0" w:space="0" w:color="auto"/>
                <w:right w:val="none" w:sz="0" w:space="0" w:color="auto"/>
              </w:divBdr>
              <w:divsChild>
                <w:div w:id="261498604">
                  <w:marLeft w:val="0"/>
                  <w:marRight w:val="0"/>
                  <w:marTop w:val="0"/>
                  <w:marBottom w:val="0"/>
                  <w:divBdr>
                    <w:top w:val="none" w:sz="0" w:space="0" w:color="auto"/>
                    <w:left w:val="none" w:sz="0" w:space="0" w:color="auto"/>
                    <w:bottom w:val="none" w:sz="0" w:space="0" w:color="auto"/>
                    <w:right w:val="none" w:sz="0" w:space="0" w:color="auto"/>
                  </w:divBdr>
                </w:div>
              </w:divsChild>
            </w:div>
            <w:div w:id="185751605">
              <w:marLeft w:val="0"/>
              <w:marRight w:val="0"/>
              <w:marTop w:val="0"/>
              <w:marBottom w:val="0"/>
              <w:divBdr>
                <w:top w:val="none" w:sz="0" w:space="0" w:color="auto"/>
                <w:left w:val="none" w:sz="0" w:space="0" w:color="auto"/>
                <w:bottom w:val="none" w:sz="0" w:space="0" w:color="auto"/>
                <w:right w:val="none" w:sz="0" w:space="0" w:color="auto"/>
              </w:divBdr>
              <w:divsChild>
                <w:div w:id="59835963">
                  <w:marLeft w:val="0"/>
                  <w:marRight w:val="0"/>
                  <w:marTop w:val="0"/>
                  <w:marBottom w:val="0"/>
                  <w:divBdr>
                    <w:top w:val="none" w:sz="0" w:space="0" w:color="auto"/>
                    <w:left w:val="none" w:sz="0" w:space="0" w:color="auto"/>
                    <w:bottom w:val="none" w:sz="0" w:space="0" w:color="auto"/>
                    <w:right w:val="none" w:sz="0" w:space="0" w:color="auto"/>
                  </w:divBdr>
                </w:div>
              </w:divsChild>
            </w:div>
            <w:div w:id="41446026">
              <w:marLeft w:val="0"/>
              <w:marRight w:val="0"/>
              <w:marTop w:val="0"/>
              <w:marBottom w:val="0"/>
              <w:divBdr>
                <w:top w:val="none" w:sz="0" w:space="0" w:color="auto"/>
                <w:left w:val="none" w:sz="0" w:space="0" w:color="auto"/>
                <w:bottom w:val="none" w:sz="0" w:space="0" w:color="auto"/>
                <w:right w:val="none" w:sz="0" w:space="0" w:color="auto"/>
              </w:divBdr>
              <w:divsChild>
                <w:div w:id="311327362">
                  <w:marLeft w:val="0"/>
                  <w:marRight w:val="0"/>
                  <w:marTop w:val="0"/>
                  <w:marBottom w:val="0"/>
                  <w:divBdr>
                    <w:top w:val="none" w:sz="0" w:space="0" w:color="auto"/>
                    <w:left w:val="none" w:sz="0" w:space="0" w:color="auto"/>
                    <w:bottom w:val="none" w:sz="0" w:space="0" w:color="auto"/>
                    <w:right w:val="none" w:sz="0" w:space="0" w:color="auto"/>
                  </w:divBdr>
                </w:div>
              </w:divsChild>
            </w:div>
            <w:div w:id="1919173759">
              <w:marLeft w:val="0"/>
              <w:marRight w:val="0"/>
              <w:marTop w:val="0"/>
              <w:marBottom w:val="0"/>
              <w:divBdr>
                <w:top w:val="none" w:sz="0" w:space="0" w:color="auto"/>
                <w:left w:val="none" w:sz="0" w:space="0" w:color="auto"/>
                <w:bottom w:val="none" w:sz="0" w:space="0" w:color="auto"/>
                <w:right w:val="none" w:sz="0" w:space="0" w:color="auto"/>
              </w:divBdr>
              <w:divsChild>
                <w:div w:id="1598709393">
                  <w:marLeft w:val="0"/>
                  <w:marRight w:val="0"/>
                  <w:marTop w:val="0"/>
                  <w:marBottom w:val="0"/>
                  <w:divBdr>
                    <w:top w:val="none" w:sz="0" w:space="0" w:color="auto"/>
                    <w:left w:val="none" w:sz="0" w:space="0" w:color="auto"/>
                    <w:bottom w:val="none" w:sz="0" w:space="0" w:color="auto"/>
                    <w:right w:val="none" w:sz="0" w:space="0" w:color="auto"/>
                  </w:divBdr>
                </w:div>
              </w:divsChild>
            </w:div>
            <w:div w:id="2060745176">
              <w:marLeft w:val="0"/>
              <w:marRight w:val="0"/>
              <w:marTop w:val="0"/>
              <w:marBottom w:val="0"/>
              <w:divBdr>
                <w:top w:val="none" w:sz="0" w:space="0" w:color="auto"/>
                <w:left w:val="none" w:sz="0" w:space="0" w:color="auto"/>
                <w:bottom w:val="none" w:sz="0" w:space="0" w:color="auto"/>
                <w:right w:val="none" w:sz="0" w:space="0" w:color="auto"/>
              </w:divBdr>
              <w:divsChild>
                <w:div w:id="1605575449">
                  <w:marLeft w:val="0"/>
                  <w:marRight w:val="0"/>
                  <w:marTop w:val="0"/>
                  <w:marBottom w:val="0"/>
                  <w:divBdr>
                    <w:top w:val="none" w:sz="0" w:space="0" w:color="auto"/>
                    <w:left w:val="none" w:sz="0" w:space="0" w:color="auto"/>
                    <w:bottom w:val="none" w:sz="0" w:space="0" w:color="auto"/>
                    <w:right w:val="none" w:sz="0" w:space="0" w:color="auto"/>
                  </w:divBdr>
                </w:div>
              </w:divsChild>
            </w:div>
            <w:div w:id="919095983">
              <w:marLeft w:val="0"/>
              <w:marRight w:val="0"/>
              <w:marTop w:val="0"/>
              <w:marBottom w:val="0"/>
              <w:divBdr>
                <w:top w:val="none" w:sz="0" w:space="0" w:color="auto"/>
                <w:left w:val="none" w:sz="0" w:space="0" w:color="auto"/>
                <w:bottom w:val="none" w:sz="0" w:space="0" w:color="auto"/>
                <w:right w:val="none" w:sz="0" w:space="0" w:color="auto"/>
              </w:divBdr>
              <w:divsChild>
                <w:div w:id="71439226">
                  <w:marLeft w:val="0"/>
                  <w:marRight w:val="0"/>
                  <w:marTop w:val="0"/>
                  <w:marBottom w:val="0"/>
                  <w:divBdr>
                    <w:top w:val="none" w:sz="0" w:space="0" w:color="auto"/>
                    <w:left w:val="none" w:sz="0" w:space="0" w:color="auto"/>
                    <w:bottom w:val="none" w:sz="0" w:space="0" w:color="auto"/>
                    <w:right w:val="none" w:sz="0" w:space="0" w:color="auto"/>
                  </w:divBdr>
                </w:div>
              </w:divsChild>
            </w:div>
            <w:div w:id="2027822520">
              <w:marLeft w:val="0"/>
              <w:marRight w:val="0"/>
              <w:marTop w:val="0"/>
              <w:marBottom w:val="0"/>
              <w:divBdr>
                <w:top w:val="none" w:sz="0" w:space="0" w:color="auto"/>
                <w:left w:val="none" w:sz="0" w:space="0" w:color="auto"/>
                <w:bottom w:val="none" w:sz="0" w:space="0" w:color="auto"/>
                <w:right w:val="none" w:sz="0" w:space="0" w:color="auto"/>
              </w:divBdr>
              <w:divsChild>
                <w:div w:id="903956688">
                  <w:marLeft w:val="0"/>
                  <w:marRight w:val="0"/>
                  <w:marTop w:val="0"/>
                  <w:marBottom w:val="0"/>
                  <w:divBdr>
                    <w:top w:val="none" w:sz="0" w:space="0" w:color="auto"/>
                    <w:left w:val="none" w:sz="0" w:space="0" w:color="auto"/>
                    <w:bottom w:val="none" w:sz="0" w:space="0" w:color="auto"/>
                    <w:right w:val="none" w:sz="0" w:space="0" w:color="auto"/>
                  </w:divBdr>
                </w:div>
              </w:divsChild>
            </w:div>
            <w:div w:id="822351869">
              <w:marLeft w:val="0"/>
              <w:marRight w:val="0"/>
              <w:marTop w:val="0"/>
              <w:marBottom w:val="0"/>
              <w:divBdr>
                <w:top w:val="none" w:sz="0" w:space="0" w:color="auto"/>
                <w:left w:val="none" w:sz="0" w:space="0" w:color="auto"/>
                <w:bottom w:val="none" w:sz="0" w:space="0" w:color="auto"/>
                <w:right w:val="none" w:sz="0" w:space="0" w:color="auto"/>
              </w:divBdr>
              <w:divsChild>
                <w:div w:id="463817077">
                  <w:marLeft w:val="0"/>
                  <w:marRight w:val="0"/>
                  <w:marTop w:val="0"/>
                  <w:marBottom w:val="0"/>
                  <w:divBdr>
                    <w:top w:val="none" w:sz="0" w:space="0" w:color="auto"/>
                    <w:left w:val="none" w:sz="0" w:space="0" w:color="auto"/>
                    <w:bottom w:val="none" w:sz="0" w:space="0" w:color="auto"/>
                    <w:right w:val="none" w:sz="0" w:space="0" w:color="auto"/>
                  </w:divBdr>
                </w:div>
              </w:divsChild>
            </w:div>
            <w:div w:id="1165634991">
              <w:marLeft w:val="0"/>
              <w:marRight w:val="0"/>
              <w:marTop w:val="0"/>
              <w:marBottom w:val="0"/>
              <w:divBdr>
                <w:top w:val="none" w:sz="0" w:space="0" w:color="auto"/>
                <w:left w:val="none" w:sz="0" w:space="0" w:color="auto"/>
                <w:bottom w:val="none" w:sz="0" w:space="0" w:color="auto"/>
                <w:right w:val="none" w:sz="0" w:space="0" w:color="auto"/>
              </w:divBdr>
              <w:divsChild>
                <w:div w:id="1349529955">
                  <w:marLeft w:val="0"/>
                  <w:marRight w:val="0"/>
                  <w:marTop w:val="0"/>
                  <w:marBottom w:val="0"/>
                  <w:divBdr>
                    <w:top w:val="none" w:sz="0" w:space="0" w:color="auto"/>
                    <w:left w:val="none" w:sz="0" w:space="0" w:color="auto"/>
                    <w:bottom w:val="none" w:sz="0" w:space="0" w:color="auto"/>
                    <w:right w:val="none" w:sz="0" w:space="0" w:color="auto"/>
                  </w:divBdr>
                </w:div>
              </w:divsChild>
            </w:div>
            <w:div w:id="1596743870">
              <w:marLeft w:val="0"/>
              <w:marRight w:val="0"/>
              <w:marTop w:val="0"/>
              <w:marBottom w:val="0"/>
              <w:divBdr>
                <w:top w:val="none" w:sz="0" w:space="0" w:color="auto"/>
                <w:left w:val="none" w:sz="0" w:space="0" w:color="auto"/>
                <w:bottom w:val="none" w:sz="0" w:space="0" w:color="auto"/>
                <w:right w:val="none" w:sz="0" w:space="0" w:color="auto"/>
              </w:divBdr>
              <w:divsChild>
                <w:div w:id="368605512">
                  <w:marLeft w:val="0"/>
                  <w:marRight w:val="0"/>
                  <w:marTop w:val="0"/>
                  <w:marBottom w:val="0"/>
                  <w:divBdr>
                    <w:top w:val="none" w:sz="0" w:space="0" w:color="auto"/>
                    <w:left w:val="none" w:sz="0" w:space="0" w:color="auto"/>
                    <w:bottom w:val="none" w:sz="0" w:space="0" w:color="auto"/>
                    <w:right w:val="none" w:sz="0" w:space="0" w:color="auto"/>
                  </w:divBdr>
                </w:div>
              </w:divsChild>
            </w:div>
            <w:div w:id="1696034980">
              <w:marLeft w:val="0"/>
              <w:marRight w:val="0"/>
              <w:marTop w:val="0"/>
              <w:marBottom w:val="0"/>
              <w:divBdr>
                <w:top w:val="none" w:sz="0" w:space="0" w:color="auto"/>
                <w:left w:val="none" w:sz="0" w:space="0" w:color="auto"/>
                <w:bottom w:val="none" w:sz="0" w:space="0" w:color="auto"/>
                <w:right w:val="none" w:sz="0" w:space="0" w:color="auto"/>
              </w:divBdr>
              <w:divsChild>
                <w:div w:id="90589518">
                  <w:marLeft w:val="0"/>
                  <w:marRight w:val="0"/>
                  <w:marTop w:val="0"/>
                  <w:marBottom w:val="0"/>
                  <w:divBdr>
                    <w:top w:val="none" w:sz="0" w:space="0" w:color="auto"/>
                    <w:left w:val="none" w:sz="0" w:space="0" w:color="auto"/>
                    <w:bottom w:val="none" w:sz="0" w:space="0" w:color="auto"/>
                    <w:right w:val="none" w:sz="0" w:space="0" w:color="auto"/>
                  </w:divBdr>
                </w:div>
              </w:divsChild>
            </w:div>
            <w:div w:id="306937025">
              <w:marLeft w:val="0"/>
              <w:marRight w:val="0"/>
              <w:marTop w:val="0"/>
              <w:marBottom w:val="0"/>
              <w:divBdr>
                <w:top w:val="none" w:sz="0" w:space="0" w:color="auto"/>
                <w:left w:val="none" w:sz="0" w:space="0" w:color="auto"/>
                <w:bottom w:val="none" w:sz="0" w:space="0" w:color="auto"/>
                <w:right w:val="none" w:sz="0" w:space="0" w:color="auto"/>
              </w:divBdr>
              <w:divsChild>
                <w:div w:id="1557081749">
                  <w:marLeft w:val="0"/>
                  <w:marRight w:val="0"/>
                  <w:marTop w:val="0"/>
                  <w:marBottom w:val="0"/>
                  <w:divBdr>
                    <w:top w:val="none" w:sz="0" w:space="0" w:color="auto"/>
                    <w:left w:val="none" w:sz="0" w:space="0" w:color="auto"/>
                    <w:bottom w:val="none" w:sz="0" w:space="0" w:color="auto"/>
                    <w:right w:val="none" w:sz="0" w:space="0" w:color="auto"/>
                  </w:divBdr>
                </w:div>
              </w:divsChild>
            </w:div>
            <w:div w:id="1817183798">
              <w:marLeft w:val="0"/>
              <w:marRight w:val="0"/>
              <w:marTop w:val="0"/>
              <w:marBottom w:val="0"/>
              <w:divBdr>
                <w:top w:val="none" w:sz="0" w:space="0" w:color="auto"/>
                <w:left w:val="none" w:sz="0" w:space="0" w:color="auto"/>
                <w:bottom w:val="none" w:sz="0" w:space="0" w:color="auto"/>
                <w:right w:val="none" w:sz="0" w:space="0" w:color="auto"/>
              </w:divBdr>
              <w:divsChild>
                <w:div w:id="472677731">
                  <w:marLeft w:val="0"/>
                  <w:marRight w:val="0"/>
                  <w:marTop w:val="0"/>
                  <w:marBottom w:val="0"/>
                  <w:divBdr>
                    <w:top w:val="none" w:sz="0" w:space="0" w:color="auto"/>
                    <w:left w:val="none" w:sz="0" w:space="0" w:color="auto"/>
                    <w:bottom w:val="none" w:sz="0" w:space="0" w:color="auto"/>
                    <w:right w:val="none" w:sz="0" w:space="0" w:color="auto"/>
                  </w:divBdr>
                </w:div>
              </w:divsChild>
            </w:div>
            <w:div w:id="1802263413">
              <w:marLeft w:val="0"/>
              <w:marRight w:val="0"/>
              <w:marTop w:val="0"/>
              <w:marBottom w:val="0"/>
              <w:divBdr>
                <w:top w:val="none" w:sz="0" w:space="0" w:color="auto"/>
                <w:left w:val="none" w:sz="0" w:space="0" w:color="auto"/>
                <w:bottom w:val="none" w:sz="0" w:space="0" w:color="auto"/>
                <w:right w:val="none" w:sz="0" w:space="0" w:color="auto"/>
              </w:divBdr>
              <w:divsChild>
                <w:div w:id="1571883835">
                  <w:marLeft w:val="0"/>
                  <w:marRight w:val="0"/>
                  <w:marTop w:val="0"/>
                  <w:marBottom w:val="0"/>
                  <w:divBdr>
                    <w:top w:val="none" w:sz="0" w:space="0" w:color="auto"/>
                    <w:left w:val="none" w:sz="0" w:space="0" w:color="auto"/>
                    <w:bottom w:val="none" w:sz="0" w:space="0" w:color="auto"/>
                    <w:right w:val="none" w:sz="0" w:space="0" w:color="auto"/>
                  </w:divBdr>
                </w:div>
              </w:divsChild>
            </w:div>
            <w:div w:id="753480407">
              <w:marLeft w:val="0"/>
              <w:marRight w:val="0"/>
              <w:marTop w:val="0"/>
              <w:marBottom w:val="0"/>
              <w:divBdr>
                <w:top w:val="none" w:sz="0" w:space="0" w:color="auto"/>
                <w:left w:val="none" w:sz="0" w:space="0" w:color="auto"/>
                <w:bottom w:val="none" w:sz="0" w:space="0" w:color="auto"/>
                <w:right w:val="none" w:sz="0" w:space="0" w:color="auto"/>
              </w:divBdr>
              <w:divsChild>
                <w:div w:id="1073550842">
                  <w:marLeft w:val="0"/>
                  <w:marRight w:val="0"/>
                  <w:marTop w:val="0"/>
                  <w:marBottom w:val="0"/>
                  <w:divBdr>
                    <w:top w:val="none" w:sz="0" w:space="0" w:color="auto"/>
                    <w:left w:val="none" w:sz="0" w:space="0" w:color="auto"/>
                    <w:bottom w:val="none" w:sz="0" w:space="0" w:color="auto"/>
                    <w:right w:val="none" w:sz="0" w:space="0" w:color="auto"/>
                  </w:divBdr>
                </w:div>
              </w:divsChild>
            </w:div>
            <w:div w:id="98305909">
              <w:marLeft w:val="0"/>
              <w:marRight w:val="0"/>
              <w:marTop w:val="0"/>
              <w:marBottom w:val="0"/>
              <w:divBdr>
                <w:top w:val="none" w:sz="0" w:space="0" w:color="auto"/>
                <w:left w:val="none" w:sz="0" w:space="0" w:color="auto"/>
                <w:bottom w:val="none" w:sz="0" w:space="0" w:color="auto"/>
                <w:right w:val="none" w:sz="0" w:space="0" w:color="auto"/>
              </w:divBdr>
              <w:divsChild>
                <w:div w:id="2113041970">
                  <w:marLeft w:val="0"/>
                  <w:marRight w:val="0"/>
                  <w:marTop w:val="0"/>
                  <w:marBottom w:val="0"/>
                  <w:divBdr>
                    <w:top w:val="none" w:sz="0" w:space="0" w:color="auto"/>
                    <w:left w:val="none" w:sz="0" w:space="0" w:color="auto"/>
                    <w:bottom w:val="none" w:sz="0" w:space="0" w:color="auto"/>
                    <w:right w:val="none" w:sz="0" w:space="0" w:color="auto"/>
                  </w:divBdr>
                </w:div>
              </w:divsChild>
            </w:div>
            <w:div w:id="57288163">
              <w:marLeft w:val="0"/>
              <w:marRight w:val="0"/>
              <w:marTop w:val="0"/>
              <w:marBottom w:val="0"/>
              <w:divBdr>
                <w:top w:val="none" w:sz="0" w:space="0" w:color="auto"/>
                <w:left w:val="none" w:sz="0" w:space="0" w:color="auto"/>
                <w:bottom w:val="none" w:sz="0" w:space="0" w:color="auto"/>
                <w:right w:val="none" w:sz="0" w:space="0" w:color="auto"/>
              </w:divBdr>
              <w:divsChild>
                <w:div w:id="192117792">
                  <w:marLeft w:val="0"/>
                  <w:marRight w:val="0"/>
                  <w:marTop w:val="0"/>
                  <w:marBottom w:val="0"/>
                  <w:divBdr>
                    <w:top w:val="none" w:sz="0" w:space="0" w:color="auto"/>
                    <w:left w:val="none" w:sz="0" w:space="0" w:color="auto"/>
                    <w:bottom w:val="none" w:sz="0" w:space="0" w:color="auto"/>
                    <w:right w:val="none" w:sz="0" w:space="0" w:color="auto"/>
                  </w:divBdr>
                </w:div>
              </w:divsChild>
            </w:div>
            <w:div w:id="1262687859">
              <w:marLeft w:val="0"/>
              <w:marRight w:val="0"/>
              <w:marTop w:val="0"/>
              <w:marBottom w:val="0"/>
              <w:divBdr>
                <w:top w:val="none" w:sz="0" w:space="0" w:color="auto"/>
                <w:left w:val="none" w:sz="0" w:space="0" w:color="auto"/>
                <w:bottom w:val="none" w:sz="0" w:space="0" w:color="auto"/>
                <w:right w:val="none" w:sz="0" w:space="0" w:color="auto"/>
              </w:divBdr>
              <w:divsChild>
                <w:div w:id="160197294">
                  <w:marLeft w:val="0"/>
                  <w:marRight w:val="0"/>
                  <w:marTop w:val="0"/>
                  <w:marBottom w:val="0"/>
                  <w:divBdr>
                    <w:top w:val="none" w:sz="0" w:space="0" w:color="auto"/>
                    <w:left w:val="none" w:sz="0" w:space="0" w:color="auto"/>
                    <w:bottom w:val="none" w:sz="0" w:space="0" w:color="auto"/>
                    <w:right w:val="none" w:sz="0" w:space="0" w:color="auto"/>
                  </w:divBdr>
                </w:div>
              </w:divsChild>
            </w:div>
            <w:div w:id="1651246428">
              <w:marLeft w:val="0"/>
              <w:marRight w:val="0"/>
              <w:marTop w:val="0"/>
              <w:marBottom w:val="0"/>
              <w:divBdr>
                <w:top w:val="none" w:sz="0" w:space="0" w:color="auto"/>
                <w:left w:val="none" w:sz="0" w:space="0" w:color="auto"/>
                <w:bottom w:val="none" w:sz="0" w:space="0" w:color="auto"/>
                <w:right w:val="none" w:sz="0" w:space="0" w:color="auto"/>
              </w:divBdr>
              <w:divsChild>
                <w:div w:id="1201821234">
                  <w:marLeft w:val="0"/>
                  <w:marRight w:val="0"/>
                  <w:marTop w:val="0"/>
                  <w:marBottom w:val="0"/>
                  <w:divBdr>
                    <w:top w:val="none" w:sz="0" w:space="0" w:color="auto"/>
                    <w:left w:val="none" w:sz="0" w:space="0" w:color="auto"/>
                    <w:bottom w:val="none" w:sz="0" w:space="0" w:color="auto"/>
                    <w:right w:val="none" w:sz="0" w:space="0" w:color="auto"/>
                  </w:divBdr>
                </w:div>
              </w:divsChild>
            </w:div>
            <w:div w:id="1625191424">
              <w:marLeft w:val="0"/>
              <w:marRight w:val="0"/>
              <w:marTop w:val="0"/>
              <w:marBottom w:val="0"/>
              <w:divBdr>
                <w:top w:val="none" w:sz="0" w:space="0" w:color="auto"/>
                <w:left w:val="none" w:sz="0" w:space="0" w:color="auto"/>
                <w:bottom w:val="none" w:sz="0" w:space="0" w:color="auto"/>
                <w:right w:val="none" w:sz="0" w:space="0" w:color="auto"/>
              </w:divBdr>
              <w:divsChild>
                <w:div w:id="330304859">
                  <w:marLeft w:val="0"/>
                  <w:marRight w:val="0"/>
                  <w:marTop w:val="0"/>
                  <w:marBottom w:val="0"/>
                  <w:divBdr>
                    <w:top w:val="none" w:sz="0" w:space="0" w:color="auto"/>
                    <w:left w:val="none" w:sz="0" w:space="0" w:color="auto"/>
                    <w:bottom w:val="none" w:sz="0" w:space="0" w:color="auto"/>
                    <w:right w:val="none" w:sz="0" w:space="0" w:color="auto"/>
                  </w:divBdr>
                </w:div>
              </w:divsChild>
            </w:div>
            <w:div w:id="129444131">
              <w:marLeft w:val="0"/>
              <w:marRight w:val="0"/>
              <w:marTop w:val="0"/>
              <w:marBottom w:val="0"/>
              <w:divBdr>
                <w:top w:val="none" w:sz="0" w:space="0" w:color="auto"/>
                <w:left w:val="none" w:sz="0" w:space="0" w:color="auto"/>
                <w:bottom w:val="none" w:sz="0" w:space="0" w:color="auto"/>
                <w:right w:val="none" w:sz="0" w:space="0" w:color="auto"/>
              </w:divBdr>
              <w:divsChild>
                <w:div w:id="1348750598">
                  <w:marLeft w:val="0"/>
                  <w:marRight w:val="0"/>
                  <w:marTop w:val="0"/>
                  <w:marBottom w:val="0"/>
                  <w:divBdr>
                    <w:top w:val="none" w:sz="0" w:space="0" w:color="auto"/>
                    <w:left w:val="none" w:sz="0" w:space="0" w:color="auto"/>
                    <w:bottom w:val="none" w:sz="0" w:space="0" w:color="auto"/>
                    <w:right w:val="none" w:sz="0" w:space="0" w:color="auto"/>
                  </w:divBdr>
                </w:div>
              </w:divsChild>
            </w:div>
            <w:div w:id="590086869">
              <w:marLeft w:val="0"/>
              <w:marRight w:val="0"/>
              <w:marTop w:val="0"/>
              <w:marBottom w:val="0"/>
              <w:divBdr>
                <w:top w:val="none" w:sz="0" w:space="0" w:color="auto"/>
                <w:left w:val="none" w:sz="0" w:space="0" w:color="auto"/>
                <w:bottom w:val="none" w:sz="0" w:space="0" w:color="auto"/>
                <w:right w:val="none" w:sz="0" w:space="0" w:color="auto"/>
              </w:divBdr>
              <w:divsChild>
                <w:div w:id="1107696906">
                  <w:marLeft w:val="0"/>
                  <w:marRight w:val="0"/>
                  <w:marTop w:val="0"/>
                  <w:marBottom w:val="0"/>
                  <w:divBdr>
                    <w:top w:val="none" w:sz="0" w:space="0" w:color="auto"/>
                    <w:left w:val="none" w:sz="0" w:space="0" w:color="auto"/>
                    <w:bottom w:val="none" w:sz="0" w:space="0" w:color="auto"/>
                    <w:right w:val="none" w:sz="0" w:space="0" w:color="auto"/>
                  </w:divBdr>
                </w:div>
              </w:divsChild>
            </w:div>
            <w:div w:id="1250773739">
              <w:marLeft w:val="0"/>
              <w:marRight w:val="0"/>
              <w:marTop w:val="0"/>
              <w:marBottom w:val="0"/>
              <w:divBdr>
                <w:top w:val="none" w:sz="0" w:space="0" w:color="auto"/>
                <w:left w:val="none" w:sz="0" w:space="0" w:color="auto"/>
                <w:bottom w:val="none" w:sz="0" w:space="0" w:color="auto"/>
                <w:right w:val="none" w:sz="0" w:space="0" w:color="auto"/>
              </w:divBdr>
              <w:divsChild>
                <w:div w:id="905647271">
                  <w:marLeft w:val="0"/>
                  <w:marRight w:val="0"/>
                  <w:marTop w:val="0"/>
                  <w:marBottom w:val="0"/>
                  <w:divBdr>
                    <w:top w:val="none" w:sz="0" w:space="0" w:color="auto"/>
                    <w:left w:val="none" w:sz="0" w:space="0" w:color="auto"/>
                    <w:bottom w:val="none" w:sz="0" w:space="0" w:color="auto"/>
                    <w:right w:val="none" w:sz="0" w:space="0" w:color="auto"/>
                  </w:divBdr>
                </w:div>
              </w:divsChild>
            </w:div>
            <w:div w:id="806818489">
              <w:marLeft w:val="0"/>
              <w:marRight w:val="0"/>
              <w:marTop w:val="0"/>
              <w:marBottom w:val="0"/>
              <w:divBdr>
                <w:top w:val="none" w:sz="0" w:space="0" w:color="auto"/>
                <w:left w:val="none" w:sz="0" w:space="0" w:color="auto"/>
                <w:bottom w:val="none" w:sz="0" w:space="0" w:color="auto"/>
                <w:right w:val="none" w:sz="0" w:space="0" w:color="auto"/>
              </w:divBdr>
              <w:divsChild>
                <w:div w:id="977105122">
                  <w:marLeft w:val="0"/>
                  <w:marRight w:val="0"/>
                  <w:marTop w:val="0"/>
                  <w:marBottom w:val="0"/>
                  <w:divBdr>
                    <w:top w:val="none" w:sz="0" w:space="0" w:color="auto"/>
                    <w:left w:val="none" w:sz="0" w:space="0" w:color="auto"/>
                    <w:bottom w:val="none" w:sz="0" w:space="0" w:color="auto"/>
                    <w:right w:val="none" w:sz="0" w:space="0" w:color="auto"/>
                  </w:divBdr>
                </w:div>
              </w:divsChild>
            </w:div>
            <w:div w:id="272250999">
              <w:marLeft w:val="0"/>
              <w:marRight w:val="0"/>
              <w:marTop w:val="0"/>
              <w:marBottom w:val="0"/>
              <w:divBdr>
                <w:top w:val="none" w:sz="0" w:space="0" w:color="auto"/>
                <w:left w:val="none" w:sz="0" w:space="0" w:color="auto"/>
                <w:bottom w:val="none" w:sz="0" w:space="0" w:color="auto"/>
                <w:right w:val="none" w:sz="0" w:space="0" w:color="auto"/>
              </w:divBdr>
              <w:divsChild>
                <w:div w:id="1604799680">
                  <w:marLeft w:val="0"/>
                  <w:marRight w:val="0"/>
                  <w:marTop w:val="0"/>
                  <w:marBottom w:val="0"/>
                  <w:divBdr>
                    <w:top w:val="none" w:sz="0" w:space="0" w:color="auto"/>
                    <w:left w:val="none" w:sz="0" w:space="0" w:color="auto"/>
                    <w:bottom w:val="none" w:sz="0" w:space="0" w:color="auto"/>
                    <w:right w:val="none" w:sz="0" w:space="0" w:color="auto"/>
                  </w:divBdr>
                </w:div>
              </w:divsChild>
            </w:div>
            <w:div w:id="44330309">
              <w:marLeft w:val="0"/>
              <w:marRight w:val="0"/>
              <w:marTop w:val="0"/>
              <w:marBottom w:val="0"/>
              <w:divBdr>
                <w:top w:val="none" w:sz="0" w:space="0" w:color="auto"/>
                <w:left w:val="none" w:sz="0" w:space="0" w:color="auto"/>
                <w:bottom w:val="none" w:sz="0" w:space="0" w:color="auto"/>
                <w:right w:val="none" w:sz="0" w:space="0" w:color="auto"/>
              </w:divBdr>
              <w:divsChild>
                <w:div w:id="947471625">
                  <w:marLeft w:val="0"/>
                  <w:marRight w:val="0"/>
                  <w:marTop w:val="0"/>
                  <w:marBottom w:val="0"/>
                  <w:divBdr>
                    <w:top w:val="none" w:sz="0" w:space="0" w:color="auto"/>
                    <w:left w:val="none" w:sz="0" w:space="0" w:color="auto"/>
                    <w:bottom w:val="none" w:sz="0" w:space="0" w:color="auto"/>
                    <w:right w:val="none" w:sz="0" w:space="0" w:color="auto"/>
                  </w:divBdr>
                </w:div>
              </w:divsChild>
            </w:div>
            <w:div w:id="1555508437">
              <w:marLeft w:val="0"/>
              <w:marRight w:val="0"/>
              <w:marTop w:val="0"/>
              <w:marBottom w:val="0"/>
              <w:divBdr>
                <w:top w:val="none" w:sz="0" w:space="0" w:color="auto"/>
                <w:left w:val="none" w:sz="0" w:space="0" w:color="auto"/>
                <w:bottom w:val="none" w:sz="0" w:space="0" w:color="auto"/>
                <w:right w:val="none" w:sz="0" w:space="0" w:color="auto"/>
              </w:divBdr>
              <w:divsChild>
                <w:div w:id="548104942">
                  <w:marLeft w:val="0"/>
                  <w:marRight w:val="0"/>
                  <w:marTop w:val="0"/>
                  <w:marBottom w:val="0"/>
                  <w:divBdr>
                    <w:top w:val="none" w:sz="0" w:space="0" w:color="auto"/>
                    <w:left w:val="none" w:sz="0" w:space="0" w:color="auto"/>
                    <w:bottom w:val="none" w:sz="0" w:space="0" w:color="auto"/>
                    <w:right w:val="none" w:sz="0" w:space="0" w:color="auto"/>
                  </w:divBdr>
                </w:div>
              </w:divsChild>
            </w:div>
            <w:div w:id="511338113">
              <w:marLeft w:val="0"/>
              <w:marRight w:val="0"/>
              <w:marTop w:val="0"/>
              <w:marBottom w:val="0"/>
              <w:divBdr>
                <w:top w:val="none" w:sz="0" w:space="0" w:color="auto"/>
                <w:left w:val="none" w:sz="0" w:space="0" w:color="auto"/>
                <w:bottom w:val="none" w:sz="0" w:space="0" w:color="auto"/>
                <w:right w:val="none" w:sz="0" w:space="0" w:color="auto"/>
              </w:divBdr>
              <w:divsChild>
                <w:div w:id="1839341137">
                  <w:marLeft w:val="0"/>
                  <w:marRight w:val="0"/>
                  <w:marTop w:val="0"/>
                  <w:marBottom w:val="0"/>
                  <w:divBdr>
                    <w:top w:val="none" w:sz="0" w:space="0" w:color="auto"/>
                    <w:left w:val="none" w:sz="0" w:space="0" w:color="auto"/>
                    <w:bottom w:val="none" w:sz="0" w:space="0" w:color="auto"/>
                    <w:right w:val="none" w:sz="0" w:space="0" w:color="auto"/>
                  </w:divBdr>
                </w:div>
              </w:divsChild>
            </w:div>
            <w:div w:id="1623461939">
              <w:marLeft w:val="0"/>
              <w:marRight w:val="0"/>
              <w:marTop w:val="0"/>
              <w:marBottom w:val="0"/>
              <w:divBdr>
                <w:top w:val="none" w:sz="0" w:space="0" w:color="auto"/>
                <w:left w:val="none" w:sz="0" w:space="0" w:color="auto"/>
                <w:bottom w:val="none" w:sz="0" w:space="0" w:color="auto"/>
                <w:right w:val="none" w:sz="0" w:space="0" w:color="auto"/>
              </w:divBdr>
              <w:divsChild>
                <w:div w:id="403187243">
                  <w:marLeft w:val="0"/>
                  <w:marRight w:val="0"/>
                  <w:marTop w:val="0"/>
                  <w:marBottom w:val="0"/>
                  <w:divBdr>
                    <w:top w:val="none" w:sz="0" w:space="0" w:color="auto"/>
                    <w:left w:val="none" w:sz="0" w:space="0" w:color="auto"/>
                    <w:bottom w:val="none" w:sz="0" w:space="0" w:color="auto"/>
                    <w:right w:val="none" w:sz="0" w:space="0" w:color="auto"/>
                  </w:divBdr>
                </w:div>
              </w:divsChild>
            </w:div>
            <w:div w:id="2094429209">
              <w:marLeft w:val="0"/>
              <w:marRight w:val="0"/>
              <w:marTop w:val="0"/>
              <w:marBottom w:val="0"/>
              <w:divBdr>
                <w:top w:val="none" w:sz="0" w:space="0" w:color="auto"/>
                <w:left w:val="none" w:sz="0" w:space="0" w:color="auto"/>
                <w:bottom w:val="none" w:sz="0" w:space="0" w:color="auto"/>
                <w:right w:val="none" w:sz="0" w:space="0" w:color="auto"/>
              </w:divBdr>
              <w:divsChild>
                <w:div w:id="2011828125">
                  <w:marLeft w:val="0"/>
                  <w:marRight w:val="0"/>
                  <w:marTop w:val="0"/>
                  <w:marBottom w:val="0"/>
                  <w:divBdr>
                    <w:top w:val="none" w:sz="0" w:space="0" w:color="auto"/>
                    <w:left w:val="none" w:sz="0" w:space="0" w:color="auto"/>
                    <w:bottom w:val="none" w:sz="0" w:space="0" w:color="auto"/>
                    <w:right w:val="none" w:sz="0" w:space="0" w:color="auto"/>
                  </w:divBdr>
                </w:div>
              </w:divsChild>
            </w:div>
            <w:div w:id="1126657300">
              <w:marLeft w:val="0"/>
              <w:marRight w:val="0"/>
              <w:marTop w:val="0"/>
              <w:marBottom w:val="0"/>
              <w:divBdr>
                <w:top w:val="none" w:sz="0" w:space="0" w:color="auto"/>
                <w:left w:val="none" w:sz="0" w:space="0" w:color="auto"/>
                <w:bottom w:val="none" w:sz="0" w:space="0" w:color="auto"/>
                <w:right w:val="none" w:sz="0" w:space="0" w:color="auto"/>
              </w:divBdr>
              <w:divsChild>
                <w:div w:id="2066948303">
                  <w:marLeft w:val="0"/>
                  <w:marRight w:val="0"/>
                  <w:marTop w:val="0"/>
                  <w:marBottom w:val="0"/>
                  <w:divBdr>
                    <w:top w:val="none" w:sz="0" w:space="0" w:color="auto"/>
                    <w:left w:val="none" w:sz="0" w:space="0" w:color="auto"/>
                    <w:bottom w:val="none" w:sz="0" w:space="0" w:color="auto"/>
                    <w:right w:val="none" w:sz="0" w:space="0" w:color="auto"/>
                  </w:divBdr>
                </w:div>
              </w:divsChild>
            </w:div>
            <w:div w:id="942419010">
              <w:marLeft w:val="0"/>
              <w:marRight w:val="0"/>
              <w:marTop w:val="0"/>
              <w:marBottom w:val="0"/>
              <w:divBdr>
                <w:top w:val="none" w:sz="0" w:space="0" w:color="auto"/>
                <w:left w:val="none" w:sz="0" w:space="0" w:color="auto"/>
                <w:bottom w:val="none" w:sz="0" w:space="0" w:color="auto"/>
                <w:right w:val="none" w:sz="0" w:space="0" w:color="auto"/>
              </w:divBdr>
              <w:divsChild>
                <w:div w:id="944576789">
                  <w:marLeft w:val="0"/>
                  <w:marRight w:val="0"/>
                  <w:marTop w:val="0"/>
                  <w:marBottom w:val="0"/>
                  <w:divBdr>
                    <w:top w:val="none" w:sz="0" w:space="0" w:color="auto"/>
                    <w:left w:val="none" w:sz="0" w:space="0" w:color="auto"/>
                    <w:bottom w:val="none" w:sz="0" w:space="0" w:color="auto"/>
                    <w:right w:val="none" w:sz="0" w:space="0" w:color="auto"/>
                  </w:divBdr>
                </w:div>
              </w:divsChild>
            </w:div>
            <w:div w:id="628514307">
              <w:marLeft w:val="0"/>
              <w:marRight w:val="0"/>
              <w:marTop w:val="0"/>
              <w:marBottom w:val="0"/>
              <w:divBdr>
                <w:top w:val="none" w:sz="0" w:space="0" w:color="auto"/>
                <w:left w:val="none" w:sz="0" w:space="0" w:color="auto"/>
                <w:bottom w:val="none" w:sz="0" w:space="0" w:color="auto"/>
                <w:right w:val="none" w:sz="0" w:space="0" w:color="auto"/>
              </w:divBdr>
              <w:divsChild>
                <w:div w:id="1846357560">
                  <w:marLeft w:val="0"/>
                  <w:marRight w:val="0"/>
                  <w:marTop w:val="0"/>
                  <w:marBottom w:val="0"/>
                  <w:divBdr>
                    <w:top w:val="none" w:sz="0" w:space="0" w:color="auto"/>
                    <w:left w:val="none" w:sz="0" w:space="0" w:color="auto"/>
                    <w:bottom w:val="none" w:sz="0" w:space="0" w:color="auto"/>
                    <w:right w:val="none" w:sz="0" w:space="0" w:color="auto"/>
                  </w:divBdr>
                </w:div>
              </w:divsChild>
            </w:div>
            <w:div w:id="1197768042">
              <w:marLeft w:val="0"/>
              <w:marRight w:val="0"/>
              <w:marTop w:val="0"/>
              <w:marBottom w:val="0"/>
              <w:divBdr>
                <w:top w:val="none" w:sz="0" w:space="0" w:color="auto"/>
                <w:left w:val="none" w:sz="0" w:space="0" w:color="auto"/>
                <w:bottom w:val="none" w:sz="0" w:space="0" w:color="auto"/>
                <w:right w:val="none" w:sz="0" w:space="0" w:color="auto"/>
              </w:divBdr>
              <w:divsChild>
                <w:div w:id="951211773">
                  <w:marLeft w:val="0"/>
                  <w:marRight w:val="0"/>
                  <w:marTop w:val="0"/>
                  <w:marBottom w:val="0"/>
                  <w:divBdr>
                    <w:top w:val="none" w:sz="0" w:space="0" w:color="auto"/>
                    <w:left w:val="none" w:sz="0" w:space="0" w:color="auto"/>
                    <w:bottom w:val="none" w:sz="0" w:space="0" w:color="auto"/>
                    <w:right w:val="none" w:sz="0" w:space="0" w:color="auto"/>
                  </w:divBdr>
                </w:div>
              </w:divsChild>
            </w:div>
            <w:div w:id="684790076">
              <w:marLeft w:val="0"/>
              <w:marRight w:val="0"/>
              <w:marTop w:val="0"/>
              <w:marBottom w:val="0"/>
              <w:divBdr>
                <w:top w:val="none" w:sz="0" w:space="0" w:color="auto"/>
                <w:left w:val="none" w:sz="0" w:space="0" w:color="auto"/>
                <w:bottom w:val="none" w:sz="0" w:space="0" w:color="auto"/>
                <w:right w:val="none" w:sz="0" w:space="0" w:color="auto"/>
              </w:divBdr>
              <w:divsChild>
                <w:div w:id="1957324892">
                  <w:marLeft w:val="0"/>
                  <w:marRight w:val="0"/>
                  <w:marTop w:val="0"/>
                  <w:marBottom w:val="0"/>
                  <w:divBdr>
                    <w:top w:val="none" w:sz="0" w:space="0" w:color="auto"/>
                    <w:left w:val="none" w:sz="0" w:space="0" w:color="auto"/>
                    <w:bottom w:val="none" w:sz="0" w:space="0" w:color="auto"/>
                    <w:right w:val="none" w:sz="0" w:space="0" w:color="auto"/>
                  </w:divBdr>
                </w:div>
              </w:divsChild>
            </w:div>
            <w:div w:id="95102433">
              <w:marLeft w:val="0"/>
              <w:marRight w:val="0"/>
              <w:marTop w:val="0"/>
              <w:marBottom w:val="0"/>
              <w:divBdr>
                <w:top w:val="none" w:sz="0" w:space="0" w:color="auto"/>
                <w:left w:val="none" w:sz="0" w:space="0" w:color="auto"/>
                <w:bottom w:val="none" w:sz="0" w:space="0" w:color="auto"/>
                <w:right w:val="none" w:sz="0" w:space="0" w:color="auto"/>
              </w:divBdr>
              <w:divsChild>
                <w:div w:id="1090195330">
                  <w:marLeft w:val="0"/>
                  <w:marRight w:val="0"/>
                  <w:marTop w:val="0"/>
                  <w:marBottom w:val="0"/>
                  <w:divBdr>
                    <w:top w:val="none" w:sz="0" w:space="0" w:color="auto"/>
                    <w:left w:val="none" w:sz="0" w:space="0" w:color="auto"/>
                    <w:bottom w:val="none" w:sz="0" w:space="0" w:color="auto"/>
                    <w:right w:val="none" w:sz="0" w:space="0" w:color="auto"/>
                  </w:divBdr>
                </w:div>
              </w:divsChild>
            </w:div>
            <w:div w:id="1414862671">
              <w:marLeft w:val="0"/>
              <w:marRight w:val="0"/>
              <w:marTop w:val="0"/>
              <w:marBottom w:val="0"/>
              <w:divBdr>
                <w:top w:val="none" w:sz="0" w:space="0" w:color="auto"/>
                <w:left w:val="none" w:sz="0" w:space="0" w:color="auto"/>
                <w:bottom w:val="none" w:sz="0" w:space="0" w:color="auto"/>
                <w:right w:val="none" w:sz="0" w:space="0" w:color="auto"/>
              </w:divBdr>
              <w:divsChild>
                <w:div w:id="993072542">
                  <w:marLeft w:val="0"/>
                  <w:marRight w:val="0"/>
                  <w:marTop w:val="0"/>
                  <w:marBottom w:val="0"/>
                  <w:divBdr>
                    <w:top w:val="none" w:sz="0" w:space="0" w:color="auto"/>
                    <w:left w:val="none" w:sz="0" w:space="0" w:color="auto"/>
                    <w:bottom w:val="none" w:sz="0" w:space="0" w:color="auto"/>
                    <w:right w:val="none" w:sz="0" w:space="0" w:color="auto"/>
                  </w:divBdr>
                </w:div>
              </w:divsChild>
            </w:div>
            <w:div w:id="759906887">
              <w:marLeft w:val="0"/>
              <w:marRight w:val="0"/>
              <w:marTop w:val="0"/>
              <w:marBottom w:val="0"/>
              <w:divBdr>
                <w:top w:val="none" w:sz="0" w:space="0" w:color="auto"/>
                <w:left w:val="none" w:sz="0" w:space="0" w:color="auto"/>
                <w:bottom w:val="none" w:sz="0" w:space="0" w:color="auto"/>
                <w:right w:val="none" w:sz="0" w:space="0" w:color="auto"/>
              </w:divBdr>
              <w:divsChild>
                <w:div w:id="1076588820">
                  <w:marLeft w:val="0"/>
                  <w:marRight w:val="0"/>
                  <w:marTop w:val="0"/>
                  <w:marBottom w:val="0"/>
                  <w:divBdr>
                    <w:top w:val="none" w:sz="0" w:space="0" w:color="auto"/>
                    <w:left w:val="none" w:sz="0" w:space="0" w:color="auto"/>
                    <w:bottom w:val="none" w:sz="0" w:space="0" w:color="auto"/>
                    <w:right w:val="none" w:sz="0" w:space="0" w:color="auto"/>
                  </w:divBdr>
                </w:div>
              </w:divsChild>
            </w:div>
            <w:div w:id="1601181889">
              <w:marLeft w:val="0"/>
              <w:marRight w:val="0"/>
              <w:marTop w:val="0"/>
              <w:marBottom w:val="0"/>
              <w:divBdr>
                <w:top w:val="none" w:sz="0" w:space="0" w:color="auto"/>
                <w:left w:val="none" w:sz="0" w:space="0" w:color="auto"/>
                <w:bottom w:val="none" w:sz="0" w:space="0" w:color="auto"/>
                <w:right w:val="none" w:sz="0" w:space="0" w:color="auto"/>
              </w:divBdr>
              <w:divsChild>
                <w:div w:id="681081660">
                  <w:marLeft w:val="0"/>
                  <w:marRight w:val="0"/>
                  <w:marTop w:val="0"/>
                  <w:marBottom w:val="0"/>
                  <w:divBdr>
                    <w:top w:val="none" w:sz="0" w:space="0" w:color="auto"/>
                    <w:left w:val="none" w:sz="0" w:space="0" w:color="auto"/>
                    <w:bottom w:val="none" w:sz="0" w:space="0" w:color="auto"/>
                    <w:right w:val="none" w:sz="0" w:space="0" w:color="auto"/>
                  </w:divBdr>
                </w:div>
              </w:divsChild>
            </w:div>
            <w:div w:id="1257249848">
              <w:marLeft w:val="0"/>
              <w:marRight w:val="0"/>
              <w:marTop w:val="0"/>
              <w:marBottom w:val="0"/>
              <w:divBdr>
                <w:top w:val="none" w:sz="0" w:space="0" w:color="auto"/>
                <w:left w:val="none" w:sz="0" w:space="0" w:color="auto"/>
                <w:bottom w:val="none" w:sz="0" w:space="0" w:color="auto"/>
                <w:right w:val="none" w:sz="0" w:space="0" w:color="auto"/>
              </w:divBdr>
              <w:divsChild>
                <w:div w:id="707023369">
                  <w:marLeft w:val="0"/>
                  <w:marRight w:val="0"/>
                  <w:marTop w:val="0"/>
                  <w:marBottom w:val="0"/>
                  <w:divBdr>
                    <w:top w:val="none" w:sz="0" w:space="0" w:color="auto"/>
                    <w:left w:val="none" w:sz="0" w:space="0" w:color="auto"/>
                    <w:bottom w:val="none" w:sz="0" w:space="0" w:color="auto"/>
                    <w:right w:val="none" w:sz="0" w:space="0" w:color="auto"/>
                  </w:divBdr>
                </w:div>
              </w:divsChild>
            </w:div>
            <w:div w:id="154272480">
              <w:marLeft w:val="0"/>
              <w:marRight w:val="0"/>
              <w:marTop w:val="0"/>
              <w:marBottom w:val="0"/>
              <w:divBdr>
                <w:top w:val="none" w:sz="0" w:space="0" w:color="auto"/>
                <w:left w:val="none" w:sz="0" w:space="0" w:color="auto"/>
                <w:bottom w:val="none" w:sz="0" w:space="0" w:color="auto"/>
                <w:right w:val="none" w:sz="0" w:space="0" w:color="auto"/>
              </w:divBdr>
              <w:divsChild>
                <w:div w:id="5505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7100">
          <w:marLeft w:val="0"/>
          <w:marRight w:val="0"/>
          <w:marTop w:val="0"/>
          <w:marBottom w:val="600"/>
          <w:divBdr>
            <w:top w:val="none" w:sz="0" w:space="0" w:color="auto"/>
            <w:left w:val="none" w:sz="0" w:space="0" w:color="auto"/>
            <w:bottom w:val="none" w:sz="0" w:space="0" w:color="auto"/>
            <w:right w:val="none" w:sz="0" w:space="0" w:color="auto"/>
          </w:divBdr>
        </w:div>
      </w:divsChild>
    </w:div>
    <w:div w:id="369495995">
      <w:marLeft w:val="0"/>
      <w:marRight w:val="0"/>
      <w:marTop w:val="0"/>
      <w:marBottom w:val="0"/>
      <w:divBdr>
        <w:top w:val="none" w:sz="0" w:space="0" w:color="auto"/>
        <w:left w:val="none" w:sz="0" w:space="0" w:color="auto"/>
        <w:bottom w:val="none" w:sz="0" w:space="0" w:color="auto"/>
        <w:right w:val="none" w:sz="0" w:space="0" w:color="auto"/>
      </w:divBdr>
      <w:divsChild>
        <w:div w:id="267542800">
          <w:marLeft w:val="0"/>
          <w:marRight w:val="0"/>
          <w:marTop w:val="547"/>
          <w:marBottom w:val="0"/>
          <w:divBdr>
            <w:top w:val="none" w:sz="0" w:space="0" w:color="auto"/>
            <w:left w:val="none" w:sz="0" w:space="0" w:color="auto"/>
            <w:bottom w:val="none" w:sz="0" w:space="0" w:color="auto"/>
            <w:right w:val="none" w:sz="0" w:space="0" w:color="auto"/>
          </w:divBdr>
        </w:div>
        <w:div w:id="1152988818">
          <w:marLeft w:val="0"/>
          <w:marRight w:val="0"/>
          <w:marTop w:val="0"/>
          <w:marBottom w:val="0"/>
          <w:divBdr>
            <w:top w:val="none" w:sz="0" w:space="0" w:color="auto"/>
            <w:left w:val="none" w:sz="0" w:space="0" w:color="auto"/>
            <w:bottom w:val="none" w:sz="0" w:space="0" w:color="auto"/>
            <w:right w:val="none" w:sz="0" w:space="0" w:color="auto"/>
          </w:divBdr>
        </w:div>
        <w:div w:id="232738281">
          <w:marLeft w:val="0"/>
          <w:marRight w:val="0"/>
          <w:marTop w:val="0"/>
          <w:marBottom w:val="600"/>
          <w:divBdr>
            <w:top w:val="none" w:sz="0" w:space="0" w:color="auto"/>
            <w:left w:val="none" w:sz="0" w:space="0" w:color="auto"/>
            <w:bottom w:val="none" w:sz="0" w:space="0" w:color="auto"/>
            <w:right w:val="none" w:sz="0" w:space="0" w:color="auto"/>
          </w:divBdr>
        </w:div>
      </w:divsChild>
    </w:div>
    <w:div w:id="404189892">
      <w:marLeft w:val="0"/>
      <w:marRight w:val="0"/>
      <w:marTop w:val="0"/>
      <w:marBottom w:val="0"/>
      <w:divBdr>
        <w:top w:val="none" w:sz="0" w:space="0" w:color="auto"/>
        <w:left w:val="none" w:sz="0" w:space="0" w:color="auto"/>
        <w:bottom w:val="none" w:sz="0" w:space="0" w:color="auto"/>
        <w:right w:val="none" w:sz="0" w:space="0" w:color="auto"/>
      </w:divBdr>
      <w:divsChild>
        <w:div w:id="1324046707">
          <w:marLeft w:val="0"/>
          <w:marRight w:val="0"/>
          <w:marTop w:val="547"/>
          <w:marBottom w:val="0"/>
          <w:divBdr>
            <w:top w:val="none" w:sz="0" w:space="0" w:color="auto"/>
            <w:left w:val="none" w:sz="0" w:space="0" w:color="auto"/>
            <w:bottom w:val="none" w:sz="0" w:space="0" w:color="auto"/>
            <w:right w:val="none" w:sz="0" w:space="0" w:color="auto"/>
          </w:divBdr>
        </w:div>
        <w:div w:id="69470177">
          <w:marLeft w:val="0"/>
          <w:marRight w:val="0"/>
          <w:marTop w:val="0"/>
          <w:marBottom w:val="0"/>
          <w:divBdr>
            <w:top w:val="none" w:sz="0" w:space="0" w:color="auto"/>
            <w:left w:val="none" w:sz="0" w:space="0" w:color="auto"/>
            <w:bottom w:val="none" w:sz="0" w:space="0" w:color="auto"/>
            <w:right w:val="none" w:sz="0" w:space="0" w:color="auto"/>
          </w:divBdr>
          <w:divsChild>
            <w:div w:id="1186559801">
              <w:marLeft w:val="0"/>
              <w:marRight w:val="0"/>
              <w:marTop w:val="0"/>
              <w:marBottom w:val="0"/>
              <w:divBdr>
                <w:top w:val="none" w:sz="0" w:space="0" w:color="auto"/>
                <w:left w:val="none" w:sz="0" w:space="0" w:color="auto"/>
                <w:bottom w:val="none" w:sz="0" w:space="0" w:color="auto"/>
                <w:right w:val="none" w:sz="0" w:space="0" w:color="auto"/>
              </w:divBdr>
              <w:divsChild>
                <w:div w:id="692875881">
                  <w:marLeft w:val="0"/>
                  <w:marRight w:val="0"/>
                  <w:marTop w:val="0"/>
                  <w:marBottom w:val="0"/>
                  <w:divBdr>
                    <w:top w:val="none" w:sz="0" w:space="0" w:color="auto"/>
                    <w:left w:val="none" w:sz="0" w:space="0" w:color="auto"/>
                    <w:bottom w:val="none" w:sz="0" w:space="0" w:color="auto"/>
                    <w:right w:val="none" w:sz="0" w:space="0" w:color="auto"/>
                  </w:divBdr>
                </w:div>
              </w:divsChild>
            </w:div>
            <w:div w:id="1769689107">
              <w:marLeft w:val="0"/>
              <w:marRight w:val="0"/>
              <w:marTop w:val="0"/>
              <w:marBottom w:val="0"/>
              <w:divBdr>
                <w:top w:val="none" w:sz="0" w:space="0" w:color="auto"/>
                <w:left w:val="none" w:sz="0" w:space="0" w:color="auto"/>
                <w:bottom w:val="none" w:sz="0" w:space="0" w:color="auto"/>
                <w:right w:val="none" w:sz="0" w:space="0" w:color="auto"/>
              </w:divBdr>
              <w:divsChild>
                <w:div w:id="1910841943">
                  <w:marLeft w:val="0"/>
                  <w:marRight w:val="0"/>
                  <w:marTop w:val="0"/>
                  <w:marBottom w:val="0"/>
                  <w:divBdr>
                    <w:top w:val="none" w:sz="0" w:space="0" w:color="auto"/>
                    <w:left w:val="none" w:sz="0" w:space="0" w:color="auto"/>
                    <w:bottom w:val="none" w:sz="0" w:space="0" w:color="auto"/>
                    <w:right w:val="none" w:sz="0" w:space="0" w:color="auto"/>
                  </w:divBdr>
                </w:div>
              </w:divsChild>
            </w:div>
            <w:div w:id="1485126183">
              <w:marLeft w:val="0"/>
              <w:marRight w:val="0"/>
              <w:marTop w:val="0"/>
              <w:marBottom w:val="0"/>
              <w:divBdr>
                <w:top w:val="none" w:sz="0" w:space="0" w:color="auto"/>
                <w:left w:val="none" w:sz="0" w:space="0" w:color="auto"/>
                <w:bottom w:val="none" w:sz="0" w:space="0" w:color="auto"/>
                <w:right w:val="none" w:sz="0" w:space="0" w:color="auto"/>
              </w:divBdr>
              <w:divsChild>
                <w:div w:id="2042241679">
                  <w:marLeft w:val="0"/>
                  <w:marRight w:val="0"/>
                  <w:marTop w:val="0"/>
                  <w:marBottom w:val="0"/>
                  <w:divBdr>
                    <w:top w:val="none" w:sz="0" w:space="0" w:color="auto"/>
                    <w:left w:val="none" w:sz="0" w:space="0" w:color="auto"/>
                    <w:bottom w:val="none" w:sz="0" w:space="0" w:color="auto"/>
                    <w:right w:val="none" w:sz="0" w:space="0" w:color="auto"/>
                  </w:divBdr>
                </w:div>
              </w:divsChild>
            </w:div>
            <w:div w:id="2074311710">
              <w:marLeft w:val="0"/>
              <w:marRight w:val="0"/>
              <w:marTop w:val="0"/>
              <w:marBottom w:val="0"/>
              <w:divBdr>
                <w:top w:val="none" w:sz="0" w:space="0" w:color="auto"/>
                <w:left w:val="none" w:sz="0" w:space="0" w:color="auto"/>
                <w:bottom w:val="none" w:sz="0" w:space="0" w:color="auto"/>
                <w:right w:val="none" w:sz="0" w:space="0" w:color="auto"/>
              </w:divBdr>
              <w:divsChild>
                <w:div w:id="347215159">
                  <w:marLeft w:val="0"/>
                  <w:marRight w:val="0"/>
                  <w:marTop w:val="0"/>
                  <w:marBottom w:val="0"/>
                  <w:divBdr>
                    <w:top w:val="none" w:sz="0" w:space="0" w:color="auto"/>
                    <w:left w:val="none" w:sz="0" w:space="0" w:color="auto"/>
                    <w:bottom w:val="none" w:sz="0" w:space="0" w:color="auto"/>
                    <w:right w:val="none" w:sz="0" w:space="0" w:color="auto"/>
                  </w:divBdr>
                </w:div>
              </w:divsChild>
            </w:div>
            <w:div w:id="1322005530">
              <w:marLeft w:val="0"/>
              <w:marRight w:val="0"/>
              <w:marTop w:val="0"/>
              <w:marBottom w:val="0"/>
              <w:divBdr>
                <w:top w:val="none" w:sz="0" w:space="0" w:color="auto"/>
                <w:left w:val="none" w:sz="0" w:space="0" w:color="auto"/>
                <w:bottom w:val="none" w:sz="0" w:space="0" w:color="auto"/>
                <w:right w:val="none" w:sz="0" w:space="0" w:color="auto"/>
              </w:divBdr>
              <w:divsChild>
                <w:div w:id="721054619">
                  <w:marLeft w:val="0"/>
                  <w:marRight w:val="0"/>
                  <w:marTop w:val="0"/>
                  <w:marBottom w:val="0"/>
                  <w:divBdr>
                    <w:top w:val="none" w:sz="0" w:space="0" w:color="auto"/>
                    <w:left w:val="none" w:sz="0" w:space="0" w:color="auto"/>
                    <w:bottom w:val="none" w:sz="0" w:space="0" w:color="auto"/>
                    <w:right w:val="none" w:sz="0" w:space="0" w:color="auto"/>
                  </w:divBdr>
                </w:div>
              </w:divsChild>
            </w:div>
            <w:div w:id="1057558597">
              <w:marLeft w:val="0"/>
              <w:marRight w:val="0"/>
              <w:marTop w:val="0"/>
              <w:marBottom w:val="0"/>
              <w:divBdr>
                <w:top w:val="none" w:sz="0" w:space="0" w:color="auto"/>
                <w:left w:val="none" w:sz="0" w:space="0" w:color="auto"/>
                <w:bottom w:val="none" w:sz="0" w:space="0" w:color="auto"/>
                <w:right w:val="none" w:sz="0" w:space="0" w:color="auto"/>
              </w:divBdr>
              <w:divsChild>
                <w:div w:id="1364401612">
                  <w:marLeft w:val="0"/>
                  <w:marRight w:val="0"/>
                  <w:marTop w:val="0"/>
                  <w:marBottom w:val="0"/>
                  <w:divBdr>
                    <w:top w:val="none" w:sz="0" w:space="0" w:color="auto"/>
                    <w:left w:val="none" w:sz="0" w:space="0" w:color="auto"/>
                    <w:bottom w:val="none" w:sz="0" w:space="0" w:color="auto"/>
                    <w:right w:val="none" w:sz="0" w:space="0" w:color="auto"/>
                  </w:divBdr>
                </w:div>
              </w:divsChild>
            </w:div>
            <w:div w:id="677586937">
              <w:marLeft w:val="0"/>
              <w:marRight w:val="0"/>
              <w:marTop w:val="0"/>
              <w:marBottom w:val="0"/>
              <w:divBdr>
                <w:top w:val="none" w:sz="0" w:space="0" w:color="auto"/>
                <w:left w:val="none" w:sz="0" w:space="0" w:color="auto"/>
                <w:bottom w:val="none" w:sz="0" w:space="0" w:color="auto"/>
                <w:right w:val="none" w:sz="0" w:space="0" w:color="auto"/>
              </w:divBdr>
              <w:divsChild>
                <w:div w:id="764501693">
                  <w:marLeft w:val="0"/>
                  <w:marRight w:val="0"/>
                  <w:marTop w:val="0"/>
                  <w:marBottom w:val="0"/>
                  <w:divBdr>
                    <w:top w:val="none" w:sz="0" w:space="0" w:color="auto"/>
                    <w:left w:val="none" w:sz="0" w:space="0" w:color="auto"/>
                    <w:bottom w:val="none" w:sz="0" w:space="0" w:color="auto"/>
                    <w:right w:val="none" w:sz="0" w:space="0" w:color="auto"/>
                  </w:divBdr>
                </w:div>
              </w:divsChild>
            </w:div>
            <w:div w:id="611983861">
              <w:marLeft w:val="0"/>
              <w:marRight w:val="0"/>
              <w:marTop w:val="0"/>
              <w:marBottom w:val="0"/>
              <w:divBdr>
                <w:top w:val="none" w:sz="0" w:space="0" w:color="auto"/>
                <w:left w:val="none" w:sz="0" w:space="0" w:color="auto"/>
                <w:bottom w:val="none" w:sz="0" w:space="0" w:color="auto"/>
                <w:right w:val="none" w:sz="0" w:space="0" w:color="auto"/>
              </w:divBdr>
              <w:divsChild>
                <w:div w:id="494761683">
                  <w:marLeft w:val="0"/>
                  <w:marRight w:val="0"/>
                  <w:marTop w:val="0"/>
                  <w:marBottom w:val="0"/>
                  <w:divBdr>
                    <w:top w:val="none" w:sz="0" w:space="0" w:color="auto"/>
                    <w:left w:val="none" w:sz="0" w:space="0" w:color="auto"/>
                    <w:bottom w:val="none" w:sz="0" w:space="0" w:color="auto"/>
                    <w:right w:val="none" w:sz="0" w:space="0" w:color="auto"/>
                  </w:divBdr>
                </w:div>
              </w:divsChild>
            </w:div>
            <w:div w:id="1779717852">
              <w:marLeft w:val="0"/>
              <w:marRight w:val="0"/>
              <w:marTop w:val="0"/>
              <w:marBottom w:val="0"/>
              <w:divBdr>
                <w:top w:val="none" w:sz="0" w:space="0" w:color="auto"/>
                <w:left w:val="none" w:sz="0" w:space="0" w:color="auto"/>
                <w:bottom w:val="none" w:sz="0" w:space="0" w:color="auto"/>
                <w:right w:val="none" w:sz="0" w:space="0" w:color="auto"/>
              </w:divBdr>
              <w:divsChild>
                <w:div w:id="1047795873">
                  <w:marLeft w:val="0"/>
                  <w:marRight w:val="0"/>
                  <w:marTop w:val="0"/>
                  <w:marBottom w:val="0"/>
                  <w:divBdr>
                    <w:top w:val="none" w:sz="0" w:space="0" w:color="auto"/>
                    <w:left w:val="none" w:sz="0" w:space="0" w:color="auto"/>
                    <w:bottom w:val="none" w:sz="0" w:space="0" w:color="auto"/>
                    <w:right w:val="none" w:sz="0" w:space="0" w:color="auto"/>
                  </w:divBdr>
                </w:div>
              </w:divsChild>
            </w:div>
            <w:div w:id="300620913">
              <w:marLeft w:val="0"/>
              <w:marRight w:val="0"/>
              <w:marTop w:val="0"/>
              <w:marBottom w:val="0"/>
              <w:divBdr>
                <w:top w:val="none" w:sz="0" w:space="0" w:color="auto"/>
                <w:left w:val="none" w:sz="0" w:space="0" w:color="auto"/>
                <w:bottom w:val="none" w:sz="0" w:space="0" w:color="auto"/>
                <w:right w:val="none" w:sz="0" w:space="0" w:color="auto"/>
              </w:divBdr>
              <w:divsChild>
                <w:div w:id="1174804979">
                  <w:marLeft w:val="0"/>
                  <w:marRight w:val="0"/>
                  <w:marTop w:val="0"/>
                  <w:marBottom w:val="0"/>
                  <w:divBdr>
                    <w:top w:val="none" w:sz="0" w:space="0" w:color="auto"/>
                    <w:left w:val="none" w:sz="0" w:space="0" w:color="auto"/>
                    <w:bottom w:val="none" w:sz="0" w:space="0" w:color="auto"/>
                    <w:right w:val="none" w:sz="0" w:space="0" w:color="auto"/>
                  </w:divBdr>
                </w:div>
              </w:divsChild>
            </w:div>
            <w:div w:id="587037571">
              <w:marLeft w:val="0"/>
              <w:marRight w:val="0"/>
              <w:marTop w:val="0"/>
              <w:marBottom w:val="0"/>
              <w:divBdr>
                <w:top w:val="none" w:sz="0" w:space="0" w:color="auto"/>
                <w:left w:val="none" w:sz="0" w:space="0" w:color="auto"/>
                <w:bottom w:val="none" w:sz="0" w:space="0" w:color="auto"/>
                <w:right w:val="none" w:sz="0" w:space="0" w:color="auto"/>
              </w:divBdr>
              <w:divsChild>
                <w:div w:id="425151581">
                  <w:marLeft w:val="0"/>
                  <w:marRight w:val="0"/>
                  <w:marTop w:val="0"/>
                  <w:marBottom w:val="0"/>
                  <w:divBdr>
                    <w:top w:val="none" w:sz="0" w:space="0" w:color="auto"/>
                    <w:left w:val="none" w:sz="0" w:space="0" w:color="auto"/>
                    <w:bottom w:val="none" w:sz="0" w:space="0" w:color="auto"/>
                    <w:right w:val="none" w:sz="0" w:space="0" w:color="auto"/>
                  </w:divBdr>
                </w:div>
              </w:divsChild>
            </w:div>
            <w:div w:id="1705594465">
              <w:marLeft w:val="0"/>
              <w:marRight w:val="0"/>
              <w:marTop w:val="0"/>
              <w:marBottom w:val="0"/>
              <w:divBdr>
                <w:top w:val="none" w:sz="0" w:space="0" w:color="auto"/>
                <w:left w:val="none" w:sz="0" w:space="0" w:color="auto"/>
                <w:bottom w:val="none" w:sz="0" w:space="0" w:color="auto"/>
                <w:right w:val="none" w:sz="0" w:space="0" w:color="auto"/>
              </w:divBdr>
              <w:divsChild>
                <w:div w:id="178856054">
                  <w:marLeft w:val="0"/>
                  <w:marRight w:val="0"/>
                  <w:marTop w:val="0"/>
                  <w:marBottom w:val="0"/>
                  <w:divBdr>
                    <w:top w:val="none" w:sz="0" w:space="0" w:color="auto"/>
                    <w:left w:val="none" w:sz="0" w:space="0" w:color="auto"/>
                    <w:bottom w:val="none" w:sz="0" w:space="0" w:color="auto"/>
                    <w:right w:val="none" w:sz="0" w:space="0" w:color="auto"/>
                  </w:divBdr>
                </w:div>
              </w:divsChild>
            </w:div>
            <w:div w:id="66924359">
              <w:marLeft w:val="0"/>
              <w:marRight w:val="0"/>
              <w:marTop w:val="0"/>
              <w:marBottom w:val="0"/>
              <w:divBdr>
                <w:top w:val="none" w:sz="0" w:space="0" w:color="auto"/>
                <w:left w:val="none" w:sz="0" w:space="0" w:color="auto"/>
                <w:bottom w:val="none" w:sz="0" w:space="0" w:color="auto"/>
                <w:right w:val="none" w:sz="0" w:space="0" w:color="auto"/>
              </w:divBdr>
              <w:divsChild>
                <w:div w:id="200944897">
                  <w:marLeft w:val="0"/>
                  <w:marRight w:val="0"/>
                  <w:marTop w:val="0"/>
                  <w:marBottom w:val="0"/>
                  <w:divBdr>
                    <w:top w:val="none" w:sz="0" w:space="0" w:color="auto"/>
                    <w:left w:val="none" w:sz="0" w:space="0" w:color="auto"/>
                    <w:bottom w:val="none" w:sz="0" w:space="0" w:color="auto"/>
                    <w:right w:val="none" w:sz="0" w:space="0" w:color="auto"/>
                  </w:divBdr>
                </w:div>
              </w:divsChild>
            </w:div>
            <w:div w:id="141623999">
              <w:marLeft w:val="0"/>
              <w:marRight w:val="0"/>
              <w:marTop w:val="0"/>
              <w:marBottom w:val="0"/>
              <w:divBdr>
                <w:top w:val="none" w:sz="0" w:space="0" w:color="auto"/>
                <w:left w:val="none" w:sz="0" w:space="0" w:color="auto"/>
                <w:bottom w:val="none" w:sz="0" w:space="0" w:color="auto"/>
                <w:right w:val="none" w:sz="0" w:space="0" w:color="auto"/>
              </w:divBdr>
              <w:divsChild>
                <w:div w:id="140587669">
                  <w:marLeft w:val="0"/>
                  <w:marRight w:val="0"/>
                  <w:marTop w:val="0"/>
                  <w:marBottom w:val="0"/>
                  <w:divBdr>
                    <w:top w:val="none" w:sz="0" w:space="0" w:color="auto"/>
                    <w:left w:val="none" w:sz="0" w:space="0" w:color="auto"/>
                    <w:bottom w:val="none" w:sz="0" w:space="0" w:color="auto"/>
                    <w:right w:val="none" w:sz="0" w:space="0" w:color="auto"/>
                  </w:divBdr>
                </w:div>
              </w:divsChild>
            </w:div>
            <w:div w:id="1925528273">
              <w:marLeft w:val="0"/>
              <w:marRight w:val="0"/>
              <w:marTop w:val="0"/>
              <w:marBottom w:val="0"/>
              <w:divBdr>
                <w:top w:val="none" w:sz="0" w:space="0" w:color="auto"/>
                <w:left w:val="none" w:sz="0" w:space="0" w:color="auto"/>
                <w:bottom w:val="none" w:sz="0" w:space="0" w:color="auto"/>
                <w:right w:val="none" w:sz="0" w:space="0" w:color="auto"/>
              </w:divBdr>
              <w:divsChild>
                <w:div w:id="1553806142">
                  <w:marLeft w:val="0"/>
                  <w:marRight w:val="0"/>
                  <w:marTop w:val="0"/>
                  <w:marBottom w:val="0"/>
                  <w:divBdr>
                    <w:top w:val="none" w:sz="0" w:space="0" w:color="auto"/>
                    <w:left w:val="none" w:sz="0" w:space="0" w:color="auto"/>
                    <w:bottom w:val="none" w:sz="0" w:space="0" w:color="auto"/>
                    <w:right w:val="none" w:sz="0" w:space="0" w:color="auto"/>
                  </w:divBdr>
                </w:div>
              </w:divsChild>
            </w:div>
            <w:div w:id="1303149342">
              <w:marLeft w:val="0"/>
              <w:marRight w:val="0"/>
              <w:marTop w:val="0"/>
              <w:marBottom w:val="0"/>
              <w:divBdr>
                <w:top w:val="none" w:sz="0" w:space="0" w:color="auto"/>
                <w:left w:val="none" w:sz="0" w:space="0" w:color="auto"/>
                <w:bottom w:val="none" w:sz="0" w:space="0" w:color="auto"/>
                <w:right w:val="none" w:sz="0" w:space="0" w:color="auto"/>
              </w:divBdr>
              <w:divsChild>
                <w:div w:id="1979529525">
                  <w:marLeft w:val="0"/>
                  <w:marRight w:val="0"/>
                  <w:marTop w:val="0"/>
                  <w:marBottom w:val="0"/>
                  <w:divBdr>
                    <w:top w:val="none" w:sz="0" w:space="0" w:color="auto"/>
                    <w:left w:val="none" w:sz="0" w:space="0" w:color="auto"/>
                    <w:bottom w:val="none" w:sz="0" w:space="0" w:color="auto"/>
                    <w:right w:val="none" w:sz="0" w:space="0" w:color="auto"/>
                  </w:divBdr>
                </w:div>
              </w:divsChild>
            </w:div>
            <w:div w:id="1116799700">
              <w:marLeft w:val="0"/>
              <w:marRight w:val="0"/>
              <w:marTop w:val="0"/>
              <w:marBottom w:val="0"/>
              <w:divBdr>
                <w:top w:val="none" w:sz="0" w:space="0" w:color="auto"/>
                <w:left w:val="none" w:sz="0" w:space="0" w:color="auto"/>
                <w:bottom w:val="none" w:sz="0" w:space="0" w:color="auto"/>
                <w:right w:val="none" w:sz="0" w:space="0" w:color="auto"/>
              </w:divBdr>
              <w:divsChild>
                <w:div w:id="1639383495">
                  <w:marLeft w:val="0"/>
                  <w:marRight w:val="0"/>
                  <w:marTop w:val="0"/>
                  <w:marBottom w:val="0"/>
                  <w:divBdr>
                    <w:top w:val="none" w:sz="0" w:space="0" w:color="auto"/>
                    <w:left w:val="none" w:sz="0" w:space="0" w:color="auto"/>
                    <w:bottom w:val="none" w:sz="0" w:space="0" w:color="auto"/>
                    <w:right w:val="none" w:sz="0" w:space="0" w:color="auto"/>
                  </w:divBdr>
                </w:div>
              </w:divsChild>
            </w:div>
            <w:div w:id="1779568833">
              <w:marLeft w:val="0"/>
              <w:marRight w:val="0"/>
              <w:marTop w:val="0"/>
              <w:marBottom w:val="0"/>
              <w:divBdr>
                <w:top w:val="none" w:sz="0" w:space="0" w:color="auto"/>
                <w:left w:val="none" w:sz="0" w:space="0" w:color="auto"/>
                <w:bottom w:val="none" w:sz="0" w:space="0" w:color="auto"/>
                <w:right w:val="none" w:sz="0" w:space="0" w:color="auto"/>
              </w:divBdr>
              <w:divsChild>
                <w:div w:id="209153191">
                  <w:marLeft w:val="0"/>
                  <w:marRight w:val="0"/>
                  <w:marTop w:val="0"/>
                  <w:marBottom w:val="0"/>
                  <w:divBdr>
                    <w:top w:val="none" w:sz="0" w:space="0" w:color="auto"/>
                    <w:left w:val="none" w:sz="0" w:space="0" w:color="auto"/>
                    <w:bottom w:val="none" w:sz="0" w:space="0" w:color="auto"/>
                    <w:right w:val="none" w:sz="0" w:space="0" w:color="auto"/>
                  </w:divBdr>
                </w:div>
              </w:divsChild>
            </w:div>
            <w:div w:id="371198013">
              <w:marLeft w:val="0"/>
              <w:marRight w:val="0"/>
              <w:marTop w:val="0"/>
              <w:marBottom w:val="0"/>
              <w:divBdr>
                <w:top w:val="none" w:sz="0" w:space="0" w:color="auto"/>
                <w:left w:val="none" w:sz="0" w:space="0" w:color="auto"/>
                <w:bottom w:val="none" w:sz="0" w:space="0" w:color="auto"/>
                <w:right w:val="none" w:sz="0" w:space="0" w:color="auto"/>
              </w:divBdr>
              <w:divsChild>
                <w:div w:id="1044058777">
                  <w:marLeft w:val="0"/>
                  <w:marRight w:val="0"/>
                  <w:marTop w:val="0"/>
                  <w:marBottom w:val="0"/>
                  <w:divBdr>
                    <w:top w:val="none" w:sz="0" w:space="0" w:color="auto"/>
                    <w:left w:val="none" w:sz="0" w:space="0" w:color="auto"/>
                    <w:bottom w:val="none" w:sz="0" w:space="0" w:color="auto"/>
                    <w:right w:val="none" w:sz="0" w:space="0" w:color="auto"/>
                  </w:divBdr>
                </w:div>
              </w:divsChild>
            </w:div>
            <w:div w:id="1047027421">
              <w:marLeft w:val="0"/>
              <w:marRight w:val="0"/>
              <w:marTop w:val="0"/>
              <w:marBottom w:val="0"/>
              <w:divBdr>
                <w:top w:val="none" w:sz="0" w:space="0" w:color="auto"/>
                <w:left w:val="none" w:sz="0" w:space="0" w:color="auto"/>
                <w:bottom w:val="none" w:sz="0" w:space="0" w:color="auto"/>
                <w:right w:val="none" w:sz="0" w:space="0" w:color="auto"/>
              </w:divBdr>
              <w:divsChild>
                <w:div w:id="238295484">
                  <w:marLeft w:val="0"/>
                  <w:marRight w:val="0"/>
                  <w:marTop w:val="0"/>
                  <w:marBottom w:val="0"/>
                  <w:divBdr>
                    <w:top w:val="none" w:sz="0" w:space="0" w:color="auto"/>
                    <w:left w:val="none" w:sz="0" w:space="0" w:color="auto"/>
                    <w:bottom w:val="none" w:sz="0" w:space="0" w:color="auto"/>
                    <w:right w:val="none" w:sz="0" w:space="0" w:color="auto"/>
                  </w:divBdr>
                </w:div>
              </w:divsChild>
            </w:div>
            <w:div w:id="1480879356">
              <w:marLeft w:val="0"/>
              <w:marRight w:val="0"/>
              <w:marTop w:val="0"/>
              <w:marBottom w:val="0"/>
              <w:divBdr>
                <w:top w:val="none" w:sz="0" w:space="0" w:color="auto"/>
                <w:left w:val="none" w:sz="0" w:space="0" w:color="auto"/>
                <w:bottom w:val="none" w:sz="0" w:space="0" w:color="auto"/>
                <w:right w:val="none" w:sz="0" w:space="0" w:color="auto"/>
              </w:divBdr>
              <w:divsChild>
                <w:div w:id="1883135135">
                  <w:marLeft w:val="0"/>
                  <w:marRight w:val="0"/>
                  <w:marTop w:val="0"/>
                  <w:marBottom w:val="0"/>
                  <w:divBdr>
                    <w:top w:val="none" w:sz="0" w:space="0" w:color="auto"/>
                    <w:left w:val="none" w:sz="0" w:space="0" w:color="auto"/>
                    <w:bottom w:val="none" w:sz="0" w:space="0" w:color="auto"/>
                    <w:right w:val="none" w:sz="0" w:space="0" w:color="auto"/>
                  </w:divBdr>
                </w:div>
              </w:divsChild>
            </w:div>
            <w:div w:id="1761029263">
              <w:marLeft w:val="0"/>
              <w:marRight w:val="0"/>
              <w:marTop w:val="0"/>
              <w:marBottom w:val="0"/>
              <w:divBdr>
                <w:top w:val="none" w:sz="0" w:space="0" w:color="auto"/>
                <w:left w:val="none" w:sz="0" w:space="0" w:color="auto"/>
                <w:bottom w:val="none" w:sz="0" w:space="0" w:color="auto"/>
                <w:right w:val="none" w:sz="0" w:space="0" w:color="auto"/>
              </w:divBdr>
              <w:divsChild>
                <w:div w:id="6758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98520">
          <w:marLeft w:val="0"/>
          <w:marRight w:val="0"/>
          <w:marTop w:val="0"/>
          <w:marBottom w:val="600"/>
          <w:divBdr>
            <w:top w:val="none" w:sz="0" w:space="0" w:color="auto"/>
            <w:left w:val="none" w:sz="0" w:space="0" w:color="auto"/>
            <w:bottom w:val="none" w:sz="0" w:space="0" w:color="auto"/>
            <w:right w:val="none" w:sz="0" w:space="0" w:color="auto"/>
          </w:divBdr>
        </w:div>
      </w:divsChild>
    </w:div>
    <w:div w:id="408305775">
      <w:marLeft w:val="0"/>
      <w:marRight w:val="0"/>
      <w:marTop w:val="0"/>
      <w:marBottom w:val="0"/>
      <w:divBdr>
        <w:top w:val="none" w:sz="0" w:space="0" w:color="auto"/>
        <w:left w:val="none" w:sz="0" w:space="0" w:color="auto"/>
        <w:bottom w:val="none" w:sz="0" w:space="0" w:color="auto"/>
        <w:right w:val="none" w:sz="0" w:space="0" w:color="auto"/>
      </w:divBdr>
      <w:divsChild>
        <w:div w:id="1115055563">
          <w:marLeft w:val="0"/>
          <w:marRight w:val="0"/>
          <w:marTop w:val="547"/>
          <w:marBottom w:val="0"/>
          <w:divBdr>
            <w:top w:val="none" w:sz="0" w:space="0" w:color="auto"/>
            <w:left w:val="none" w:sz="0" w:space="0" w:color="auto"/>
            <w:bottom w:val="none" w:sz="0" w:space="0" w:color="auto"/>
            <w:right w:val="none" w:sz="0" w:space="0" w:color="auto"/>
          </w:divBdr>
        </w:div>
        <w:div w:id="643699567">
          <w:marLeft w:val="0"/>
          <w:marRight w:val="0"/>
          <w:marTop w:val="0"/>
          <w:marBottom w:val="0"/>
          <w:divBdr>
            <w:top w:val="none" w:sz="0" w:space="0" w:color="auto"/>
            <w:left w:val="none" w:sz="0" w:space="0" w:color="auto"/>
            <w:bottom w:val="none" w:sz="0" w:space="0" w:color="auto"/>
            <w:right w:val="none" w:sz="0" w:space="0" w:color="auto"/>
          </w:divBdr>
          <w:divsChild>
            <w:div w:id="317609816">
              <w:marLeft w:val="0"/>
              <w:marRight w:val="0"/>
              <w:marTop w:val="0"/>
              <w:marBottom w:val="0"/>
              <w:divBdr>
                <w:top w:val="none" w:sz="0" w:space="0" w:color="auto"/>
                <w:left w:val="none" w:sz="0" w:space="0" w:color="auto"/>
                <w:bottom w:val="none" w:sz="0" w:space="0" w:color="auto"/>
                <w:right w:val="none" w:sz="0" w:space="0" w:color="auto"/>
              </w:divBdr>
              <w:divsChild>
                <w:div w:id="834804054">
                  <w:marLeft w:val="0"/>
                  <w:marRight w:val="0"/>
                  <w:marTop w:val="0"/>
                  <w:marBottom w:val="0"/>
                  <w:divBdr>
                    <w:top w:val="none" w:sz="0" w:space="0" w:color="auto"/>
                    <w:left w:val="none" w:sz="0" w:space="0" w:color="auto"/>
                    <w:bottom w:val="none" w:sz="0" w:space="0" w:color="auto"/>
                    <w:right w:val="none" w:sz="0" w:space="0" w:color="auto"/>
                  </w:divBdr>
                </w:div>
              </w:divsChild>
            </w:div>
            <w:div w:id="446391653">
              <w:marLeft w:val="0"/>
              <w:marRight w:val="0"/>
              <w:marTop w:val="0"/>
              <w:marBottom w:val="0"/>
              <w:divBdr>
                <w:top w:val="none" w:sz="0" w:space="0" w:color="auto"/>
                <w:left w:val="none" w:sz="0" w:space="0" w:color="auto"/>
                <w:bottom w:val="none" w:sz="0" w:space="0" w:color="auto"/>
                <w:right w:val="none" w:sz="0" w:space="0" w:color="auto"/>
              </w:divBdr>
              <w:divsChild>
                <w:div w:id="16491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2572">
          <w:marLeft w:val="0"/>
          <w:marRight w:val="0"/>
          <w:marTop w:val="0"/>
          <w:marBottom w:val="600"/>
          <w:divBdr>
            <w:top w:val="none" w:sz="0" w:space="0" w:color="auto"/>
            <w:left w:val="none" w:sz="0" w:space="0" w:color="auto"/>
            <w:bottom w:val="none" w:sz="0" w:space="0" w:color="auto"/>
            <w:right w:val="none" w:sz="0" w:space="0" w:color="auto"/>
          </w:divBdr>
        </w:div>
      </w:divsChild>
    </w:div>
    <w:div w:id="417410207">
      <w:marLeft w:val="0"/>
      <w:marRight w:val="0"/>
      <w:marTop w:val="0"/>
      <w:marBottom w:val="0"/>
      <w:divBdr>
        <w:top w:val="none" w:sz="0" w:space="0" w:color="auto"/>
        <w:left w:val="none" w:sz="0" w:space="0" w:color="auto"/>
        <w:bottom w:val="none" w:sz="0" w:space="0" w:color="auto"/>
        <w:right w:val="none" w:sz="0" w:space="0" w:color="auto"/>
      </w:divBdr>
      <w:divsChild>
        <w:div w:id="1036203271">
          <w:marLeft w:val="0"/>
          <w:marRight w:val="0"/>
          <w:marTop w:val="547"/>
          <w:marBottom w:val="0"/>
          <w:divBdr>
            <w:top w:val="none" w:sz="0" w:space="0" w:color="auto"/>
            <w:left w:val="none" w:sz="0" w:space="0" w:color="auto"/>
            <w:bottom w:val="none" w:sz="0" w:space="0" w:color="auto"/>
            <w:right w:val="none" w:sz="0" w:space="0" w:color="auto"/>
          </w:divBdr>
        </w:div>
        <w:div w:id="1140877613">
          <w:marLeft w:val="0"/>
          <w:marRight w:val="0"/>
          <w:marTop w:val="0"/>
          <w:marBottom w:val="0"/>
          <w:divBdr>
            <w:top w:val="none" w:sz="0" w:space="0" w:color="auto"/>
            <w:left w:val="none" w:sz="0" w:space="0" w:color="auto"/>
            <w:bottom w:val="none" w:sz="0" w:space="0" w:color="auto"/>
            <w:right w:val="none" w:sz="0" w:space="0" w:color="auto"/>
          </w:divBdr>
        </w:div>
        <w:div w:id="236717988">
          <w:marLeft w:val="0"/>
          <w:marRight w:val="0"/>
          <w:marTop w:val="0"/>
          <w:marBottom w:val="600"/>
          <w:divBdr>
            <w:top w:val="none" w:sz="0" w:space="0" w:color="auto"/>
            <w:left w:val="none" w:sz="0" w:space="0" w:color="auto"/>
            <w:bottom w:val="none" w:sz="0" w:space="0" w:color="auto"/>
            <w:right w:val="none" w:sz="0" w:space="0" w:color="auto"/>
          </w:divBdr>
        </w:div>
      </w:divsChild>
    </w:div>
    <w:div w:id="536239746">
      <w:marLeft w:val="0"/>
      <w:marRight w:val="0"/>
      <w:marTop w:val="0"/>
      <w:marBottom w:val="0"/>
      <w:divBdr>
        <w:top w:val="none" w:sz="0" w:space="0" w:color="auto"/>
        <w:left w:val="none" w:sz="0" w:space="0" w:color="auto"/>
        <w:bottom w:val="none" w:sz="0" w:space="0" w:color="auto"/>
        <w:right w:val="none" w:sz="0" w:space="0" w:color="auto"/>
      </w:divBdr>
      <w:divsChild>
        <w:div w:id="1356268881">
          <w:marLeft w:val="0"/>
          <w:marRight w:val="0"/>
          <w:marTop w:val="547"/>
          <w:marBottom w:val="0"/>
          <w:divBdr>
            <w:top w:val="none" w:sz="0" w:space="0" w:color="auto"/>
            <w:left w:val="none" w:sz="0" w:space="0" w:color="auto"/>
            <w:bottom w:val="none" w:sz="0" w:space="0" w:color="auto"/>
            <w:right w:val="none" w:sz="0" w:space="0" w:color="auto"/>
          </w:divBdr>
        </w:div>
        <w:div w:id="1460759414">
          <w:marLeft w:val="0"/>
          <w:marRight w:val="0"/>
          <w:marTop w:val="0"/>
          <w:marBottom w:val="0"/>
          <w:divBdr>
            <w:top w:val="none" w:sz="0" w:space="0" w:color="auto"/>
            <w:left w:val="none" w:sz="0" w:space="0" w:color="auto"/>
            <w:bottom w:val="none" w:sz="0" w:space="0" w:color="auto"/>
            <w:right w:val="none" w:sz="0" w:space="0" w:color="auto"/>
          </w:divBdr>
        </w:div>
        <w:div w:id="875116325">
          <w:marLeft w:val="0"/>
          <w:marRight w:val="0"/>
          <w:marTop w:val="0"/>
          <w:marBottom w:val="600"/>
          <w:divBdr>
            <w:top w:val="none" w:sz="0" w:space="0" w:color="auto"/>
            <w:left w:val="none" w:sz="0" w:space="0" w:color="auto"/>
            <w:bottom w:val="none" w:sz="0" w:space="0" w:color="auto"/>
            <w:right w:val="none" w:sz="0" w:space="0" w:color="auto"/>
          </w:divBdr>
        </w:div>
      </w:divsChild>
    </w:div>
    <w:div w:id="563876398">
      <w:marLeft w:val="0"/>
      <w:marRight w:val="0"/>
      <w:marTop w:val="0"/>
      <w:marBottom w:val="0"/>
      <w:divBdr>
        <w:top w:val="none" w:sz="0" w:space="0" w:color="auto"/>
        <w:left w:val="none" w:sz="0" w:space="0" w:color="auto"/>
        <w:bottom w:val="none" w:sz="0" w:space="0" w:color="auto"/>
        <w:right w:val="none" w:sz="0" w:space="0" w:color="auto"/>
      </w:divBdr>
      <w:divsChild>
        <w:div w:id="1055663578">
          <w:marLeft w:val="0"/>
          <w:marRight w:val="0"/>
          <w:marTop w:val="547"/>
          <w:marBottom w:val="0"/>
          <w:divBdr>
            <w:top w:val="none" w:sz="0" w:space="0" w:color="auto"/>
            <w:left w:val="none" w:sz="0" w:space="0" w:color="auto"/>
            <w:bottom w:val="none" w:sz="0" w:space="0" w:color="auto"/>
            <w:right w:val="none" w:sz="0" w:space="0" w:color="auto"/>
          </w:divBdr>
        </w:div>
        <w:div w:id="1052996999">
          <w:marLeft w:val="0"/>
          <w:marRight w:val="0"/>
          <w:marTop w:val="0"/>
          <w:marBottom w:val="0"/>
          <w:divBdr>
            <w:top w:val="none" w:sz="0" w:space="0" w:color="auto"/>
            <w:left w:val="none" w:sz="0" w:space="0" w:color="auto"/>
            <w:bottom w:val="none" w:sz="0" w:space="0" w:color="auto"/>
            <w:right w:val="none" w:sz="0" w:space="0" w:color="auto"/>
          </w:divBdr>
        </w:div>
        <w:div w:id="1978802309">
          <w:marLeft w:val="0"/>
          <w:marRight w:val="0"/>
          <w:marTop w:val="0"/>
          <w:marBottom w:val="600"/>
          <w:divBdr>
            <w:top w:val="none" w:sz="0" w:space="0" w:color="auto"/>
            <w:left w:val="none" w:sz="0" w:space="0" w:color="auto"/>
            <w:bottom w:val="none" w:sz="0" w:space="0" w:color="auto"/>
            <w:right w:val="none" w:sz="0" w:space="0" w:color="auto"/>
          </w:divBdr>
        </w:div>
      </w:divsChild>
    </w:div>
    <w:div w:id="566572255">
      <w:marLeft w:val="0"/>
      <w:marRight w:val="0"/>
      <w:marTop w:val="0"/>
      <w:marBottom w:val="0"/>
      <w:divBdr>
        <w:top w:val="none" w:sz="0" w:space="0" w:color="auto"/>
        <w:left w:val="none" w:sz="0" w:space="0" w:color="auto"/>
        <w:bottom w:val="none" w:sz="0" w:space="0" w:color="auto"/>
        <w:right w:val="none" w:sz="0" w:space="0" w:color="auto"/>
      </w:divBdr>
      <w:divsChild>
        <w:div w:id="1652905983">
          <w:marLeft w:val="0"/>
          <w:marRight w:val="0"/>
          <w:marTop w:val="547"/>
          <w:marBottom w:val="0"/>
          <w:divBdr>
            <w:top w:val="none" w:sz="0" w:space="0" w:color="auto"/>
            <w:left w:val="none" w:sz="0" w:space="0" w:color="auto"/>
            <w:bottom w:val="none" w:sz="0" w:space="0" w:color="auto"/>
            <w:right w:val="none" w:sz="0" w:space="0" w:color="auto"/>
          </w:divBdr>
        </w:div>
        <w:div w:id="1480879914">
          <w:marLeft w:val="0"/>
          <w:marRight w:val="0"/>
          <w:marTop w:val="0"/>
          <w:marBottom w:val="0"/>
          <w:divBdr>
            <w:top w:val="none" w:sz="0" w:space="0" w:color="auto"/>
            <w:left w:val="none" w:sz="0" w:space="0" w:color="auto"/>
            <w:bottom w:val="none" w:sz="0" w:space="0" w:color="auto"/>
            <w:right w:val="none" w:sz="0" w:space="0" w:color="auto"/>
          </w:divBdr>
        </w:div>
        <w:div w:id="1372075633">
          <w:marLeft w:val="0"/>
          <w:marRight w:val="0"/>
          <w:marTop w:val="0"/>
          <w:marBottom w:val="600"/>
          <w:divBdr>
            <w:top w:val="none" w:sz="0" w:space="0" w:color="auto"/>
            <w:left w:val="none" w:sz="0" w:space="0" w:color="auto"/>
            <w:bottom w:val="none" w:sz="0" w:space="0" w:color="auto"/>
            <w:right w:val="none" w:sz="0" w:space="0" w:color="auto"/>
          </w:divBdr>
        </w:div>
      </w:divsChild>
    </w:div>
    <w:div w:id="570581114">
      <w:marLeft w:val="0"/>
      <w:marRight w:val="0"/>
      <w:marTop w:val="0"/>
      <w:marBottom w:val="0"/>
      <w:divBdr>
        <w:top w:val="none" w:sz="0" w:space="0" w:color="auto"/>
        <w:left w:val="none" w:sz="0" w:space="0" w:color="auto"/>
        <w:bottom w:val="none" w:sz="0" w:space="0" w:color="auto"/>
        <w:right w:val="none" w:sz="0" w:space="0" w:color="auto"/>
      </w:divBdr>
      <w:divsChild>
        <w:div w:id="63644215">
          <w:marLeft w:val="0"/>
          <w:marRight w:val="0"/>
          <w:marTop w:val="547"/>
          <w:marBottom w:val="0"/>
          <w:divBdr>
            <w:top w:val="none" w:sz="0" w:space="0" w:color="auto"/>
            <w:left w:val="none" w:sz="0" w:space="0" w:color="auto"/>
            <w:bottom w:val="none" w:sz="0" w:space="0" w:color="auto"/>
            <w:right w:val="none" w:sz="0" w:space="0" w:color="auto"/>
          </w:divBdr>
        </w:div>
        <w:div w:id="546374370">
          <w:marLeft w:val="0"/>
          <w:marRight w:val="0"/>
          <w:marTop w:val="0"/>
          <w:marBottom w:val="0"/>
          <w:divBdr>
            <w:top w:val="none" w:sz="0" w:space="0" w:color="auto"/>
            <w:left w:val="none" w:sz="0" w:space="0" w:color="auto"/>
            <w:bottom w:val="none" w:sz="0" w:space="0" w:color="auto"/>
            <w:right w:val="none" w:sz="0" w:space="0" w:color="auto"/>
          </w:divBdr>
        </w:div>
        <w:div w:id="488644037">
          <w:marLeft w:val="0"/>
          <w:marRight w:val="0"/>
          <w:marTop w:val="0"/>
          <w:marBottom w:val="600"/>
          <w:divBdr>
            <w:top w:val="none" w:sz="0" w:space="0" w:color="auto"/>
            <w:left w:val="none" w:sz="0" w:space="0" w:color="auto"/>
            <w:bottom w:val="none" w:sz="0" w:space="0" w:color="auto"/>
            <w:right w:val="none" w:sz="0" w:space="0" w:color="auto"/>
          </w:divBdr>
        </w:div>
      </w:divsChild>
    </w:div>
    <w:div w:id="595287568">
      <w:marLeft w:val="0"/>
      <w:marRight w:val="0"/>
      <w:marTop w:val="0"/>
      <w:marBottom w:val="0"/>
      <w:divBdr>
        <w:top w:val="none" w:sz="0" w:space="0" w:color="auto"/>
        <w:left w:val="none" w:sz="0" w:space="0" w:color="auto"/>
        <w:bottom w:val="none" w:sz="0" w:space="0" w:color="auto"/>
        <w:right w:val="none" w:sz="0" w:space="0" w:color="auto"/>
      </w:divBdr>
      <w:divsChild>
        <w:div w:id="2100560194">
          <w:marLeft w:val="0"/>
          <w:marRight w:val="0"/>
          <w:marTop w:val="547"/>
          <w:marBottom w:val="0"/>
          <w:divBdr>
            <w:top w:val="none" w:sz="0" w:space="0" w:color="auto"/>
            <w:left w:val="none" w:sz="0" w:space="0" w:color="auto"/>
            <w:bottom w:val="none" w:sz="0" w:space="0" w:color="auto"/>
            <w:right w:val="none" w:sz="0" w:space="0" w:color="auto"/>
          </w:divBdr>
        </w:div>
        <w:div w:id="2143764031">
          <w:marLeft w:val="0"/>
          <w:marRight w:val="0"/>
          <w:marTop w:val="0"/>
          <w:marBottom w:val="0"/>
          <w:divBdr>
            <w:top w:val="none" w:sz="0" w:space="0" w:color="auto"/>
            <w:left w:val="none" w:sz="0" w:space="0" w:color="auto"/>
            <w:bottom w:val="none" w:sz="0" w:space="0" w:color="auto"/>
            <w:right w:val="none" w:sz="0" w:space="0" w:color="auto"/>
          </w:divBdr>
          <w:divsChild>
            <w:div w:id="470178108">
              <w:marLeft w:val="0"/>
              <w:marRight w:val="0"/>
              <w:marTop w:val="0"/>
              <w:marBottom w:val="0"/>
              <w:divBdr>
                <w:top w:val="none" w:sz="0" w:space="0" w:color="auto"/>
                <w:left w:val="none" w:sz="0" w:space="0" w:color="auto"/>
                <w:bottom w:val="none" w:sz="0" w:space="0" w:color="auto"/>
                <w:right w:val="none" w:sz="0" w:space="0" w:color="auto"/>
              </w:divBdr>
              <w:divsChild>
                <w:div w:id="1410619849">
                  <w:marLeft w:val="0"/>
                  <w:marRight w:val="0"/>
                  <w:marTop w:val="0"/>
                  <w:marBottom w:val="0"/>
                  <w:divBdr>
                    <w:top w:val="none" w:sz="0" w:space="0" w:color="auto"/>
                    <w:left w:val="none" w:sz="0" w:space="0" w:color="auto"/>
                    <w:bottom w:val="none" w:sz="0" w:space="0" w:color="auto"/>
                    <w:right w:val="none" w:sz="0" w:space="0" w:color="auto"/>
                  </w:divBdr>
                </w:div>
              </w:divsChild>
            </w:div>
            <w:div w:id="855121842">
              <w:marLeft w:val="0"/>
              <w:marRight w:val="0"/>
              <w:marTop w:val="0"/>
              <w:marBottom w:val="0"/>
              <w:divBdr>
                <w:top w:val="none" w:sz="0" w:space="0" w:color="auto"/>
                <w:left w:val="none" w:sz="0" w:space="0" w:color="auto"/>
                <w:bottom w:val="none" w:sz="0" w:space="0" w:color="auto"/>
                <w:right w:val="none" w:sz="0" w:space="0" w:color="auto"/>
              </w:divBdr>
              <w:divsChild>
                <w:div w:id="1751270252">
                  <w:marLeft w:val="0"/>
                  <w:marRight w:val="0"/>
                  <w:marTop w:val="0"/>
                  <w:marBottom w:val="0"/>
                  <w:divBdr>
                    <w:top w:val="none" w:sz="0" w:space="0" w:color="auto"/>
                    <w:left w:val="none" w:sz="0" w:space="0" w:color="auto"/>
                    <w:bottom w:val="none" w:sz="0" w:space="0" w:color="auto"/>
                    <w:right w:val="none" w:sz="0" w:space="0" w:color="auto"/>
                  </w:divBdr>
                </w:div>
              </w:divsChild>
            </w:div>
            <w:div w:id="1504197317">
              <w:marLeft w:val="0"/>
              <w:marRight w:val="0"/>
              <w:marTop w:val="0"/>
              <w:marBottom w:val="0"/>
              <w:divBdr>
                <w:top w:val="none" w:sz="0" w:space="0" w:color="auto"/>
                <w:left w:val="none" w:sz="0" w:space="0" w:color="auto"/>
                <w:bottom w:val="none" w:sz="0" w:space="0" w:color="auto"/>
                <w:right w:val="none" w:sz="0" w:space="0" w:color="auto"/>
              </w:divBdr>
              <w:divsChild>
                <w:div w:id="162206694">
                  <w:marLeft w:val="0"/>
                  <w:marRight w:val="0"/>
                  <w:marTop w:val="0"/>
                  <w:marBottom w:val="0"/>
                  <w:divBdr>
                    <w:top w:val="none" w:sz="0" w:space="0" w:color="auto"/>
                    <w:left w:val="none" w:sz="0" w:space="0" w:color="auto"/>
                    <w:bottom w:val="none" w:sz="0" w:space="0" w:color="auto"/>
                    <w:right w:val="none" w:sz="0" w:space="0" w:color="auto"/>
                  </w:divBdr>
                </w:div>
              </w:divsChild>
            </w:div>
            <w:div w:id="406805779">
              <w:marLeft w:val="0"/>
              <w:marRight w:val="0"/>
              <w:marTop w:val="0"/>
              <w:marBottom w:val="0"/>
              <w:divBdr>
                <w:top w:val="none" w:sz="0" w:space="0" w:color="auto"/>
                <w:left w:val="none" w:sz="0" w:space="0" w:color="auto"/>
                <w:bottom w:val="none" w:sz="0" w:space="0" w:color="auto"/>
                <w:right w:val="none" w:sz="0" w:space="0" w:color="auto"/>
              </w:divBdr>
              <w:divsChild>
                <w:div w:id="731972922">
                  <w:marLeft w:val="0"/>
                  <w:marRight w:val="0"/>
                  <w:marTop w:val="0"/>
                  <w:marBottom w:val="0"/>
                  <w:divBdr>
                    <w:top w:val="none" w:sz="0" w:space="0" w:color="auto"/>
                    <w:left w:val="none" w:sz="0" w:space="0" w:color="auto"/>
                    <w:bottom w:val="none" w:sz="0" w:space="0" w:color="auto"/>
                    <w:right w:val="none" w:sz="0" w:space="0" w:color="auto"/>
                  </w:divBdr>
                </w:div>
              </w:divsChild>
            </w:div>
            <w:div w:id="110053947">
              <w:marLeft w:val="0"/>
              <w:marRight w:val="0"/>
              <w:marTop w:val="0"/>
              <w:marBottom w:val="0"/>
              <w:divBdr>
                <w:top w:val="none" w:sz="0" w:space="0" w:color="auto"/>
                <w:left w:val="none" w:sz="0" w:space="0" w:color="auto"/>
                <w:bottom w:val="none" w:sz="0" w:space="0" w:color="auto"/>
                <w:right w:val="none" w:sz="0" w:space="0" w:color="auto"/>
              </w:divBdr>
              <w:divsChild>
                <w:div w:id="1440294354">
                  <w:marLeft w:val="0"/>
                  <w:marRight w:val="0"/>
                  <w:marTop w:val="0"/>
                  <w:marBottom w:val="0"/>
                  <w:divBdr>
                    <w:top w:val="none" w:sz="0" w:space="0" w:color="auto"/>
                    <w:left w:val="none" w:sz="0" w:space="0" w:color="auto"/>
                    <w:bottom w:val="none" w:sz="0" w:space="0" w:color="auto"/>
                    <w:right w:val="none" w:sz="0" w:space="0" w:color="auto"/>
                  </w:divBdr>
                </w:div>
              </w:divsChild>
            </w:div>
            <w:div w:id="937181452">
              <w:marLeft w:val="0"/>
              <w:marRight w:val="0"/>
              <w:marTop w:val="0"/>
              <w:marBottom w:val="0"/>
              <w:divBdr>
                <w:top w:val="none" w:sz="0" w:space="0" w:color="auto"/>
                <w:left w:val="none" w:sz="0" w:space="0" w:color="auto"/>
                <w:bottom w:val="none" w:sz="0" w:space="0" w:color="auto"/>
                <w:right w:val="none" w:sz="0" w:space="0" w:color="auto"/>
              </w:divBdr>
              <w:divsChild>
                <w:div w:id="1422067921">
                  <w:marLeft w:val="0"/>
                  <w:marRight w:val="0"/>
                  <w:marTop w:val="0"/>
                  <w:marBottom w:val="0"/>
                  <w:divBdr>
                    <w:top w:val="none" w:sz="0" w:space="0" w:color="auto"/>
                    <w:left w:val="none" w:sz="0" w:space="0" w:color="auto"/>
                    <w:bottom w:val="none" w:sz="0" w:space="0" w:color="auto"/>
                    <w:right w:val="none" w:sz="0" w:space="0" w:color="auto"/>
                  </w:divBdr>
                </w:div>
              </w:divsChild>
            </w:div>
            <w:div w:id="2110075254">
              <w:marLeft w:val="0"/>
              <w:marRight w:val="0"/>
              <w:marTop w:val="0"/>
              <w:marBottom w:val="0"/>
              <w:divBdr>
                <w:top w:val="none" w:sz="0" w:space="0" w:color="auto"/>
                <w:left w:val="none" w:sz="0" w:space="0" w:color="auto"/>
                <w:bottom w:val="none" w:sz="0" w:space="0" w:color="auto"/>
                <w:right w:val="none" w:sz="0" w:space="0" w:color="auto"/>
              </w:divBdr>
              <w:divsChild>
                <w:div w:id="798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8549">
          <w:marLeft w:val="0"/>
          <w:marRight w:val="0"/>
          <w:marTop w:val="0"/>
          <w:marBottom w:val="600"/>
          <w:divBdr>
            <w:top w:val="none" w:sz="0" w:space="0" w:color="auto"/>
            <w:left w:val="none" w:sz="0" w:space="0" w:color="auto"/>
            <w:bottom w:val="none" w:sz="0" w:space="0" w:color="auto"/>
            <w:right w:val="none" w:sz="0" w:space="0" w:color="auto"/>
          </w:divBdr>
        </w:div>
      </w:divsChild>
    </w:div>
    <w:div w:id="654259938">
      <w:marLeft w:val="0"/>
      <w:marRight w:val="0"/>
      <w:marTop w:val="0"/>
      <w:marBottom w:val="0"/>
      <w:divBdr>
        <w:top w:val="none" w:sz="0" w:space="0" w:color="auto"/>
        <w:left w:val="none" w:sz="0" w:space="0" w:color="auto"/>
        <w:bottom w:val="none" w:sz="0" w:space="0" w:color="auto"/>
        <w:right w:val="none" w:sz="0" w:space="0" w:color="auto"/>
      </w:divBdr>
      <w:divsChild>
        <w:div w:id="1114405626">
          <w:marLeft w:val="0"/>
          <w:marRight w:val="0"/>
          <w:marTop w:val="547"/>
          <w:marBottom w:val="0"/>
          <w:divBdr>
            <w:top w:val="none" w:sz="0" w:space="0" w:color="auto"/>
            <w:left w:val="none" w:sz="0" w:space="0" w:color="auto"/>
            <w:bottom w:val="none" w:sz="0" w:space="0" w:color="auto"/>
            <w:right w:val="none" w:sz="0" w:space="0" w:color="auto"/>
          </w:divBdr>
        </w:div>
        <w:div w:id="1742948782">
          <w:marLeft w:val="0"/>
          <w:marRight w:val="0"/>
          <w:marTop w:val="0"/>
          <w:marBottom w:val="0"/>
          <w:divBdr>
            <w:top w:val="none" w:sz="0" w:space="0" w:color="auto"/>
            <w:left w:val="none" w:sz="0" w:space="0" w:color="auto"/>
            <w:bottom w:val="none" w:sz="0" w:space="0" w:color="auto"/>
            <w:right w:val="none" w:sz="0" w:space="0" w:color="auto"/>
          </w:divBdr>
        </w:div>
        <w:div w:id="1148399874">
          <w:marLeft w:val="0"/>
          <w:marRight w:val="0"/>
          <w:marTop w:val="0"/>
          <w:marBottom w:val="600"/>
          <w:divBdr>
            <w:top w:val="none" w:sz="0" w:space="0" w:color="auto"/>
            <w:left w:val="none" w:sz="0" w:space="0" w:color="auto"/>
            <w:bottom w:val="none" w:sz="0" w:space="0" w:color="auto"/>
            <w:right w:val="none" w:sz="0" w:space="0" w:color="auto"/>
          </w:divBdr>
        </w:div>
      </w:divsChild>
    </w:div>
    <w:div w:id="655575112">
      <w:marLeft w:val="0"/>
      <w:marRight w:val="0"/>
      <w:marTop w:val="0"/>
      <w:marBottom w:val="0"/>
      <w:divBdr>
        <w:top w:val="none" w:sz="0" w:space="0" w:color="auto"/>
        <w:left w:val="none" w:sz="0" w:space="0" w:color="auto"/>
        <w:bottom w:val="none" w:sz="0" w:space="0" w:color="auto"/>
        <w:right w:val="none" w:sz="0" w:space="0" w:color="auto"/>
      </w:divBdr>
      <w:divsChild>
        <w:div w:id="1613972835">
          <w:marLeft w:val="0"/>
          <w:marRight w:val="0"/>
          <w:marTop w:val="547"/>
          <w:marBottom w:val="0"/>
          <w:divBdr>
            <w:top w:val="none" w:sz="0" w:space="0" w:color="auto"/>
            <w:left w:val="none" w:sz="0" w:space="0" w:color="auto"/>
            <w:bottom w:val="none" w:sz="0" w:space="0" w:color="auto"/>
            <w:right w:val="none" w:sz="0" w:space="0" w:color="auto"/>
          </w:divBdr>
        </w:div>
        <w:div w:id="1675762462">
          <w:marLeft w:val="0"/>
          <w:marRight w:val="0"/>
          <w:marTop w:val="0"/>
          <w:marBottom w:val="0"/>
          <w:divBdr>
            <w:top w:val="none" w:sz="0" w:space="0" w:color="auto"/>
            <w:left w:val="none" w:sz="0" w:space="0" w:color="auto"/>
            <w:bottom w:val="none" w:sz="0" w:space="0" w:color="auto"/>
            <w:right w:val="none" w:sz="0" w:space="0" w:color="auto"/>
          </w:divBdr>
          <w:divsChild>
            <w:div w:id="1332414898">
              <w:marLeft w:val="0"/>
              <w:marRight w:val="0"/>
              <w:marTop w:val="0"/>
              <w:marBottom w:val="0"/>
              <w:divBdr>
                <w:top w:val="none" w:sz="0" w:space="0" w:color="auto"/>
                <w:left w:val="none" w:sz="0" w:space="0" w:color="auto"/>
                <w:bottom w:val="none" w:sz="0" w:space="0" w:color="auto"/>
                <w:right w:val="none" w:sz="0" w:space="0" w:color="auto"/>
              </w:divBdr>
              <w:divsChild>
                <w:div w:id="357396403">
                  <w:marLeft w:val="0"/>
                  <w:marRight w:val="0"/>
                  <w:marTop w:val="0"/>
                  <w:marBottom w:val="0"/>
                  <w:divBdr>
                    <w:top w:val="none" w:sz="0" w:space="0" w:color="auto"/>
                    <w:left w:val="none" w:sz="0" w:space="0" w:color="auto"/>
                    <w:bottom w:val="none" w:sz="0" w:space="0" w:color="auto"/>
                    <w:right w:val="none" w:sz="0" w:space="0" w:color="auto"/>
                  </w:divBdr>
                </w:div>
              </w:divsChild>
            </w:div>
            <w:div w:id="1645426173">
              <w:marLeft w:val="0"/>
              <w:marRight w:val="0"/>
              <w:marTop w:val="0"/>
              <w:marBottom w:val="0"/>
              <w:divBdr>
                <w:top w:val="none" w:sz="0" w:space="0" w:color="auto"/>
                <w:left w:val="none" w:sz="0" w:space="0" w:color="auto"/>
                <w:bottom w:val="none" w:sz="0" w:space="0" w:color="auto"/>
                <w:right w:val="none" w:sz="0" w:space="0" w:color="auto"/>
              </w:divBdr>
              <w:divsChild>
                <w:div w:id="100884406">
                  <w:marLeft w:val="0"/>
                  <w:marRight w:val="0"/>
                  <w:marTop w:val="0"/>
                  <w:marBottom w:val="0"/>
                  <w:divBdr>
                    <w:top w:val="none" w:sz="0" w:space="0" w:color="auto"/>
                    <w:left w:val="none" w:sz="0" w:space="0" w:color="auto"/>
                    <w:bottom w:val="none" w:sz="0" w:space="0" w:color="auto"/>
                    <w:right w:val="none" w:sz="0" w:space="0" w:color="auto"/>
                  </w:divBdr>
                </w:div>
              </w:divsChild>
            </w:div>
            <w:div w:id="1983190155">
              <w:marLeft w:val="0"/>
              <w:marRight w:val="0"/>
              <w:marTop w:val="0"/>
              <w:marBottom w:val="0"/>
              <w:divBdr>
                <w:top w:val="none" w:sz="0" w:space="0" w:color="auto"/>
                <w:left w:val="none" w:sz="0" w:space="0" w:color="auto"/>
                <w:bottom w:val="none" w:sz="0" w:space="0" w:color="auto"/>
                <w:right w:val="none" w:sz="0" w:space="0" w:color="auto"/>
              </w:divBdr>
              <w:divsChild>
                <w:div w:id="1057975150">
                  <w:marLeft w:val="0"/>
                  <w:marRight w:val="0"/>
                  <w:marTop w:val="0"/>
                  <w:marBottom w:val="0"/>
                  <w:divBdr>
                    <w:top w:val="none" w:sz="0" w:space="0" w:color="auto"/>
                    <w:left w:val="none" w:sz="0" w:space="0" w:color="auto"/>
                    <w:bottom w:val="none" w:sz="0" w:space="0" w:color="auto"/>
                    <w:right w:val="none" w:sz="0" w:space="0" w:color="auto"/>
                  </w:divBdr>
                </w:div>
              </w:divsChild>
            </w:div>
            <w:div w:id="109134329">
              <w:marLeft w:val="0"/>
              <w:marRight w:val="0"/>
              <w:marTop w:val="0"/>
              <w:marBottom w:val="0"/>
              <w:divBdr>
                <w:top w:val="none" w:sz="0" w:space="0" w:color="auto"/>
                <w:left w:val="none" w:sz="0" w:space="0" w:color="auto"/>
                <w:bottom w:val="none" w:sz="0" w:space="0" w:color="auto"/>
                <w:right w:val="none" w:sz="0" w:space="0" w:color="auto"/>
              </w:divBdr>
              <w:divsChild>
                <w:div w:id="728193801">
                  <w:marLeft w:val="0"/>
                  <w:marRight w:val="0"/>
                  <w:marTop w:val="0"/>
                  <w:marBottom w:val="0"/>
                  <w:divBdr>
                    <w:top w:val="none" w:sz="0" w:space="0" w:color="auto"/>
                    <w:left w:val="none" w:sz="0" w:space="0" w:color="auto"/>
                    <w:bottom w:val="none" w:sz="0" w:space="0" w:color="auto"/>
                    <w:right w:val="none" w:sz="0" w:space="0" w:color="auto"/>
                  </w:divBdr>
                </w:div>
              </w:divsChild>
            </w:div>
            <w:div w:id="979190057">
              <w:marLeft w:val="0"/>
              <w:marRight w:val="0"/>
              <w:marTop w:val="0"/>
              <w:marBottom w:val="0"/>
              <w:divBdr>
                <w:top w:val="none" w:sz="0" w:space="0" w:color="auto"/>
                <w:left w:val="none" w:sz="0" w:space="0" w:color="auto"/>
                <w:bottom w:val="none" w:sz="0" w:space="0" w:color="auto"/>
                <w:right w:val="none" w:sz="0" w:space="0" w:color="auto"/>
              </w:divBdr>
              <w:divsChild>
                <w:div w:id="177736996">
                  <w:marLeft w:val="0"/>
                  <w:marRight w:val="0"/>
                  <w:marTop w:val="0"/>
                  <w:marBottom w:val="0"/>
                  <w:divBdr>
                    <w:top w:val="none" w:sz="0" w:space="0" w:color="auto"/>
                    <w:left w:val="none" w:sz="0" w:space="0" w:color="auto"/>
                    <w:bottom w:val="none" w:sz="0" w:space="0" w:color="auto"/>
                    <w:right w:val="none" w:sz="0" w:space="0" w:color="auto"/>
                  </w:divBdr>
                </w:div>
              </w:divsChild>
            </w:div>
            <w:div w:id="624654625">
              <w:marLeft w:val="0"/>
              <w:marRight w:val="0"/>
              <w:marTop w:val="0"/>
              <w:marBottom w:val="0"/>
              <w:divBdr>
                <w:top w:val="none" w:sz="0" w:space="0" w:color="auto"/>
                <w:left w:val="none" w:sz="0" w:space="0" w:color="auto"/>
                <w:bottom w:val="none" w:sz="0" w:space="0" w:color="auto"/>
                <w:right w:val="none" w:sz="0" w:space="0" w:color="auto"/>
              </w:divBdr>
              <w:divsChild>
                <w:div w:id="1439712632">
                  <w:marLeft w:val="0"/>
                  <w:marRight w:val="0"/>
                  <w:marTop w:val="0"/>
                  <w:marBottom w:val="0"/>
                  <w:divBdr>
                    <w:top w:val="none" w:sz="0" w:space="0" w:color="auto"/>
                    <w:left w:val="none" w:sz="0" w:space="0" w:color="auto"/>
                    <w:bottom w:val="none" w:sz="0" w:space="0" w:color="auto"/>
                    <w:right w:val="none" w:sz="0" w:space="0" w:color="auto"/>
                  </w:divBdr>
                </w:div>
              </w:divsChild>
            </w:div>
            <w:div w:id="1583375304">
              <w:marLeft w:val="0"/>
              <w:marRight w:val="0"/>
              <w:marTop w:val="0"/>
              <w:marBottom w:val="0"/>
              <w:divBdr>
                <w:top w:val="none" w:sz="0" w:space="0" w:color="auto"/>
                <w:left w:val="none" w:sz="0" w:space="0" w:color="auto"/>
                <w:bottom w:val="none" w:sz="0" w:space="0" w:color="auto"/>
                <w:right w:val="none" w:sz="0" w:space="0" w:color="auto"/>
              </w:divBdr>
              <w:divsChild>
                <w:div w:id="69080031">
                  <w:marLeft w:val="0"/>
                  <w:marRight w:val="0"/>
                  <w:marTop w:val="0"/>
                  <w:marBottom w:val="0"/>
                  <w:divBdr>
                    <w:top w:val="none" w:sz="0" w:space="0" w:color="auto"/>
                    <w:left w:val="none" w:sz="0" w:space="0" w:color="auto"/>
                    <w:bottom w:val="none" w:sz="0" w:space="0" w:color="auto"/>
                    <w:right w:val="none" w:sz="0" w:space="0" w:color="auto"/>
                  </w:divBdr>
                </w:div>
              </w:divsChild>
            </w:div>
            <w:div w:id="616253917">
              <w:marLeft w:val="0"/>
              <w:marRight w:val="0"/>
              <w:marTop w:val="0"/>
              <w:marBottom w:val="0"/>
              <w:divBdr>
                <w:top w:val="none" w:sz="0" w:space="0" w:color="auto"/>
                <w:left w:val="none" w:sz="0" w:space="0" w:color="auto"/>
                <w:bottom w:val="none" w:sz="0" w:space="0" w:color="auto"/>
                <w:right w:val="none" w:sz="0" w:space="0" w:color="auto"/>
              </w:divBdr>
              <w:divsChild>
                <w:div w:id="248732786">
                  <w:marLeft w:val="0"/>
                  <w:marRight w:val="0"/>
                  <w:marTop w:val="0"/>
                  <w:marBottom w:val="0"/>
                  <w:divBdr>
                    <w:top w:val="none" w:sz="0" w:space="0" w:color="auto"/>
                    <w:left w:val="none" w:sz="0" w:space="0" w:color="auto"/>
                    <w:bottom w:val="none" w:sz="0" w:space="0" w:color="auto"/>
                    <w:right w:val="none" w:sz="0" w:space="0" w:color="auto"/>
                  </w:divBdr>
                </w:div>
              </w:divsChild>
            </w:div>
            <w:div w:id="1538664393">
              <w:marLeft w:val="0"/>
              <w:marRight w:val="0"/>
              <w:marTop w:val="0"/>
              <w:marBottom w:val="0"/>
              <w:divBdr>
                <w:top w:val="none" w:sz="0" w:space="0" w:color="auto"/>
                <w:left w:val="none" w:sz="0" w:space="0" w:color="auto"/>
                <w:bottom w:val="none" w:sz="0" w:space="0" w:color="auto"/>
                <w:right w:val="none" w:sz="0" w:space="0" w:color="auto"/>
              </w:divBdr>
              <w:divsChild>
                <w:div w:id="783503128">
                  <w:marLeft w:val="0"/>
                  <w:marRight w:val="0"/>
                  <w:marTop w:val="0"/>
                  <w:marBottom w:val="0"/>
                  <w:divBdr>
                    <w:top w:val="none" w:sz="0" w:space="0" w:color="auto"/>
                    <w:left w:val="none" w:sz="0" w:space="0" w:color="auto"/>
                    <w:bottom w:val="none" w:sz="0" w:space="0" w:color="auto"/>
                    <w:right w:val="none" w:sz="0" w:space="0" w:color="auto"/>
                  </w:divBdr>
                </w:div>
              </w:divsChild>
            </w:div>
            <w:div w:id="1237856003">
              <w:marLeft w:val="0"/>
              <w:marRight w:val="0"/>
              <w:marTop w:val="0"/>
              <w:marBottom w:val="0"/>
              <w:divBdr>
                <w:top w:val="none" w:sz="0" w:space="0" w:color="auto"/>
                <w:left w:val="none" w:sz="0" w:space="0" w:color="auto"/>
                <w:bottom w:val="none" w:sz="0" w:space="0" w:color="auto"/>
                <w:right w:val="none" w:sz="0" w:space="0" w:color="auto"/>
              </w:divBdr>
              <w:divsChild>
                <w:div w:id="1713847889">
                  <w:marLeft w:val="0"/>
                  <w:marRight w:val="0"/>
                  <w:marTop w:val="0"/>
                  <w:marBottom w:val="0"/>
                  <w:divBdr>
                    <w:top w:val="none" w:sz="0" w:space="0" w:color="auto"/>
                    <w:left w:val="none" w:sz="0" w:space="0" w:color="auto"/>
                    <w:bottom w:val="none" w:sz="0" w:space="0" w:color="auto"/>
                    <w:right w:val="none" w:sz="0" w:space="0" w:color="auto"/>
                  </w:divBdr>
                </w:div>
              </w:divsChild>
            </w:div>
            <w:div w:id="98257585">
              <w:marLeft w:val="0"/>
              <w:marRight w:val="0"/>
              <w:marTop w:val="0"/>
              <w:marBottom w:val="0"/>
              <w:divBdr>
                <w:top w:val="none" w:sz="0" w:space="0" w:color="auto"/>
                <w:left w:val="none" w:sz="0" w:space="0" w:color="auto"/>
                <w:bottom w:val="none" w:sz="0" w:space="0" w:color="auto"/>
                <w:right w:val="none" w:sz="0" w:space="0" w:color="auto"/>
              </w:divBdr>
              <w:divsChild>
                <w:div w:id="448356816">
                  <w:marLeft w:val="0"/>
                  <w:marRight w:val="0"/>
                  <w:marTop w:val="0"/>
                  <w:marBottom w:val="0"/>
                  <w:divBdr>
                    <w:top w:val="none" w:sz="0" w:space="0" w:color="auto"/>
                    <w:left w:val="none" w:sz="0" w:space="0" w:color="auto"/>
                    <w:bottom w:val="none" w:sz="0" w:space="0" w:color="auto"/>
                    <w:right w:val="none" w:sz="0" w:space="0" w:color="auto"/>
                  </w:divBdr>
                </w:div>
              </w:divsChild>
            </w:div>
            <w:div w:id="1637031641">
              <w:marLeft w:val="0"/>
              <w:marRight w:val="0"/>
              <w:marTop w:val="0"/>
              <w:marBottom w:val="0"/>
              <w:divBdr>
                <w:top w:val="none" w:sz="0" w:space="0" w:color="auto"/>
                <w:left w:val="none" w:sz="0" w:space="0" w:color="auto"/>
                <w:bottom w:val="none" w:sz="0" w:space="0" w:color="auto"/>
                <w:right w:val="none" w:sz="0" w:space="0" w:color="auto"/>
              </w:divBdr>
              <w:divsChild>
                <w:div w:id="9912537">
                  <w:marLeft w:val="0"/>
                  <w:marRight w:val="0"/>
                  <w:marTop w:val="0"/>
                  <w:marBottom w:val="0"/>
                  <w:divBdr>
                    <w:top w:val="none" w:sz="0" w:space="0" w:color="auto"/>
                    <w:left w:val="none" w:sz="0" w:space="0" w:color="auto"/>
                    <w:bottom w:val="none" w:sz="0" w:space="0" w:color="auto"/>
                    <w:right w:val="none" w:sz="0" w:space="0" w:color="auto"/>
                  </w:divBdr>
                </w:div>
              </w:divsChild>
            </w:div>
            <w:div w:id="1503467349">
              <w:marLeft w:val="0"/>
              <w:marRight w:val="0"/>
              <w:marTop w:val="0"/>
              <w:marBottom w:val="0"/>
              <w:divBdr>
                <w:top w:val="none" w:sz="0" w:space="0" w:color="auto"/>
                <w:left w:val="none" w:sz="0" w:space="0" w:color="auto"/>
                <w:bottom w:val="none" w:sz="0" w:space="0" w:color="auto"/>
                <w:right w:val="none" w:sz="0" w:space="0" w:color="auto"/>
              </w:divBdr>
              <w:divsChild>
                <w:div w:id="1972321190">
                  <w:marLeft w:val="0"/>
                  <w:marRight w:val="0"/>
                  <w:marTop w:val="0"/>
                  <w:marBottom w:val="0"/>
                  <w:divBdr>
                    <w:top w:val="none" w:sz="0" w:space="0" w:color="auto"/>
                    <w:left w:val="none" w:sz="0" w:space="0" w:color="auto"/>
                    <w:bottom w:val="none" w:sz="0" w:space="0" w:color="auto"/>
                    <w:right w:val="none" w:sz="0" w:space="0" w:color="auto"/>
                  </w:divBdr>
                </w:div>
              </w:divsChild>
            </w:div>
            <w:div w:id="1475946580">
              <w:marLeft w:val="0"/>
              <w:marRight w:val="0"/>
              <w:marTop w:val="0"/>
              <w:marBottom w:val="0"/>
              <w:divBdr>
                <w:top w:val="none" w:sz="0" w:space="0" w:color="auto"/>
                <w:left w:val="none" w:sz="0" w:space="0" w:color="auto"/>
                <w:bottom w:val="none" w:sz="0" w:space="0" w:color="auto"/>
                <w:right w:val="none" w:sz="0" w:space="0" w:color="auto"/>
              </w:divBdr>
              <w:divsChild>
                <w:div w:id="711611360">
                  <w:marLeft w:val="0"/>
                  <w:marRight w:val="0"/>
                  <w:marTop w:val="0"/>
                  <w:marBottom w:val="0"/>
                  <w:divBdr>
                    <w:top w:val="none" w:sz="0" w:space="0" w:color="auto"/>
                    <w:left w:val="none" w:sz="0" w:space="0" w:color="auto"/>
                    <w:bottom w:val="none" w:sz="0" w:space="0" w:color="auto"/>
                    <w:right w:val="none" w:sz="0" w:space="0" w:color="auto"/>
                  </w:divBdr>
                </w:div>
              </w:divsChild>
            </w:div>
            <w:div w:id="2022118932">
              <w:marLeft w:val="0"/>
              <w:marRight w:val="0"/>
              <w:marTop w:val="0"/>
              <w:marBottom w:val="0"/>
              <w:divBdr>
                <w:top w:val="none" w:sz="0" w:space="0" w:color="auto"/>
                <w:left w:val="none" w:sz="0" w:space="0" w:color="auto"/>
                <w:bottom w:val="none" w:sz="0" w:space="0" w:color="auto"/>
                <w:right w:val="none" w:sz="0" w:space="0" w:color="auto"/>
              </w:divBdr>
              <w:divsChild>
                <w:div w:id="665090883">
                  <w:marLeft w:val="0"/>
                  <w:marRight w:val="0"/>
                  <w:marTop w:val="0"/>
                  <w:marBottom w:val="0"/>
                  <w:divBdr>
                    <w:top w:val="none" w:sz="0" w:space="0" w:color="auto"/>
                    <w:left w:val="none" w:sz="0" w:space="0" w:color="auto"/>
                    <w:bottom w:val="none" w:sz="0" w:space="0" w:color="auto"/>
                    <w:right w:val="none" w:sz="0" w:space="0" w:color="auto"/>
                  </w:divBdr>
                </w:div>
              </w:divsChild>
            </w:div>
            <w:div w:id="1624924839">
              <w:marLeft w:val="0"/>
              <w:marRight w:val="0"/>
              <w:marTop w:val="0"/>
              <w:marBottom w:val="0"/>
              <w:divBdr>
                <w:top w:val="none" w:sz="0" w:space="0" w:color="auto"/>
                <w:left w:val="none" w:sz="0" w:space="0" w:color="auto"/>
                <w:bottom w:val="none" w:sz="0" w:space="0" w:color="auto"/>
                <w:right w:val="none" w:sz="0" w:space="0" w:color="auto"/>
              </w:divBdr>
              <w:divsChild>
                <w:div w:id="170875342">
                  <w:marLeft w:val="0"/>
                  <w:marRight w:val="0"/>
                  <w:marTop w:val="0"/>
                  <w:marBottom w:val="0"/>
                  <w:divBdr>
                    <w:top w:val="none" w:sz="0" w:space="0" w:color="auto"/>
                    <w:left w:val="none" w:sz="0" w:space="0" w:color="auto"/>
                    <w:bottom w:val="none" w:sz="0" w:space="0" w:color="auto"/>
                    <w:right w:val="none" w:sz="0" w:space="0" w:color="auto"/>
                  </w:divBdr>
                </w:div>
              </w:divsChild>
            </w:div>
            <w:div w:id="522330353">
              <w:marLeft w:val="0"/>
              <w:marRight w:val="0"/>
              <w:marTop w:val="0"/>
              <w:marBottom w:val="0"/>
              <w:divBdr>
                <w:top w:val="none" w:sz="0" w:space="0" w:color="auto"/>
                <w:left w:val="none" w:sz="0" w:space="0" w:color="auto"/>
                <w:bottom w:val="none" w:sz="0" w:space="0" w:color="auto"/>
                <w:right w:val="none" w:sz="0" w:space="0" w:color="auto"/>
              </w:divBdr>
              <w:divsChild>
                <w:div w:id="868488835">
                  <w:marLeft w:val="0"/>
                  <w:marRight w:val="0"/>
                  <w:marTop w:val="0"/>
                  <w:marBottom w:val="0"/>
                  <w:divBdr>
                    <w:top w:val="none" w:sz="0" w:space="0" w:color="auto"/>
                    <w:left w:val="none" w:sz="0" w:space="0" w:color="auto"/>
                    <w:bottom w:val="none" w:sz="0" w:space="0" w:color="auto"/>
                    <w:right w:val="none" w:sz="0" w:space="0" w:color="auto"/>
                  </w:divBdr>
                </w:div>
              </w:divsChild>
            </w:div>
            <w:div w:id="1884366206">
              <w:marLeft w:val="0"/>
              <w:marRight w:val="0"/>
              <w:marTop w:val="0"/>
              <w:marBottom w:val="0"/>
              <w:divBdr>
                <w:top w:val="none" w:sz="0" w:space="0" w:color="auto"/>
                <w:left w:val="none" w:sz="0" w:space="0" w:color="auto"/>
                <w:bottom w:val="none" w:sz="0" w:space="0" w:color="auto"/>
                <w:right w:val="none" w:sz="0" w:space="0" w:color="auto"/>
              </w:divBdr>
              <w:divsChild>
                <w:div w:id="11054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9969">
          <w:marLeft w:val="0"/>
          <w:marRight w:val="0"/>
          <w:marTop w:val="0"/>
          <w:marBottom w:val="600"/>
          <w:divBdr>
            <w:top w:val="none" w:sz="0" w:space="0" w:color="auto"/>
            <w:left w:val="none" w:sz="0" w:space="0" w:color="auto"/>
            <w:bottom w:val="none" w:sz="0" w:space="0" w:color="auto"/>
            <w:right w:val="none" w:sz="0" w:space="0" w:color="auto"/>
          </w:divBdr>
        </w:div>
      </w:divsChild>
    </w:div>
    <w:div w:id="675763267">
      <w:marLeft w:val="0"/>
      <w:marRight w:val="0"/>
      <w:marTop w:val="0"/>
      <w:marBottom w:val="0"/>
      <w:divBdr>
        <w:top w:val="none" w:sz="0" w:space="0" w:color="auto"/>
        <w:left w:val="none" w:sz="0" w:space="0" w:color="auto"/>
        <w:bottom w:val="none" w:sz="0" w:space="0" w:color="auto"/>
        <w:right w:val="none" w:sz="0" w:space="0" w:color="auto"/>
      </w:divBdr>
      <w:divsChild>
        <w:div w:id="470442317">
          <w:marLeft w:val="0"/>
          <w:marRight w:val="0"/>
          <w:marTop w:val="547"/>
          <w:marBottom w:val="0"/>
          <w:divBdr>
            <w:top w:val="none" w:sz="0" w:space="0" w:color="auto"/>
            <w:left w:val="none" w:sz="0" w:space="0" w:color="auto"/>
            <w:bottom w:val="none" w:sz="0" w:space="0" w:color="auto"/>
            <w:right w:val="none" w:sz="0" w:space="0" w:color="auto"/>
          </w:divBdr>
        </w:div>
        <w:div w:id="1888253672">
          <w:marLeft w:val="0"/>
          <w:marRight w:val="0"/>
          <w:marTop w:val="0"/>
          <w:marBottom w:val="0"/>
          <w:divBdr>
            <w:top w:val="none" w:sz="0" w:space="0" w:color="auto"/>
            <w:left w:val="none" w:sz="0" w:space="0" w:color="auto"/>
            <w:bottom w:val="none" w:sz="0" w:space="0" w:color="auto"/>
            <w:right w:val="none" w:sz="0" w:space="0" w:color="auto"/>
          </w:divBdr>
        </w:div>
        <w:div w:id="1050113920">
          <w:marLeft w:val="0"/>
          <w:marRight w:val="0"/>
          <w:marTop w:val="0"/>
          <w:marBottom w:val="600"/>
          <w:divBdr>
            <w:top w:val="none" w:sz="0" w:space="0" w:color="auto"/>
            <w:left w:val="none" w:sz="0" w:space="0" w:color="auto"/>
            <w:bottom w:val="none" w:sz="0" w:space="0" w:color="auto"/>
            <w:right w:val="none" w:sz="0" w:space="0" w:color="auto"/>
          </w:divBdr>
        </w:div>
      </w:divsChild>
    </w:div>
    <w:div w:id="697851970">
      <w:marLeft w:val="0"/>
      <w:marRight w:val="0"/>
      <w:marTop w:val="0"/>
      <w:marBottom w:val="0"/>
      <w:divBdr>
        <w:top w:val="none" w:sz="0" w:space="0" w:color="auto"/>
        <w:left w:val="none" w:sz="0" w:space="0" w:color="auto"/>
        <w:bottom w:val="none" w:sz="0" w:space="0" w:color="auto"/>
        <w:right w:val="none" w:sz="0" w:space="0" w:color="auto"/>
      </w:divBdr>
      <w:divsChild>
        <w:div w:id="1023287261">
          <w:marLeft w:val="0"/>
          <w:marRight w:val="0"/>
          <w:marTop w:val="547"/>
          <w:marBottom w:val="0"/>
          <w:divBdr>
            <w:top w:val="none" w:sz="0" w:space="0" w:color="auto"/>
            <w:left w:val="none" w:sz="0" w:space="0" w:color="auto"/>
            <w:bottom w:val="none" w:sz="0" w:space="0" w:color="auto"/>
            <w:right w:val="none" w:sz="0" w:space="0" w:color="auto"/>
          </w:divBdr>
        </w:div>
        <w:div w:id="2134015632">
          <w:marLeft w:val="0"/>
          <w:marRight w:val="0"/>
          <w:marTop w:val="0"/>
          <w:marBottom w:val="0"/>
          <w:divBdr>
            <w:top w:val="none" w:sz="0" w:space="0" w:color="auto"/>
            <w:left w:val="none" w:sz="0" w:space="0" w:color="auto"/>
            <w:bottom w:val="none" w:sz="0" w:space="0" w:color="auto"/>
            <w:right w:val="none" w:sz="0" w:space="0" w:color="auto"/>
          </w:divBdr>
        </w:div>
        <w:div w:id="432433210">
          <w:marLeft w:val="0"/>
          <w:marRight w:val="0"/>
          <w:marTop w:val="0"/>
          <w:marBottom w:val="600"/>
          <w:divBdr>
            <w:top w:val="none" w:sz="0" w:space="0" w:color="auto"/>
            <w:left w:val="none" w:sz="0" w:space="0" w:color="auto"/>
            <w:bottom w:val="none" w:sz="0" w:space="0" w:color="auto"/>
            <w:right w:val="none" w:sz="0" w:space="0" w:color="auto"/>
          </w:divBdr>
        </w:div>
      </w:divsChild>
    </w:div>
    <w:div w:id="709961504">
      <w:marLeft w:val="0"/>
      <w:marRight w:val="0"/>
      <w:marTop w:val="0"/>
      <w:marBottom w:val="0"/>
      <w:divBdr>
        <w:top w:val="none" w:sz="0" w:space="0" w:color="auto"/>
        <w:left w:val="none" w:sz="0" w:space="0" w:color="auto"/>
        <w:bottom w:val="none" w:sz="0" w:space="0" w:color="auto"/>
        <w:right w:val="none" w:sz="0" w:space="0" w:color="auto"/>
      </w:divBdr>
      <w:divsChild>
        <w:div w:id="1083841780">
          <w:marLeft w:val="0"/>
          <w:marRight w:val="0"/>
          <w:marTop w:val="547"/>
          <w:marBottom w:val="0"/>
          <w:divBdr>
            <w:top w:val="none" w:sz="0" w:space="0" w:color="auto"/>
            <w:left w:val="none" w:sz="0" w:space="0" w:color="auto"/>
            <w:bottom w:val="none" w:sz="0" w:space="0" w:color="auto"/>
            <w:right w:val="none" w:sz="0" w:space="0" w:color="auto"/>
          </w:divBdr>
        </w:div>
        <w:div w:id="1034039131">
          <w:marLeft w:val="0"/>
          <w:marRight w:val="0"/>
          <w:marTop w:val="0"/>
          <w:marBottom w:val="0"/>
          <w:divBdr>
            <w:top w:val="none" w:sz="0" w:space="0" w:color="auto"/>
            <w:left w:val="none" w:sz="0" w:space="0" w:color="auto"/>
            <w:bottom w:val="none" w:sz="0" w:space="0" w:color="auto"/>
            <w:right w:val="none" w:sz="0" w:space="0" w:color="auto"/>
          </w:divBdr>
        </w:div>
        <w:div w:id="1497501151">
          <w:marLeft w:val="0"/>
          <w:marRight w:val="0"/>
          <w:marTop w:val="0"/>
          <w:marBottom w:val="600"/>
          <w:divBdr>
            <w:top w:val="none" w:sz="0" w:space="0" w:color="auto"/>
            <w:left w:val="none" w:sz="0" w:space="0" w:color="auto"/>
            <w:bottom w:val="none" w:sz="0" w:space="0" w:color="auto"/>
            <w:right w:val="none" w:sz="0" w:space="0" w:color="auto"/>
          </w:divBdr>
        </w:div>
      </w:divsChild>
    </w:div>
    <w:div w:id="743264726">
      <w:marLeft w:val="0"/>
      <w:marRight w:val="0"/>
      <w:marTop w:val="0"/>
      <w:marBottom w:val="0"/>
      <w:divBdr>
        <w:top w:val="none" w:sz="0" w:space="0" w:color="auto"/>
        <w:left w:val="none" w:sz="0" w:space="0" w:color="auto"/>
        <w:bottom w:val="none" w:sz="0" w:space="0" w:color="auto"/>
        <w:right w:val="none" w:sz="0" w:space="0" w:color="auto"/>
      </w:divBdr>
      <w:divsChild>
        <w:div w:id="1526677203">
          <w:marLeft w:val="0"/>
          <w:marRight w:val="0"/>
          <w:marTop w:val="547"/>
          <w:marBottom w:val="0"/>
          <w:divBdr>
            <w:top w:val="none" w:sz="0" w:space="0" w:color="auto"/>
            <w:left w:val="none" w:sz="0" w:space="0" w:color="auto"/>
            <w:bottom w:val="none" w:sz="0" w:space="0" w:color="auto"/>
            <w:right w:val="none" w:sz="0" w:space="0" w:color="auto"/>
          </w:divBdr>
        </w:div>
        <w:div w:id="1528905157">
          <w:marLeft w:val="0"/>
          <w:marRight w:val="0"/>
          <w:marTop w:val="0"/>
          <w:marBottom w:val="0"/>
          <w:divBdr>
            <w:top w:val="none" w:sz="0" w:space="0" w:color="auto"/>
            <w:left w:val="none" w:sz="0" w:space="0" w:color="auto"/>
            <w:bottom w:val="none" w:sz="0" w:space="0" w:color="auto"/>
            <w:right w:val="none" w:sz="0" w:space="0" w:color="auto"/>
          </w:divBdr>
        </w:div>
        <w:div w:id="1269464097">
          <w:marLeft w:val="0"/>
          <w:marRight w:val="0"/>
          <w:marTop w:val="0"/>
          <w:marBottom w:val="600"/>
          <w:divBdr>
            <w:top w:val="none" w:sz="0" w:space="0" w:color="auto"/>
            <w:left w:val="none" w:sz="0" w:space="0" w:color="auto"/>
            <w:bottom w:val="none" w:sz="0" w:space="0" w:color="auto"/>
            <w:right w:val="none" w:sz="0" w:space="0" w:color="auto"/>
          </w:divBdr>
        </w:div>
      </w:divsChild>
    </w:div>
    <w:div w:id="754474500">
      <w:marLeft w:val="0"/>
      <w:marRight w:val="0"/>
      <w:marTop w:val="0"/>
      <w:marBottom w:val="0"/>
      <w:divBdr>
        <w:top w:val="none" w:sz="0" w:space="0" w:color="auto"/>
        <w:left w:val="none" w:sz="0" w:space="0" w:color="auto"/>
        <w:bottom w:val="none" w:sz="0" w:space="0" w:color="auto"/>
        <w:right w:val="none" w:sz="0" w:space="0" w:color="auto"/>
      </w:divBdr>
      <w:divsChild>
        <w:div w:id="463934431">
          <w:marLeft w:val="0"/>
          <w:marRight w:val="0"/>
          <w:marTop w:val="547"/>
          <w:marBottom w:val="0"/>
          <w:divBdr>
            <w:top w:val="none" w:sz="0" w:space="0" w:color="auto"/>
            <w:left w:val="none" w:sz="0" w:space="0" w:color="auto"/>
            <w:bottom w:val="none" w:sz="0" w:space="0" w:color="auto"/>
            <w:right w:val="none" w:sz="0" w:space="0" w:color="auto"/>
          </w:divBdr>
        </w:div>
        <w:div w:id="1324121660">
          <w:marLeft w:val="0"/>
          <w:marRight w:val="0"/>
          <w:marTop w:val="0"/>
          <w:marBottom w:val="0"/>
          <w:divBdr>
            <w:top w:val="none" w:sz="0" w:space="0" w:color="auto"/>
            <w:left w:val="none" w:sz="0" w:space="0" w:color="auto"/>
            <w:bottom w:val="none" w:sz="0" w:space="0" w:color="auto"/>
            <w:right w:val="none" w:sz="0" w:space="0" w:color="auto"/>
          </w:divBdr>
        </w:div>
        <w:div w:id="1837650027">
          <w:marLeft w:val="0"/>
          <w:marRight w:val="0"/>
          <w:marTop w:val="0"/>
          <w:marBottom w:val="600"/>
          <w:divBdr>
            <w:top w:val="none" w:sz="0" w:space="0" w:color="auto"/>
            <w:left w:val="none" w:sz="0" w:space="0" w:color="auto"/>
            <w:bottom w:val="none" w:sz="0" w:space="0" w:color="auto"/>
            <w:right w:val="none" w:sz="0" w:space="0" w:color="auto"/>
          </w:divBdr>
        </w:div>
      </w:divsChild>
    </w:div>
    <w:div w:id="831524249">
      <w:marLeft w:val="0"/>
      <w:marRight w:val="0"/>
      <w:marTop w:val="0"/>
      <w:marBottom w:val="0"/>
      <w:divBdr>
        <w:top w:val="none" w:sz="0" w:space="0" w:color="auto"/>
        <w:left w:val="none" w:sz="0" w:space="0" w:color="auto"/>
        <w:bottom w:val="none" w:sz="0" w:space="0" w:color="auto"/>
        <w:right w:val="none" w:sz="0" w:space="0" w:color="auto"/>
      </w:divBdr>
      <w:divsChild>
        <w:div w:id="109201655">
          <w:marLeft w:val="0"/>
          <w:marRight w:val="0"/>
          <w:marTop w:val="547"/>
          <w:marBottom w:val="0"/>
          <w:divBdr>
            <w:top w:val="none" w:sz="0" w:space="0" w:color="auto"/>
            <w:left w:val="none" w:sz="0" w:space="0" w:color="auto"/>
            <w:bottom w:val="none" w:sz="0" w:space="0" w:color="auto"/>
            <w:right w:val="none" w:sz="0" w:space="0" w:color="auto"/>
          </w:divBdr>
        </w:div>
        <w:div w:id="1948387022">
          <w:marLeft w:val="0"/>
          <w:marRight w:val="0"/>
          <w:marTop w:val="0"/>
          <w:marBottom w:val="0"/>
          <w:divBdr>
            <w:top w:val="none" w:sz="0" w:space="0" w:color="auto"/>
            <w:left w:val="none" w:sz="0" w:space="0" w:color="auto"/>
            <w:bottom w:val="none" w:sz="0" w:space="0" w:color="auto"/>
            <w:right w:val="none" w:sz="0" w:space="0" w:color="auto"/>
          </w:divBdr>
          <w:divsChild>
            <w:div w:id="758065795">
              <w:marLeft w:val="0"/>
              <w:marRight w:val="0"/>
              <w:marTop w:val="0"/>
              <w:marBottom w:val="0"/>
              <w:divBdr>
                <w:top w:val="none" w:sz="0" w:space="0" w:color="auto"/>
                <w:left w:val="none" w:sz="0" w:space="0" w:color="auto"/>
                <w:bottom w:val="none" w:sz="0" w:space="0" w:color="auto"/>
                <w:right w:val="none" w:sz="0" w:space="0" w:color="auto"/>
              </w:divBdr>
              <w:divsChild>
                <w:div w:id="1119909530">
                  <w:marLeft w:val="0"/>
                  <w:marRight w:val="0"/>
                  <w:marTop w:val="0"/>
                  <w:marBottom w:val="0"/>
                  <w:divBdr>
                    <w:top w:val="none" w:sz="0" w:space="0" w:color="auto"/>
                    <w:left w:val="none" w:sz="0" w:space="0" w:color="auto"/>
                    <w:bottom w:val="none" w:sz="0" w:space="0" w:color="auto"/>
                    <w:right w:val="none" w:sz="0" w:space="0" w:color="auto"/>
                  </w:divBdr>
                </w:div>
              </w:divsChild>
            </w:div>
            <w:div w:id="213809518">
              <w:marLeft w:val="0"/>
              <w:marRight w:val="0"/>
              <w:marTop w:val="0"/>
              <w:marBottom w:val="0"/>
              <w:divBdr>
                <w:top w:val="none" w:sz="0" w:space="0" w:color="auto"/>
                <w:left w:val="none" w:sz="0" w:space="0" w:color="auto"/>
                <w:bottom w:val="none" w:sz="0" w:space="0" w:color="auto"/>
                <w:right w:val="none" w:sz="0" w:space="0" w:color="auto"/>
              </w:divBdr>
              <w:divsChild>
                <w:div w:id="1776944986">
                  <w:marLeft w:val="0"/>
                  <w:marRight w:val="0"/>
                  <w:marTop w:val="0"/>
                  <w:marBottom w:val="0"/>
                  <w:divBdr>
                    <w:top w:val="none" w:sz="0" w:space="0" w:color="auto"/>
                    <w:left w:val="none" w:sz="0" w:space="0" w:color="auto"/>
                    <w:bottom w:val="none" w:sz="0" w:space="0" w:color="auto"/>
                    <w:right w:val="none" w:sz="0" w:space="0" w:color="auto"/>
                  </w:divBdr>
                </w:div>
              </w:divsChild>
            </w:div>
            <w:div w:id="1620991856">
              <w:marLeft w:val="0"/>
              <w:marRight w:val="0"/>
              <w:marTop w:val="0"/>
              <w:marBottom w:val="0"/>
              <w:divBdr>
                <w:top w:val="none" w:sz="0" w:space="0" w:color="auto"/>
                <w:left w:val="none" w:sz="0" w:space="0" w:color="auto"/>
                <w:bottom w:val="none" w:sz="0" w:space="0" w:color="auto"/>
                <w:right w:val="none" w:sz="0" w:space="0" w:color="auto"/>
              </w:divBdr>
              <w:divsChild>
                <w:div w:id="586694309">
                  <w:marLeft w:val="0"/>
                  <w:marRight w:val="0"/>
                  <w:marTop w:val="0"/>
                  <w:marBottom w:val="0"/>
                  <w:divBdr>
                    <w:top w:val="none" w:sz="0" w:space="0" w:color="auto"/>
                    <w:left w:val="none" w:sz="0" w:space="0" w:color="auto"/>
                    <w:bottom w:val="none" w:sz="0" w:space="0" w:color="auto"/>
                    <w:right w:val="none" w:sz="0" w:space="0" w:color="auto"/>
                  </w:divBdr>
                </w:div>
              </w:divsChild>
            </w:div>
            <w:div w:id="1038042723">
              <w:marLeft w:val="0"/>
              <w:marRight w:val="0"/>
              <w:marTop w:val="0"/>
              <w:marBottom w:val="0"/>
              <w:divBdr>
                <w:top w:val="none" w:sz="0" w:space="0" w:color="auto"/>
                <w:left w:val="none" w:sz="0" w:space="0" w:color="auto"/>
                <w:bottom w:val="none" w:sz="0" w:space="0" w:color="auto"/>
                <w:right w:val="none" w:sz="0" w:space="0" w:color="auto"/>
              </w:divBdr>
              <w:divsChild>
                <w:div w:id="1614631376">
                  <w:marLeft w:val="0"/>
                  <w:marRight w:val="0"/>
                  <w:marTop w:val="0"/>
                  <w:marBottom w:val="0"/>
                  <w:divBdr>
                    <w:top w:val="none" w:sz="0" w:space="0" w:color="auto"/>
                    <w:left w:val="none" w:sz="0" w:space="0" w:color="auto"/>
                    <w:bottom w:val="none" w:sz="0" w:space="0" w:color="auto"/>
                    <w:right w:val="none" w:sz="0" w:space="0" w:color="auto"/>
                  </w:divBdr>
                </w:div>
              </w:divsChild>
            </w:div>
            <w:div w:id="741023679">
              <w:marLeft w:val="0"/>
              <w:marRight w:val="0"/>
              <w:marTop w:val="0"/>
              <w:marBottom w:val="0"/>
              <w:divBdr>
                <w:top w:val="none" w:sz="0" w:space="0" w:color="auto"/>
                <w:left w:val="none" w:sz="0" w:space="0" w:color="auto"/>
                <w:bottom w:val="none" w:sz="0" w:space="0" w:color="auto"/>
                <w:right w:val="none" w:sz="0" w:space="0" w:color="auto"/>
              </w:divBdr>
              <w:divsChild>
                <w:div w:id="1416973015">
                  <w:marLeft w:val="0"/>
                  <w:marRight w:val="0"/>
                  <w:marTop w:val="0"/>
                  <w:marBottom w:val="0"/>
                  <w:divBdr>
                    <w:top w:val="none" w:sz="0" w:space="0" w:color="auto"/>
                    <w:left w:val="none" w:sz="0" w:space="0" w:color="auto"/>
                    <w:bottom w:val="none" w:sz="0" w:space="0" w:color="auto"/>
                    <w:right w:val="none" w:sz="0" w:space="0" w:color="auto"/>
                  </w:divBdr>
                </w:div>
              </w:divsChild>
            </w:div>
            <w:div w:id="1280989574">
              <w:marLeft w:val="0"/>
              <w:marRight w:val="0"/>
              <w:marTop w:val="0"/>
              <w:marBottom w:val="0"/>
              <w:divBdr>
                <w:top w:val="none" w:sz="0" w:space="0" w:color="auto"/>
                <w:left w:val="none" w:sz="0" w:space="0" w:color="auto"/>
                <w:bottom w:val="none" w:sz="0" w:space="0" w:color="auto"/>
                <w:right w:val="none" w:sz="0" w:space="0" w:color="auto"/>
              </w:divBdr>
              <w:divsChild>
                <w:div w:id="95299345">
                  <w:marLeft w:val="0"/>
                  <w:marRight w:val="0"/>
                  <w:marTop w:val="0"/>
                  <w:marBottom w:val="0"/>
                  <w:divBdr>
                    <w:top w:val="none" w:sz="0" w:space="0" w:color="auto"/>
                    <w:left w:val="none" w:sz="0" w:space="0" w:color="auto"/>
                    <w:bottom w:val="none" w:sz="0" w:space="0" w:color="auto"/>
                    <w:right w:val="none" w:sz="0" w:space="0" w:color="auto"/>
                  </w:divBdr>
                </w:div>
              </w:divsChild>
            </w:div>
            <w:div w:id="796336056">
              <w:marLeft w:val="0"/>
              <w:marRight w:val="0"/>
              <w:marTop w:val="0"/>
              <w:marBottom w:val="0"/>
              <w:divBdr>
                <w:top w:val="none" w:sz="0" w:space="0" w:color="auto"/>
                <w:left w:val="none" w:sz="0" w:space="0" w:color="auto"/>
                <w:bottom w:val="none" w:sz="0" w:space="0" w:color="auto"/>
                <w:right w:val="none" w:sz="0" w:space="0" w:color="auto"/>
              </w:divBdr>
              <w:divsChild>
                <w:div w:id="359431908">
                  <w:marLeft w:val="0"/>
                  <w:marRight w:val="0"/>
                  <w:marTop w:val="0"/>
                  <w:marBottom w:val="0"/>
                  <w:divBdr>
                    <w:top w:val="none" w:sz="0" w:space="0" w:color="auto"/>
                    <w:left w:val="none" w:sz="0" w:space="0" w:color="auto"/>
                    <w:bottom w:val="none" w:sz="0" w:space="0" w:color="auto"/>
                    <w:right w:val="none" w:sz="0" w:space="0" w:color="auto"/>
                  </w:divBdr>
                </w:div>
              </w:divsChild>
            </w:div>
            <w:div w:id="1389066897">
              <w:marLeft w:val="0"/>
              <w:marRight w:val="0"/>
              <w:marTop w:val="0"/>
              <w:marBottom w:val="0"/>
              <w:divBdr>
                <w:top w:val="none" w:sz="0" w:space="0" w:color="auto"/>
                <w:left w:val="none" w:sz="0" w:space="0" w:color="auto"/>
                <w:bottom w:val="none" w:sz="0" w:space="0" w:color="auto"/>
                <w:right w:val="none" w:sz="0" w:space="0" w:color="auto"/>
              </w:divBdr>
              <w:divsChild>
                <w:div w:id="1663461799">
                  <w:marLeft w:val="0"/>
                  <w:marRight w:val="0"/>
                  <w:marTop w:val="0"/>
                  <w:marBottom w:val="0"/>
                  <w:divBdr>
                    <w:top w:val="none" w:sz="0" w:space="0" w:color="auto"/>
                    <w:left w:val="none" w:sz="0" w:space="0" w:color="auto"/>
                    <w:bottom w:val="none" w:sz="0" w:space="0" w:color="auto"/>
                    <w:right w:val="none" w:sz="0" w:space="0" w:color="auto"/>
                  </w:divBdr>
                </w:div>
              </w:divsChild>
            </w:div>
            <w:div w:id="1624728517">
              <w:marLeft w:val="0"/>
              <w:marRight w:val="0"/>
              <w:marTop w:val="0"/>
              <w:marBottom w:val="0"/>
              <w:divBdr>
                <w:top w:val="none" w:sz="0" w:space="0" w:color="auto"/>
                <w:left w:val="none" w:sz="0" w:space="0" w:color="auto"/>
                <w:bottom w:val="none" w:sz="0" w:space="0" w:color="auto"/>
                <w:right w:val="none" w:sz="0" w:space="0" w:color="auto"/>
              </w:divBdr>
              <w:divsChild>
                <w:div w:id="703214942">
                  <w:marLeft w:val="0"/>
                  <w:marRight w:val="0"/>
                  <w:marTop w:val="0"/>
                  <w:marBottom w:val="0"/>
                  <w:divBdr>
                    <w:top w:val="none" w:sz="0" w:space="0" w:color="auto"/>
                    <w:left w:val="none" w:sz="0" w:space="0" w:color="auto"/>
                    <w:bottom w:val="none" w:sz="0" w:space="0" w:color="auto"/>
                    <w:right w:val="none" w:sz="0" w:space="0" w:color="auto"/>
                  </w:divBdr>
                </w:div>
              </w:divsChild>
            </w:div>
            <w:div w:id="1912231134">
              <w:marLeft w:val="0"/>
              <w:marRight w:val="0"/>
              <w:marTop w:val="0"/>
              <w:marBottom w:val="0"/>
              <w:divBdr>
                <w:top w:val="none" w:sz="0" w:space="0" w:color="auto"/>
                <w:left w:val="none" w:sz="0" w:space="0" w:color="auto"/>
                <w:bottom w:val="none" w:sz="0" w:space="0" w:color="auto"/>
                <w:right w:val="none" w:sz="0" w:space="0" w:color="auto"/>
              </w:divBdr>
              <w:divsChild>
                <w:div w:id="636837410">
                  <w:marLeft w:val="0"/>
                  <w:marRight w:val="0"/>
                  <w:marTop w:val="0"/>
                  <w:marBottom w:val="0"/>
                  <w:divBdr>
                    <w:top w:val="none" w:sz="0" w:space="0" w:color="auto"/>
                    <w:left w:val="none" w:sz="0" w:space="0" w:color="auto"/>
                    <w:bottom w:val="none" w:sz="0" w:space="0" w:color="auto"/>
                    <w:right w:val="none" w:sz="0" w:space="0" w:color="auto"/>
                  </w:divBdr>
                </w:div>
              </w:divsChild>
            </w:div>
            <w:div w:id="989559983">
              <w:marLeft w:val="0"/>
              <w:marRight w:val="0"/>
              <w:marTop w:val="0"/>
              <w:marBottom w:val="0"/>
              <w:divBdr>
                <w:top w:val="none" w:sz="0" w:space="0" w:color="auto"/>
                <w:left w:val="none" w:sz="0" w:space="0" w:color="auto"/>
                <w:bottom w:val="none" w:sz="0" w:space="0" w:color="auto"/>
                <w:right w:val="none" w:sz="0" w:space="0" w:color="auto"/>
              </w:divBdr>
              <w:divsChild>
                <w:div w:id="1718969252">
                  <w:marLeft w:val="0"/>
                  <w:marRight w:val="0"/>
                  <w:marTop w:val="0"/>
                  <w:marBottom w:val="0"/>
                  <w:divBdr>
                    <w:top w:val="none" w:sz="0" w:space="0" w:color="auto"/>
                    <w:left w:val="none" w:sz="0" w:space="0" w:color="auto"/>
                    <w:bottom w:val="none" w:sz="0" w:space="0" w:color="auto"/>
                    <w:right w:val="none" w:sz="0" w:space="0" w:color="auto"/>
                  </w:divBdr>
                </w:div>
              </w:divsChild>
            </w:div>
            <w:div w:id="1110080438">
              <w:marLeft w:val="0"/>
              <w:marRight w:val="0"/>
              <w:marTop w:val="0"/>
              <w:marBottom w:val="0"/>
              <w:divBdr>
                <w:top w:val="none" w:sz="0" w:space="0" w:color="auto"/>
                <w:left w:val="none" w:sz="0" w:space="0" w:color="auto"/>
                <w:bottom w:val="none" w:sz="0" w:space="0" w:color="auto"/>
                <w:right w:val="none" w:sz="0" w:space="0" w:color="auto"/>
              </w:divBdr>
              <w:divsChild>
                <w:div w:id="1976717306">
                  <w:marLeft w:val="0"/>
                  <w:marRight w:val="0"/>
                  <w:marTop w:val="0"/>
                  <w:marBottom w:val="0"/>
                  <w:divBdr>
                    <w:top w:val="none" w:sz="0" w:space="0" w:color="auto"/>
                    <w:left w:val="none" w:sz="0" w:space="0" w:color="auto"/>
                    <w:bottom w:val="none" w:sz="0" w:space="0" w:color="auto"/>
                    <w:right w:val="none" w:sz="0" w:space="0" w:color="auto"/>
                  </w:divBdr>
                </w:div>
              </w:divsChild>
            </w:div>
            <w:div w:id="936599597">
              <w:marLeft w:val="0"/>
              <w:marRight w:val="0"/>
              <w:marTop w:val="0"/>
              <w:marBottom w:val="0"/>
              <w:divBdr>
                <w:top w:val="none" w:sz="0" w:space="0" w:color="auto"/>
                <w:left w:val="none" w:sz="0" w:space="0" w:color="auto"/>
                <w:bottom w:val="none" w:sz="0" w:space="0" w:color="auto"/>
                <w:right w:val="none" w:sz="0" w:space="0" w:color="auto"/>
              </w:divBdr>
              <w:divsChild>
                <w:div w:id="750473370">
                  <w:marLeft w:val="0"/>
                  <w:marRight w:val="0"/>
                  <w:marTop w:val="0"/>
                  <w:marBottom w:val="0"/>
                  <w:divBdr>
                    <w:top w:val="none" w:sz="0" w:space="0" w:color="auto"/>
                    <w:left w:val="none" w:sz="0" w:space="0" w:color="auto"/>
                    <w:bottom w:val="none" w:sz="0" w:space="0" w:color="auto"/>
                    <w:right w:val="none" w:sz="0" w:space="0" w:color="auto"/>
                  </w:divBdr>
                </w:div>
              </w:divsChild>
            </w:div>
            <w:div w:id="1161240697">
              <w:marLeft w:val="0"/>
              <w:marRight w:val="0"/>
              <w:marTop w:val="0"/>
              <w:marBottom w:val="0"/>
              <w:divBdr>
                <w:top w:val="none" w:sz="0" w:space="0" w:color="auto"/>
                <w:left w:val="none" w:sz="0" w:space="0" w:color="auto"/>
                <w:bottom w:val="none" w:sz="0" w:space="0" w:color="auto"/>
                <w:right w:val="none" w:sz="0" w:space="0" w:color="auto"/>
              </w:divBdr>
              <w:divsChild>
                <w:div w:id="623511057">
                  <w:marLeft w:val="0"/>
                  <w:marRight w:val="0"/>
                  <w:marTop w:val="0"/>
                  <w:marBottom w:val="0"/>
                  <w:divBdr>
                    <w:top w:val="none" w:sz="0" w:space="0" w:color="auto"/>
                    <w:left w:val="none" w:sz="0" w:space="0" w:color="auto"/>
                    <w:bottom w:val="none" w:sz="0" w:space="0" w:color="auto"/>
                    <w:right w:val="none" w:sz="0" w:space="0" w:color="auto"/>
                  </w:divBdr>
                </w:div>
              </w:divsChild>
            </w:div>
            <w:div w:id="1472408085">
              <w:marLeft w:val="0"/>
              <w:marRight w:val="0"/>
              <w:marTop w:val="0"/>
              <w:marBottom w:val="0"/>
              <w:divBdr>
                <w:top w:val="none" w:sz="0" w:space="0" w:color="auto"/>
                <w:left w:val="none" w:sz="0" w:space="0" w:color="auto"/>
                <w:bottom w:val="none" w:sz="0" w:space="0" w:color="auto"/>
                <w:right w:val="none" w:sz="0" w:space="0" w:color="auto"/>
              </w:divBdr>
              <w:divsChild>
                <w:div w:id="1491680022">
                  <w:marLeft w:val="0"/>
                  <w:marRight w:val="0"/>
                  <w:marTop w:val="0"/>
                  <w:marBottom w:val="0"/>
                  <w:divBdr>
                    <w:top w:val="none" w:sz="0" w:space="0" w:color="auto"/>
                    <w:left w:val="none" w:sz="0" w:space="0" w:color="auto"/>
                    <w:bottom w:val="none" w:sz="0" w:space="0" w:color="auto"/>
                    <w:right w:val="none" w:sz="0" w:space="0" w:color="auto"/>
                  </w:divBdr>
                </w:div>
              </w:divsChild>
            </w:div>
            <w:div w:id="1654066489">
              <w:marLeft w:val="0"/>
              <w:marRight w:val="0"/>
              <w:marTop w:val="0"/>
              <w:marBottom w:val="0"/>
              <w:divBdr>
                <w:top w:val="none" w:sz="0" w:space="0" w:color="auto"/>
                <w:left w:val="none" w:sz="0" w:space="0" w:color="auto"/>
                <w:bottom w:val="none" w:sz="0" w:space="0" w:color="auto"/>
                <w:right w:val="none" w:sz="0" w:space="0" w:color="auto"/>
              </w:divBdr>
              <w:divsChild>
                <w:div w:id="2119595572">
                  <w:marLeft w:val="0"/>
                  <w:marRight w:val="0"/>
                  <w:marTop w:val="0"/>
                  <w:marBottom w:val="0"/>
                  <w:divBdr>
                    <w:top w:val="none" w:sz="0" w:space="0" w:color="auto"/>
                    <w:left w:val="none" w:sz="0" w:space="0" w:color="auto"/>
                    <w:bottom w:val="none" w:sz="0" w:space="0" w:color="auto"/>
                    <w:right w:val="none" w:sz="0" w:space="0" w:color="auto"/>
                  </w:divBdr>
                </w:div>
              </w:divsChild>
            </w:div>
            <w:div w:id="1548028096">
              <w:marLeft w:val="0"/>
              <w:marRight w:val="0"/>
              <w:marTop w:val="0"/>
              <w:marBottom w:val="0"/>
              <w:divBdr>
                <w:top w:val="none" w:sz="0" w:space="0" w:color="auto"/>
                <w:left w:val="none" w:sz="0" w:space="0" w:color="auto"/>
                <w:bottom w:val="none" w:sz="0" w:space="0" w:color="auto"/>
                <w:right w:val="none" w:sz="0" w:space="0" w:color="auto"/>
              </w:divBdr>
              <w:divsChild>
                <w:div w:id="1406419441">
                  <w:marLeft w:val="0"/>
                  <w:marRight w:val="0"/>
                  <w:marTop w:val="0"/>
                  <w:marBottom w:val="0"/>
                  <w:divBdr>
                    <w:top w:val="none" w:sz="0" w:space="0" w:color="auto"/>
                    <w:left w:val="none" w:sz="0" w:space="0" w:color="auto"/>
                    <w:bottom w:val="none" w:sz="0" w:space="0" w:color="auto"/>
                    <w:right w:val="none" w:sz="0" w:space="0" w:color="auto"/>
                  </w:divBdr>
                </w:div>
              </w:divsChild>
            </w:div>
            <w:div w:id="1727295526">
              <w:marLeft w:val="0"/>
              <w:marRight w:val="0"/>
              <w:marTop w:val="0"/>
              <w:marBottom w:val="0"/>
              <w:divBdr>
                <w:top w:val="none" w:sz="0" w:space="0" w:color="auto"/>
                <w:left w:val="none" w:sz="0" w:space="0" w:color="auto"/>
                <w:bottom w:val="none" w:sz="0" w:space="0" w:color="auto"/>
                <w:right w:val="none" w:sz="0" w:space="0" w:color="auto"/>
              </w:divBdr>
              <w:divsChild>
                <w:div w:id="1250845238">
                  <w:marLeft w:val="0"/>
                  <w:marRight w:val="0"/>
                  <w:marTop w:val="0"/>
                  <w:marBottom w:val="0"/>
                  <w:divBdr>
                    <w:top w:val="none" w:sz="0" w:space="0" w:color="auto"/>
                    <w:left w:val="none" w:sz="0" w:space="0" w:color="auto"/>
                    <w:bottom w:val="none" w:sz="0" w:space="0" w:color="auto"/>
                    <w:right w:val="none" w:sz="0" w:space="0" w:color="auto"/>
                  </w:divBdr>
                </w:div>
              </w:divsChild>
            </w:div>
            <w:div w:id="288047528">
              <w:marLeft w:val="0"/>
              <w:marRight w:val="0"/>
              <w:marTop w:val="0"/>
              <w:marBottom w:val="0"/>
              <w:divBdr>
                <w:top w:val="none" w:sz="0" w:space="0" w:color="auto"/>
                <w:left w:val="none" w:sz="0" w:space="0" w:color="auto"/>
                <w:bottom w:val="none" w:sz="0" w:space="0" w:color="auto"/>
                <w:right w:val="none" w:sz="0" w:space="0" w:color="auto"/>
              </w:divBdr>
              <w:divsChild>
                <w:div w:id="2136678499">
                  <w:marLeft w:val="0"/>
                  <w:marRight w:val="0"/>
                  <w:marTop w:val="0"/>
                  <w:marBottom w:val="0"/>
                  <w:divBdr>
                    <w:top w:val="none" w:sz="0" w:space="0" w:color="auto"/>
                    <w:left w:val="none" w:sz="0" w:space="0" w:color="auto"/>
                    <w:bottom w:val="none" w:sz="0" w:space="0" w:color="auto"/>
                    <w:right w:val="none" w:sz="0" w:space="0" w:color="auto"/>
                  </w:divBdr>
                </w:div>
              </w:divsChild>
            </w:div>
            <w:div w:id="2078477161">
              <w:marLeft w:val="0"/>
              <w:marRight w:val="0"/>
              <w:marTop w:val="0"/>
              <w:marBottom w:val="0"/>
              <w:divBdr>
                <w:top w:val="none" w:sz="0" w:space="0" w:color="auto"/>
                <w:left w:val="none" w:sz="0" w:space="0" w:color="auto"/>
                <w:bottom w:val="none" w:sz="0" w:space="0" w:color="auto"/>
                <w:right w:val="none" w:sz="0" w:space="0" w:color="auto"/>
              </w:divBdr>
              <w:divsChild>
                <w:div w:id="1978871397">
                  <w:marLeft w:val="0"/>
                  <w:marRight w:val="0"/>
                  <w:marTop w:val="0"/>
                  <w:marBottom w:val="0"/>
                  <w:divBdr>
                    <w:top w:val="none" w:sz="0" w:space="0" w:color="auto"/>
                    <w:left w:val="none" w:sz="0" w:space="0" w:color="auto"/>
                    <w:bottom w:val="none" w:sz="0" w:space="0" w:color="auto"/>
                    <w:right w:val="none" w:sz="0" w:space="0" w:color="auto"/>
                  </w:divBdr>
                </w:div>
              </w:divsChild>
            </w:div>
            <w:div w:id="2122265125">
              <w:marLeft w:val="0"/>
              <w:marRight w:val="0"/>
              <w:marTop w:val="0"/>
              <w:marBottom w:val="0"/>
              <w:divBdr>
                <w:top w:val="none" w:sz="0" w:space="0" w:color="auto"/>
                <w:left w:val="none" w:sz="0" w:space="0" w:color="auto"/>
                <w:bottom w:val="none" w:sz="0" w:space="0" w:color="auto"/>
                <w:right w:val="none" w:sz="0" w:space="0" w:color="auto"/>
              </w:divBdr>
              <w:divsChild>
                <w:div w:id="913858506">
                  <w:marLeft w:val="0"/>
                  <w:marRight w:val="0"/>
                  <w:marTop w:val="0"/>
                  <w:marBottom w:val="0"/>
                  <w:divBdr>
                    <w:top w:val="none" w:sz="0" w:space="0" w:color="auto"/>
                    <w:left w:val="none" w:sz="0" w:space="0" w:color="auto"/>
                    <w:bottom w:val="none" w:sz="0" w:space="0" w:color="auto"/>
                    <w:right w:val="none" w:sz="0" w:space="0" w:color="auto"/>
                  </w:divBdr>
                </w:div>
              </w:divsChild>
            </w:div>
            <w:div w:id="240220257">
              <w:marLeft w:val="0"/>
              <w:marRight w:val="0"/>
              <w:marTop w:val="0"/>
              <w:marBottom w:val="0"/>
              <w:divBdr>
                <w:top w:val="none" w:sz="0" w:space="0" w:color="auto"/>
                <w:left w:val="none" w:sz="0" w:space="0" w:color="auto"/>
                <w:bottom w:val="none" w:sz="0" w:space="0" w:color="auto"/>
                <w:right w:val="none" w:sz="0" w:space="0" w:color="auto"/>
              </w:divBdr>
              <w:divsChild>
                <w:div w:id="1276330176">
                  <w:marLeft w:val="0"/>
                  <w:marRight w:val="0"/>
                  <w:marTop w:val="0"/>
                  <w:marBottom w:val="0"/>
                  <w:divBdr>
                    <w:top w:val="none" w:sz="0" w:space="0" w:color="auto"/>
                    <w:left w:val="none" w:sz="0" w:space="0" w:color="auto"/>
                    <w:bottom w:val="none" w:sz="0" w:space="0" w:color="auto"/>
                    <w:right w:val="none" w:sz="0" w:space="0" w:color="auto"/>
                  </w:divBdr>
                </w:div>
              </w:divsChild>
            </w:div>
            <w:div w:id="683626506">
              <w:marLeft w:val="0"/>
              <w:marRight w:val="0"/>
              <w:marTop w:val="0"/>
              <w:marBottom w:val="0"/>
              <w:divBdr>
                <w:top w:val="none" w:sz="0" w:space="0" w:color="auto"/>
                <w:left w:val="none" w:sz="0" w:space="0" w:color="auto"/>
                <w:bottom w:val="none" w:sz="0" w:space="0" w:color="auto"/>
                <w:right w:val="none" w:sz="0" w:space="0" w:color="auto"/>
              </w:divBdr>
              <w:divsChild>
                <w:div w:id="1112747813">
                  <w:marLeft w:val="0"/>
                  <w:marRight w:val="0"/>
                  <w:marTop w:val="0"/>
                  <w:marBottom w:val="0"/>
                  <w:divBdr>
                    <w:top w:val="none" w:sz="0" w:space="0" w:color="auto"/>
                    <w:left w:val="none" w:sz="0" w:space="0" w:color="auto"/>
                    <w:bottom w:val="none" w:sz="0" w:space="0" w:color="auto"/>
                    <w:right w:val="none" w:sz="0" w:space="0" w:color="auto"/>
                  </w:divBdr>
                </w:div>
              </w:divsChild>
            </w:div>
            <w:div w:id="347949998">
              <w:marLeft w:val="0"/>
              <w:marRight w:val="0"/>
              <w:marTop w:val="0"/>
              <w:marBottom w:val="0"/>
              <w:divBdr>
                <w:top w:val="none" w:sz="0" w:space="0" w:color="auto"/>
                <w:left w:val="none" w:sz="0" w:space="0" w:color="auto"/>
                <w:bottom w:val="none" w:sz="0" w:space="0" w:color="auto"/>
                <w:right w:val="none" w:sz="0" w:space="0" w:color="auto"/>
              </w:divBdr>
              <w:divsChild>
                <w:div w:id="695422748">
                  <w:marLeft w:val="0"/>
                  <w:marRight w:val="0"/>
                  <w:marTop w:val="0"/>
                  <w:marBottom w:val="0"/>
                  <w:divBdr>
                    <w:top w:val="none" w:sz="0" w:space="0" w:color="auto"/>
                    <w:left w:val="none" w:sz="0" w:space="0" w:color="auto"/>
                    <w:bottom w:val="none" w:sz="0" w:space="0" w:color="auto"/>
                    <w:right w:val="none" w:sz="0" w:space="0" w:color="auto"/>
                  </w:divBdr>
                </w:div>
              </w:divsChild>
            </w:div>
            <w:div w:id="456219676">
              <w:marLeft w:val="0"/>
              <w:marRight w:val="0"/>
              <w:marTop w:val="0"/>
              <w:marBottom w:val="0"/>
              <w:divBdr>
                <w:top w:val="none" w:sz="0" w:space="0" w:color="auto"/>
                <w:left w:val="none" w:sz="0" w:space="0" w:color="auto"/>
                <w:bottom w:val="none" w:sz="0" w:space="0" w:color="auto"/>
                <w:right w:val="none" w:sz="0" w:space="0" w:color="auto"/>
              </w:divBdr>
              <w:divsChild>
                <w:div w:id="1602758723">
                  <w:marLeft w:val="0"/>
                  <w:marRight w:val="0"/>
                  <w:marTop w:val="0"/>
                  <w:marBottom w:val="0"/>
                  <w:divBdr>
                    <w:top w:val="none" w:sz="0" w:space="0" w:color="auto"/>
                    <w:left w:val="none" w:sz="0" w:space="0" w:color="auto"/>
                    <w:bottom w:val="none" w:sz="0" w:space="0" w:color="auto"/>
                    <w:right w:val="none" w:sz="0" w:space="0" w:color="auto"/>
                  </w:divBdr>
                </w:div>
              </w:divsChild>
            </w:div>
            <w:div w:id="695421989">
              <w:marLeft w:val="0"/>
              <w:marRight w:val="0"/>
              <w:marTop w:val="0"/>
              <w:marBottom w:val="0"/>
              <w:divBdr>
                <w:top w:val="none" w:sz="0" w:space="0" w:color="auto"/>
                <w:left w:val="none" w:sz="0" w:space="0" w:color="auto"/>
                <w:bottom w:val="none" w:sz="0" w:space="0" w:color="auto"/>
                <w:right w:val="none" w:sz="0" w:space="0" w:color="auto"/>
              </w:divBdr>
              <w:divsChild>
                <w:div w:id="12615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0548">
          <w:marLeft w:val="0"/>
          <w:marRight w:val="0"/>
          <w:marTop w:val="0"/>
          <w:marBottom w:val="600"/>
          <w:divBdr>
            <w:top w:val="none" w:sz="0" w:space="0" w:color="auto"/>
            <w:left w:val="none" w:sz="0" w:space="0" w:color="auto"/>
            <w:bottom w:val="none" w:sz="0" w:space="0" w:color="auto"/>
            <w:right w:val="none" w:sz="0" w:space="0" w:color="auto"/>
          </w:divBdr>
        </w:div>
      </w:divsChild>
    </w:div>
    <w:div w:id="835725392">
      <w:marLeft w:val="0"/>
      <w:marRight w:val="0"/>
      <w:marTop w:val="0"/>
      <w:marBottom w:val="0"/>
      <w:divBdr>
        <w:top w:val="none" w:sz="0" w:space="0" w:color="auto"/>
        <w:left w:val="none" w:sz="0" w:space="0" w:color="auto"/>
        <w:bottom w:val="none" w:sz="0" w:space="0" w:color="auto"/>
        <w:right w:val="none" w:sz="0" w:space="0" w:color="auto"/>
      </w:divBdr>
      <w:divsChild>
        <w:div w:id="1470590814">
          <w:marLeft w:val="0"/>
          <w:marRight w:val="0"/>
          <w:marTop w:val="547"/>
          <w:marBottom w:val="0"/>
          <w:divBdr>
            <w:top w:val="none" w:sz="0" w:space="0" w:color="auto"/>
            <w:left w:val="none" w:sz="0" w:space="0" w:color="auto"/>
            <w:bottom w:val="none" w:sz="0" w:space="0" w:color="auto"/>
            <w:right w:val="none" w:sz="0" w:space="0" w:color="auto"/>
          </w:divBdr>
        </w:div>
        <w:div w:id="381910503">
          <w:marLeft w:val="0"/>
          <w:marRight w:val="0"/>
          <w:marTop w:val="0"/>
          <w:marBottom w:val="0"/>
          <w:divBdr>
            <w:top w:val="none" w:sz="0" w:space="0" w:color="auto"/>
            <w:left w:val="none" w:sz="0" w:space="0" w:color="auto"/>
            <w:bottom w:val="none" w:sz="0" w:space="0" w:color="auto"/>
            <w:right w:val="none" w:sz="0" w:space="0" w:color="auto"/>
          </w:divBdr>
        </w:div>
        <w:div w:id="861556809">
          <w:marLeft w:val="0"/>
          <w:marRight w:val="0"/>
          <w:marTop w:val="0"/>
          <w:marBottom w:val="600"/>
          <w:divBdr>
            <w:top w:val="none" w:sz="0" w:space="0" w:color="auto"/>
            <w:left w:val="none" w:sz="0" w:space="0" w:color="auto"/>
            <w:bottom w:val="none" w:sz="0" w:space="0" w:color="auto"/>
            <w:right w:val="none" w:sz="0" w:space="0" w:color="auto"/>
          </w:divBdr>
        </w:div>
      </w:divsChild>
    </w:div>
    <w:div w:id="871846441">
      <w:marLeft w:val="0"/>
      <w:marRight w:val="0"/>
      <w:marTop w:val="0"/>
      <w:marBottom w:val="0"/>
      <w:divBdr>
        <w:top w:val="none" w:sz="0" w:space="0" w:color="auto"/>
        <w:left w:val="none" w:sz="0" w:space="0" w:color="auto"/>
        <w:bottom w:val="none" w:sz="0" w:space="0" w:color="auto"/>
        <w:right w:val="none" w:sz="0" w:space="0" w:color="auto"/>
      </w:divBdr>
      <w:divsChild>
        <w:div w:id="232158503">
          <w:marLeft w:val="0"/>
          <w:marRight w:val="0"/>
          <w:marTop w:val="547"/>
          <w:marBottom w:val="0"/>
          <w:divBdr>
            <w:top w:val="none" w:sz="0" w:space="0" w:color="auto"/>
            <w:left w:val="none" w:sz="0" w:space="0" w:color="auto"/>
            <w:bottom w:val="none" w:sz="0" w:space="0" w:color="auto"/>
            <w:right w:val="none" w:sz="0" w:space="0" w:color="auto"/>
          </w:divBdr>
        </w:div>
        <w:div w:id="1966891004">
          <w:marLeft w:val="0"/>
          <w:marRight w:val="0"/>
          <w:marTop w:val="0"/>
          <w:marBottom w:val="0"/>
          <w:divBdr>
            <w:top w:val="none" w:sz="0" w:space="0" w:color="auto"/>
            <w:left w:val="none" w:sz="0" w:space="0" w:color="auto"/>
            <w:bottom w:val="none" w:sz="0" w:space="0" w:color="auto"/>
            <w:right w:val="none" w:sz="0" w:space="0" w:color="auto"/>
          </w:divBdr>
        </w:div>
        <w:div w:id="2087071702">
          <w:marLeft w:val="0"/>
          <w:marRight w:val="0"/>
          <w:marTop w:val="0"/>
          <w:marBottom w:val="600"/>
          <w:divBdr>
            <w:top w:val="none" w:sz="0" w:space="0" w:color="auto"/>
            <w:left w:val="none" w:sz="0" w:space="0" w:color="auto"/>
            <w:bottom w:val="none" w:sz="0" w:space="0" w:color="auto"/>
            <w:right w:val="none" w:sz="0" w:space="0" w:color="auto"/>
          </w:divBdr>
        </w:div>
      </w:divsChild>
    </w:div>
    <w:div w:id="894971814">
      <w:marLeft w:val="0"/>
      <w:marRight w:val="0"/>
      <w:marTop w:val="0"/>
      <w:marBottom w:val="0"/>
      <w:divBdr>
        <w:top w:val="none" w:sz="0" w:space="0" w:color="auto"/>
        <w:left w:val="none" w:sz="0" w:space="0" w:color="auto"/>
        <w:bottom w:val="none" w:sz="0" w:space="0" w:color="auto"/>
        <w:right w:val="none" w:sz="0" w:space="0" w:color="auto"/>
      </w:divBdr>
      <w:divsChild>
        <w:div w:id="1249465694">
          <w:marLeft w:val="0"/>
          <w:marRight w:val="0"/>
          <w:marTop w:val="547"/>
          <w:marBottom w:val="0"/>
          <w:divBdr>
            <w:top w:val="none" w:sz="0" w:space="0" w:color="auto"/>
            <w:left w:val="none" w:sz="0" w:space="0" w:color="auto"/>
            <w:bottom w:val="none" w:sz="0" w:space="0" w:color="auto"/>
            <w:right w:val="none" w:sz="0" w:space="0" w:color="auto"/>
          </w:divBdr>
        </w:div>
        <w:div w:id="142966123">
          <w:marLeft w:val="0"/>
          <w:marRight w:val="0"/>
          <w:marTop w:val="0"/>
          <w:marBottom w:val="0"/>
          <w:divBdr>
            <w:top w:val="none" w:sz="0" w:space="0" w:color="auto"/>
            <w:left w:val="none" w:sz="0" w:space="0" w:color="auto"/>
            <w:bottom w:val="none" w:sz="0" w:space="0" w:color="auto"/>
            <w:right w:val="none" w:sz="0" w:space="0" w:color="auto"/>
          </w:divBdr>
        </w:div>
        <w:div w:id="633564456">
          <w:marLeft w:val="0"/>
          <w:marRight w:val="0"/>
          <w:marTop w:val="0"/>
          <w:marBottom w:val="600"/>
          <w:divBdr>
            <w:top w:val="none" w:sz="0" w:space="0" w:color="auto"/>
            <w:left w:val="none" w:sz="0" w:space="0" w:color="auto"/>
            <w:bottom w:val="none" w:sz="0" w:space="0" w:color="auto"/>
            <w:right w:val="none" w:sz="0" w:space="0" w:color="auto"/>
          </w:divBdr>
        </w:div>
      </w:divsChild>
    </w:div>
    <w:div w:id="917981589">
      <w:marLeft w:val="0"/>
      <w:marRight w:val="0"/>
      <w:marTop w:val="0"/>
      <w:marBottom w:val="0"/>
      <w:divBdr>
        <w:top w:val="none" w:sz="0" w:space="0" w:color="auto"/>
        <w:left w:val="none" w:sz="0" w:space="0" w:color="auto"/>
        <w:bottom w:val="none" w:sz="0" w:space="0" w:color="auto"/>
        <w:right w:val="none" w:sz="0" w:space="0" w:color="auto"/>
      </w:divBdr>
      <w:divsChild>
        <w:div w:id="1573462062">
          <w:marLeft w:val="0"/>
          <w:marRight w:val="0"/>
          <w:marTop w:val="547"/>
          <w:marBottom w:val="0"/>
          <w:divBdr>
            <w:top w:val="none" w:sz="0" w:space="0" w:color="auto"/>
            <w:left w:val="none" w:sz="0" w:space="0" w:color="auto"/>
            <w:bottom w:val="none" w:sz="0" w:space="0" w:color="auto"/>
            <w:right w:val="none" w:sz="0" w:space="0" w:color="auto"/>
          </w:divBdr>
        </w:div>
        <w:div w:id="350841509">
          <w:marLeft w:val="0"/>
          <w:marRight w:val="0"/>
          <w:marTop w:val="0"/>
          <w:marBottom w:val="0"/>
          <w:divBdr>
            <w:top w:val="none" w:sz="0" w:space="0" w:color="auto"/>
            <w:left w:val="none" w:sz="0" w:space="0" w:color="auto"/>
            <w:bottom w:val="none" w:sz="0" w:space="0" w:color="auto"/>
            <w:right w:val="none" w:sz="0" w:space="0" w:color="auto"/>
          </w:divBdr>
        </w:div>
        <w:div w:id="1424305190">
          <w:marLeft w:val="0"/>
          <w:marRight w:val="0"/>
          <w:marTop w:val="0"/>
          <w:marBottom w:val="600"/>
          <w:divBdr>
            <w:top w:val="none" w:sz="0" w:space="0" w:color="auto"/>
            <w:left w:val="none" w:sz="0" w:space="0" w:color="auto"/>
            <w:bottom w:val="none" w:sz="0" w:space="0" w:color="auto"/>
            <w:right w:val="none" w:sz="0" w:space="0" w:color="auto"/>
          </w:divBdr>
        </w:div>
      </w:divsChild>
    </w:div>
    <w:div w:id="999381298">
      <w:marLeft w:val="0"/>
      <w:marRight w:val="0"/>
      <w:marTop w:val="0"/>
      <w:marBottom w:val="0"/>
      <w:divBdr>
        <w:top w:val="none" w:sz="0" w:space="0" w:color="auto"/>
        <w:left w:val="none" w:sz="0" w:space="0" w:color="auto"/>
        <w:bottom w:val="none" w:sz="0" w:space="0" w:color="auto"/>
        <w:right w:val="none" w:sz="0" w:space="0" w:color="auto"/>
      </w:divBdr>
      <w:divsChild>
        <w:div w:id="1349603116">
          <w:marLeft w:val="0"/>
          <w:marRight w:val="0"/>
          <w:marTop w:val="547"/>
          <w:marBottom w:val="0"/>
          <w:divBdr>
            <w:top w:val="none" w:sz="0" w:space="0" w:color="auto"/>
            <w:left w:val="none" w:sz="0" w:space="0" w:color="auto"/>
            <w:bottom w:val="none" w:sz="0" w:space="0" w:color="auto"/>
            <w:right w:val="none" w:sz="0" w:space="0" w:color="auto"/>
          </w:divBdr>
        </w:div>
        <w:div w:id="413666505">
          <w:marLeft w:val="0"/>
          <w:marRight w:val="0"/>
          <w:marTop w:val="0"/>
          <w:marBottom w:val="0"/>
          <w:divBdr>
            <w:top w:val="none" w:sz="0" w:space="0" w:color="auto"/>
            <w:left w:val="none" w:sz="0" w:space="0" w:color="auto"/>
            <w:bottom w:val="none" w:sz="0" w:space="0" w:color="auto"/>
            <w:right w:val="none" w:sz="0" w:space="0" w:color="auto"/>
          </w:divBdr>
        </w:div>
        <w:div w:id="2129886919">
          <w:marLeft w:val="0"/>
          <w:marRight w:val="0"/>
          <w:marTop w:val="0"/>
          <w:marBottom w:val="600"/>
          <w:divBdr>
            <w:top w:val="none" w:sz="0" w:space="0" w:color="auto"/>
            <w:left w:val="none" w:sz="0" w:space="0" w:color="auto"/>
            <w:bottom w:val="none" w:sz="0" w:space="0" w:color="auto"/>
            <w:right w:val="none" w:sz="0" w:space="0" w:color="auto"/>
          </w:divBdr>
        </w:div>
      </w:divsChild>
    </w:div>
    <w:div w:id="1006515049">
      <w:marLeft w:val="0"/>
      <w:marRight w:val="0"/>
      <w:marTop w:val="0"/>
      <w:marBottom w:val="0"/>
      <w:divBdr>
        <w:top w:val="none" w:sz="0" w:space="0" w:color="auto"/>
        <w:left w:val="none" w:sz="0" w:space="0" w:color="auto"/>
        <w:bottom w:val="none" w:sz="0" w:space="0" w:color="auto"/>
        <w:right w:val="none" w:sz="0" w:space="0" w:color="auto"/>
      </w:divBdr>
      <w:divsChild>
        <w:div w:id="1057315911">
          <w:marLeft w:val="0"/>
          <w:marRight w:val="0"/>
          <w:marTop w:val="547"/>
          <w:marBottom w:val="0"/>
          <w:divBdr>
            <w:top w:val="none" w:sz="0" w:space="0" w:color="auto"/>
            <w:left w:val="none" w:sz="0" w:space="0" w:color="auto"/>
            <w:bottom w:val="none" w:sz="0" w:space="0" w:color="auto"/>
            <w:right w:val="none" w:sz="0" w:space="0" w:color="auto"/>
          </w:divBdr>
        </w:div>
        <w:div w:id="885485501">
          <w:marLeft w:val="0"/>
          <w:marRight w:val="0"/>
          <w:marTop w:val="0"/>
          <w:marBottom w:val="0"/>
          <w:divBdr>
            <w:top w:val="none" w:sz="0" w:space="0" w:color="auto"/>
            <w:left w:val="none" w:sz="0" w:space="0" w:color="auto"/>
            <w:bottom w:val="none" w:sz="0" w:space="0" w:color="auto"/>
            <w:right w:val="none" w:sz="0" w:space="0" w:color="auto"/>
          </w:divBdr>
        </w:div>
        <w:div w:id="1191407752">
          <w:marLeft w:val="0"/>
          <w:marRight w:val="0"/>
          <w:marTop w:val="0"/>
          <w:marBottom w:val="600"/>
          <w:divBdr>
            <w:top w:val="none" w:sz="0" w:space="0" w:color="auto"/>
            <w:left w:val="none" w:sz="0" w:space="0" w:color="auto"/>
            <w:bottom w:val="none" w:sz="0" w:space="0" w:color="auto"/>
            <w:right w:val="none" w:sz="0" w:space="0" w:color="auto"/>
          </w:divBdr>
        </w:div>
      </w:divsChild>
    </w:div>
    <w:div w:id="1019504488">
      <w:marLeft w:val="0"/>
      <w:marRight w:val="0"/>
      <w:marTop w:val="0"/>
      <w:marBottom w:val="0"/>
      <w:divBdr>
        <w:top w:val="none" w:sz="0" w:space="0" w:color="auto"/>
        <w:left w:val="none" w:sz="0" w:space="0" w:color="auto"/>
        <w:bottom w:val="none" w:sz="0" w:space="0" w:color="auto"/>
        <w:right w:val="none" w:sz="0" w:space="0" w:color="auto"/>
      </w:divBdr>
      <w:divsChild>
        <w:div w:id="1840198374">
          <w:marLeft w:val="0"/>
          <w:marRight w:val="0"/>
          <w:marTop w:val="547"/>
          <w:marBottom w:val="0"/>
          <w:divBdr>
            <w:top w:val="none" w:sz="0" w:space="0" w:color="auto"/>
            <w:left w:val="none" w:sz="0" w:space="0" w:color="auto"/>
            <w:bottom w:val="none" w:sz="0" w:space="0" w:color="auto"/>
            <w:right w:val="none" w:sz="0" w:space="0" w:color="auto"/>
          </w:divBdr>
        </w:div>
        <w:div w:id="1336687621">
          <w:marLeft w:val="0"/>
          <w:marRight w:val="0"/>
          <w:marTop w:val="0"/>
          <w:marBottom w:val="0"/>
          <w:divBdr>
            <w:top w:val="none" w:sz="0" w:space="0" w:color="auto"/>
            <w:left w:val="none" w:sz="0" w:space="0" w:color="auto"/>
            <w:bottom w:val="none" w:sz="0" w:space="0" w:color="auto"/>
            <w:right w:val="none" w:sz="0" w:space="0" w:color="auto"/>
          </w:divBdr>
          <w:divsChild>
            <w:div w:id="1625650372">
              <w:marLeft w:val="0"/>
              <w:marRight w:val="0"/>
              <w:marTop w:val="0"/>
              <w:marBottom w:val="0"/>
              <w:divBdr>
                <w:top w:val="none" w:sz="0" w:space="0" w:color="auto"/>
                <w:left w:val="none" w:sz="0" w:space="0" w:color="auto"/>
                <w:bottom w:val="none" w:sz="0" w:space="0" w:color="auto"/>
                <w:right w:val="none" w:sz="0" w:space="0" w:color="auto"/>
              </w:divBdr>
              <w:divsChild>
                <w:div w:id="980580486">
                  <w:marLeft w:val="0"/>
                  <w:marRight w:val="0"/>
                  <w:marTop w:val="0"/>
                  <w:marBottom w:val="0"/>
                  <w:divBdr>
                    <w:top w:val="none" w:sz="0" w:space="0" w:color="auto"/>
                    <w:left w:val="none" w:sz="0" w:space="0" w:color="auto"/>
                    <w:bottom w:val="none" w:sz="0" w:space="0" w:color="auto"/>
                    <w:right w:val="none" w:sz="0" w:space="0" w:color="auto"/>
                  </w:divBdr>
                </w:div>
              </w:divsChild>
            </w:div>
            <w:div w:id="1475104722">
              <w:marLeft w:val="0"/>
              <w:marRight w:val="0"/>
              <w:marTop w:val="0"/>
              <w:marBottom w:val="0"/>
              <w:divBdr>
                <w:top w:val="none" w:sz="0" w:space="0" w:color="auto"/>
                <w:left w:val="none" w:sz="0" w:space="0" w:color="auto"/>
                <w:bottom w:val="none" w:sz="0" w:space="0" w:color="auto"/>
                <w:right w:val="none" w:sz="0" w:space="0" w:color="auto"/>
              </w:divBdr>
              <w:divsChild>
                <w:div w:id="943926294">
                  <w:marLeft w:val="0"/>
                  <w:marRight w:val="0"/>
                  <w:marTop w:val="0"/>
                  <w:marBottom w:val="0"/>
                  <w:divBdr>
                    <w:top w:val="none" w:sz="0" w:space="0" w:color="auto"/>
                    <w:left w:val="none" w:sz="0" w:space="0" w:color="auto"/>
                    <w:bottom w:val="none" w:sz="0" w:space="0" w:color="auto"/>
                    <w:right w:val="none" w:sz="0" w:space="0" w:color="auto"/>
                  </w:divBdr>
                </w:div>
              </w:divsChild>
            </w:div>
            <w:div w:id="915633256">
              <w:marLeft w:val="0"/>
              <w:marRight w:val="0"/>
              <w:marTop w:val="0"/>
              <w:marBottom w:val="0"/>
              <w:divBdr>
                <w:top w:val="none" w:sz="0" w:space="0" w:color="auto"/>
                <w:left w:val="none" w:sz="0" w:space="0" w:color="auto"/>
                <w:bottom w:val="none" w:sz="0" w:space="0" w:color="auto"/>
                <w:right w:val="none" w:sz="0" w:space="0" w:color="auto"/>
              </w:divBdr>
              <w:divsChild>
                <w:div w:id="1466771780">
                  <w:marLeft w:val="0"/>
                  <w:marRight w:val="0"/>
                  <w:marTop w:val="0"/>
                  <w:marBottom w:val="0"/>
                  <w:divBdr>
                    <w:top w:val="none" w:sz="0" w:space="0" w:color="auto"/>
                    <w:left w:val="none" w:sz="0" w:space="0" w:color="auto"/>
                    <w:bottom w:val="none" w:sz="0" w:space="0" w:color="auto"/>
                    <w:right w:val="none" w:sz="0" w:space="0" w:color="auto"/>
                  </w:divBdr>
                </w:div>
              </w:divsChild>
            </w:div>
            <w:div w:id="1335034765">
              <w:marLeft w:val="0"/>
              <w:marRight w:val="0"/>
              <w:marTop w:val="0"/>
              <w:marBottom w:val="0"/>
              <w:divBdr>
                <w:top w:val="none" w:sz="0" w:space="0" w:color="auto"/>
                <w:left w:val="none" w:sz="0" w:space="0" w:color="auto"/>
                <w:bottom w:val="none" w:sz="0" w:space="0" w:color="auto"/>
                <w:right w:val="none" w:sz="0" w:space="0" w:color="auto"/>
              </w:divBdr>
              <w:divsChild>
                <w:div w:id="1852715610">
                  <w:marLeft w:val="0"/>
                  <w:marRight w:val="0"/>
                  <w:marTop w:val="0"/>
                  <w:marBottom w:val="0"/>
                  <w:divBdr>
                    <w:top w:val="none" w:sz="0" w:space="0" w:color="auto"/>
                    <w:left w:val="none" w:sz="0" w:space="0" w:color="auto"/>
                    <w:bottom w:val="none" w:sz="0" w:space="0" w:color="auto"/>
                    <w:right w:val="none" w:sz="0" w:space="0" w:color="auto"/>
                  </w:divBdr>
                </w:div>
              </w:divsChild>
            </w:div>
            <w:div w:id="1870485828">
              <w:marLeft w:val="0"/>
              <w:marRight w:val="0"/>
              <w:marTop w:val="0"/>
              <w:marBottom w:val="0"/>
              <w:divBdr>
                <w:top w:val="none" w:sz="0" w:space="0" w:color="auto"/>
                <w:left w:val="none" w:sz="0" w:space="0" w:color="auto"/>
                <w:bottom w:val="none" w:sz="0" w:space="0" w:color="auto"/>
                <w:right w:val="none" w:sz="0" w:space="0" w:color="auto"/>
              </w:divBdr>
              <w:divsChild>
                <w:div w:id="1406996460">
                  <w:marLeft w:val="0"/>
                  <w:marRight w:val="0"/>
                  <w:marTop w:val="0"/>
                  <w:marBottom w:val="0"/>
                  <w:divBdr>
                    <w:top w:val="none" w:sz="0" w:space="0" w:color="auto"/>
                    <w:left w:val="none" w:sz="0" w:space="0" w:color="auto"/>
                    <w:bottom w:val="none" w:sz="0" w:space="0" w:color="auto"/>
                    <w:right w:val="none" w:sz="0" w:space="0" w:color="auto"/>
                  </w:divBdr>
                </w:div>
              </w:divsChild>
            </w:div>
            <w:div w:id="1083113691">
              <w:marLeft w:val="0"/>
              <w:marRight w:val="0"/>
              <w:marTop w:val="0"/>
              <w:marBottom w:val="0"/>
              <w:divBdr>
                <w:top w:val="none" w:sz="0" w:space="0" w:color="auto"/>
                <w:left w:val="none" w:sz="0" w:space="0" w:color="auto"/>
                <w:bottom w:val="none" w:sz="0" w:space="0" w:color="auto"/>
                <w:right w:val="none" w:sz="0" w:space="0" w:color="auto"/>
              </w:divBdr>
              <w:divsChild>
                <w:div w:id="690111431">
                  <w:marLeft w:val="0"/>
                  <w:marRight w:val="0"/>
                  <w:marTop w:val="0"/>
                  <w:marBottom w:val="0"/>
                  <w:divBdr>
                    <w:top w:val="none" w:sz="0" w:space="0" w:color="auto"/>
                    <w:left w:val="none" w:sz="0" w:space="0" w:color="auto"/>
                    <w:bottom w:val="none" w:sz="0" w:space="0" w:color="auto"/>
                    <w:right w:val="none" w:sz="0" w:space="0" w:color="auto"/>
                  </w:divBdr>
                </w:div>
              </w:divsChild>
            </w:div>
            <w:div w:id="571038919">
              <w:marLeft w:val="0"/>
              <w:marRight w:val="0"/>
              <w:marTop w:val="0"/>
              <w:marBottom w:val="0"/>
              <w:divBdr>
                <w:top w:val="none" w:sz="0" w:space="0" w:color="auto"/>
                <w:left w:val="none" w:sz="0" w:space="0" w:color="auto"/>
                <w:bottom w:val="none" w:sz="0" w:space="0" w:color="auto"/>
                <w:right w:val="none" w:sz="0" w:space="0" w:color="auto"/>
              </w:divBdr>
              <w:divsChild>
                <w:div w:id="1718705036">
                  <w:marLeft w:val="0"/>
                  <w:marRight w:val="0"/>
                  <w:marTop w:val="0"/>
                  <w:marBottom w:val="0"/>
                  <w:divBdr>
                    <w:top w:val="none" w:sz="0" w:space="0" w:color="auto"/>
                    <w:left w:val="none" w:sz="0" w:space="0" w:color="auto"/>
                    <w:bottom w:val="none" w:sz="0" w:space="0" w:color="auto"/>
                    <w:right w:val="none" w:sz="0" w:space="0" w:color="auto"/>
                  </w:divBdr>
                </w:div>
              </w:divsChild>
            </w:div>
            <w:div w:id="1870876813">
              <w:marLeft w:val="0"/>
              <w:marRight w:val="0"/>
              <w:marTop w:val="0"/>
              <w:marBottom w:val="0"/>
              <w:divBdr>
                <w:top w:val="none" w:sz="0" w:space="0" w:color="auto"/>
                <w:left w:val="none" w:sz="0" w:space="0" w:color="auto"/>
                <w:bottom w:val="none" w:sz="0" w:space="0" w:color="auto"/>
                <w:right w:val="none" w:sz="0" w:space="0" w:color="auto"/>
              </w:divBdr>
              <w:divsChild>
                <w:div w:id="1447390515">
                  <w:marLeft w:val="0"/>
                  <w:marRight w:val="0"/>
                  <w:marTop w:val="0"/>
                  <w:marBottom w:val="0"/>
                  <w:divBdr>
                    <w:top w:val="none" w:sz="0" w:space="0" w:color="auto"/>
                    <w:left w:val="none" w:sz="0" w:space="0" w:color="auto"/>
                    <w:bottom w:val="none" w:sz="0" w:space="0" w:color="auto"/>
                    <w:right w:val="none" w:sz="0" w:space="0" w:color="auto"/>
                  </w:divBdr>
                </w:div>
              </w:divsChild>
            </w:div>
            <w:div w:id="1842232126">
              <w:marLeft w:val="0"/>
              <w:marRight w:val="0"/>
              <w:marTop w:val="0"/>
              <w:marBottom w:val="0"/>
              <w:divBdr>
                <w:top w:val="none" w:sz="0" w:space="0" w:color="auto"/>
                <w:left w:val="none" w:sz="0" w:space="0" w:color="auto"/>
                <w:bottom w:val="none" w:sz="0" w:space="0" w:color="auto"/>
                <w:right w:val="none" w:sz="0" w:space="0" w:color="auto"/>
              </w:divBdr>
              <w:divsChild>
                <w:div w:id="1601135205">
                  <w:marLeft w:val="0"/>
                  <w:marRight w:val="0"/>
                  <w:marTop w:val="0"/>
                  <w:marBottom w:val="0"/>
                  <w:divBdr>
                    <w:top w:val="none" w:sz="0" w:space="0" w:color="auto"/>
                    <w:left w:val="none" w:sz="0" w:space="0" w:color="auto"/>
                    <w:bottom w:val="none" w:sz="0" w:space="0" w:color="auto"/>
                    <w:right w:val="none" w:sz="0" w:space="0" w:color="auto"/>
                  </w:divBdr>
                </w:div>
              </w:divsChild>
            </w:div>
            <w:div w:id="395931338">
              <w:marLeft w:val="0"/>
              <w:marRight w:val="0"/>
              <w:marTop w:val="0"/>
              <w:marBottom w:val="0"/>
              <w:divBdr>
                <w:top w:val="none" w:sz="0" w:space="0" w:color="auto"/>
                <w:left w:val="none" w:sz="0" w:space="0" w:color="auto"/>
                <w:bottom w:val="none" w:sz="0" w:space="0" w:color="auto"/>
                <w:right w:val="none" w:sz="0" w:space="0" w:color="auto"/>
              </w:divBdr>
              <w:divsChild>
                <w:div w:id="1178036389">
                  <w:marLeft w:val="0"/>
                  <w:marRight w:val="0"/>
                  <w:marTop w:val="0"/>
                  <w:marBottom w:val="0"/>
                  <w:divBdr>
                    <w:top w:val="none" w:sz="0" w:space="0" w:color="auto"/>
                    <w:left w:val="none" w:sz="0" w:space="0" w:color="auto"/>
                    <w:bottom w:val="none" w:sz="0" w:space="0" w:color="auto"/>
                    <w:right w:val="none" w:sz="0" w:space="0" w:color="auto"/>
                  </w:divBdr>
                </w:div>
              </w:divsChild>
            </w:div>
            <w:div w:id="2115663752">
              <w:marLeft w:val="0"/>
              <w:marRight w:val="0"/>
              <w:marTop w:val="0"/>
              <w:marBottom w:val="0"/>
              <w:divBdr>
                <w:top w:val="none" w:sz="0" w:space="0" w:color="auto"/>
                <w:left w:val="none" w:sz="0" w:space="0" w:color="auto"/>
                <w:bottom w:val="none" w:sz="0" w:space="0" w:color="auto"/>
                <w:right w:val="none" w:sz="0" w:space="0" w:color="auto"/>
              </w:divBdr>
              <w:divsChild>
                <w:div w:id="1746344081">
                  <w:marLeft w:val="0"/>
                  <w:marRight w:val="0"/>
                  <w:marTop w:val="0"/>
                  <w:marBottom w:val="0"/>
                  <w:divBdr>
                    <w:top w:val="none" w:sz="0" w:space="0" w:color="auto"/>
                    <w:left w:val="none" w:sz="0" w:space="0" w:color="auto"/>
                    <w:bottom w:val="none" w:sz="0" w:space="0" w:color="auto"/>
                    <w:right w:val="none" w:sz="0" w:space="0" w:color="auto"/>
                  </w:divBdr>
                </w:div>
              </w:divsChild>
            </w:div>
            <w:div w:id="633799687">
              <w:marLeft w:val="0"/>
              <w:marRight w:val="0"/>
              <w:marTop w:val="0"/>
              <w:marBottom w:val="0"/>
              <w:divBdr>
                <w:top w:val="none" w:sz="0" w:space="0" w:color="auto"/>
                <w:left w:val="none" w:sz="0" w:space="0" w:color="auto"/>
                <w:bottom w:val="none" w:sz="0" w:space="0" w:color="auto"/>
                <w:right w:val="none" w:sz="0" w:space="0" w:color="auto"/>
              </w:divBdr>
              <w:divsChild>
                <w:div w:id="938756619">
                  <w:marLeft w:val="0"/>
                  <w:marRight w:val="0"/>
                  <w:marTop w:val="0"/>
                  <w:marBottom w:val="0"/>
                  <w:divBdr>
                    <w:top w:val="none" w:sz="0" w:space="0" w:color="auto"/>
                    <w:left w:val="none" w:sz="0" w:space="0" w:color="auto"/>
                    <w:bottom w:val="none" w:sz="0" w:space="0" w:color="auto"/>
                    <w:right w:val="none" w:sz="0" w:space="0" w:color="auto"/>
                  </w:divBdr>
                </w:div>
              </w:divsChild>
            </w:div>
            <w:div w:id="639770246">
              <w:marLeft w:val="0"/>
              <w:marRight w:val="0"/>
              <w:marTop w:val="0"/>
              <w:marBottom w:val="0"/>
              <w:divBdr>
                <w:top w:val="none" w:sz="0" w:space="0" w:color="auto"/>
                <w:left w:val="none" w:sz="0" w:space="0" w:color="auto"/>
                <w:bottom w:val="none" w:sz="0" w:space="0" w:color="auto"/>
                <w:right w:val="none" w:sz="0" w:space="0" w:color="auto"/>
              </w:divBdr>
              <w:divsChild>
                <w:div w:id="348219313">
                  <w:marLeft w:val="0"/>
                  <w:marRight w:val="0"/>
                  <w:marTop w:val="0"/>
                  <w:marBottom w:val="0"/>
                  <w:divBdr>
                    <w:top w:val="none" w:sz="0" w:space="0" w:color="auto"/>
                    <w:left w:val="none" w:sz="0" w:space="0" w:color="auto"/>
                    <w:bottom w:val="none" w:sz="0" w:space="0" w:color="auto"/>
                    <w:right w:val="none" w:sz="0" w:space="0" w:color="auto"/>
                  </w:divBdr>
                </w:div>
              </w:divsChild>
            </w:div>
            <w:div w:id="233469787">
              <w:marLeft w:val="0"/>
              <w:marRight w:val="0"/>
              <w:marTop w:val="0"/>
              <w:marBottom w:val="0"/>
              <w:divBdr>
                <w:top w:val="none" w:sz="0" w:space="0" w:color="auto"/>
                <w:left w:val="none" w:sz="0" w:space="0" w:color="auto"/>
                <w:bottom w:val="none" w:sz="0" w:space="0" w:color="auto"/>
                <w:right w:val="none" w:sz="0" w:space="0" w:color="auto"/>
              </w:divBdr>
              <w:divsChild>
                <w:div w:id="220598664">
                  <w:marLeft w:val="0"/>
                  <w:marRight w:val="0"/>
                  <w:marTop w:val="0"/>
                  <w:marBottom w:val="0"/>
                  <w:divBdr>
                    <w:top w:val="none" w:sz="0" w:space="0" w:color="auto"/>
                    <w:left w:val="none" w:sz="0" w:space="0" w:color="auto"/>
                    <w:bottom w:val="none" w:sz="0" w:space="0" w:color="auto"/>
                    <w:right w:val="none" w:sz="0" w:space="0" w:color="auto"/>
                  </w:divBdr>
                </w:div>
              </w:divsChild>
            </w:div>
            <w:div w:id="1951428065">
              <w:marLeft w:val="0"/>
              <w:marRight w:val="0"/>
              <w:marTop w:val="0"/>
              <w:marBottom w:val="0"/>
              <w:divBdr>
                <w:top w:val="none" w:sz="0" w:space="0" w:color="auto"/>
                <w:left w:val="none" w:sz="0" w:space="0" w:color="auto"/>
                <w:bottom w:val="none" w:sz="0" w:space="0" w:color="auto"/>
                <w:right w:val="none" w:sz="0" w:space="0" w:color="auto"/>
              </w:divBdr>
              <w:divsChild>
                <w:div w:id="227153311">
                  <w:marLeft w:val="0"/>
                  <w:marRight w:val="0"/>
                  <w:marTop w:val="0"/>
                  <w:marBottom w:val="0"/>
                  <w:divBdr>
                    <w:top w:val="none" w:sz="0" w:space="0" w:color="auto"/>
                    <w:left w:val="none" w:sz="0" w:space="0" w:color="auto"/>
                    <w:bottom w:val="none" w:sz="0" w:space="0" w:color="auto"/>
                    <w:right w:val="none" w:sz="0" w:space="0" w:color="auto"/>
                  </w:divBdr>
                </w:div>
              </w:divsChild>
            </w:div>
            <w:div w:id="859394960">
              <w:marLeft w:val="0"/>
              <w:marRight w:val="0"/>
              <w:marTop w:val="0"/>
              <w:marBottom w:val="0"/>
              <w:divBdr>
                <w:top w:val="none" w:sz="0" w:space="0" w:color="auto"/>
                <w:left w:val="none" w:sz="0" w:space="0" w:color="auto"/>
                <w:bottom w:val="none" w:sz="0" w:space="0" w:color="auto"/>
                <w:right w:val="none" w:sz="0" w:space="0" w:color="auto"/>
              </w:divBdr>
              <w:divsChild>
                <w:div w:id="1812166432">
                  <w:marLeft w:val="0"/>
                  <w:marRight w:val="0"/>
                  <w:marTop w:val="0"/>
                  <w:marBottom w:val="0"/>
                  <w:divBdr>
                    <w:top w:val="none" w:sz="0" w:space="0" w:color="auto"/>
                    <w:left w:val="none" w:sz="0" w:space="0" w:color="auto"/>
                    <w:bottom w:val="none" w:sz="0" w:space="0" w:color="auto"/>
                    <w:right w:val="none" w:sz="0" w:space="0" w:color="auto"/>
                  </w:divBdr>
                </w:div>
              </w:divsChild>
            </w:div>
            <w:div w:id="1210340252">
              <w:marLeft w:val="0"/>
              <w:marRight w:val="0"/>
              <w:marTop w:val="0"/>
              <w:marBottom w:val="0"/>
              <w:divBdr>
                <w:top w:val="none" w:sz="0" w:space="0" w:color="auto"/>
                <w:left w:val="none" w:sz="0" w:space="0" w:color="auto"/>
                <w:bottom w:val="none" w:sz="0" w:space="0" w:color="auto"/>
                <w:right w:val="none" w:sz="0" w:space="0" w:color="auto"/>
              </w:divBdr>
              <w:divsChild>
                <w:div w:id="1414356844">
                  <w:marLeft w:val="0"/>
                  <w:marRight w:val="0"/>
                  <w:marTop w:val="0"/>
                  <w:marBottom w:val="0"/>
                  <w:divBdr>
                    <w:top w:val="none" w:sz="0" w:space="0" w:color="auto"/>
                    <w:left w:val="none" w:sz="0" w:space="0" w:color="auto"/>
                    <w:bottom w:val="none" w:sz="0" w:space="0" w:color="auto"/>
                    <w:right w:val="none" w:sz="0" w:space="0" w:color="auto"/>
                  </w:divBdr>
                </w:div>
              </w:divsChild>
            </w:div>
            <w:div w:id="763259675">
              <w:marLeft w:val="0"/>
              <w:marRight w:val="0"/>
              <w:marTop w:val="0"/>
              <w:marBottom w:val="0"/>
              <w:divBdr>
                <w:top w:val="none" w:sz="0" w:space="0" w:color="auto"/>
                <w:left w:val="none" w:sz="0" w:space="0" w:color="auto"/>
                <w:bottom w:val="none" w:sz="0" w:space="0" w:color="auto"/>
                <w:right w:val="none" w:sz="0" w:space="0" w:color="auto"/>
              </w:divBdr>
              <w:divsChild>
                <w:div w:id="529418787">
                  <w:marLeft w:val="0"/>
                  <w:marRight w:val="0"/>
                  <w:marTop w:val="0"/>
                  <w:marBottom w:val="0"/>
                  <w:divBdr>
                    <w:top w:val="none" w:sz="0" w:space="0" w:color="auto"/>
                    <w:left w:val="none" w:sz="0" w:space="0" w:color="auto"/>
                    <w:bottom w:val="none" w:sz="0" w:space="0" w:color="auto"/>
                    <w:right w:val="none" w:sz="0" w:space="0" w:color="auto"/>
                  </w:divBdr>
                </w:div>
              </w:divsChild>
            </w:div>
            <w:div w:id="392234910">
              <w:marLeft w:val="0"/>
              <w:marRight w:val="0"/>
              <w:marTop w:val="0"/>
              <w:marBottom w:val="0"/>
              <w:divBdr>
                <w:top w:val="none" w:sz="0" w:space="0" w:color="auto"/>
                <w:left w:val="none" w:sz="0" w:space="0" w:color="auto"/>
                <w:bottom w:val="none" w:sz="0" w:space="0" w:color="auto"/>
                <w:right w:val="none" w:sz="0" w:space="0" w:color="auto"/>
              </w:divBdr>
              <w:divsChild>
                <w:div w:id="141587208">
                  <w:marLeft w:val="0"/>
                  <w:marRight w:val="0"/>
                  <w:marTop w:val="0"/>
                  <w:marBottom w:val="0"/>
                  <w:divBdr>
                    <w:top w:val="none" w:sz="0" w:space="0" w:color="auto"/>
                    <w:left w:val="none" w:sz="0" w:space="0" w:color="auto"/>
                    <w:bottom w:val="none" w:sz="0" w:space="0" w:color="auto"/>
                    <w:right w:val="none" w:sz="0" w:space="0" w:color="auto"/>
                  </w:divBdr>
                </w:div>
              </w:divsChild>
            </w:div>
            <w:div w:id="1050348975">
              <w:marLeft w:val="0"/>
              <w:marRight w:val="0"/>
              <w:marTop w:val="0"/>
              <w:marBottom w:val="0"/>
              <w:divBdr>
                <w:top w:val="none" w:sz="0" w:space="0" w:color="auto"/>
                <w:left w:val="none" w:sz="0" w:space="0" w:color="auto"/>
                <w:bottom w:val="none" w:sz="0" w:space="0" w:color="auto"/>
                <w:right w:val="none" w:sz="0" w:space="0" w:color="auto"/>
              </w:divBdr>
              <w:divsChild>
                <w:div w:id="915211296">
                  <w:marLeft w:val="0"/>
                  <w:marRight w:val="0"/>
                  <w:marTop w:val="0"/>
                  <w:marBottom w:val="0"/>
                  <w:divBdr>
                    <w:top w:val="none" w:sz="0" w:space="0" w:color="auto"/>
                    <w:left w:val="none" w:sz="0" w:space="0" w:color="auto"/>
                    <w:bottom w:val="none" w:sz="0" w:space="0" w:color="auto"/>
                    <w:right w:val="none" w:sz="0" w:space="0" w:color="auto"/>
                  </w:divBdr>
                </w:div>
              </w:divsChild>
            </w:div>
            <w:div w:id="763495708">
              <w:marLeft w:val="0"/>
              <w:marRight w:val="0"/>
              <w:marTop w:val="0"/>
              <w:marBottom w:val="0"/>
              <w:divBdr>
                <w:top w:val="none" w:sz="0" w:space="0" w:color="auto"/>
                <w:left w:val="none" w:sz="0" w:space="0" w:color="auto"/>
                <w:bottom w:val="none" w:sz="0" w:space="0" w:color="auto"/>
                <w:right w:val="none" w:sz="0" w:space="0" w:color="auto"/>
              </w:divBdr>
              <w:divsChild>
                <w:div w:id="52316033">
                  <w:marLeft w:val="0"/>
                  <w:marRight w:val="0"/>
                  <w:marTop w:val="0"/>
                  <w:marBottom w:val="0"/>
                  <w:divBdr>
                    <w:top w:val="none" w:sz="0" w:space="0" w:color="auto"/>
                    <w:left w:val="none" w:sz="0" w:space="0" w:color="auto"/>
                    <w:bottom w:val="none" w:sz="0" w:space="0" w:color="auto"/>
                    <w:right w:val="none" w:sz="0" w:space="0" w:color="auto"/>
                  </w:divBdr>
                </w:div>
              </w:divsChild>
            </w:div>
            <w:div w:id="1751737207">
              <w:marLeft w:val="0"/>
              <w:marRight w:val="0"/>
              <w:marTop w:val="0"/>
              <w:marBottom w:val="0"/>
              <w:divBdr>
                <w:top w:val="none" w:sz="0" w:space="0" w:color="auto"/>
                <w:left w:val="none" w:sz="0" w:space="0" w:color="auto"/>
                <w:bottom w:val="none" w:sz="0" w:space="0" w:color="auto"/>
                <w:right w:val="none" w:sz="0" w:space="0" w:color="auto"/>
              </w:divBdr>
              <w:divsChild>
                <w:div w:id="2147038538">
                  <w:marLeft w:val="0"/>
                  <w:marRight w:val="0"/>
                  <w:marTop w:val="0"/>
                  <w:marBottom w:val="0"/>
                  <w:divBdr>
                    <w:top w:val="none" w:sz="0" w:space="0" w:color="auto"/>
                    <w:left w:val="none" w:sz="0" w:space="0" w:color="auto"/>
                    <w:bottom w:val="none" w:sz="0" w:space="0" w:color="auto"/>
                    <w:right w:val="none" w:sz="0" w:space="0" w:color="auto"/>
                  </w:divBdr>
                </w:div>
              </w:divsChild>
            </w:div>
            <w:div w:id="211694638">
              <w:marLeft w:val="0"/>
              <w:marRight w:val="0"/>
              <w:marTop w:val="0"/>
              <w:marBottom w:val="0"/>
              <w:divBdr>
                <w:top w:val="none" w:sz="0" w:space="0" w:color="auto"/>
                <w:left w:val="none" w:sz="0" w:space="0" w:color="auto"/>
                <w:bottom w:val="none" w:sz="0" w:space="0" w:color="auto"/>
                <w:right w:val="none" w:sz="0" w:space="0" w:color="auto"/>
              </w:divBdr>
              <w:divsChild>
                <w:div w:id="1650793060">
                  <w:marLeft w:val="0"/>
                  <w:marRight w:val="0"/>
                  <w:marTop w:val="0"/>
                  <w:marBottom w:val="0"/>
                  <w:divBdr>
                    <w:top w:val="none" w:sz="0" w:space="0" w:color="auto"/>
                    <w:left w:val="none" w:sz="0" w:space="0" w:color="auto"/>
                    <w:bottom w:val="none" w:sz="0" w:space="0" w:color="auto"/>
                    <w:right w:val="none" w:sz="0" w:space="0" w:color="auto"/>
                  </w:divBdr>
                </w:div>
              </w:divsChild>
            </w:div>
            <w:div w:id="1285120236">
              <w:marLeft w:val="0"/>
              <w:marRight w:val="0"/>
              <w:marTop w:val="0"/>
              <w:marBottom w:val="0"/>
              <w:divBdr>
                <w:top w:val="none" w:sz="0" w:space="0" w:color="auto"/>
                <w:left w:val="none" w:sz="0" w:space="0" w:color="auto"/>
                <w:bottom w:val="none" w:sz="0" w:space="0" w:color="auto"/>
                <w:right w:val="none" w:sz="0" w:space="0" w:color="auto"/>
              </w:divBdr>
              <w:divsChild>
                <w:div w:id="1709067401">
                  <w:marLeft w:val="0"/>
                  <w:marRight w:val="0"/>
                  <w:marTop w:val="0"/>
                  <w:marBottom w:val="0"/>
                  <w:divBdr>
                    <w:top w:val="none" w:sz="0" w:space="0" w:color="auto"/>
                    <w:left w:val="none" w:sz="0" w:space="0" w:color="auto"/>
                    <w:bottom w:val="none" w:sz="0" w:space="0" w:color="auto"/>
                    <w:right w:val="none" w:sz="0" w:space="0" w:color="auto"/>
                  </w:divBdr>
                </w:div>
              </w:divsChild>
            </w:div>
            <w:div w:id="1764835949">
              <w:marLeft w:val="0"/>
              <w:marRight w:val="0"/>
              <w:marTop w:val="0"/>
              <w:marBottom w:val="0"/>
              <w:divBdr>
                <w:top w:val="none" w:sz="0" w:space="0" w:color="auto"/>
                <w:left w:val="none" w:sz="0" w:space="0" w:color="auto"/>
                <w:bottom w:val="none" w:sz="0" w:space="0" w:color="auto"/>
                <w:right w:val="none" w:sz="0" w:space="0" w:color="auto"/>
              </w:divBdr>
              <w:divsChild>
                <w:div w:id="1370450364">
                  <w:marLeft w:val="0"/>
                  <w:marRight w:val="0"/>
                  <w:marTop w:val="0"/>
                  <w:marBottom w:val="0"/>
                  <w:divBdr>
                    <w:top w:val="none" w:sz="0" w:space="0" w:color="auto"/>
                    <w:left w:val="none" w:sz="0" w:space="0" w:color="auto"/>
                    <w:bottom w:val="none" w:sz="0" w:space="0" w:color="auto"/>
                    <w:right w:val="none" w:sz="0" w:space="0" w:color="auto"/>
                  </w:divBdr>
                </w:div>
              </w:divsChild>
            </w:div>
            <w:div w:id="1776708278">
              <w:marLeft w:val="0"/>
              <w:marRight w:val="0"/>
              <w:marTop w:val="0"/>
              <w:marBottom w:val="0"/>
              <w:divBdr>
                <w:top w:val="none" w:sz="0" w:space="0" w:color="auto"/>
                <w:left w:val="none" w:sz="0" w:space="0" w:color="auto"/>
                <w:bottom w:val="none" w:sz="0" w:space="0" w:color="auto"/>
                <w:right w:val="none" w:sz="0" w:space="0" w:color="auto"/>
              </w:divBdr>
              <w:divsChild>
                <w:div w:id="19833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3167">
          <w:marLeft w:val="0"/>
          <w:marRight w:val="0"/>
          <w:marTop w:val="0"/>
          <w:marBottom w:val="600"/>
          <w:divBdr>
            <w:top w:val="none" w:sz="0" w:space="0" w:color="auto"/>
            <w:left w:val="none" w:sz="0" w:space="0" w:color="auto"/>
            <w:bottom w:val="none" w:sz="0" w:space="0" w:color="auto"/>
            <w:right w:val="none" w:sz="0" w:space="0" w:color="auto"/>
          </w:divBdr>
        </w:div>
      </w:divsChild>
    </w:div>
    <w:div w:id="1059783777">
      <w:marLeft w:val="0"/>
      <w:marRight w:val="0"/>
      <w:marTop w:val="0"/>
      <w:marBottom w:val="0"/>
      <w:divBdr>
        <w:top w:val="none" w:sz="0" w:space="0" w:color="auto"/>
        <w:left w:val="none" w:sz="0" w:space="0" w:color="auto"/>
        <w:bottom w:val="none" w:sz="0" w:space="0" w:color="auto"/>
        <w:right w:val="none" w:sz="0" w:space="0" w:color="auto"/>
      </w:divBdr>
      <w:divsChild>
        <w:div w:id="2134015605">
          <w:marLeft w:val="0"/>
          <w:marRight w:val="0"/>
          <w:marTop w:val="547"/>
          <w:marBottom w:val="0"/>
          <w:divBdr>
            <w:top w:val="none" w:sz="0" w:space="0" w:color="auto"/>
            <w:left w:val="none" w:sz="0" w:space="0" w:color="auto"/>
            <w:bottom w:val="none" w:sz="0" w:space="0" w:color="auto"/>
            <w:right w:val="none" w:sz="0" w:space="0" w:color="auto"/>
          </w:divBdr>
        </w:div>
        <w:div w:id="2136674121">
          <w:marLeft w:val="0"/>
          <w:marRight w:val="0"/>
          <w:marTop w:val="0"/>
          <w:marBottom w:val="0"/>
          <w:divBdr>
            <w:top w:val="none" w:sz="0" w:space="0" w:color="auto"/>
            <w:left w:val="none" w:sz="0" w:space="0" w:color="auto"/>
            <w:bottom w:val="none" w:sz="0" w:space="0" w:color="auto"/>
            <w:right w:val="none" w:sz="0" w:space="0" w:color="auto"/>
          </w:divBdr>
        </w:div>
        <w:div w:id="1644576260">
          <w:marLeft w:val="0"/>
          <w:marRight w:val="0"/>
          <w:marTop w:val="0"/>
          <w:marBottom w:val="600"/>
          <w:divBdr>
            <w:top w:val="none" w:sz="0" w:space="0" w:color="auto"/>
            <w:left w:val="none" w:sz="0" w:space="0" w:color="auto"/>
            <w:bottom w:val="none" w:sz="0" w:space="0" w:color="auto"/>
            <w:right w:val="none" w:sz="0" w:space="0" w:color="auto"/>
          </w:divBdr>
        </w:div>
      </w:divsChild>
    </w:div>
    <w:div w:id="1072046385">
      <w:marLeft w:val="0"/>
      <w:marRight w:val="0"/>
      <w:marTop w:val="0"/>
      <w:marBottom w:val="0"/>
      <w:divBdr>
        <w:top w:val="none" w:sz="0" w:space="0" w:color="auto"/>
        <w:left w:val="none" w:sz="0" w:space="0" w:color="auto"/>
        <w:bottom w:val="none" w:sz="0" w:space="0" w:color="auto"/>
        <w:right w:val="none" w:sz="0" w:space="0" w:color="auto"/>
      </w:divBdr>
      <w:divsChild>
        <w:div w:id="1467553839">
          <w:marLeft w:val="0"/>
          <w:marRight w:val="0"/>
          <w:marTop w:val="547"/>
          <w:marBottom w:val="0"/>
          <w:divBdr>
            <w:top w:val="none" w:sz="0" w:space="0" w:color="auto"/>
            <w:left w:val="none" w:sz="0" w:space="0" w:color="auto"/>
            <w:bottom w:val="none" w:sz="0" w:space="0" w:color="auto"/>
            <w:right w:val="none" w:sz="0" w:space="0" w:color="auto"/>
          </w:divBdr>
        </w:div>
        <w:div w:id="1129933941">
          <w:marLeft w:val="0"/>
          <w:marRight w:val="0"/>
          <w:marTop w:val="0"/>
          <w:marBottom w:val="0"/>
          <w:divBdr>
            <w:top w:val="none" w:sz="0" w:space="0" w:color="auto"/>
            <w:left w:val="none" w:sz="0" w:space="0" w:color="auto"/>
            <w:bottom w:val="none" w:sz="0" w:space="0" w:color="auto"/>
            <w:right w:val="none" w:sz="0" w:space="0" w:color="auto"/>
          </w:divBdr>
        </w:div>
        <w:div w:id="2126078694">
          <w:marLeft w:val="0"/>
          <w:marRight w:val="0"/>
          <w:marTop w:val="0"/>
          <w:marBottom w:val="600"/>
          <w:divBdr>
            <w:top w:val="none" w:sz="0" w:space="0" w:color="auto"/>
            <w:left w:val="none" w:sz="0" w:space="0" w:color="auto"/>
            <w:bottom w:val="none" w:sz="0" w:space="0" w:color="auto"/>
            <w:right w:val="none" w:sz="0" w:space="0" w:color="auto"/>
          </w:divBdr>
        </w:div>
      </w:divsChild>
    </w:div>
    <w:div w:id="1187409688">
      <w:marLeft w:val="0"/>
      <w:marRight w:val="0"/>
      <w:marTop w:val="0"/>
      <w:marBottom w:val="0"/>
      <w:divBdr>
        <w:top w:val="none" w:sz="0" w:space="0" w:color="auto"/>
        <w:left w:val="none" w:sz="0" w:space="0" w:color="auto"/>
        <w:bottom w:val="none" w:sz="0" w:space="0" w:color="auto"/>
        <w:right w:val="none" w:sz="0" w:space="0" w:color="auto"/>
      </w:divBdr>
      <w:divsChild>
        <w:div w:id="216400455">
          <w:marLeft w:val="0"/>
          <w:marRight w:val="0"/>
          <w:marTop w:val="547"/>
          <w:marBottom w:val="0"/>
          <w:divBdr>
            <w:top w:val="none" w:sz="0" w:space="0" w:color="auto"/>
            <w:left w:val="none" w:sz="0" w:space="0" w:color="auto"/>
            <w:bottom w:val="none" w:sz="0" w:space="0" w:color="auto"/>
            <w:right w:val="none" w:sz="0" w:space="0" w:color="auto"/>
          </w:divBdr>
        </w:div>
        <w:div w:id="1927153862">
          <w:marLeft w:val="0"/>
          <w:marRight w:val="0"/>
          <w:marTop w:val="0"/>
          <w:marBottom w:val="0"/>
          <w:divBdr>
            <w:top w:val="none" w:sz="0" w:space="0" w:color="auto"/>
            <w:left w:val="none" w:sz="0" w:space="0" w:color="auto"/>
            <w:bottom w:val="none" w:sz="0" w:space="0" w:color="auto"/>
            <w:right w:val="none" w:sz="0" w:space="0" w:color="auto"/>
          </w:divBdr>
        </w:div>
        <w:div w:id="497305944">
          <w:marLeft w:val="0"/>
          <w:marRight w:val="0"/>
          <w:marTop w:val="0"/>
          <w:marBottom w:val="600"/>
          <w:divBdr>
            <w:top w:val="none" w:sz="0" w:space="0" w:color="auto"/>
            <w:left w:val="none" w:sz="0" w:space="0" w:color="auto"/>
            <w:bottom w:val="none" w:sz="0" w:space="0" w:color="auto"/>
            <w:right w:val="none" w:sz="0" w:space="0" w:color="auto"/>
          </w:divBdr>
        </w:div>
      </w:divsChild>
    </w:div>
    <w:div w:id="1225722932">
      <w:marLeft w:val="0"/>
      <w:marRight w:val="0"/>
      <w:marTop w:val="0"/>
      <w:marBottom w:val="0"/>
      <w:divBdr>
        <w:top w:val="none" w:sz="0" w:space="0" w:color="auto"/>
        <w:left w:val="none" w:sz="0" w:space="0" w:color="auto"/>
        <w:bottom w:val="none" w:sz="0" w:space="0" w:color="auto"/>
        <w:right w:val="none" w:sz="0" w:space="0" w:color="auto"/>
      </w:divBdr>
      <w:divsChild>
        <w:div w:id="1138567096">
          <w:marLeft w:val="0"/>
          <w:marRight w:val="0"/>
          <w:marTop w:val="547"/>
          <w:marBottom w:val="0"/>
          <w:divBdr>
            <w:top w:val="none" w:sz="0" w:space="0" w:color="auto"/>
            <w:left w:val="none" w:sz="0" w:space="0" w:color="auto"/>
            <w:bottom w:val="none" w:sz="0" w:space="0" w:color="auto"/>
            <w:right w:val="none" w:sz="0" w:space="0" w:color="auto"/>
          </w:divBdr>
        </w:div>
        <w:div w:id="1547133688">
          <w:marLeft w:val="0"/>
          <w:marRight w:val="0"/>
          <w:marTop w:val="0"/>
          <w:marBottom w:val="0"/>
          <w:divBdr>
            <w:top w:val="none" w:sz="0" w:space="0" w:color="auto"/>
            <w:left w:val="none" w:sz="0" w:space="0" w:color="auto"/>
            <w:bottom w:val="none" w:sz="0" w:space="0" w:color="auto"/>
            <w:right w:val="none" w:sz="0" w:space="0" w:color="auto"/>
          </w:divBdr>
        </w:div>
        <w:div w:id="1866408320">
          <w:marLeft w:val="0"/>
          <w:marRight w:val="0"/>
          <w:marTop w:val="0"/>
          <w:marBottom w:val="600"/>
          <w:divBdr>
            <w:top w:val="none" w:sz="0" w:space="0" w:color="auto"/>
            <w:left w:val="none" w:sz="0" w:space="0" w:color="auto"/>
            <w:bottom w:val="none" w:sz="0" w:space="0" w:color="auto"/>
            <w:right w:val="none" w:sz="0" w:space="0" w:color="auto"/>
          </w:divBdr>
        </w:div>
      </w:divsChild>
    </w:div>
    <w:div w:id="1287346395">
      <w:marLeft w:val="0"/>
      <w:marRight w:val="0"/>
      <w:marTop w:val="0"/>
      <w:marBottom w:val="0"/>
      <w:divBdr>
        <w:top w:val="none" w:sz="0" w:space="0" w:color="auto"/>
        <w:left w:val="none" w:sz="0" w:space="0" w:color="auto"/>
        <w:bottom w:val="none" w:sz="0" w:space="0" w:color="auto"/>
        <w:right w:val="none" w:sz="0" w:space="0" w:color="auto"/>
      </w:divBdr>
      <w:divsChild>
        <w:div w:id="2032222270">
          <w:marLeft w:val="0"/>
          <w:marRight w:val="0"/>
          <w:marTop w:val="547"/>
          <w:marBottom w:val="0"/>
          <w:divBdr>
            <w:top w:val="none" w:sz="0" w:space="0" w:color="auto"/>
            <w:left w:val="none" w:sz="0" w:space="0" w:color="auto"/>
            <w:bottom w:val="none" w:sz="0" w:space="0" w:color="auto"/>
            <w:right w:val="none" w:sz="0" w:space="0" w:color="auto"/>
          </w:divBdr>
        </w:div>
        <w:div w:id="1049496181">
          <w:marLeft w:val="0"/>
          <w:marRight w:val="0"/>
          <w:marTop w:val="0"/>
          <w:marBottom w:val="0"/>
          <w:divBdr>
            <w:top w:val="none" w:sz="0" w:space="0" w:color="auto"/>
            <w:left w:val="none" w:sz="0" w:space="0" w:color="auto"/>
            <w:bottom w:val="none" w:sz="0" w:space="0" w:color="auto"/>
            <w:right w:val="none" w:sz="0" w:space="0" w:color="auto"/>
          </w:divBdr>
        </w:div>
        <w:div w:id="1028919763">
          <w:marLeft w:val="0"/>
          <w:marRight w:val="0"/>
          <w:marTop w:val="0"/>
          <w:marBottom w:val="600"/>
          <w:divBdr>
            <w:top w:val="none" w:sz="0" w:space="0" w:color="auto"/>
            <w:left w:val="none" w:sz="0" w:space="0" w:color="auto"/>
            <w:bottom w:val="none" w:sz="0" w:space="0" w:color="auto"/>
            <w:right w:val="none" w:sz="0" w:space="0" w:color="auto"/>
          </w:divBdr>
        </w:div>
      </w:divsChild>
    </w:div>
    <w:div w:id="1289164056">
      <w:marLeft w:val="0"/>
      <w:marRight w:val="0"/>
      <w:marTop w:val="0"/>
      <w:marBottom w:val="0"/>
      <w:divBdr>
        <w:top w:val="none" w:sz="0" w:space="0" w:color="auto"/>
        <w:left w:val="none" w:sz="0" w:space="0" w:color="auto"/>
        <w:bottom w:val="none" w:sz="0" w:space="0" w:color="auto"/>
        <w:right w:val="none" w:sz="0" w:space="0" w:color="auto"/>
      </w:divBdr>
      <w:divsChild>
        <w:div w:id="493646575">
          <w:marLeft w:val="0"/>
          <w:marRight w:val="0"/>
          <w:marTop w:val="547"/>
          <w:marBottom w:val="0"/>
          <w:divBdr>
            <w:top w:val="none" w:sz="0" w:space="0" w:color="auto"/>
            <w:left w:val="none" w:sz="0" w:space="0" w:color="auto"/>
            <w:bottom w:val="none" w:sz="0" w:space="0" w:color="auto"/>
            <w:right w:val="none" w:sz="0" w:space="0" w:color="auto"/>
          </w:divBdr>
        </w:div>
        <w:div w:id="981084101">
          <w:marLeft w:val="0"/>
          <w:marRight w:val="0"/>
          <w:marTop w:val="0"/>
          <w:marBottom w:val="0"/>
          <w:divBdr>
            <w:top w:val="none" w:sz="0" w:space="0" w:color="auto"/>
            <w:left w:val="none" w:sz="0" w:space="0" w:color="auto"/>
            <w:bottom w:val="none" w:sz="0" w:space="0" w:color="auto"/>
            <w:right w:val="none" w:sz="0" w:space="0" w:color="auto"/>
          </w:divBdr>
        </w:div>
        <w:div w:id="1003900145">
          <w:marLeft w:val="0"/>
          <w:marRight w:val="0"/>
          <w:marTop w:val="0"/>
          <w:marBottom w:val="600"/>
          <w:divBdr>
            <w:top w:val="none" w:sz="0" w:space="0" w:color="auto"/>
            <w:left w:val="none" w:sz="0" w:space="0" w:color="auto"/>
            <w:bottom w:val="none" w:sz="0" w:space="0" w:color="auto"/>
            <w:right w:val="none" w:sz="0" w:space="0" w:color="auto"/>
          </w:divBdr>
        </w:div>
      </w:divsChild>
    </w:div>
    <w:div w:id="1304581431">
      <w:marLeft w:val="0"/>
      <w:marRight w:val="0"/>
      <w:marTop w:val="0"/>
      <w:marBottom w:val="0"/>
      <w:divBdr>
        <w:top w:val="none" w:sz="0" w:space="0" w:color="auto"/>
        <w:left w:val="none" w:sz="0" w:space="0" w:color="auto"/>
        <w:bottom w:val="none" w:sz="0" w:space="0" w:color="auto"/>
        <w:right w:val="none" w:sz="0" w:space="0" w:color="auto"/>
      </w:divBdr>
      <w:divsChild>
        <w:div w:id="695812961">
          <w:marLeft w:val="0"/>
          <w:marRight w:val="0"/>
          <w:marTop w:val="547"/>
          <w:marBottom w:val="0"/>
          <w:divBdr>
            <w:top w:val="none" w:sz="0" w:space="0" w:color="auto"/>
            <w:left w:val="none" w:sz="0" w:space="0" w:color="auto"/>
            <w:bottom w:val="none" w:sz="0" w:space="0" w:color="auto"/>
            <w:right w:val="none" w:sz="0" w:space="0" w:color="auto"/>
          </w:divBdr>
        </w:div>
        <w:div w:id="2094934260">
          <w:marLeft w:val="0"/>
          <w:marRight w:val="0"/>
          <w:marTop w:val="0"/>
          <w:marBottom w:val="0"/>
          <w:divBdr>
            <w:top w:val="none" w:sz="0" w:space="0" w:color="auto"/>
            <w:left w:val="none" w:sz="0" w:space="0" w:color="auto"/>
            <w:bottom w:val="none" w:sz="0" w:space="0" w:color="auto"/>
            <w:right w:val="none" w:sz="0" w:space="0" w:color="auto"/>
          </w:divBdr>
        </w:div>
        <w:div w:id="501890828">
          <w:marLeft w:val="0"/>
          <w:marRight w:val="0"/>
          <w:marTop w:val="0"/>
          <w:marBottom w:val="600"/>
          <w:divBdr>
            <w:top w:val="none" w:sz="0" w:space="0" w:color="auto"/>
            <w:left w:val="none" w:sz="0" w:space="0" w:color="auto"/>
            <w:bottom w:val="none" w:sz="0" w:space="0" w:color="auto"/>
            <w:right w:val="none" w:sz="0" w:space="0" w:color="auto"/>
          </w:divBdr>
        </w:div>
      </w:divsChild>
    </w:div>
    <w:div w:id="1380670858">
      <w:marLeft w:val="0"/>
      <w:marRight w:val="0"/>
      <w:marTop w:val="0"/>
      <w:marBottom w:val="0"/>
      <w:divBdr>
        <w:top w:val="none" w:sz="0" w:space="0" w:color="auto"/>
        <w:left w:val="none" w:sz="0" w:space="0" w:color="auto"/>
        <w:bottom w:val="none" w:sz="0" w:space="0" w:color="auto"/>
        <w:right w:val="none" w:sz="0" w:space="0" w:color="auto"/>
      </w:divBdr>
      <w:divsChild>
        <w:div w:id="879630864">
          <w:marLeft w:val="0"/>
          <w:marRight w:val="0"/>
          <w:marTop w:val="547"/>
          <w:marBottom w:val="0"/>
          <w:divBdr>
            <w:top w:val="none" w:sz="0" w:space="0" w:color="auto"/>
            <w:left w:val="none" w:sz="0" w:space="0" w:color="auto"/>
            <w:bottom w:val="none" w:sz="0" w:space="0" w:color="auto"/>
            <w:right w:val="none" w:sz="0" w:space="0" w:color="auto"/>
          </w:divBdr>
        </w:div>
        <w:div w:id="2010398620">
          <w:marLeft w:val="0"/>
          <w:marRight w:val="0"/>
          <w:marTop w:val="0"/>
          <w:marBottom w:val="0"/>
          <w:divBdr>
            <w:top w:val="none" w:sz="0" w:space="0" w:color="auto"/>
            <w:left w:val="none" w:sz="0" w:space="0" w:color="auto"/>
            <w:bottom w:val="none" w:sz="0" w:space="0" w:color="auto"/>
            <w:right w:val="none" w:sz="0" w:space="0" w:color="auto"/>
          </w:divBdr>
        </w:div>
        <w:div w:id="1816724395">
          <w:marLeft w:val="0"/>
          <w:marRight w:val="0"/>
          <w:marTop w:val="0"/>
          <w:marBottom w:val="600"/>
          <w:divBdr>
            <w:top w:val="none" w:sz="0" w:space="0" w:color="auto"/>
            <w:left w:val="none" w:sz="0" w:space="0" w:color="auto"/>
            <w:bottom w:val="none" w:sz="0" w:space="0" w:color="auto"/>
            <w:right w:val="none" w:sz="0" w:space="0" w:color="auto"/>
          </w:divBdr>
        </w:div>
      </w:divsChild>
    </w:div>
    <w:div w:id="1410420428">
      <w:marLeft w:val="0"/>
      <w:marRight w:val="0"/>
      <w:marTop w:val="0"/>
      <w:marBottom w:val="0"/>
      <w:divBdr>
        <w:top w:val="none" w:sz="0" w:space="0" w:color="auto"/>
        <w:left w:val="none" w:sz="0" w:space="0" w:color="auto"/>
        <w:bottom w:val="none" w:sz="0" w:space="0" w:color="auto"/>
        <w:right w:val="none" w:sz="0" w:space="0" w:color="auto"/>
      </w:divBdr>
      <w:divsChild>
        <w:div w:id="16778929">
          <w:marLeft w:val="0"/>
          <w:marRight w:val="0"/>
          <w:marTop w:val="547"/>
          <w:marBottom w:val="0"/>
          <w:divBdr>
            <w:top w:val="none" w:sz="0" w:space="0" w:color="auto"/>
            <w:left w:val="none" w:sz="0" w:space="0" w:color="auto"/>
            <w:bottom w:val="none" w:sz="0" w:space="0" w:color="auto"/>
            <w:right w:val="none" w:sz="0" w:space="0" w:color="auto"/>
          </w:divBdr>
        </w:div>
        <w:div w:id="193084893">
          <w:marLeft w:val="0"/>
          <w:marRight w:val="0"/>
          <w:marTop w:val="0"/>
          <w:marBottom w:val="0"/>
          <w:divBdr>
            <w:top w:val="none" w:sz="0" w:space="0" w:color="auto"/>
            <w:left w:val="none" w:sz="0" w:space="0" w:color="auto"/>
            <w:bottom w:val="none" w:sz="0" w:space="0" w:color="auto"/>
            <w:right w:val="none" w:sz="0" w:space="0" w:color="auto"/>
          </w:divBdr>
          <w:divsChild>
            <w:div w:id="2125726187">
              <w:marLeft w:val="0"/>
              <w:marRight w:val="0"/>
              <w:marTop w:val="0"/>
              <w:marBottom w:val="0"/>
              <w:divBdr>
                <w:top w:val="none" w:sz="0" w:space="0" w:color="auto"/>
                <w:left w:val="none" w:sz="0" w:space="0" w:color="auto"/>
                <w:bottom w:val="none" w:sz="0" w:space="0" w:color="auto"/>
                <w:right w:val="none" w:sz="0" w:space="0" w:color="auto"/>
              </w:divBdr>
              <w:divsChild>
                <w:div w:id="1051004458">
                  <w:marLeft w:val="0"/>
                  <w:marRight w:val="0"/>
                  <w:marTop w:val="0"/>
                  <w:marBottom w:val="0"/>
                  <w:divBdr>
                    <w:top w:val="none" w:sz="0" w:space="0" w:color="auto"/>
                    <w:left w:val="none" w:sz="0" w:space="0" w:color="auto"/>
                    <w:bottom w:val="none" w:sz="0" w:space="0" w:color="auto"/>
                    <w:right w:val="none" w:sz="0" w:space="0" w:color="auto"/>
                  </w:divBdr>
                </w:div>
              </w:divsChild>
            </w:div>
            <w:div w:id="1435050021">
              <w:marLeft w:val="0"/>
              <w:marRight w:val="0"/>
              <w:marTop w:val="0"/>
              <w:marBottom w:val="0"/>
              <w:divBdr>
                <w:top w:val="none" w:sz="0" w:space="0" w:color="auto"/>
                <w:left w:val="none" w:sz="0" w:space="0" w:color="auto"/>
                <w:bottom w:val="none" w:sz="0" w:space="0" w:color="auto"/>
                <w:right w:val="none" w:sz="0" w:space="0" w:color="auto"/>
              </w:divBdr>
              <w:divsChild>
                <w:div w:id="587471856">
                  <w:marLeft w:val="0"/>
                  <w:marRight w:val="0"/>
                  <w:marTop w:val="0"/>
                  <w:marBottom w:val="0"/>
                  <w:divBdr>
                    <w:top w:val="none" w:sz="0" w:space="0" w:color="auto"/>
                    <w:left w:val="none" w:sz="0" w:space="0" w:color="auto"/>
                    <w:bottom w:val="none" w:sz="0" w:space="0" w:color="auto"/>
                    <w:right w:val="none" w:sz="0" w:space="0" w:color="auto"/>
                  </w:divBdr>
                </w:div>
              </w:divsChild>
            </w:div>
            <w:div w:id="1827237564">
              <w:marLeft w:val="0"/>
              <w:marRight w:val="0"/>
              <w:marTop w:val="0"/>
              <w:marBottom w:val="0"/>
              <w:divBdr>
                <w:top w:val="none" w:sz="0" w:space="0" w:color="auto"/>
                <w:left w:val="none" w:sz="0" w:space="0" w:color="auto"/>
                <w:bottom w:val="none" w:sz="0" w:space="0" w:color="auto"/>
                <w:right w:val="none" w:sz="0" w:space="0" w:color="auto"/>
              </w:divBdr>
              <w:divsChild>
                <w:div w:id="729304592">
                  <w:marLeft w:val="0"/>
                  <w:marRight w:val="0"/>
                  <w:marTop w:val="0"/>
                  <w:marBottom w:val="0"/>
                  <w:divBdr>
                    <w:top w:val="none" w:sz="0" w:space="0" w:color="auto"/>
                    <w:left w:val="none" w:sz="0" w:space="0" w:color="auto"/>
                    <w:bottom w:val="none" w:sz="0" w:space="0" w:color="auto"/>
                    <w:right w:val="none" w:sz="0" w:space="0" w:color="auto"/>
                  </w:divBdr>
                </w:div>
              </w:divsChild>
            </w:div>
            <w:div w:id="1023827875">
              <w:marLeft w:val="0"/>
              <w:marRight w:val="0"/>
              <w:marTop w:val="0"/>
              <w:marBottom w:val="0"/>
              <w:divBdr>
                <w:top w:val="none" w:sz="0" w:space="0" w:color="auto"/>
                <w:left w:val="none" w:sz="0" w:space="0" w:color="auto"/>
                <w:bottom w:val="none" w:sz="0" w:space="0" w:color="auto"/>
                <w:right w:val="none" w:sz="0" w:space="0" w:color="auto"/>
              </w:divBdr>
              <w:divsChild>
                <w:div w:id="1314941888">
                  <w:marLeft w:val="0"/>
                  <w:marRight w:val="0"/>
                  <w:marTop w:val="0"/>
                  <w:marBottom w:val="0"/>
                  <w:divBdr>
                    <w:top w:val="none" w:sz="0" w:space="0" w:color="auto"/>
                    <w:left w:val="none" w:sz="0" w:space="0" w:color="auto"/>
                    <w:bottom w:val="none" w:sz="0" w:space="0" w:color="auto"/>
                    <w:right w:val="none" w:sz="0" w:space="0" w:color="auto"/>
                  </w:divBdr>
                </w:div>
              </w:divsChild>
            </w:div>
            <w:div w:id="47842394">
              <w:marLeft w:val="0"/>
              <w:marRight w:val="0"/>
              <w:marTop w:val="0"/>
              <w:marBottom w:val="0"/>
              <w:divBdr>
                <w:top w:val="none" w:sz="0" w:space="0" w:color="auto"/>
                <w:left w:val="none" w:sz="0" w:space="0" w:color="auto"/>
                <w:bottom w:val="none" w:sz="0" w:space="0" w:color="auto"/>
                <w:right w:val="none" w:sz="0" w:space="0" w:color="auto"/>
              </w:divBdr>
              <w:divsChild>
                <w:div w:id="522521707">
                  <w:marLeft w:val="0"/>
                  <w:marRight w:val="0"/>
                  <w:marTop w:val="0"/>
                  <w:marBottom w:val="0"/>
                  <w:divBdr>
                    <w:top w:val="none" w:sz="0" w:space="0" w:color="auto"/>
                    <w:left w:val="none" w:sz="0" w:space="0" w:color="auto"/>
                    <w:bottom w:val="none" w:sz="0" w:space="0" w:color="auto"/>
                    <w:right w:val="none" w:sz="0" w:space="0" w:color="auto"/>
                  </w:divBdr>
                </w:div>
              </w:divsChild>
            </w:div>
            <w:div w:id="977224761">
              <w:marLeft w:val="0"/>
              <w:marRight w:val="0"/>
              <w:marTop w:val="0"/>
              <w:marBottom w:val="0"/>
              <w:divBdr>
                <w:top w:val="none" w:sz="0" w:space="0" w:color="auto"/>
                <w:left w:val="none" w:sz="0" w:space="0" w:color="auto"/>
                <w:bottom w:val="none" w:sz="0" w:space="0" w:color="auto"/>
                <w:right w:val="none" w:sz="0" w:space="0" w:color="auto"/>
              </w:divBdr>
              <w:divsChild>
                <w:div w:id="1898318663">
                  <w:marLeft w:val="0"/>
                  <w:marRight w:val="0"/>
                  <w:marTop w:val="0"/>
                  <w:marBottom w:val="0"/>
                  <w:divBdr>
                    <w:top w:val="none" w:sz="0" w:space="0" w:color="auto"/>
                    <w:left w:val="none" w:sz="0" w:space="0" w:color="auto"/>
                    <w:bottom w:val="none" w:sz="0" w:space="0" w:color="auto"/>
                    <w:right w:val="none" w:sz="0" w:space="0" w:color="auto"/>
                  </w:divBdr>
                </w:div>
              </w:divsChild>
            </w:div>
            <w:div w:id="2035567459">
              <w:marLeft w:val="0"/>
              <w:marRight w:val="0"/>
              <w:marTop w:val="0"/>
              <w:marBottom w:val="0"/>
              <w:divBdr>
                <w:top w:val="none" w:sz="0" w:space="0" w:color="auto"/>
                <w:left w:val="none" w:sz="0" w:space="0" w:color="auto"/>
                <w:bottom w:val="none" w:sz="0" w:space="0" w:color="auto"/>
                <w:right w:val="none" w:sz="0" w:space="0" w:color="auto"/>
              </w:divBdr>
              <w:divsChild>
                <w:div w:id="1365598164">
                  <w:marLeft w:val="0"/>
                  <w:marRight w:val="0"/>
                  <w:marTop w:val="0"/>
                  <w:marBottom w:val="0"/>
                  <w:divBdr>
                    <w:top w:val="none" w:sz="0" w:space="0" w:color="auto"/>
                    <w:left w:val="none" w:sz="0" w:space="0" w:color="auto"/>
                    <w:bottom w:val="none" w:sz="0" w:space="0" w:color="auto"/>
                    <w:right w:val="none" w:sz="0" w:space="0" w:color="auto"/>
                  </w:divBdr>
                </w:div>
              </w:divsChild>
            </w:div>
            <w:div w:id="185143661">
              <w:marLeft w:val="0"/>
              <w:marRight w:val="0"/>
              <w:marTop w:val="0"/>
              <w:marBottom w:val="0"/>
              <w:divBdr>
                <w:top w:val="none" w:sz="0" w:space="0" w:color="auto"/>
                <w:left w:val="none" w:sz="0" w:space="0" w:color="auto"/>
                <w:bottom w:val="none" w:sz="0" w:space="0" w:color="auto"/>
                <w:right w:val="none" w:sz="0" w:space="0" w:color="auto"/>
              </w:divBdr>
            </w:div>
          </w:divsChild>
        </w:div>
        <w:div w:id="1848639583">
          <w:marLeft w:val="0"/>
          <w:marRight w:val="0"/>
          <w:marTop w:val="0"/>
          <w:marBottom w:val="600"/>
          <w:divBdr>
            <w:top w:val="none" w:sz="0" w:space="0" w:color="auto"/>
            <w:left w:val="none" w:sz="0" w:space="0" w:color="auto"/>
            <w:bottom w:val="none" w:sz="0" w:space="0" w:color="auto"/>
            <w:right w:val="none" w:sz="0" w:space="0" w:color="auto"/>
          </w:divBdr>
        </w:div>
      </w:divsChild>
    </w:div>
    <w:div w:id="1417434802">
      <w:marLeft w:val="0"/>
      <w:marRight w:val="0"/>
      <w:marTop w:val="0"/>
      <w:marBottom w:val="0"/>
      <w:divBdr>
        <w:top w:val="none" w:sz="0" w:space="0" w:color="auto"/>
        <w:left w:val="none" w:sz="0" w:space="0" w:color="auto"/>
        <w:bottom w:val="none" w:sz="0" w:space="0" w:color="auto"/>
        <w:right w:val="none" w:sz="0" w:space="0" w:color="auto"/>
      </w:divBdr>
      <w:divsChild>
        <w:div w:id="1529679675">
          <w:marLeft w:val="0"/>
          <w:marRight w:val="0"/>
          <w:marTop w:val="547"/>
          <w:marBottom w:val="0"/>
          <w:divBdr>
            <w:top w:val="none" w:sz="0" w:space="0" w:color="auto"/>
            <w:left w:val="none" w:sz="0" w:space="0" w:color="auto"/>
            <w:bottom w:val="none" w:sz="0" w:space="0" w:color="auto"/>
            <w:right w:val="none" w:sz="0" w:space="0" w:color="auto"/>
          </w:divBdr>
        </w:div>
        <w:div w:id="1579637340">
          <w:marLeft w:val="0"/>
          <w:marRight w:val="0"/>
          <w:marTop w:val="0"/>
          <w:marBottom w:val="0"/>
          <w:divBdr>
            <w:top w:val="none" w:sz="0" w:space="0" w:color="auto"/>
            <w:left w:val="none" w:sz="0" w:space="0" w:color="auto"/>
            <w:bottom w:val="none" w:sz="0" w:space="0" w:color="auto"/>
            <w:right w:val="none" w:sz="0" w:space="0" w:color="auto"/>
          </w:divBdr>
        </w:div>
        <w:div w:id="618534382">
          <w:marLeft w:val="0"/>
          <w:marRight w:val="0"/>
          <w:marTop w:val="0"/>
          <w:marBottom w:val="600"/>
          <w:divBdr>
            <w:top w:val="none" w:sz="0" w:space="0" w:color="auto"/>
            <w:left w:val="none" w:sz="0" w:space="0" w:color="auto"/>
            <w:bottom w:val="none" w:sz="0" w:space="0" w:color="auto"/>
            <w:right w:val="none" w:sz="0" w:space="0" w:color="auto"/>
          </w:divBdr>
        </w:div>
      </w:divsChild>
    </w:div>
    <w:div w:id="1417627654">
      <w:marLeft w:val="0"/>
      <w:marRight w:val="0"/>
      <w:marTop w:val="0"/>
      <w:marBottom w:val="0"/>
      <w:divBdr>
        <w:top w:val="none" w:sz="0" w:space="0" w:color="auto"/>
        <w:left w:val="none" w:sz="0" w:space="0" w:color="auto"/>
        <w:bottom w:val="none" w:sz="0" w:space="0" w:color="auto"/>
        <w:right w:val="none" w:sz="0" w:space="0" w:color="auto"/>
      </w:divBdr>
      <w:divsChild>
        <w:div w:id="1644969703">
          <w:marLeft w:val="0"/>
          <w:marRight w:val="0"/>
          <w:marTop w:val="547"/>
          <w:marBottom w:val="0"/>
          <w:divBdr>
            <w:top w:val="none" w:sz="0" w:space="0" w:color="auto"/>
            <w:left w:val="none" w:sz="0" w:space="0" w:color="auto"/>
            <w:bottom w:val="none" w:sz="0" w:space="0" w:color="auto"/>
            <w:right w:val="none" w:sz="0" w:space="0" w:color="auto"/>
          </w:divBdr>
        </w:div>
        <w:div w:id="1642467829">
          <w:marLeft w:val="0"/>
          <w:marRight w:val="0"/>
          <w:marTop w:val="0"/>
          <w:marBottom w:val="0"/>
          <w:divBdr>
            <w:top w:val="none" w:sz="0" w:space="0" w:color="auto"/>
            <w:left w:val="none" w:sz="0" w:space="0" w:color="auto"/>
            <w:bottom w:val="none" w:sz="0" w:space="0" w:color="auto"/>
            <w:right w:val="none" w:sz="0" w:space="0" w:color="auto"/>
          </w:divBdr>
          <w:divsChild>
            <w:div w:id="118038044">
              <w:marLeft w:val="0"/>
              <w:marRight w:val="0"/>
              <w:marTop w:val="0"/>
              <w:marBottom w:val="0"/>
              <w:divBdr>
                <w:top w:val="none" w:sz="0" w:space="0" w:color="auto"/>
                <w:left w:val="none" w:sz="0" w:space="0" w:color="auto"/>
                <w:bottom w:val="none" w:sz="0" w:space="0" w:color="auto"/>
                <w:right w:val="none" w:sz="0" w:space="0" w:color="auto"/>
              </w:divBdr>
              <w:divsChild>
                <w:div w:id="896087774">
                  <w:marLeft w:val="0"/>
                  <w:marRight w:val="0"/>
                  <w:marTop w:val="0"/>
                  <w:marBottom w:val="0"/>
                  <w:divBdr>
                    <w:top w:val="none" w:sz="0" w:space="0" w:color="auto"/>
                    <w:left w:val="none" w:sz="0" w:space="0" w:color="auto"/>
                    <w:bottom w:val="none" w:sz="0" w:space="0" w:color="auto"/>
                    <w:right w:val="none" w:sz="0" w:space="0" w:color="auto"/>
                  </w:divBdr>
                </w:div>
              </w:divsChild>
            </w:div>
            <w:div w:id="1063867711">
              <w:marLeft w:val="0"/>
              <w:marRight w:val="0"/>
              <w:marTop w:val="0"/>
              <w:marBottom w:val="0"/>
              <w:divBdr>
                <w:top w:val="none" w:sz="0" w:space="0" w:color="auto"/>
                <w:left w:val="none" w:sz="0" w:space="0" w:color="auto"/>
                <w:bottom w:val="none" w:sz="0" w:space="0" w:color="auto"/>
                <w:right w:val="none" w:sz="0" w:space="0" w:color="auto"/>
              </w:divBdr>
              <w:divsChild>
                <w:div w:id="440338965">
                  <w:marLeft w:val="0"/>
                  <w:marRight w:val="0"/>
                  <w:marTop w:val="0"/>
                  <w:marBottom w:val="0"/>
                  <w:divBdr>
                    <w:top w:val="none" w:sz="0" w:space="0" w:color="auto"/>
                    <w:left w:val="none" w:sz="0" w:space="0" w:color="auto"/>
                    <w:bottom w:val="none" w:sz="0" w:space="0" w:color="auto"/>
                    <w:right w:val="none" w:sz="0" w:space="0" w:color="auto"/>
                  </w:divBdr>
                </w:div>
              </w:divsChild>
            </w:div>
            <w:div w:id="2007706278">
              <w:marLeft w:val="0"/>
              <w:marRight w:val="0"/>
              <w:marTop w:val="0"/>
              <w:marBottom w:val="0"/>
              <w:divBdr>
                <w:top w:val="none" w:sz="0" w:space="0" w:color="auto"/>
                <w:left w:val="none" w:sz="0" w:space="0" w:color="auto"/>
                <w:bottom w:val="none" w:sz="0" w:space="0" w:color="auto"/>
                <w:right w:val="none" w:sz="0" w:space="0" w:color="auto"/>
              </w:divBdr>
              <w:divsChild>
                <w:div w:id="1928997337">
                  <w:marLeft w:val="0"/>
                  <w:marRight w:val="0"/>
                  <w:marTop w:val="0"/>
                  <w:marBottom w:val="0"/>
                  <w:divBdr>
                    <w:top w:val="none" w:sz="0" w:space="0" w:color="auto"/>
                    <w:left w:val="none" w:sz="0" w:space="0" w:color="auto"/>
                    <w:bottom w:val="none" w:sz="0" w:space="0" w:color="auto"/>
                    <w:right w:val="none" w:sz="0" w:space="0" w:color="auto"/>
                  </w:divBdr>
                </w:div>
              </w:divsChild>
            </w:div>
            <w:div w:id="1215121107">
              <w:marLeft w:val="0"/>
              <w:marRight w:val="0"/>
              <w:marTop w:val="0"/>
              <w:marBottom w:val="0"/>
              <w:divBdr>
                <w:top w:val="none" w:sz="0" w:space="0" w:color="auto"/>
                <w:left w:val="none" w:sz="0" w:space="0" w:color="auto"/>
                <w:bottom w:val="none" w:sz="0" w:space="0" w:color="auto"/>
                <w:right w:val="none" w:sz="0" w:space="0" w:color="auto"/>
              </w:divBdr>
              <w:divsChild>
                <w:div w:id="1218585891">
                  <w:marLeft w:val="0"/>
                  <w:marRight w:val="0"/>
                  <w:marTop w:val="0"/>
                  <w:marBottom w:val="0"/>
                  <w:divBdr>
                    <w:top w:val="none" w:sz="0" w:space="0" w:color="auto"/>
                    <w:left w:val="none" w:sz="0" w:space="0" w:color="auto"/>
                    <w:bottom w:val="none" w:sz="0" w:space="0" w:color="auto"/>
                    <w:right w:val="none" w:sz="0" w:space="0" w:color="auto"/>
                  </w:divBdr>
                </w:div>
              </w:divsChild>
            </w:div>
            <w:div w:id="1504661725">
              <w:marLeft w:val="0"/>
              <w:marRight w:val="0"/>
              <w:marTop w:val="0"/>
              <w:marBottom w:val="0"/>
              <w:divBdr>
                <w:top w:val="none" w:sz="0" w:space="0" w:color="auto"/>
                <w:left w:val="none" w:sz="0" w:space="0" w:color="auto"/>
                <w:bottom w:val="none" w:sz="0" w:space="0" w:color="auto"/>
                <w:right w:val="none" w:sz="0" w:space="0" w:color="auto"/>
              </w:divBdr>
              <w:divsChild>
                <w:div w:id="445084135">
                  <w:marLeft w:val="0"/>
                  <w:marRight w:val="0"/>
                  <w:marTop w:val="0"/>
                  <w:marBottom w:val="0"/>
                  <w:divBdr>
                    <w:top w:val="none" w:sz="0" w:space="0" w:color="auto"/>
                    <w:left w:val="none" w:sz="0" w:space="0" w:color="auto"/>
                    <w:bottom w:val="none" w:sz="0" w:space="0" w:color="auto"/>
                    <w:right w:val="none" w:sz="0" w:space="0" w:color="auto"/>
                  </w:divBdr>
                </w:div>
              </w:divsChild>
            </w:div>
            <w:div w:id="1534608091">
              <w:marLeft w:val="0"/>
              <w:marRight w:val="0"/>
              <w:marTop w:val="0"/>
              <w:marBottom w:val="0"/>
              <w:divBdr>
                <w:top w:val="none" w:sz="0" w:space="0" w:color="auto"/>
                <w:left w:val="none" w:sz="0" w:space="0" w:color="auto"/>
                <w:bottom w:val="none" w:sz="0" w:space="0" w:color="auto"/>
                <w:right w:val="none" w:sz="0" w:space="0" w:color="auto"/>
              </w:divBdr>
              <w:divsChild>
                <w:div w:id="1551726419">
                  <w:marLeft w:val="0"/>
                  <w:marRight w:val="0"/>
                  <w:marTop w:val="0"/>
                  <w:marBottom w:val="0"/>
                  <w:divBdr>
                    <w:top w:val="none" w:sz="0" w:space="0" w:color="auto"/>
                    <w:left w:val="none" w:sz="0" w:space="0" w:color="auto"/>
                    <w:bottom w:val="none" w:sz="0" w:space="0" w:color="auto"/>
                    <w:right w:val="none" w:sz="0" w:space="0" w:color="auto"/>
                  </w:divBdr>
                </w:div>
              </w:divsChild>
            </w:div>
            <w:div w:id="1642541493">
              <w:marLeft w:val="0"/>
              <w:marRight w:val="0"/>
              <w:marTop w:val="0"/>
              <w:marBottom w:val="0"/>
              <w:divBdr>
                <w:top w:val="none" w:sz="0" w:space="0" w:color="auto"/>
                <w:left w:val="none" w:sz="0" w:space="0" w:color="auto"/>
                <w:bottom w:val="none" w:sz="0" w:space="0" w:color="auto"/>
                <w:right w:val="none" w:sz="0" w:space="0" w:color="auto"/>
              </w:divBdr>
              <w:divsChild>
                <w:div w:id="1467771340">
                  <w:marLeft w:val="0"/>
                  <w:marRight w:val="0"/>
                  <w:marTop w:val="0"/>
                  <w:marBottom w:val="0"/>
                  <w:divBdr>
                    <w:top w:val="none" w:sz="0" w:space="0" w:color="auto"/>
                    <w:left w:val="none" w:sz="0" w:space="0" w:color="auto"/>
                    <w:bottom w:val="none" w:sz="0" w:space="0" w:color="auto"/>
                    <w:right w:val="none" w:sz="0" w:space="0" w:color="auto"/>
                  </w:divBdr>
                </w:div>
              </w:divsChild>
            </w:div>
            <w:div w:id="818838438">
              <w:marLeft w:val="0"/>
              <w:marRight w:val="0"/>
              <w:marTop w:val="0"/>
              <w:marBottom w:val="0"/>
              <w:divBdr>
                <w:top w:val="none" w:sz="0" w:space="0" w:color="auto"/>
                <w:left w:val="none" w:sz="0" w:space="0" w:color="auto"/>
                <w:bottom w:val="none" w:sz="0" w:space="0" w:color="auto"/>
                <w:right w:val="none" w:sz="0" w:space="0" w:color="auto"/>
              </w:divBdr>
              <w:divsChild>
                <w:div w:id="156044420">
                  <w:marLeft w:val="0"/>
                  <w:marRight w:val="0"/>
                  <w:marTop w:val="0"/>
                  <w:marBottom w:val="0"/>
                  <w:divBdr>
                    <w:top w:val="none" w:sz="0" w:space="0" w:color="auto"/>
                    <w:left w:val="none" w:sz="0" w:space="0" w:color="auto"/>
                    <w:bottom w:val="none" w:sz="0" w:space="0" w:color="auto"/>
                    <w:right w:val="none" w:sz="0" w:space="0" w:color="auto"/>
                  </w:divBdr>
                </w:div>
              </w:divsChild>
            </w:div>
            <w:div w:id="1874808179">
              <w:marLeft w:val="0"/>
              <w:marRight w:val="0"/>
              <w:marTop w:val="0"/>
              <w:marBottom w:val="0"/>
              <w:divBdr>
                <w:top w:val="none" w:sz="0" w:space="0" w:color="auto"/>
                <w:left w:val="none" w:sz="0" w:space="0" w:color="auto"/>
                <w:bottom w:val="none" w:sz="0" w:space="0" w:color="auto"/>
                <w:right w:val="none" w:sz="0" w:space="0" w:color="auto"/>
              </w:divBdr>
              <w:divsChild>
                <w:div w:id="827552512">
                  <w:marLeft w:val="0"/>
                  <w:marRight w:val="0"/>
                  <w:marTop w:val="0"/>
                  <w:marBottom w:val="0"/>
                  <w:divBdr>
                    <w:top w:val="none" w:sz="0" w:space="0" w:color="auto"/>
                    <w:left w:val="none" w:sz="0" w:space="0" w:color="auto"/>
                    <w:bottom w:val="none" w:sz="0" w:space="0" w:color="auto"/>
                    <w:right w:val="none" w:sz="0" w:space="0" w:color="auto"/>
                  </w:divBdr>
                </w:div>
              </w:divsChild>
            </w:div>
            <w:div w:id="1105808507">
              <w:marLeft w:val="0"/>
              <w:marRight w:val="0"/>
              <w:marTop w:val="0"/>
              <w:marBottom w:val="0"/>
              <w:divBdr>
                <w:top w:val="none" w:sz="0" w:space="0" w:color="auto"/>
                <w:left w:val="none" w:sz="0" w:space="0" w:color="auto"/>
                <w:bottom w:val="none" w:sz="0" w:space="0" w:color="auto"/>
                <w:right w:val="none" w:sz="0" w:space="0" w:color="auto"/>
              </w:divBdr>
              <w:divsChild>
                <w:div w:id="1351449120">
                  <w:marLeft w:val="0"/>
                  <w:marRight w:val="0"/>
                  <w:marTop w:val="0"/>
                  <w:marBottom w:val="0"/>
                  <w:divBdr>
                    <w:top w:val="none" w:sz="0" w:space="0" w:color="auto"/>
                    <w:left w:val="none" w:sz="0" w:space="0" w:color="auto"/>
                    <w:bottom w:val="none" w:sz="0" w:space="0" w:color="auto"/>
                    <w:right w:val="none" w:sz="0" w:space="0" w:color="auto"/>
                  </w:divBdr>
                </w:div>
              </w:divsChild>
            </w:div>
            <w:div w:id="1520048154">
              <w:marLeft w:val="0"/>
              <w:marRight w:val="0"/>
              <w:marTop w:val="0"/>
              <w:marBottom w:val="0"/>
              <w:divBdr>
                <w:top w:val="none" w:sz="0" w:space="0" w:color="auto"/>
                <w:left w:val="none" w:sz="0" w:space="0" w:color="auto"/>
                <w:bottom w:val="none" w:sz="0" w:space="0" w:color="auto"/>
                <w:right w:val="none" w:sz="0" w:space="0" w:color="auto"/>
              </w:divBdr>
              <w:divsChild>
                <w:div w:id="781262505">
                  <w:marLeft w:val="0"/>
                  <w:marRight w:val="0"/>
                  <w:marTop w:val="0"/>
                  <w:marBottom w:val="0"/>
                  <w:divBdr>
                    <w:top w:val="none" w:sz="0" w:space="0" w:color="auto"/>
                    <w:left w:val="none" w:sz="0" w:space="0" w:color="auto"/>
                    <w:bottom w:val="none" w:sz="0" w:space="0" w:color="auto"/>
                    <w:right w:val="none" w:sz="0" w:space="0" w:color="auto"/>
                  </w:divBdr>
                </w:div>
              </w:divsChild>
            </w:div>
            <w:div w:id="572085841">
              <w:marLeft w:val="0"/>
              <w:marRight w:val="0"/>
              <w:marTop w:val="0"/>
              <w:marBottom w:val="0"/>
              <w:divBdr>
                <w:top w:val="none" w:sz="0" w:space="0" w:color="auto"/>
                <w:left w:val="none" w:sz="0" w:space="0" w:color="auto"/>
                <w:bottom w:val="none" w:sz="0" w:space="0" w:color="auto"/>
                <w:right w:val="none" w:sz="0" w:space="0" w:color="auto"/>
              </w:divBdr>
              <w:divsChild>
                <w:div w:id="684014093">
                  <w:marLeft w:val="0"/>
                  <w:marRight w:val="0"/>
                  <w:marTop w:val="0"/>
                  <w:marBottom w:val="0"/>
                  <w:divBdr>
                    <w:top w:val="none" w:sz="0" w:space="0" w:color="auto"/>
                    <w:left w:val="none" w:sz="0" w:space="0" w:color="auto"/>
                    <w:bottom w:val="none" w:sz="0" w:space="0" w:color="auto"/>
                    <w:right w:val="none" w:sz="0" w:space="0" w:color="auto"/>
                  </w:divBdr>
                </w:div>
              </w:divsChild>
            </w:div>
            <w:div w:id="964890657">
              <w:marLeft w:val="0"/>
              <w:marRight w:val="0"/>
              <w:marTop w:val="0"/>
              <w:marBottom w:val="0"/>
              <w:divBdr>
                <w:top w:val="none" w:sz="0" w:space="0" w:color="auto"/>
                <w:left w:val="none" w:sz="0" w:space="0" w:color="auto"/>
                <w:bottom w:val="none" w:sz="0" w:space="0" w:color="auto"/>
                <w:right w:val="none" w:sz="0" w:space="0" w:color="auto"/>
              </w:divBdr>
              <w:divsChild>
                <w:div w:id="90662417">
                  <w:marLeft w:val="0"/>
                  <w:marRight w:val="0"/>
                  <w:marTop w:val="0"/>
                  <w:marBottom w:val="0"/>
                  <w:divBdr>
                    <w:top w:val="none" w:sz="0" w:space="0" w:color="auto"/>
                    <w:left w:val="none" w:sz="0" w:space="0" w:color="auto"/>
                    <w:bottom w:val="none" w:sz="0" w:space="0" w:color="auto"/>
                    <w:right w:val="none" w:sz="0" w:space="0" w:color="auto"/>
                  </w:divBdr>
                </w:div>
              </w:divsChild>
            </w:div>
            <w:div w:id="755400038">
              <w:marLeft w:val="0"/>
              <w:marRight w:val="0"/>
              <w:marTop w:val="0"/>
              <w:marBottom w:val="0"/>
              <w:divBdr>
                <w:top w:val="none" w:sz="0" w:space="0" w:color="auto"/>
                <w:left w:val="none" w:sz="0" w:space="0" w:color="auto"/>
                <w:bottom w:val="none" w:sz="0" w:space="0" w:color="auto"/>
                <w:right w:val="none" w:sz="0" w:space="0" w:color="auto"/>
              </w:divBdr>
              <w:divsChild>
                <w:div w:id="1206524504">
                  <w:marLeft w:val="0"/>
                  <w:marRight w:val="0"/>
                  <w:marTop w:val="0"/>
                  <w:marBottom w:val="0"/>
                  <w:divBdr>
                    <w:top w:val="none" w:sz="0" w:space="0" w:color="auto"/>
                    <w:left w:val="none" w:sz="0" w:space="0" w:color="auto"/>
                    <w:bottom w:val="none" w:sz="0" w:space="0" w:color="auto"/>
                    <w:right w:val="none" w:sz="0" w:space="0" w:color="auto"/>
                  </w:divBdr>
                </w:div>
              </w:divsChild>
            </w:div>
            <w:div w:id="696543883">
              <w:marLeft w:val="0"/>
              <w:marRight w:val="0"/>
              <w:marTop w:val="0"/>
              <w:marBottom w:val="0"/>
              <w:divBdr>
                <w:top w:val="none" w:sz="0" w:space="0" w:color="auto"/>
                <w:left w:val="none" w:sz="0" w:space="0" w:color="auto"/>
                <w:bottom w:val="none" w:sz="0" w:space="0" w:color="auto"/>
                <w:right w:val="none" w:sz="0" w:space="0" w:color="auto"/>
              </w:divBdr>
              <w:divsChild>
                <w:div w:id="1362054741">
                  <w:marLeft w:val="0"/>
                  <w:marRight w:val="0"/>
                  <w:marTop w:val="0"/>
                  <w:marBottom w:val="0"/>
                  <w:divBdr>
                    <w:top w:val="none" w:sz="0" w:space="0" w:color="auto"/>
                    <w:left w:val="none" w:sz="0" w:space="0" w:color="auto"/>
                    <w:bottom w:val="none" w:sz="0" w:space="0" w:color="auto"/>
                    <w:right w:val="none" w:sz="0" w:space="0" w:color="auto"/>
                  </w:divBdr>
                </w:div>
              </w:divsChild>
            </w:div>
            <w:div w:id="1428041578">
              <w:marLeft w:val="0"/>
              <w:marRight w:val="0"/>
              <w:marTop w:val="0"/>
              <w:marBottom w:val="0"/>
              <w:divBdr>
                <w:top w:val="none" w:sz="0" w:space="0" w:color="auto"/>
                <w:left w:val="none" w:sz="0" w:space="0" w:color="auto"/>
                <w:bottom w:val="none" w:sz="0" w:space="0" w:color="auto"/>
                <w:right w:val="none" w:sz="0" w:space="0" w:color="auto"/>
              </w:divBdr>
              <w:divsChild>
                <w:div w:id="110975982">
                  <w:marLeft w:val="0"/>
                  <w:marRight w:val="0"/>
                  <w:marTop w:val="0"/>
                  <w:marBottom w:val="0"/>
                  <w:divBdr>
                    <w:top w:val="none" w:sz="0" w:space="0" w:color="auto"/>
                    <w:left w:val="none" w:sz="0" w:space="0" w:color="auto"/>
                    <w:bottom w:val="none" w:sz="0" w:space="0" w:color="auto"/>
                    <w:right w:val="none" w:sz="0" w:space="0" w:color="auto"/>
                  </w:divBdr>
                </w:div>
              </w:divsChild>
            </w:div>
            <w:div w:id="1348869630">
              <w:marLeft w:val="0"/>
              <w:marRight w:val="0"/>
              <w:marTop w:val="0"/>
              <w:marBottom w:val="0"/>
              <w:divBdr>
                <w:top w:val="none" w:sz="0" w:space="0" w:color="auto"/>
                <w:left w:val="none" w:sz="0" w:space="0" w:color="auto"/>
                <w:bottom w:val="none" w:sz="0" w:space="0" w:color="auto"/>
                <w:right w:val="none" w:sz="0" w:space="0" w:color="auto"/>
              </w:divBdr>
              <w:divsChild>
                <w:div w:id="501821939">
                  <w:marLeft w:val="0"/>
                  <w:marRight w:val="0"/>
                  <w:marTop w:val="0"/>
                  <w:marBottom w:val="0"/>
                  <w:divBdr>
                    <w:top w:val="none" w:sz="0" w:space="0" w:color="auto"/>
                    <w:left w:val="none" w:sz="0" w:space="0" w:color="auto"/>
                    <w:bottom w:val="none" w:sz="0" w:space="0" w:color="auto"/>
                    <w:right w:val="none" w:sz="0" w:space="0" w:color="auto"/>
                  </w:divBdr>
                </w:div>
              </w:divsChild>
            </w:div>
            <w:div w:id="227231614">
              <w:marLeft w:val="0"/>
              <w:marRight w:val="0"/>
              <w:marTop w:val="0"/>
              <w:marBottom w:val="0"/>
              <w:divBdr>
                <w:top w:val="none" w:sz="0" w:space="0" w:color="auto"/>
                <w:left w:val="none" w:sz="0" w:space="0" w:color="auto"/>
                <w:bottom w:val="none" w:sz="0" w:space="0" w:color="auto"/>
                <w:right w:val="none" w:sz="0" w:space="0" w:color="auto"/>
              </w:divBdr>
              <w:divsChild>
                <w:div w:id="552889779">
                  <w:marLeft w:val="0"/>
                  <w:marRight w:val="0"/>
                  <w:marTop w:val="0"/>
                  <w:marBottom w:val="0"/>
                  <w:divBdr>
                    <w:top w:val="none" w:sz="0" w:space="0" w:color="auto"/>
                    <w:left w:val="none" w:sz="0" w:space="0" w:color="auto"/>
                    <w:bottom w:val="none" w:sz="0" w:space="0" w:color="auto"/>
                    <w:right w:val="none" w:sz="0" w:space="0" w:color="auto"/>
                  </w:divBdr>
                </w:div>
              </w:divsChild>
            </w:div>
            <w:div w:id="1927416457">
              <w:marLeft w:val="0"/>
              <w:marRight w:val="0"/>
              <w:marTop w:val="0"/>
              <w:marBottom w:val="0"/>
              <w:divBdr>
                <w:top w:val="none" w:sz="0" w:space="0" w:color="auto"/>
                <w:left w:val="none" w:sz="0" w:space="0" w:color="auto"/>
                <w:bottom w:val="none" w:sz="0" w:space="0" w:color="auto"/>
                <w:right w:val="none" w:sz="0" w:space="0" w:color="auto"/>
              </w:divBdr>
              <w:divsChild>
                <w:div w:id="1413430963">
                  <w:marLeft w:val="0"/>
                  <w:marRight w:val="0"/>
                  <w:marTop w:val="0"/>
                  <w:marBottom w:val="0"/>
                  <w:divBdr>
                    <w:top w:val="none" w:sz="0" w:space="0" w:color="auto"/>
                    <w:left w:val="none" w:sz="0" w:space="0" w:color="auto"/>
                    <w:bottom w:val="none" w:sz="0" w:space="0" w:color="auto"/>
                    <w:right w:val="none" w:sz="0" w:space="0" w:color="auto"/>
                  </w:divBdr>
                </w:div>
              </w:divsChild>
            </w:div>
            <w:div w:id="1391265022">
              <w:marLeft w:val="0"/>
              <w:marRight w:val="0"/>
              <w:marTop w:val="0"/>
              <w:marBottom w:val="0"/>
              <w:divBdr>
                <w:top w:val="none" w:sz="0" w:space="0" w:color="auto"/>
                <w:left w:val="none" w:sz="0" w:space="0" w:color="auto"/>
                <w:bottom w:val="none" w:sz="0" w:space="0" w:color="auto"/>
                <w:right w:val="none" w:sz="0" w:space="0" w:color="auto"/>
              </w:divBdr>
              <w:divsChild>
                <w:div w:id="1071275290">
                  <w:marLeft w:val="0"/>
                  <w:marRight w:val="0"/>
                  <w:marTop w:val="0"/>
                  <w:marBottom w:val="0"/>
                  <w:divBdr>
                    <w:top w:val="none" w:sz="0" w:space="0" w:color="auto"/>
                    <w:left w:val="none" w:sz="0" w:space="0" w:color="auto"/>
                    <w:bottom w:val="none" w:sz="0" w:space="0" w:color="auto"/>
                    <w:right w:val="none" w:sz="0" w:space="0" w:color="auto"/>
                  </w:divBdr>
                </w:div>
              </w:divsChild>
            </w:div>
            <w:div w:id="2123307843">
              <w:marLeft w:val="0"/>
              <w:marRight w:val="0"/>
              <w:marTop w:val="0"/>
              <w:marBottom w:val="0"/>
              <w:divBdr>
                <w:top w:val="none" w:sz="0" w:space="0" w:color="auto"/>
                <w:left w:val="none" w:sz="0" w:space="0" w:color="auto"/>
                <w:bottom w:val="none" w:sz="0" w:space="0" w:color="auto"/>
                <w:right w:val="none" w:sz="0" w:space="0" w:color="auto"/>
              </w:divBdr>
              <w:divsChild>
                <w:div w:id="2066442871">
                  <w:marLeft w:val="0"/>
                  <w:marRight w:val="0"/>
                  <w:marTop w:val="0"/>
                  <w:marBottom w:val="0"/>
                  <w:divBdr>
                    <w:top w:val="none" w:sz="0" w:space="0" w:color="auto"/>
                    <w:left w:val="none" w:sz="0" w:space="0" w:color="auto"/>
                    <w:bottom w:val="none" w:sz="0" w:space="0" w:color="auto"/>
                    <w:right w:val="none" w:sz="0" w:space="0" w:color="auto"/>
                  </w:divBdr>
                </w:div>
              </w:divsChild>
            </w:div>
            <w:div w:id="1228955204">
              <w:marLeft w:val="0"/>
              <w:marRight w:val="0"/>
              <w:marTop w:val="0"/>
              <w:marBottom w:val="0"/>
              <w:divBdr>
                <w:top w:val="none" w:sz="0" w:space="0" w:color="auto"/>
                <w:left w:val="none" w:sz="0" w:space="0" w:color="auto"/>
                <w:bottom w:val="none" w:sz="0" w:space="0" w:color="auto"/>
                <w:right w:val="none" w:sz="0" w:space="0" w:color="auto"/>
              </w:divBdr>
              <w:divsChild>
                <w:div w:id="1874460951">
                  <w:marLeft w:val="0"/>
                  <w:marRight w:val="0"/>
                  <w:marTop w:val="0"/>
                  <w:marBottom w:val="0"/>
                  <w:divBdr>
                    <w:top w:val="none" w:sz="0" w:space="0" w:color="auto"/>
                    <w:left w:val="none" w:sz="0" w:space="0" w:color="auto"/>
                    <w:bottom w:val="none" w:sz="0" w:space="0" w:color="auto"/>
                    <w:right w:val="none" w:sz="0" w:space="0" w:color="auto"/>
                  </w:divBdr>
                </w:div>
              </w:divsChild>
            </w:div>
            <w:div w:id="1268730264">
              <w:marLeft w:val="0"/>
              <w:marRight w:val="0"/>
              <w:marTop w:val="0"/>
              <w:marBottom w:val="0"/>
              <w:divBdr>
                <w:top w:val="none" w:sz="0" w:space="0" w:color="auto"/>
                <w:left w:val="none" w:sz="0" w:space="0" w:color="auto"/>
                <w:bottom w:val="none" w:sz="0" w:space="0" w:color="auto"/>
                <w:right w:val="none" w:sz="0" w:space="0" w:color="auto"/>
              </w:divBdr>
              <w:divsChild>
                <w:div w:id="152263842">
                  <w:marLeft w:val="0"/>
                  <w:marRight w:val="0"/>
                  <w:marTop w:val="0"/>
                  <w:marBottom w:val="0"/>
                  <w:divBdr>
                    <w:top w:val="none" w:sz="0" w:space="0" w:color="auto"/>
                    <w:left w:val="none" w:sz="0" w:space="0" w:color="auto"/>
                    <w:bottom w:val="none" w:sz="0" w:space="0" w:color="auto"/>
                    <w:right w:val="none" w:sz="0" w:space="0" w:color="auto"/>
                  </w:divBdr>
                </w:div>
              </w:divsChild>
            </w:div>
            <w:div w:id="36466127">
              <w:marLeft w:val="0"/>
              <w:marRight w:val="0"/>
              <w:marTop w:val="0"/>
              <w:marBottom w:val="0"/>
              <w:divBdr>
                <w:top w:val="none" w:sz="0" w:space="0" w:color="auto"/>
                <w:left w:val="none" w:sz="0" w:space="0" w:color="auto"/>
                <w:bottom w:val="none" w:sz="0" w:space="0" w:color="auto"/>
                <w:right w:val="none" w:sz="0" w:space="0" w:color="auto"/>
              </w:divBdr>
              <w:divsChild>
                <w:div w:id="1873641361">
                  <w:marLeft w:val="0"/>
                  <w:marRight w:val="0"/>
                  <w:marTop w:val="0"/>
                  <w:marBottom w:val="0"/>
                  <w:divBdr>
                    <w:top w:val="none" w:sz="0" w:space="0" w:color="auto"/>
                    <w:left w:val="none" w:sz="0" w:space="0" w:color="auto"/>
                    <w:bottom w:val="none" w:sz="0" w:space="0" w:color="auto"/>
                    <w:right w:val="none" w:sz="0" w:space="0" w:color="auto"/>
                  </w:divBdr>
                </w:div>
              </w:divsChild>
            </w:div>
            <w:div w:id="1098525826">
              <w:marLeft w:val="0"/>
              <w:marRight w:val="0"/>
              <w:marTop w:val="0"/>
              <w:marBottom w:val="0"/>
              <w:divBdr>
                <w:top w:val="none" w:sz="0" w:space="0" w:color="auto"/>
                <w:left w:val="none" w:sz="0" w:space="0" w:color="auto"/>
                <w:bottom w:val="none" w:sz="0" w:space="0" w:color="auto"/>
                <w:right w:val="none" w:sz="0" w:space="0" w:color="auto"/>
              </w:divBdr>
              <w:divsChild>
                <w:div w:id="1199661131">
                  <w:marLeft w:val="0"/>
                  <w:marRight w:val="0"/>
                  <w:marTop w:val="0"/>
                  <w:marBottom w:val="0"/>
                  <w:divBdr>
                    <w:top w:val="none" w:sz="0" w:space="0" w:color="auto"/>
                    <w:left w:val="none" w:sz="0" w:space="0" w:color="auto"/>
                    <w:bottom w:val="none" w:sz="0" w:space="0" w:color="auto"/>
                    <w:right w:val="none" w:sz="0" w:space="0" w:color="auto"/>
                  </w:divBdr>
                </w:div>
              </w:divsChild>
            </w:div>
            <w:div w:id="1983657027">
              <w:marLeft w:val="0"/>
              <w:marRight w:val="0"/>
              <w:marTop w:val="0"/>
              <w:marBottom w:val="0"/>
              <w:divBdr>
                <w:top w:val="none" w:sz="0" w:space="0" w:color="auto"/>
                <w:left w:val="none" w:sz="0" w:space="0" w:color="auto"/>
                <w:bottom w:val="none" w:sz="0" w:space="0" w:color="auto"/>
                <w:right w:val="none" w:sz="0" w:space="0" w:color="auto"/>
              </w:divBdr>
              <w:divsChild>
                <w:div w:id="411589922">
                  <w:marLeft w:val="0"/>
                  <w:marRight w:val="0"/>
                  <w:marTop w:val="0"/>
                  <w:marBottom w:val="0"/>
                  <w:divBdr>
                    <w:top w:val="none" w:sz="0" w:space="0" w:color="auto"/>
                    <w:left w:val="none" w:sz="0" w:space="0" w:color="auto"/>
                    <w:bottom w:val="none" w:sz="0" w:space="0" w:color="auto"/>
                    <w:right w:val="none" w:sz="0" w:space="0" w:color="auto"/>
                  </w:divBdr>
                </w:div>
              </w:divsChild>
            </w:div>
            <w:div w:id="114183249">
              <w:marLeft w:val="0"/>
              <w:marRight w:val="0"/>
              <w:marTop w:val="0"/>
              <w:marBottom w:val="0"/>
              <w:divBdr>
                <w:top w:val="none" w:sz="0" w:space="0" w:color="auto"/>
                <w:left w:val="none" w:sz="0" w:space="0" w:color="auto"/>
                <w:bottom w:val="none" w:sz="0" w:space="0" w:color="auto"/>
                <w:right w:val="none" w:sz="0" w:space="0" w:color="auto"/>
              </w:divBdr>
              <w:divsChild>
                <w:div w:id="364402421">
                  <w:marLeft w:val="0"/>
                  <w:marRight w:val="0"/>
                  <w:marTop w:val="0"/>
                  <w:marBottom w:val="0"/>
                  <w:divBdr>
                    <w:top w:val="none" w:sz="0" w:space="0" w:color="auto"/>
                    <w:left w:val="none" w:sz="0" w:space="0" w:color="auto"/>
                    <w:bottom w:val="none" w:sz="0" w:space="0" w:color="auto"/>
                    <w:right w:val="none" w:sz="0" w:space="0" w:color="auto"/>
                  </w:divBdr>
                </w:div>
              </w:divsChild>
            </w:div>
            <w:div w:id="1726249622">
              <w:marLeft w:val="0"/>
              <w:marRight w:val="0"/>
              <w:marTop w:val="0"/>
              <w:marBottom w:val="0"/>
              <w:divBdr>
                <w:top w:val="none" w:sz="0" w:space="0" w:color="auto"/>
                <w:left w:val="none" w:sz="0" w:space="0" w:color="auto"/>
                <w:bottom w:val="none" w:sz="0" w:space="0" w:color="auto"/>
                <w:right w:val="none" w:sz="0" w:space="0" w:color="auto"/>
              </w:divBdr>
              <w:divsChild>
                <w:div w:id="1280331931">
                  <w:marLeft w:val="0"/>
                  <w:marRight w:val="0"/>
                  <w:marTop w:val="0"/>
                  <w:marBottom w:val="0"/>
                  <w:divBdr>
                    <w:top w:val="none" w:sz="0" w:space="0" w:color="auto"/>
                    <w:left w:val="none" w:sz="0" w:space="0" w:color="auto"/>
                    <w:bottom w:val="none" w:sz="0" w:space="0" w:color="auto"/>
                    <w:right w:val="none" w:sz="0" w:space="0" w:color="auto"/>
                  </w:divBdr>
                </w:div>
              </w:divsChild>
            </w:div>
            <w:div w:id="363675364">
              <w:marLeft w:val="0"/>
              <w:marRight w:val="0"/>
              <w:marTop w:val="0"/>
              <w:marBottom w:val="0"/>
              <w:divBdr>
                <w:top w:val="none" w:sz="0" w:space="0" w:color="auto"/>
                <w:left w:val="none" w:sz="0" w:space="0" w:color="auto"/>
                <w:bottom w:val="none" w:sz="0" w:space="0" w:color="auto"/>
                <w:right w:val="none" w:sz="0" w:space="0" w:color="auto"/>
              </w:divBdr>
              <w:divsChild>
                <w:div w:id="1918057663">
                  <w:marLeft w:val="0"/>
                  <w:marRight w:val="0"/>
                  <w:marTop w:val="0"/>
                  <w:marBottom w:val="0"/>
                  <w:divBdr>
                    <w:top w:val="none" w:sz="0" w:space="0" w:color="auto"/>
                    <w:left w:val="none" w:sz="0" w:space="0" w:color="auto"/>
                    <w:bottom w:val="none" w:sz="0" w:space="0" w:color="auto"/>
                    <w:right w:val="none" w:sz="0" w:space="0" w:color="auto"/>
                  </w:divBdr>
                </w:div>
              </w:divsChild>
            </w:div>
            <w:div w:id="1441993908">
              <w:marLeft w:val="0"/>
              <w:marRight w:val="0"/>
              <w:marTop w:val="0"/>
              <w:marBottom w:val="0"/>
              <w:divBdr>
                <w:top w:val="none" w:sz="0" w:space="0" w:color="auto"/>
                <w:left w:val="none" w:sz="0" w:space="0" w:color="auto"/>
                <w:bottom w:val="none" w:sz="0" w:space="0" w:color="auto"/>
                <w:right w:val="none" w:sz="0" w:space="0" w:color="auto"/>
              </w:divBdr>
              <w:divsChild>
                <w:div w:id="1443959381">
                  <w:marLeft w:val="0"/>
                  <w:marRight w:val="0"/>
                  <w:marTop w:val="0"/>
                  <w:marBottom w:val="0"/>
                  <w:divBdr>
                    <w:top w:val="none" w:sz="0" w:space="0" w:color="auto"/>
                    <w:left w:val="none" w:sz="0" w:space="0" w:color="auto"/>
                    <w:bottom w:val="none" w:sz="0" w:space="0" w:color="auto"/>
                    <w:right w:val="none" w:sz="0" w:space="0" w:color="auto"/>
                  </w:divBdr>
                </w:div>
              </w:divsChild>
            </w:div>
            <w:div w:id="195392692">
              <w:marLeft w:val="0"/>
              <w:marRight w:val="0"/>
              <w:marTop w:val="0"/>
              <w:marBottom w:val="0"/>
              <w:divBdr>
                <w:top w:val="none" w:sz="0" w:space="0" w:color="auto"/>
                <w:left w:val="none" w:sz="0" w:space="0" w:color="auto"/>
                <w:bottom w:val="none" w:sz="0" w:space="0" w:color="auto"/>
                <w:right w:val="none" w:sz="0" w:space="0" w:color="auto"/>
              </w:divBdr>
              <w:divsChild>
                <w:div w:id="1100226396">
                  <w:marLeft w:val="0"/>
                  <w:marRight w:val="0"/>
                  <w:marTop w:val="0"/>
                  <w:marBottom w:val="0"/>
                  <w:divBdr>
                    <w:top w:val="none" w:sz="0" w:space="0" w:color="auto"/>
                    <w:left w:val="none" w:sz="0" w:space="0" w:color="auto"/>
                    <w:bottom w:val="none" w:sz="0" w:space="0" w:color="auto"/>
                    <w:right w:val="none" w:sz="0" w:space="0" w:color="auto"/>
                  </w:divBdr>
                </w:div>
              </w:divsChild>
            </w:div>
            <w:div w:id="2049530564">
              <w:marLeft w:val="0"/>
              <w:marRight w:val="0"/>
              <w:marTop w:val="0"/>
              <w:marBottom w:val="0"/>
              <w:divBdr>
                <w:top w:val="none" w:sz="0" w:space="0" w:color="auto"/>
                <w:left w:val="none" w:sz="0" w:space="0" w:color="auto"/>
                <w:bottom w:val="none" w:sz="0" w:space="0" w:color="auto"/>
                <w:right w:val="none" w:sz="0" w:space="0" w:color="auto"/>
              </w:divBdr>
              <w:divsChild>
                <w:div w:id="1514372361">
                  <w:marLeft w:val="0"/>
                  <w:marRight w:val="0"/>
                  <w:marTop w:val="0"/>
                  <w:marBottom w:val="0"/>
                  <w:divBdr>
                    <w:top w:val="none" w:sz="0" w:space="0" w:color="auto"/>
                    <w:left w:val="none" w:sz="0" w:space="0" w:color="auto"/>
                    <w:bottom w:val="none" w:sz="0" w:space="0" w:color="auto"/>
                    <w:right w:val="none" w:sz="0" w:space="0" w:color="auto"/>
                  </w:divBdr>
                </w:div>
              </w:divsChild>
            </w:div>
            <w:div w:id="558328464">
              <w:marLeft w:val="0"/>
              <w:marRight w:val="0"/>
              <w:marTop w:val="0"/>
              <w:marBottom w:val="0"/>
              <w:divBdr>
                <w:top w:val="none" w:sz="0" w:space="0" w:color="auto"/>
                <w:left w:val="none" w:sz="0" w:space="0" w:color="auto"/>
                <w:bottom w:val="none" w:sz="0" w:space="0" w:color="auto"/>
                <w:right w:val="none" w:sz="0" w:space="0" w:color="auto"/>
              </w:divBdr>
              <w:divsChild>
                <w:div w:id="703024267">
                  <w:marLeft w:val="0"/>
                  <w:marRight w:val="0"/>
                  <w:marTop w:val="0"/>
                  <w:marBottom w:val="0"/>
                  <w:divBdr>
                    <w:top w:val="none" w:sz="0" w:space="0" w:color="auto"/>
                    <w:left w:val="none" w:sz="0" w:space="0" w:color="auto"/>
                    <w:bottom w:val="none" w:sz="0" w:space="0" w:color="auto"/>
                    <w:right w:val="none" w:sz="0" w:space="0" w:color="auto"/>
                  </w:divBdr>
                </w:div>
              </w:divsChild>
            </w:div>
            <w:div w:id="868567009">
              <w:marLeft w:val="0"/>
              <w:marRight w:val="0"/>
              <w:marTop w:val="0"/>
              <w:marBottom w:val="0"/>
              <w:divBdr>
                <w:top w:val="none" w:sz="0" w:space="0" w:color="auto"/>
                <w:left w:val="none" w:sz="0" w:space="0" w:color="auto"/>
                <w:bottom w:val="none" w:sz="0" w:space="0" w:color="auto"/>
                <w:right w:val="none" w:sz="0" w:space="0" w:color="auto"/>
              </w:divBdr>
              <w:divsChild>
                <w:div w:id="11814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3813">
          <w:marLeft w:val="0"/>
          <w:marRight w:val="0"/>
          <w:marTop w:val="0"/>
          <w:marBottom w:val="600"/>
          <w:divBdr>
            <w:top w:val="none" w:sz="0" w:space="0" w:color="auto"/>
            <w:left w:val="none" w:sz="0" w:space="0" w:color="auto"/>
            <w:bottom w:val="none" w:sz="0" w:space="0" w:color="auto"/>
            <w:right w:val="none" w:sz="0" w:space="0" w:color="auto"/>
          </w:divBdr>
        </w:div>
      </w:divsChild>
    </w:div>
    <w:div w:id="1423647468">
      <w:marLeft w:val="0"/>
      <w:marRight w:val="0"/>
      <w:marTop w:val="0"/>
      <w:marBottom w:val="0"/>
      <w:divBdr>
        <w:top w:val="none" w:sz="0" w:space="0" w:color="auto"/>
        <w:left w:val="none" w:sz="0" w:space="0" w:color="auto"/>
        <w:bottom w:val="none" w:sz="0" w:space="0" w:color="auto"/>
        <w:right w:val="none" w:sz="0" w:space="0" w:color="auto"/>
      </w:divBdr>
      <w:divsChild>
        <w:div w:id="1272202705">
          <w:marLeft w:val="0"/>
          <w:marRight w:val="0"/>
          <w:marTop w:val="547"/>
          <w:marBottom w:val="0"/>
          <w:divBdr>
            <w:top w:val="none" w:sz="0" w:space="0" w:color="auto"/>
            <w:left w:val="none" w:sz="0" w:space="0" w:color="auto"/>
            <w:bottom w:val="none" w:sz="0" w:space="0" w:color="auto"/>
            <w:right w:val="none" w:sz="0" w:space="0" w:color="auto"/>
          </w:divBdr>
        </w:div>
        <w:div w:id="1849369808">
          <w:marLeft w:val="0"/>
          <w:marRight w:val="0"/>
          <w:marTop w:val="0"/>
          <w:marBottom w:val="0"/>
          <w:divBdr>
            <w:top w:val="none" w:sz="0" w:space="0" w:color="auto"/>
            <w:left w:val="none" w:sz="0" w:space="0" w:color="auto"/>
            <w:bottom w:val="none" w:sz="0" w:space="0" w:color="auto"/>
            <w:right w:val="none" w:sz="0" w:space="0" w:color="auto"/>
          </w:divBdr>
        </w:div>
        <w:div w:id="1285843721">
          <w:marLeft w:val="0"/>
          <w:marRight w:val="0"/>
          <w:marTop w:val="0"/>
          <w:marBottom w:val="600"/>
          <w:divBdr>
            <w:top w:val="none" w:sz="0" w:space="0" w:color="auto"/>
            <w:left w:val="none" w:sz="0" w:space="0" w:color="auto"/>
            <w:bottom w:val="none" w:sz="0" w:space="0" w:color="auto"/>
            <w:right w:val="none" w:sz="0" w:space="0" w:color="auto"/>
          </w:divBdr>
        </w:div>
      </w:divsChild>
    </w:div>
    <w:div w:id="1507819381">
      <w:marLeft w:val="0"/>
      <w:marRight w:val="0"/>
      <w:marTop w:val="0"/>
      <w:marBottom w:val="0"/>
      <w:divBdr>
        <w:top w:val="none" w:sz="0" w:space="0" w:color="auto"/>
        <w:left w:val="none" w:sz="0" w:space="0" w:color="auto"/>
        <w:bottom w:val="none" w:sz="0" w:space="0" w:color="auto"/>
        <w:right w:val="none" w:sz="0" w:space="0" w:color="auto"/>
      </w:divBdr>
      <w:divsChild>
        <w:div w:id="1022779409">
          <w:marLeft w:val="0"/>
          <w:marRight w:val="0"/>
          <w:marTop w:val="547"/>
          <w:marBottom w:val="0"/>
          <w:divBdr>
            <w:top w:val="none" w:sz="0" w:space="0" w:color="auto"/>
            <w:left w:val="none" w:sz="0" w:space="0" w:color="auto"/>
            <w:bottom w:val="none" w:sz="0" w:space="0" w:color="auto"/>
            <w:right w:val="none" w:sz="0" w:space="0" w:color="auto"/>
          </w:divBdr>
        </w:div>
        <w:div w:id="1490366466">
          <w:marLeft w:val="0"/>
          <w:marRight w:val="0"/>
          <w:marTop w:val="0"/>
          <w:marBottom w:val="0"/>
          <w:divBdr>
            <w:top w:val="none" w:sz="0" w:space="0" w:color="auto"/>
            <w:left w:val="none" w:sz="0" w:space="0" w:color="auto"/>
            <w:bottom w:val="none" w:sz="0" w:space="0" w:color="auto"/>
            <w:right w:val="none" w:sz="0" w:space="0" w:color="auto"/>
          </w:divBdr>
        </w:div>
        <w:div w:id="1371295315">
          <w:marLeft w:val="0"/>
          <w:marRight w:val="0"/>
          <w:marTop w:val="0"/>
          <w:marBottom w:val="600"/>
          <w:divBdr>
            <w:top w:val="none" w:sz="0" w:space="0" w:color="auto"/>
            <w:left w:val="none" w:sz="0" w:space="0" w:color="auto"/>
            <w:bottom w:val="none" w:sz="0" w:space="0" w:color="auto"/>
            <w:right w:val="none" w:sz="0" w:space="0" w:color="auto"/>
          </w:divBdr>
        </w:div>
      </w:divsChild>
    </w:div>
    <w:div w:id="1523661651">
      <w:marLeft w:val="0"/>
      <w:marRight w:val="0"/>
      <w:marTop w:val="0"/>
      <w:marBottom w:val="0"/>
      <w:divBdr>
        <w:top w:val="none" w:sz="0" w:space="0" w:color="auto"/>
        <w:left w:val="none" w:sz="0" w:space="0" w:color="auto"/>
        <w:bottom w:val="none" w:sz="0" w:space="0" w:color="auto"/>
        <w:right w:val="none" w:sz="0" w:space="0" w:color="auto"/>
      </w:divBdr>
      <w:divsChild>
        <w:div w:id="1493377472">
          <w:marLeft w:val="0"/>
          <w:marRight w:val="0"/>
          <w:marTop w:val="547"/>
          <w:marBottom w:val="0"/>
          <w:divBdr>
            <w:top w:val="none" w:sz="0" w:space="0" w:color="auto"/>
            <w:left w:val="none" w:sz="0" w:space="0" w:color="auto"/>
            <w:bottom w:val="none" w:sz="0" w:space="0" w:color="auto"/>
            <w:right w:val="none" w:sz="0" w:space="0" w:color="auto"/>
          </w:divBdr>
        </w:div>
        <w:div w:id="1047339641">
          <w:marLeft w:val="0"/>
          <w:marRight w:val="0"/>
          <w:marTop w:val="0"/>
          <w:marBottom w:val="0"/>
          <w:divBdr>
            <w:top w:val="none" w:sz="0" w:space="0" w:color="auto"/>
            <w:left w:val="none" w:sz="0" w:space="0" w:color="auto"/>
            <w:bottom w:val="none" w:sz="0" w:space="0" w:color="auto"/>
            <w:right w:val="none" w:sz="0" w:space="0" w:color="auto"/>
          </w:divBdr>
          <w:divsChild>
            <w:div w:id="953946420">
              <w:marLeft w:val="0"/>
              <w:marRight w:val="0"/>
              <w:marTop w:val="0"/>
              <w:marBottom w:val="0"/>
              <w:divBdr>
                <w:top w:val="none" w:sz="0" w:space="0" w:color="auto"/>
                <w:left w:val="none" w:sz="0" w:space="0" w:color="auto"/>
                <w:bottom w:val="none" w:sz="0" w:space="0" w:color="auto"/>
                <w:right w:val="none" w:sz="0" w:space="0" w:color="auto"/>
              </w:divBdr>
              <w:divsChild>
                <w:div w:id="1499689833">
                  <w:marLeft w:val="0"/>
                  <w:marRight w:val="0"/>
                  <w:marTop w:val="0"/>
                  <w:marBottom w:val="0"/>
                  <w:divBdr>
                    <w:top w:val="none" w:sz="0" w:space="0" w:color="auto"/>
                    <w:left w:val="none" w:sz="0" w:space="0" w:color="auto"/>
                    <w:bottom w:val="none" w:sz="0" w:space="0" w:color="auto"/>
                    <w:right w:val="none" w:sz="0" w:space="0" w:color="auto"/>
                  </w:divBdr>
                </w:div>
              </w:divsChild>
            </w:div>
            <w:div w:id="1395158412">
              <w:marLeft w:val="0"/>
              <w:marRight w:val="0"/>
              <w:marTop w:val="0"/>
              <w:marBottom w:val="0"/>
              <w:divBdr>
                <w:top w:val="none" w:sz="0" w:space="0" w:color="auto"/>
                <w:left w:val="none" w:sz="0" w:space="0" w:color="auto"/>
                <w:bottom w:val="none" w:sz="0" w:space="0" w:color="auto"/>
                <w:right w:val="none" w:sz="0" w:space="0" w:color="auto"/>
              </w:divBdr>
              <w:divsChild>
                <w:div w:id="156311416">
                  <w:marLeft w:val="0"/>
                  <w:marRight w:val="0"/>
                  <w:marTop w:val="0"/>
                  <w:marBottom w:val="0"/>
                  <w:divBdr>
                    <w:top w:val="none" w:sz="0" w:space="0" w:color="auto"/>
                    <w:left w:val="none" w:sz="0" w:space="0" w:color="auto"/>
                    <w:bottom w:val="none" w:sz="0" w:space="0" w:color="auto"/>
                    <w:right w:val="none" w:sz="0" w:space="0" w:color="auto"/>
                  </w:divBdr>
                </w:div>
              </w:divsChild>
            </w:div>
            <w:div w:id="1617640983">
              <w:marLeft w:val="0"/>
              <w:marRight w:val="0"/>
              <w:marTop w:val="0"/>
              <w:marBottom w:val="0"/>
              <w:divBdr>
                <w:top w:val="none" w:sz="0" w:space="0" w:color="auto"/>
                <w:left w:val="none" w:sz="0" w:space="0" w:color="auto"/>
                <w:bottom w:val="none" w:sz="0" w:space="0" w:color="auto"/>
                <w:right w:val="none" w:sz="0" w:space="0" w:color="auto"/>
              </w:divBdr>
              <w:divsChild>
                <w:div w:id="1329552072">
                  <w:marLeft w:val="0"/>
                  <w:marRight w:val="0"/>
                  <w:marTop w:val="0"/>
                  <w:marBottom w:val="0"/>
                  <w:divBdr>
                    <w:top w:val="none" w:sz="0" w:space="0" w:color="auto"/>
                    <w:left w:val="none" w:sz="0" w:space="0" w:color="auto"/>
                    <w:bottom w:val="none" w:sz="0" w:space="0" w:color="auto"/>
                    <w:right w:val="none" w:sz="0" w:space="0" w:color="auto"/>
                  </w:divBdr>
                </w:div>
              </w:divsChild>
            </w:div>
            <w:div w:id="1270965768">
              <w:marLeft w:val="0"/>
              <w:marRight w:val="0"/>
              <w:marTop w:val="0"/>
              <w:marBottom w:val="0"/>
              <w:divBdr>
                <w:top w:val="none" w:sz="0" w:space="0" w:color="auto"/>
                <w:left w:val="none" w:sz="0" w:space="0" w:color="auto"/>
                <w:bottom w:val="none" w:sz="0" w:space="0" w:color="auto"/>
                <w:right w:val="none" w:sz="0" w:space="0" w:color="auto"/>
              </w:divBdr>
              <w:divsChild>
                <w:div w:id="496001773">
                  <w:marLeft w:val="0"/>
                  <w:marRight w:val="0"/>
                  <w:marTop w:val="0"/>
                  <w:marBottom w:val="0"/>
                  <w:divBdr>
                    <w:top w:val="none" w:sz="0" w:space="0" w:color="auto"/>
                    <w:left w:val="none" w:sz="0" w:space="0" w:color="auto"/>
                    <w:bottom w:val="none" w:sz="0" w:space="0" w:color="auto"/>
                    <w:right w:val="none" w:sz="0" w:space="0" w:color="auto"/>
                  </w:divBdr>
                </w:div>
              </w:divsChild>
            </w:div>
            <w:div w:id="1090156362">
              <w:marLeft w:val="0"/>
              <w:marRight w:val="0"/>
              <w:marTop w:val="0"/>
              <w:marBottom w:val="0"/>
              <w:divBdr>
                <w:top w:val="none" w:sz="0" w:space="0" w:color="auto"/>
                <w:left w:val="none" w:sz="0" w:space="0" w:color="auto"/>
                <w:bottom w:val="none" w:sz="0" w:space="0" w:color="auto"/>
                <w:right w:val="none" w:sz="0" w:space="0" w:color="auto"/>
              </w:divBdr>
              <w:divsChild>
                <w:div w:id="1792672426">
                  <w:marLeft w:val="0"/>
                  <w:marRight w:val="0"/>
                  <w:marTop w:val="0"/>
                  <w:marBottom w:val="0"/>
                  <w:divBdr>
                    <w:top w:val="none" w:sz="0" w:space="0" w:color="auto"/>
                    <w:left w:val="none" w:sz="0" w:space="0" w:color="auto"/>
                    <w:bottom w:val="none" w:sz="0" w:space="0" w:color="auto"/>
                    <w:right w:val="none" w:sz="0" w:space="0" w:color="auto"/>
                  </w:divBdr>
                </w:div>
              </w:divsChild>
            </w:div>
            <w:div w:id="837117095">
              <w:marLeft w:val="0"/>
              <w:marRight w:val="0"/>
              <w:marTop w:val="0"/>
              <w:marBottom w:val="0"/>
              <w:divBdr>
                <w:top w:val="none" w:sz="0" w:space="0" w:color="auto"/>
                <w:left w:val="none" w:sz="0" w:space="0" w:color="auto"/>
                <w:bottom w:val="none" w:sz="0" w:space="0" w:color="auto"/>
                <w:right w:val="none" w:sz="0" w:space="0" w:color="auto"/>
              </w:divBdr>
              <w:divsChild>
                <w:div w:id="1942640090">
                  <w:marLeft w:val="0"/>
                  <w:marRight w:val="0"/>
                  <w:marTop w:val="0"/>
                  <w:marBottom w:val="0"/>
                  <w:divBdr>
                    <w:top w:val="none" w:sz="0" w:space="0" w:color="auto"/>
                    <w:left w:val="none" w:sz="0" w:space="0" w:color="auto"/>
                    <w:bottom w:val="none" w:sz="0" w:space="0" w:color="auto"/>
                    <w:right w:val="none" w:sz="0" w:space="0" w:color="auto"/>
                  </w:divBdr>
                </w:div>
              </w:divsChild>
            </w:div>
            <w:div w:id="1068963409">
              <w:marLeft w:val="0"/>
              <w:marRight w:val="0"/>
              <w:marTop w:val="0"/>
              <w:marBottom w:val="0"/>
              <w:divBdr>
                <w:top w:val="none" w:sz="0" w:space="0" w:color="auto"/>
                <w:left w:val="none" w:sz="0" w:space="0" w:color="auto"/>
                <w:bottom w:val="none" w:sz="0" w:space="0" w:color="auto"/>
                <w:right w:val="none" w:sz="0" w:space="0" w:color="auto"/>
              </w:divBdr>
              <w:divsChild>
                <w:div w:id="2037077436">
                  <w:marLeft w:val="0"/>
                  <w:marRight w:val="0"/>
                  <w:marTop w:val="0"/>
                  <w:marBottom w:val="0"/>
                  <w:divBdr>
                    <w:top w:val="none" w:sz="0" w:space="0" w:color="auto"/>
                    <w:left w:val="none" w:sz="0" w:space="0" w:color="auto"/>
                    <w:bottom w:val="none" w:sz="0" w:space="0" w:color="auto"/>
                    <w:right w:val="none" w:sz="0" w:space="0" w:color="auto"/>
                  </w:divBdr>
                </w:div>
              </w:divsChild>
            </w:div>
            <w:div w:id="1686129687">
              <w:marLeft w:val="0"/>
              <w:marRight w:val="0"/>
              <w:marTop w:val="0"/>
              <w:marBottom w:val="0"/>
              <w:divBdr>
                <w:top w:val="none" w:sz="0" w:space="0" w:color="auto"/>
                <w:left w:val="none" w:sz="0" w:space="0" w:color="auto"/>
                <w:bottom w:val="none" w:sz="0" w:space="0" w:color="auto"/>
                <w:right w:val="none" w:sz="0" w:space="0" w:color="auto"/>
              </w:divBdr>
              <w:divsChild>
                <w:div w:id="846600843">
                  <w:marLeft w:val="0"/>
                  <w:marRight w:val="0"/>
                  <w:marTop w:val="0"/>
                  <w:marBottom w:val="0"/>
                  <w:divBdr>
                    <w:top w:val="none" w:sz="0" w:space="0" w:color="auto"/>
                    <w:left w:val="none" w:sz="0" w:space="0" w:color="auto"/>
                    <w:bottom w:val="none" w:sz="0" w:space="0" w:color="auto"/>
                    <w:right w:val="none" w:sz="0" w:space="0" w:color="auto"/>
                  </w:divBdr>
                </w:div>
              </w:divsChild>
            </w:div>
            <w:div w:id="1788235551">
              <w:marLeft w:val="0"/>
              <w:marRight w:val="0"/>
              <w:marTop w:val="0"/>
              <w:marBottom w:val="0"/>
              <w:divBdr>
                <w:top w:val="none" w:sz="0" w:space="0" w:color="auto"/>
                <w:left w:val="none" w:sz="0" w:space="0" w:color="auto"/>
                <w:bottom w:val="none" w:sz="0" w:space="0" w:color="auto"/>
                <w:right w:val="none" w:sz="0" w:space="0" w:color="auto"/>
              </w:divBdr>
              <w:divsChild>
                <w:div w:id="801848817">
                  <w:marLeft w:val="0"/>
                  <w:marRight w:val="0"/>
                  <w:marTop w:val="0"/>
                  <w:marBottom w:val="0"/>
                  <w:divBdr>
                    <w:top w:val="none" w:sz="0" w:space="0" w:color="auto"/>
                    <w:left w:val="none" w:sz="0" w:space="0" w:color="auto"/>
                    <w:bottom w:val="none" w:sz="0" w:space="0" w:color="auto"/>
                    <w:right w:val="none" w:sz="0" w:space="0" w:color="auto"/>
                  </w:divBdr>
                </w:div>
              </w:divsChild>
            </w:div>
            <w:div w:id="1560242442">
              <w:marLeft w:val="0"/>
              <w:marRight w:val="0"/>
              <w:marTop w:val="0"/>
              <w:marBottom w:val="0"/>
              <w:divBdr>
                <w:top w:val="none" w:sz="0" w:space="0" w:color="auto"/>
                <w:left w:val="none" w:sz="0" w:space="0" w:color="auto"/>
                <w:bottom w:val="none" w:sz="0" w:space="0" w:color="auto"/>
                <w:right w:val="none" w:sz="0" w:space="0" w:color="auto"/>
              </w:divBdr>
              <w:divsChild>
                <w:div w:id="2142529075">
                  <w:marLeft w:val="0"/>
                  <w:marRight w:val="0"/>
                  <w:marTop w:val="0"/>
                  <w:marBottom w:val="0"/>
                  <w:divBdr>
                    <w:top w:val="none" w:sz="0" w:space="0" w:color="auto"/>
                    <w:left w:val="none" w:sz="0" w:space="0" w:color="auto"/>
                    <w:bottom w:val="none" w:sz="0" w:space="0" w:color="auto"/>
                    <w:right w:val="none" w:sz="0" w:space="0" w:color="auto"/>
                  </w:divBdr>
                </w:div>
              </w:divsChild>
            </w:div>
            <w:div w:id="1699964232">
              <w:marLeft w:val="0"/>
              <w:marRight w:val="0"/>
              <w:marTop w:val="0"/>
              <w:marBottom w:val="0"/>
              <w:divBdr>
                <w:top w:val="none" w:sz="0" w:space="0" w:color="auto"/>
                <w:left w:val="none" w:sz="0" w:space="0" w:color="auto"/>
                <w:bottom w:val="none" w:sz="0" w:space="0" w:color="auto"/>
                <w:right w:val="none" w:sz="0" w:space="0" w:color="auto"/>
              </w:divBdr>
              <w:divsChild>
                <w:div w:id="1492409707">
                  <w:marLeft w:val="0"/>
                  <w:marRight w:val="0"/>
                  <w:marTop w:val="0"/>
                  <w:marBottom w:val="0"/>
                  <w:divBdr>
                    <w:top w:val="none" w:sz="0" w:space="0" w:color="auto"/>
                    <w:left w:val="none" w:sz="0" w:space="0" w:color="auto"/>
                    <w:bottom w:val="none" w:sz="0" w:space="0" w:color="auto"/>
                    <w:right w:val="none" w:sz="0" w:space="0" w:color="auto"/>
                  </w:divBdr>
                </w:div>
              </w:divsChild>
            </w:div>
            <w:div w:id="325213074">
              <w:marLeft w:val="0"/>
              <w:marRight w:val="0"/>
              <w:marTop w:val="0"/>
              <w:marBottom w:val="0"/>
              <w:divBdr>
                <w:top w:val="none" w:sz="0" w:space="0" w:color="auto"/>
                <w:left w:val="none" w:sz="0" w:space="0" w:color="auto"/>
                <w:bottom w:val="none" w:sz="0" w:space="0" w:color="auto"/>
                <w:right w:val="none" w:sz="0" w:space="0" w:color="auto"/>
              </w:divBdr>
              <w:divsChild>
                <w:div w:id="260340555">
                  <w:marLeft w:val="0"/>
                  <w:marRight w:val="0"/>
                  <w:marTop w:val="0"/>
                  <w:marBottom w:val="0"/>
                  <w:divBdr>
                    <w:top w:val="none" w:sz="0" w:space="0" w:color="auto"/>
                    <w:left w:val="none" w:sz="0" w:space="0" w:color="auto"/>
                    <w:bottom w:val="none" w:sz="0" w:space="0" w:color="auto"/>
                    <w:right w:val="none" w:sz="0" w:space="0" w:color="auto"/>
                  </w:divBdr>
                </w:div>
              </w:divsChild>
            </w:div>
            <w:div w:id="1661731458">
              <w:marLeft w:val="0"/>
              <w:marRight w:val="0"/>
              <w:marTop w:val="0"/>
              <w:marBottom w:val="0"/>
              <w:divBdr>
                <w:top w:val="none" w:sz="0" w:space="0" w:color="auto"/>
                <w:left w:val="none" w:sz="0" w:space="0" w:color="auto"/>
                <w:bottom w:val="none" w:sz="0" w:space="0" w:color="auto"/>
                <w:right w:val="none" w:sz="0" w:space="0" w:color="auto"/>
              </w:divBdr>
              <w:divsChild>
                <w:div w:id="184565483">
                  <w:marLeft w:val="0"/>
                  <w:marRight w:val="0"/>
                  <w:marTop w:val="0"/>
                  <w:marBottom w:val="0"/>
                  <w:divBdr>
                    <w:top w:val="none" w:sz="0" w:space="0" w:color="auto"/>
                    <w:left w:val="none" w:sz="0" w:space="0" w:color="auto"/>
                    <w:bottom w:val="none" w:sz="0" w:space="0" w:color="auto"/>
                    <w:right w:val="none" w:sz="0" w:space="0" w:color="auto"/>
                  </w:divBdr>
                </w:div>
              </w:divsChild>
            </w:div>
            <w:div w:id="1569878906">
              <w:marLeft w:val="0"/>
              <w:marRight w:val="0"/>
              <w:marTop w:val="0"/>
              <w:marBottom w:val="0"/>
              <w:divBdr>
                <w:top w:val="none" w:sz="0" w:space="0" w:color="auto"/>
                <w:left w:val="none" w:sz="0" w:space="0" w:color="auto"/>
                <w:bottom w:val="none" w:sz="0" w:space="0" w:color="auto"/>
                <w:right w:val="none" w:sz="0" w:space="0" w:color="auto"/>
              </w:divBdr>
              <w:divsChild>
                <w:div w:id="1125807495">
                  <w:marLeft w:val="0"/>
                  <w:marRight w:val="0"/>
                  <w:marTop w:val="0"/>
                  <w:marBottom w:val="0"/>
                  <w:divBdr>
                    <w:top w:val="none" w:sz="0" w:space="0" w:color="auto"/>
                    <w:left w:val="none" w:sz="0" w:space="0" w:color="auto"/>
                    <w:bottom w:val="none" w:sz="0" w:space="0" w:color="auto"/>
                    <w:right w:val="none" w:sz="0" w:space="0" w:color="auto"/>
                  </w:divBdr>
                </w:div>
              </w:divsChild>
            </w:div>
            <w:div w:id="1555238877">
              <w:marLeft w:val="0"/>
              <w:marRight w:val="0"/>
              <w:marTop w:val="0"/>
              <w:marBottom w:val="0"/>
              <w:divBdr>
                <w:top w:val="none" w:sz="0" w:space="0" w:color="auto"/>
                <w:left w:val="none" w:sz="0" w:space="0" w:color="auto"/>
                <w:bottom w:val="none" w:sz="0" w:space="0" w:color="auto"/>
                <w:right w:val="none" w:sz="0" w:space="0" w:color="auto"/>
              </w:divBdr>
              <w:divsChild>
                <w:div w:id="920601831">
                  <w:marLeft w:val="0"/>
                  <w:marRight w:val="0"/>
                  <w:marTop w:val="0"/>
                  <w:marBottom w:val="0"/>
                  <w:divBdr>
                    <w:top w:val="none" w:sz="0" w:space="0" w:color="auto"/>
                    <w:left w:val="none" w:sz="0" w:space="0" w:color="auto"/>
                    <w:bottom w:val="none" w:sz="0" w:space="0" w:color="auto"/>
                    <w:right w:val="none" w:sz="0" w:space="0" w:color="auto"/>
                  </w:divBdr>
                </w:div>
              </w:divsChild>
            </w:div>
            <w:div w:id="795224458">
              <w:marLeft w:val="0"/>
              <w:marRight w:val="0"/>
              <w:marTop w:val="0"/>
              <w:marBottom w:val="0"/>
              <w:divBdr>
                <w:top w:val="none" w:sz="0" w:space="0" w:color="auto"/>
                <w:left w:val="none" w:sz="0" w:space="0" w:color="auto"/>
                <w:bottom w:val="none" w:sz="0" w:space="0" w:color="auto"/>
                <w:right w:val="none" w:sz="0" w:space="0" w:color="auto"/>
              </w:divBdr>
              <w:divsChild>
                <w:div w:id="800802412">
                  <w:marLeft w:val="0"/>
                  <w:marRight w:val="0"/>
                  <w:marTop w:val="0"/>
                  <w:marBottom w:val="0"/>
                  <w:divBdr>
                    <w:top w:val="none" w:sz="0" w:space="0" w:color="auto"/>
                    <w:left w:val="none" w:sz="0" w:space="0" w:color="auto"/>
                    <w:bottom w:val="none" w:sz="0" w:space="0" w:color="auto"/>
                    <w:right w:val="none" w:sz="0" w:space="0" w:color="auto"/>
                  </w:divBdr>
                </w:div>
              </w:divsChild>
            </w:div>
            <w:div w:id="934872281">
              <w:marLeft w:val="0"/>
              <w:marRight w:val="0"/>
              <w:marTop w:val="0"/>
              <w:marBottom w:val="0"/>
              <w:divBdr>
                <w:top w:val="none" w:sz="0" w:space="0" w:color="auto"/>
                <w:left w:val="none" w:sz="0" w:space="0" w:color="auto"/>
                <w:bottom w:val="none" w:sz="0" w:space="0" w:color="auto"/>
                <w:right w:val="none" w:sz="0" w:space="0" w:color="auto"/>
              </w:divBdr>
              <w:divsChild>
                <w:div w:id="522670487">
                  <w:marLeft w:val="0"/>
                  <w:marRight w:val="0"/>
                  <w:marTop w:val="0"/>
                  <w:marBottom w:val="0"/>
                  <w:divBdr>
                    <w:top w:val="none" w:sz="0" w:space="0" w:color="auto"/>
                    <w:left w:val="none" w:sz="0" w:space="0" w:color="auto"/>
                    <w:bottom w:val="none" w:sz="0" w:space="0" w:color="auto"/>
                    <w:right w:val="none" w:sz="0" w:space="0" w:color="auto"/>
                  </w:divBdr>
                </w:div>
              </w:divsChild>
            </w:div>
            <w:div w:id="1051616387">
              <w:marLeft w:val="0"/>
              <w:marRight w:val="0"/>
              <w:marTop w:val="0"/>
              <w:marBottom w:val="0"/>
              <w:divBdr>
                <w:top w:val="none" w:sz="0" w:space="0" w:color="auto"/>
                <w:left w:val="none" w:sz="0" w:space="0" w:color="auto"/>
                <w:bottom w:val="none" w:sz="0" w:space="0" w:color="auto"/>
                <w:right w:val="none" w:sz="0" w:space="0" w:color="auto"/>
              </w:divBdr>
              <w:divsChild>
                <w:div w:id="93286439">
                  <w:marLeft w:val="0"/>
                  <w:marRight w:val="0"/>
                  <w:marTop w:val="0"/>
                  <w:marBottom w:val="0"/>
                  <w:divBdr>
                    <w:top w:val="none" w:sz="0" w:space="0" w:color="auto"/>
                    <w:left w:val="none" w:sz="0" w:space="0" w:color="auto"/>
                    <w:bottom w:val="none" w:sz="0" w:space="0" w:color="auto"/>
                    <w:right w:val="none" w:sz="0" w:space="0" w:color="auto"/>
                  </w:divBdr>
                </w:div>
              </w:divsChild>
            </w:div>
            <w:div w:id="673607774">
              <w:marLeft w:val="0"/>
              <w:marRight w:val="0"/>
              <w:marTop w:val="0"/>
              <w:marBottom w:val="0"/>
              <w:divBdr>
                <w:top w:val="none" w:sz="0" w:space="0" w:color="auto"/>
                <w:left w:val="none" w:sz="0" w:space="0" w:color="auto"/>
                <w:bottom w:val="none" w:sz="0" w:space="0" w:color="auto"/>
                <w:right w:val="none" w:sz="0" w:space="0" w:color="auto"/>
              </w:divBdr>
              <w:divsChild>
                <w:div w:id="485441728">
                  <w:marLeft w:val="0"/>
                  <w:marRight w:val="0"/>
                  <w:marTop w:val="0"/>
                  <w:marBottom w:val="0"/>
                  <w:divBdr>
                    <w:top w:val="none" w:sz="0" w:space="0" w:color="auto"/>
                    <w:left w:val="none" w:sz="0" w:space="0" w:color="auto"/>
                    <w:bottom w:val="none" w:sz="0" w:space="0" w:color="auto"/>
                    <w:right w:val="none" w:sz="0" w:space="0" w:color="auto"/>
                  </w:divBdr>
                </w:div>
              </w:divsChild>
            </w:div>
            <w:div w:id="1268192893">
              <w:marLeft w:val="0"/>
              <w:marRight w:val="0"/>
              <w:marTop w:val="0"/>
              <w:marBottom w:val="0"/>
              <w:divBdr>
                <w:top w:val="none" w:sz="0" w:space="0" w:color="auto"/>
                <w:left w:val="none" w:sz="0" w:space="0" w:color="auto"/>
                <w:bottom w:val="none" w:sz="0" w:space="0" w:color="auto"/>
                <w:right w:val="none" w:sz="0" w:space="0" w:color="auto"/>
              </w:divBdr>
              <w:divsChild>
                <w:div w:id="2050835232">
                  <w:marLeft w:val="0"/>
                  <w:marRight w:val="0"/>
                  <w:marTop w:val="0"/>
                  <w:marBottom w:val="0"/>
                  <w:divBdr>
                    <w:top w:val="none" w:sz="0" w:space="0" w:color="auto"/>
                    <w:left w:val="none" w:sz="0" w:space="0" w:color="auto"/>
                    <w:bottom w:val="none" w:sz="0" w:space="0" w:color="auto"/>
                    <w:right w:val="none" w:sz="0" w:space="0" w:color="auto"/>
                  </w:divBdr>
                </w:div>
              </w:divsChild>
            </w:div>
            <w:div w:id="1407415087">
              <w:marLeft w:val="0"/>
              <w:marRight w:val="0"/>
              <w:marTop w:val="0"/>
              <w:marBottom w:val="0"/>
              <w:divBdr>
                <w:top w:val="none" w:sz="0" w:space="0" w:color="auto"/>
                <w:left w:val="none" w:sz="0" w:space="0" w:color="auto"/>
                <w:bottom w:val="none" w:sz="0" w:space="0" w:color="auto"/>
                <w:right w:val="none" w:sz="0" w:space="0" w:color="auto"/>
              </w:divBdr>
              <w:divsChild>
                <w:div w:id="1015810714">
                  <w:marLeft w:val="0"/>
                  <w:marRight w:val="0"/>
                  <w:marTop w:val="0"/>
                  <w:marBottom w:val="0"/>
                  <w:divBdr>
                    <w:top w:val="none" w:sz="0" w:space="0" w:color="auto"/>
                    <w:left w:val="none" w:sz="0" w:space="0" w:color="auto"/>
                    <w:bottom w:val="none" w:sz="0" w:space="0" w:color="auto"/>
                    <w:right w:val="none" w:sz="0" w:space="0" w:color="auto"/>
                  </w:divBdr>
                </w:div>
              </w:divsChild>
            </w:div>
            <w:div w:id="2051755970">
              <w:marLeft w:val="0"/>
              <w:marRight w:val="0"/>
              <w:marTop w:val="0"/>
              <w:marBottom w:val="0"/>
              <w:divBdr>
                <w:top w:val="none" w:sz="0" w:space="0" w:color="auto"/>
                <w:left w:val="none" w:sz="0" w:space="0" w:color="auto"/>
                <w:bottom w:val="none" w:sz="0" w:space="0" w:color="auto"/>
                <w:right w:val="none" w:sz="0" w:space="0" w:color="auto"/>
              </w:divBdr>
              <w:divsChild>
                <w:div w:id="241064406">
                  <w:marLeft w:val="0"/>
                  <w:marRight w:val="0"/>
                  <w:marTop w:val="0"/>
                  <w:marBottom w:val="0"/>
                  <w:divBdr>
                    <w:top w:val="none" w:sz="0" w:space="0" w:color="auto"/>
                    <w:left w:val="none" w:sz="0" w:space="0" w:color="auto"/>
                    <w:bottom w:val="none" w:sz="0" w:space="0" w:color="auto"/>
                    <w:right w:val="none" w:sz="0" w:space="0" w:color="auto"/>
                  </w:divBdr>
                </w:div>
              </w:divsChild>
            </w:div>
            <w:div w:id="2038113391">
              <w:marLeft w:val="0"/>
              <w:marRight w:val="0"/>
              <w:marTop w:val="0"/>
              <w:marBottom w:val="0"/>
              <w:divBdr>
                <w:top w:val="none" w:sz="0" w:space="0" w:color="auto"/>
                <w:left w:val="none" w:sz="0" w:space="0" w:color="auto"/>
                <w:bottom w:val="none" w:sz="0" w:space="0" w:color="auto"/>
                <w:right w:val="none" w:sz="0" w:space="0" w:color="auto"/>
              </w:divBdr>
              <w:divsChild>
                <w:div w:id="1756782792">
                  <w:marLeft w:val="0"/>
                  <w:marRight w:val="0"/>
                  <w:marTop w:val="0"/>
                  <w:marBottom w:val="0"/>
                  <w:divBdr>
                    <w:top w:val="none" w:sz="0" w:space="0" w:color="auto"/>
                    <w:left w:val="none" w:sz="0" w:space="0" w:color="auto"/>
                    <w:bottom w:val="none" w:sz="0" w:space="0" w:color="auto"/>
                    <w:right w:val="none" w:sz="0" w:space="0" w:color="auto"/>
                  </w:divBdr>
                </w:div>
              </w:divsChild>
            </w:div>
            <w:div w:id="968823481">
              <w:marLeft w:val="0"/>
              <w:marRight w:val="0"/>
              <w:marTop w:val="0"/>
              <w:marBottom w:val="0"/>
              <w:divBdr>
                <w:top w:val="none" w:sz="0" w:space="0" w:color="auto"/>
                <w:left w:val="none" w:sz="0" w:space="0" w:color="auto"/>
                <w:bottom w:val="none" w:sz="0" w:space="0" w:color="auto"/>
                <w:right w:val="none" w:sz="0" w:space="0" w:color="auto"/>
              </w:divBdr>
              <w:divsChild>
                <w:div w:id="1137185224">
                  <w:marLeft w:val="0"/>
                  <w:marRight w:val="0"/>
                  <w:marTop w:val="0"/>
                  <w:marBottom w:val="0"/>
                  <w:divBdr>
                    <w:top w:val="none" w:sz="0" w:space="0" w:color="auto"/>
                    <w:left w:val="none" w:sz="0" w:space="0" w:color="auto"/>
                    <w:bottom w:val="none" w:sz="0" w:space="0" w:color="auto"/>
                    <w:right w:val="none" w:sz="0" w:space="0" w:color="auto"/>
                  </w:divBdr>
                </w:div>
              </w:divsChild>
            </w:div>
            <w:div w:id="1101948753">
              <w:marLeft w:val="0"/>
              <w:marRight w:val="0"/>
              <w:marTop w:val="0"/>
              <w:marBottom w:val="0"/>
              <w:divBdr>
                <w:top w:val="none" w:sz="0" w:space="0" w:color="auto"/>
                <w:left w:val="none" w:sz="0" w:space="0" w:color="auto"/>
                <w:bottom w:val="none" w:sz="0" w:space="0" w:color="auto"/>
                <w:right w:val="none" w:sz="0" w:space="0" w:color="auto"/>
              </w:divBdr>
              <w:divsChild>
                <w:div w:id="15806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2346">
          <w:marLeft w:val="0"/>
          <w:marRight w:val="0"/>
          <w:marTop w:val="0"/>
          <w:marBottom w:val="600"/>
          <w:divBdr>
            <w:top w:val="none" w:sz="0" w:space="0" w:color="auto"/>
            <w:left w:val="none" w:sz="0" w:space="0" w:color="auto"/>
            <w:bottom w:val="none" w:sz="0" w:space="0" w:color="auto"/>
            <w:right w:val="none" w:sz="0" w:space="0" w:color="auto"/>
          </w:divBdr>
        </w:div>
      </w:divsChild>
    </w:div>
    <w:div w:id="1603565831">
      <w:marLeft w:val="0"/>
      <w:marRight w:val="0"/>
      <w:marTop w:val="0"/>
      <w:marBottom w:val="0"/>
      <w:divBdr>
        <w:top w:val="none" w:sz="0" w:space="0" w:color="auto"/>
        <w:left w:val="none" w:sz="0" w:space="0" w:color="auto"/>
        <w:bottom w:val="none" w:sz="0" w:space="0" w:color="auto"/>
        <w:right w:val="none" w:sz="0" w:space="0" w:color="auto"/>
      </w:divBdr>
      <w:divsChild>
        <w:div w:id="1477912144">
          <w:marLeft w:val="0"/>
          <w:marRight w:val="0"/>
          <w:marTop w:val="547"/>
          <w:marBottom w:val="0"/>
          <w:divBdr>
            <w:top w:val="none" w:sz="0" w:space="0" w:color="auto"/>
            <w:left w:val="none" w:sz="0" w:space="0" w:color="auto"/>
            <w:bottom w:val="none" w:sz="0" w:space="0" w:color="auto"/>
            <w:right w:val="none" w:sz="0" w:space="0" w:color="auto"/>
          </w:divBdr>
        </w:div>
        <w:div w:id="1451704417">
          <w:marLeft w:val="0"/>
          <w:marRight w:val="0"/>
          <w:marTop w:val="0"/>
          <w:marBottom w:val="0"/>
          <w:divBdr>
            <w:top w:val="none" w:sz="0" w:space="0" w:color="auto"/>
            <w:left w:val="none" w:sz="0" w:space="0" w:color="auto"/>
            <w:bottom w:val="none" w:sz="0" w:space="0" w:color="auto"/>
            <w:right w:val="none" w:sz="0" w:space="0" w:color="auto"/>
          </w:divBdr>
        </w:div>
        <w:div w:id="1741558711">
          <w:marLeft w:val="0"/>
          <w:marRight w:val="0"/>
          <w:marTop w:val="0"/>
          <w:marBottom w:val="600"/>
          <w:divBdr>
            <w:top w:val="none" w:sz="0" w:space="0" w:color="auto"/>
            <w:left w:val="none" w:sz="0" w:space="0" w:color="auto"/>
            <w:bottom w:val="none" w:sz="0" w:space="0" w:color="auto"/>
            <w:right w:val="none" w:sz="0" w:space="0" w:color="auto"/>
          </w:divBdr>
        </w:div>
      </w:divsChild>
    </w:div>
    <w:div w:id="1663583264">
      <w:marLeft w:val="0"/>
      <w:marRight w:val="0"/>
      <w:marTop w:val="0"/>
      <w:marBottom w:val="0"/>
      <w:divBdr>
        <w:top w:val="none" w:sz="0" w:space="0" w:color="auto"/>
        <w:left w:val="none" w:sz="0" w:space="0" w:color="auto"/>
        <w:bottom w:val="none" w:sz="0" w:space="0" w:color="auto"/>
        <w:right w:val="none" w:sz="0" w:space="0" w:color="auto"/>
      </w:divBdr>
      <w:divsChild>
        <w:div w:id="534662470">
          <w:marLeft w:val="0"/>
          <w:marRight w:val="0"/>
          <w:marTop w:val="547"/>
          <w:marBottom w:val="0"/>
          <w:divBdr>
            <w:top w:val="none" w:sz="0" w:space="0" w:color="auto"/>
            <w:left w:val="none" w:sz="0" w:space="0" w:color="auto"/>
            <w:bottom w:val="none" w:sz="0" w:space="0" w:color="auto"/>
            <w:right w:val="none" w:sz="0" w:space="0" w:color="auto"/>
          </w:divBdr>
        </w:div>
        <w:div w:id="1435784499">
          <w:marLeft w:val="0"/>
          <w:marRight w:val="0"/>
          <w:marTop w:val="0"/>
          <w:marBottom w:val="0"/>
          <w:divBdr>
            <w:top w:val="none" w:sz="0" w:space="0" w:color="auto"/>
            <w:left w:val="none" w:sz="0" w:space="0" w:color="auto"/>
            <w:bottom w:val="none" w:sz="0" w:space="0" w:color="auto"/>
            <w:right w:val="none" w:sz="0" w:space="0" w:color="auto"/>
          </w:divBdr>
        </w:div>
        <w:div w:id="509485831">
          <w:marLeft w:val="0"/>
          <w:marRight w:val="0"/>
          <w:marTop w:val="0"/>
          <w:marBottom w:val="600"/>
          <w:divBdr>
            <w:top w:val="none" w:sz="0" w:space="0" w:color="auto"/>
            <w:left w:val="none" w:sz="0" w:space="0" w:color="auto"/>
            <w:bottom w:val="none" w:sz="0" w:space="0" w:color="auto"/>
            <w:right w:val="none" w:sz="0" w:space="0" w:color="auto"/>
          </w:divBdr>
        </w:div>
      </w:divsChild>
    </w:div>
    <w:div w:id="1664238942">
      <w:marLeft w:val="0"/>
      <w:marRight w:val="0"/>
      <w:marTop w:val="0"/>
      <w:marBottom w:val="0"/>
      <w:divBdr>
        <w:top w:val="none" w:sz="0" w:space="0" w:color="auto"/>
        <w:left w:val="none" w:sz="0" w:space="0" w:color="auto"/>
        <w:bottom w:val="none" w:sz="0" w:space="0" w:color="auto"/>
        <w:right w:val="none" w:sz="0" w:space="0" w:color="auto"/>
      </w:divBdr>
    </w:div>
    <w:div w:id="1667316889">
      <w:marLeft w:val="0"/>
      <w:marRight w:val="0"/>
      <w:marTop w:val="0"/>
      <w:marBottom w:val="0"/>
      <w:divBdr>
        <w:top w:val="none" w:sz="0" w:space="0" w:color="auto"/>
        <w:left w:val="none" w:sz="0" w:space="0" w:color="auto"/>
        <w:bottom w:val="none" w:sz="0" w:space="0" w:color="auto"/>
        <w:right w:val="none" w:sz="0" w:space="0" w:color="auto"/>
      </w:divBdr>
      <w:divsChild>
        <w:div w:id="389770921">
          <w:marLeft w:val="0"/>
          <w:marRight w:val="0"/>
          <w:marTop w:val="547"/>
          <w:marBottom w:val="0"/>
          <w:divBdr>
            <w:top w:val="none" w:sz="0" w:space="0" w:color="auto"/>
            <w:left w:val="none" w:sz="0" w:space="0" w:color="auto"/>
            <w:bottom w:val="none" w:sz="0" w:space="0" w:color="auto"/>
            <w:right w:val="none" w:sz="0" w:space="0" w:color="auto"/>
          </w:divBdr>
        </w:div>
        <w:div w:id="2023849173">
          <w:marLeft w:val="0"/>
          <w:marRight w:val="0"/>
          <w:marTop w:val="0"/>
          <w:marBottom w:val="0"/>
          <w:divBdr>
            <w:top w:val="none" w:sz="0" w:space="0" w:color="auto"/>
            <w:left w:val="none" w:sz="0" w:space="0" w:color="auto"/>
            <w:bottom w:val="none" w:sz="0" w:space="0" w:color="auto"/>
            <w:right w:val="none" w:sz="0" w:space="0" w:color="auto"/>
          </w:divBdr>
        </w:div>
        <w:div w:id="574508830">
          <w:marLeft w:val="0"/>
          <w:marRight w:val="0"/>
          <w:marTop w:val="0"/>
          <w:marBottom w:val="600"/>
          <w:divBdr>
            <w:top w:val="none" w:sz="0" w:space="0" w:color="auto"/>
            <w:left w:val="none" w:sz="0" w:space="0" w:color="auto"/>
            <w:bottom w:val="none" w:sz="0" w:space="0" w:color="auto"/>
            <w:right w:val="none" w:sz="0" w:space="0" w:color="auto"/>
          </w:divBdr>
        </w:div>
      </w:divsChild>
    </w:div>
    <w:div w:id="1697609828">
      <w:marLeft w:val="0"/>
      <w:marRight w:val="0"/>
      <w:marTop w:val="0"/>
      <w:marBottom w:val="0"/>
      <w:divBdr>
        <w:top w:val="none" w:sz="0" w:space="0" w:color="auto"/>
        <w:left w:val="none" w:sz="0" w:space="0" w:color="auto"/>
        <w:bottom w:val="none" w:sz="0" w:space="0" w:color="auto"/>
        <w:right w:val="none" w:sz="0" w:space="0" w:color="auto"/>
      </w:divBdr>
      <w:divsChild>
        <w:div w:id="538862256">
          <w:marLeft w:val="0"/>
          <w:marRight w:val="0"/>
          <w:marTop w:val="547"/>
          <w:marBottom w:val="0"/>
          <w:divBdr>
            <w:top w:val="none" w:sz="0" w:space="0" w:color="auto"/>
            <w:left w:val="none" w:sz="0" w:space="0" w:color="auto"/>
            <w:bottom w:val="none" w:sz="0" w:space="0" w:color="auto"/>
            <w:right w:val="none" w:sz="0" w:space="0" w:color="auto"/>
          </w:divBdr>
        </w:div>
        <w:div w:id="457338045">
          <w:marLeft w:val="0"/>
          <w:marRight w:val="0"/>
          <w:marTop w:val="0"/>
          <w:marBottom w:val="0"/>
          <w:divBdr>
            <w:top w:val="none" w:sz="0" w:space="0" w:color="auto"/>
            <w:left w:val="none" w:sz="0" w:space="0" w:color="auto"/>
            <w:bottom w:val="none" w:sz="0" w:space="0" w:color="auto"/>
            <w:right w:val="none" w:sz="0" w:space="0" w:color="auto"/>
          </w:divBdr>
        </w:div>
        <w:div w:id="705369145">
          <w:marLeft w:val="0"/>
          <w:marRight w:val="0"/>
          <w:marTop w:val="0"/>
          <w:marBottom w:val="600"/>
          <w:divBdr>
            <w:top w:val="none" w:sz="0" w:space="0" w:color="auto"/>
            <w:left w:val="none" w:sz="0" w:space="0" w:color="auto"/>
            <w:bottom w:val="none" w:sz="0" w:space="0" w:color="auto"/>
            <w:right w:val="none" w:sz="0" w:space="0" w:color="auto"/>
          </w:divBdr>
        </w:div>
      </w:divsChild>
    </w:div>
    <w:div w:id="1735467130">
      <w:marLeft w:val="0"/>
      <w:marRight w:val="0"/>
      <w:marTop w:val="0"/>
      <w:marBottom w:val="0"/>
      <w:divBdr>
        <w:top w:val="none" w:sz="0" w:space="0" w:color="auto"/>
        <w:left w:val="none" w:sz="0" w:space="0" w:color="auto"/>
        <w:bottom w:val="none" w:sz="0" w:space="0" w:color="auto"/>
        <w:right w:val="none" w:sz="0" w:space="0" w:color="auto"/>
      </w:divBdr>
      <w:divsChild>
        <w:div w:id="1476987884">
          <w:marLeft w:val="0"/>
          <w:marRight w:val="0"/>
          <w:marTop w:val="547"/>
          <w:marBottom w:val="0"/>
          <w:divBdr>
            <w:top w:val="none" w:sz="0" w:space="0" w:color="auto"/>
            <w:left w:val="none" w:sz="0" w:space="0" w:color="auto"/>
            <w:bottom w:val="none" w:sz="0" w:space="0" w:color="auto"/>
            <w:right w:val="none" w:sz="0" w:space="0" w:color="auto"/>
          </w:divBdr>
        </w:div>
        <w:div w:id="120997914">
          <w:marLeft w:val="0"/>
          <w:marRight w:val="0"/>
          <w:marTop w:val="0"/>
          <w:marBottom w:val="0"/>
          <w:divBdr>
            <w:top w:val="none" w:sz="0" w:space="0" w:color="auto"/>
            <w:left w:val="none" w:sz="0" w:space="0" w:color="auto"/>
            <w:bottom w:val="none" w:sz="0" w:space="0" w:color="auto"/>
            <w:right w:val="none" w:sz="0" w:space="0" w:color="auto"/>
          </w:divBdr>
        </w:div>
        <w:div w:id="898445995">
          <w:marLeft w:val="0"/>
          <w:marRight w:val="0"/>
          <w:marTop w:val="0"/>
          <w:marBottom w:val="600"/>
          <w:divBdr>
            <w:top w:val="none" w:sz="0" w:space="0" w:color="auto"/>
            <w:left w:val="none" w:sz="0" w:space="0" w:color="auto"/>
            <w:bottom w:val="none" w:sz="0" w:space="0" w:color="auto"/>
            <w:right w:val="none" w:sz="0" w:space="0" w:color="auto"/>
          </w:divBdr>
        </w:div>
      </w:divsChild>
    </w:div>
    <w:div w:id="1772580535">
      <w:marLeft w:val="0"/>
      <w:marRight w:val="0"/>
      <w:marTop w:val="0"/>
      <w:marBottom w:val="0"/>
      <w:divBdr>
        <w:top w:val="none" w:sz="0" w:space="0" w:color="auto"/>
        <w:left w:val="none" w:sz="0" w:space="0" w:color="auto"/>
        <w:bottom w:val="none" w:sz="0" w:space="0" w:color="auto"/>
        <w:right w:val="none" w:sz="0" w:space="0" w:color="auto"/>
      </w:divBdr>
      <w:divsChild>
        <w:div w:id="1075736929">
          <w:marLeft w:val="0"/>
          <w:marRight w:val="0"/>
          <w:marTop w:val="547"/>
          <w:marBottom w:val="0"/>
          <w:divBdr>
            <w:top w:val="none" w:sz="0" w:space="0" w:color="auto"/>
            <w:left w:val="none" w:sz="0" w:space="0" w:color="auto"/>
            <w:bottom w:val="none" w:sz="0" w:space="0" w:color="auto"/>
            <w:right w:val="none" w:sz="0" w:space="0" w:color="auto"/>
          </w:divBdr>
        </w:div>
        <w:div w:id="209268364">
          <w:marLeft w:val="0"/>
          <w:marRight w:val="0"/>
          <w:marTop w:val="0"/>
          <w:marBottom w:val="0"/>
          <w:divBdr>
            <w:top w:val="none" w:sz="0" w:space="0" w:color="auto"/>
            <w:left w:val="none" w:sz="0" w:space="0" w:color="auto"/>
            <w:bottom w:val="none" w:sz="0" w:space="0" w:color="auto"/>
            <w:right w:val="none" w:sz="0" w:space="0" w:color="auto"/>
          </w:divBdr>
        </w:div>
        <w:div w:id="1012490460">
          <w:marLeft w:val="0"/>
          <w:marRight w:val="0"/>
          <w:marTop w:val="0"/>
          <w:marBottom w:val="600"/>
          <w:divBdr>
            <w:top w:val="none" w:sz="0" w:space="0" w:color="auto"/>
            <w:left w:val="none" w:sz="0" w:space="0" w:color="auto"/>
            <w:bottom w:val="none" w:sz="0" w:space="0" w:color="auto"/>
            <w:right w:val="none" w:sz="0" w:space="0" w:color="auto"/>
          </w:divBdr>
        </w:div>
      </w:divsChild>
    </w:div>
    <w:div w:id="1776900733">
      <w:marLeft w:val="0"/>
      <w:marRight w:val="0"/>
      <w:marTop w:val="0"/>
      <w:marBottom w:val="0"/>
      <w:divBdr>
        <w:top w:val="none" w:sz="0" w:space="0" w:color="auto"/>
        <w:left w:val="none" w:sz="0" w:space="0" w:color="auto"/>
        <w:bottom w:val="none" w:sz="0" w:space="0" w:color="auto"/>
        <w:right w:val="none" w:sz="0" w:space="0" w:color="auto"/>
      </w:divBdr>
      <w:divsChild>
        <w:div w:id="483200052">
          <w:marLeft w:val="0"/>
          <w:marRight w:val="0"/>
          <w:marTop w:val="547"/>
          <w:marBottom w:val="0"/>
          <w:divBdr>
            <w:top w:val="none" w:sz="0" w:space="0" w:color="auto"/>
            <w:left w:val="none" w:sz="0" w:space="0" w:color="auto"/>
            <w:bottom w:val="none" w:sz="0" w:space="0" w:color="auto"/>
            <w:right w:val="none" w:sz="0" w:space="0" w:color="auto"/>
          </w:divBdr>
        </w:div>
        <w:div w:id="1079791428">
          <w:marLeft w:val="0"/>
          <w:marRight w:val="0"/>
          <w:marTop w:val="0"/>
          <w:marBottom w:val="0"/>
          <w:divBdr>
            <w:top w:val="none" w:sz="0" w:space="0" w:color="auto"/>
            <w:left w:val="none" w:sz="0" w:space="0" w:color="auto"/>
            <w:bottom w:val="none" w:sz="0" w:space="0" w:color="auto"/>
            <w:right w:val="none" w:sz="0" w:space="0" w:color="auto"/>
          </w:divBdr>
        </w:div>
        <w:div w:id="335429022">
          <w:marLeft w:val="0"/>
          <w:marRight w:val="0"/>
          <w:marTop w:val="0"/>
          <w:marBottom w:val="600"/>
          <w:divBdr>
            <w:top w:val="none" w:sz="0" w:space="0" w:color="auto"/>
            <w:left w:val="none" w:sz="0" w:space="0" w:color="auto"/>
            <w:bottom w:val="none" w:sz="0" w:space="0" w:color="auto"/>
            <w:right w:val="none" w:sz="0" w:space="0" w:color="auto"/>
          </w:divBdr>
        </w:div>
      </w:divsChild>
    </w:div>
    <w:div w:id="1817844136">
      <w:marLeft w:val="0"/>
      <w:marRight w:val="0"/>
      <w:marTop w:val="0"/>
      <w:marBottom w:val="0"/>
      <w:divBdr>
        <w:top w:val="none" w:sz="0" w:space="0" w:color="auto"/>
        <w:left w:val="none" w:sz="0" w:space="0" w:color="auto"/>
        <w:bottom w:val="none" w:sz="0" w:space="0" w:color="auto"/>
        <w:right w:val="none" w:sz="0" w:space="0" w:color="auto"/>
      </w:divBdr>
      <w:divsChild>
        <w:div w:id="1468622562">
          <w:marLeft w:val="0"/>
          <w:marRight w:val="0"/>
          <w:marTop w:val="547"/>
          <w:marBottom w:val="0"/>
          <w:divBdr>
            <w:top w:val="none" w:sz="0" w:space="0" w:color="auto"/>
            <w:left w:val="none" w:sz="0" w:space="0" w:color="auto"/>
            <w:bottom w:val="none" w:sz="0" w:space="0" w:color="auto"/>
            <w:right w:val="none" w:sz="0" w:space="0" w:color="auto"/>
          </w:divBdr>
        </w:div>
        <w:div w:id="1450856762">
          <w:marLeft w:val="0"/>
          <w:marRight w:val="0"/>
          <w:marTop w:val="0"/>
          <w:marBottom w:val="0"/>
          <w:divBdr>
            <w:top w:val="none" w:sz="0" w:space="0" w:color="auto"/>
            <w:left w:val="none" w:sz="0" w:space="0" w:color="auto"/>
            <w:bottom w:val="none" w:sz="0" w:space="0" w:color="auto"/>
            <w:right w:val="none" w:sz="0" w:space="0" w:color="auto"/>
          </w:divBdr>
        </w:div>
        <w:div w:id="1004432154">
          <w:marLeft w:val="0"/>
          <w:marRight w:val="0"/>
          <w:marTop w:val="0"/>
          <w:marBottom w:val="600"/>
          <w:divBdr>
            <w:top w:val="none" w:sz="0" w:space="0" w:color="auto"/>
            <w:left w:val="none" w:sz="0" w:space="0" w:color="auto"/>
            <w:bottom w:val="none" w:sz="0" w:space="0" w:color="auto"/>
            <w:right w:val="none" w:sz="0" w:space="0" w:color="auto"/>
          </w:divBdr>
        </w:div>
      </w:divsChild>
    </w:div>
    <w:div w:id="1896160076">
      <w:marLeft w:val="0"/>
      <w:marRight w:val="0"/>
      <w:marTop w:val="0"/>
      <w:marBottom w:val="0"/>
      <w:divBdr>
        <w:top w:val="none" w:sz="0" w:space="0" w:color="auto"/>
        <w:left w:val="none" w:sz="0" w:space="0" w:color="auto"/>
        <w:bottom w:val="none" w:sz="0" w:space="0" w:color="auto"/>
        <w:right w:val="none" w:sz="0" w:space="0" w:color="auto"/>
      </w:divBdr>
      <w:divsChild>
        <w:div w:id="1407144345">
          <w:marLeft w:val="0"/>
          <w:marRight w:val="0"/>
          <w:marTop w:val="547"/>
          <w:marBottom w:val="0"/>
          <w:divBdr>
            <w:top w:val="none" w:sz="0" w:space="0" w:color="auto"/>
            <w:left w:val="none" w:sz="0" w:space="0" w:color="auto"/>
            <w:bottom w:val="none" w:sz="0" w:space="0" w:color="auto"/>
            <w:right w:val="none" w:sz="0" w:space="0" w:color="auto"/>
          </w:divBdr>
        </w:div>
        <w:div w:id="2038768525">
          <w:marLeft w:val="0"/>
          <w:marRight w:val="0"/>
          <w:marTop w:val="0"/>
          <w:marBottom w:val="0"/>
          <w:divBdr>
            <w:top w:val="none" w:sz="0" w:space="0" w:color="auto"/>
            <w:left w:val="none" w:sz="0" w:space="0" w:color="auto"/>
            <w:bottom w:val="none" w:sz="0" w:space="0" w:color="auto"/>
            <w:right w:val="none" w:sz="0" w:space="0" w:color="auto"/>
          </w:divBdr>
        </w:div>
        <w:div w:id="1499272627">
          <w:marLeft w:val="0"/>
          <w:marRight w:val="0"/>
          <w:marTop w:val="0"/>
          <w:marBottom w:val="600"/>
          <w:divBdr>
            <w:top w:val="none" w:sz="0" w:space="0" w:color="auto"/>
            <w:left w:val="none" w:sz="0" w:space="0" w:color="auto"/>
            <w:bottom w:val="none" w:sz="0" w:space="0" w:color="auto"/>
            <w:right w:val="none" w:sz="0" w:space="0" w:color="auto"/>
          </w:divBdr>
        </w:div>
      </w:divsChild>
    </w:div>
    <w:div w:id="1904489698">
      <w:marLeft w:val="0"/>
      <w:marRight w:val="0"/>
      <w:marTop w:val="0"/>
      <w:marBottom w:val="0"/>
      <w:divBdr>
        <w:top w:val="none" w:sz="0" w:space="0" w:color="auto"/>
        <w:left w:val="none" w:sz="0" w:space="0" w:color="auto"/>
        <w:bottom w:val="none" w:sz="0" w:space="0" w:color="auto"/>
        <w:right w:val="none" w:sz="0" w:space="0" w:color="auto"/>
      </w:divBdr>
      <w:divsChild>
        <w:div w:id="443579054">
          <w:marLeft w:val="0"/>
          <w:marRight w:val="0"/>
          <w:marTop w:val="547"/>
          <w:marBottom w:val="0"/>
          <w:divBdr>
            <w:top w:val="none" w:sz="0" w:space="0" w:color="auto"/>
            <w:left w:val="none" w:sz="0" w:space="0" w:color="auto"/>
            <w:bottom w:val="none" w:sz="0" w:space="0" w:color="auto"/>
            <w:right w:val="none" w:sz="0" w:space="0" w:color="auto"/>
          </w:divBdr>
        </w:div>
        <w:div w:id="35666492">
          <w:marLeft w:val="0"/>
          <w:marRight w:val="0"/>
          <w:marTop w:val="0"/>
          <w:marBottom w:val="0"/>
          <w:divBdr>
            <w:top w:val="none" w:sz="0" w:space="0" w:color="auto"/>
            <w:left w:val="none" w:sz="0" w:space="0" w:color="auto"/>
            <w:bottom w:val="none" w:sz="0" w:space="0" w:color="auto"/>
            <w:right w:val="none" w:sz="0" w:space="0" w:color="auto"/>
          </w:divBdr>
        </w:div>
        <w:div w:id="824082337">
          <w:marLeft w:val="0"/>
          <w:marRight w:val="0"/>
          <w:marTop w:val="0"/>
          <w:marBottom w:val="600"/>
          <w:divBdr>
            <w:top w:val="none" w:sz="0" w:space="0" w:color="auto"/>
            <w:left w:val="none" w:sz="0" w:space="0" w:color="auto"/>
            <w:bottom w:val="none" w:sz="0" w:space="0" w:color="auto"/>
            <w:right w:val="none" w:sz="0" w:space="0" w:color="auto"/>
          </w:divBdr>
        </w:div>
      </w:divsChild>
    </w:div>
    <w:div w:id="1937321241">
      <w:marLeft w:val="0"/>
      <w:marRight w:val="0"/>
      <w:marTop w:val="0"/>
      <w:marBottom w:val="0"/>
      <w:divBdr>
        <w:top w:val="none" w:sz="0" w:space="0" w:color="auto"/>
        <w:left w:val="none" w:sz="0" w:space="0" w:color="auto"/>
        <w:bottom w:val="none" w:sz="0" w:space="0" w:color="auto"/>
        <w:right w:val="none" w:sz="0" w:space="0" w:color="auto"/>
      </w:divBdr>
      <w:divsChild>
        <w:div w:id="2119375687">
          <w:marLeft w:val="0"/>
          <w:marRight w:val="0"/>
          <w:marTop w:val="547"/>
          <w:marBottom w:val="0"/>
          <w:divBdr>
            <w:top w:val="none" w:sz="0" w:space="0" w:color="auto"/>
            <w:left w:val="none" w:sz="0" w:space="0" w:color="auto"/>
            <w:bottom w:val="none" w:sz="0" w:space="0" w:color="auto"/>
            <w:right w:val="none" w:sz="0" w:space="0" w:color="auto"/>
          </w:divBdr>
        </w:div>
        <w:div w:id="928318490">
          <w:marLeft w:val="0"/>
          <w:marRight w:val="0"/>
          <w:marTop w:val="0"/>
          <w:marBottom w:val="0"/>
          <w:divBdr>
            <w:top w:val="none" w:sz="0" w:space="0" w:color="auto"/>
            <w:left w:val="none" w:sz="0" w:space="0" w:color="auto"/>
            <w:bottom w:val="none" w:sz="0" w:space="0" w:color="auto"/>
            <w:right w:val="none" w:sz="0" w:space="0" w:color="auto"/>
          </w:divBdr>
        </w:div>
        <w:div w:id="1599949715">
          <w:marLeft w:val="0"/>
          <w:marRight w:val="0"/>
          <w:marTop w:val="0"/>
          <w:marBottom w:val="600"/>
          <w:divBdr>
            <w:top w:val="none" w:sz="0" w:space="0" w:color="auto"/>
            <w:left w:val="none" w:sz="0" w:space="0" w:color="auto"/>
            <w:bottom w:val="none" w:sz="0" w:space="0" w:color="auto"/>
            <w:right w:val="none" w:sz="0" w:space="0" w:color="auto"/>
          </w:divBdr>
        </w:div>
      </w:divsChild>
    </w:div>
    <w:div w:id="2031182103">
      <w:marLeft w:val="0"/>
      <w:marRight w:val="0"/>
      <w:marTop w:val="0"/>
      <w:marBottom w:val="0"/>
      <w:divBdr>
        <w:top w:val="none" w:sz="0" w:space="0" w:color="auto"/>
        <w:left w:val="none" w:sz="0" w:space="0" w:color="auto"/>
        <w:bottom w:val="none" w:sz="0" w:space="0" w:color="auto"/>
        <w:right w:val="none" w:sz="0" w:space="0" w:color="auto"/>
      </w:divBdr>
      <w:divsChild>
        <w:div w:id="686951696">
          <w:marLeft w:val="0"/>
          <w:marRight w:val="0"/>
          <w:marTop w:val="547"/>
          <w:marBottom w:val="0"/>
          <w:divBdr>
            <w:top w:val="none" w:sz="0" w:space="0" w:color="auto"/>
            <w:left w:val="none" w:sz="0" w:space="0" w:color="auto"/>
            <w:bottom w:val="none" w:sz="0" w:space="0" w:color="auto"/>
            <w:right w:val="none" w:sz="0" w:space="0" w:color="auto"/>
          </w:divBdr>
        </w:div>
        <w:div w:id="961419412">
          <w:marLeft w:val="0"/>
          <w:marRight w:val="0"/>
          <w:marTop w:val="0"/>
          <w:marBottom w:val="0"/>
          <w:divBdr>
            <w:top w:val="none" w:sz="0" w:space="0" w:color="auto"/>
            <w:left w:val="none" w:sz="0" w:space="0" w:color="auto"/>
            <w:bottom w:val="none" w:sz="0" w:space="0" w:color="auto"/>
            <w:right w:val="none" w:sz="0" w:space="0" w:color="auto"/>
          </w:divBdr>
        </w:div>
        <w:div w:id="72748723">
          <w:marLeft w:val="0"/>
          <w:marRight w:val="0"/>
          <w:marTop w:val="0"/>
          <w:marBottom w:val="600"/>
          <w:divBdr>
            <w:top w:val="none" w:sz="0" w:space="0" w:color="auto"/>
            <w:left w:val="none" w:sz="0" w:space="0" w:color="auto"/>
            <w:bottom w:val="none" w:sz="0" w:space="0" w:color="auto"/>
            <w:right w:val="none" w:sz="0" w:space="0" w:color="auto"/>
          </w:divBdr>
        </w:div>
      </w:divsChild>
    </w:div>
    <w:div w:id="2032488222">
      <w:marLeft w:val="0"/>
      <w:marRight w:val="0"/>
      <w:marTop w:val="0"/>
      <w:marBottom w:val="0"/>
      <w:divBdr>
        <w:top w:val="none" w:sz="0" w:space="0" w:color="auto"/>
        <w:left w:val="none" w:sz="0" w:space="0" w:color="auto"/>
        <w:bottom w:val="none" w:sz="0" w:space="0" w:color="auto"/>
        <w:right w:val="none" w:sz="0" w:space="0" w:color="auto"/>
      </w:divBdr>
      <w:divsChild>
        <w:div w:id="489489335">
          <w:marLeft w:val="0"/>
          <w:marRight w:val="0"/>
          <w:marTop w:val="547"/>
          <w:marBottom w:val="0"/>
          <w:divBdr>
            <w:top w:val="none" w:sz="0" w:space="0" w:color="auto"/>
            <w:left w:val="none" w:sz="0" w:space="0" w:color="auto"/>
            <w:bottom w:val="none" w:sz="0" w:space="0" w:color="auto"/>
            <w:right w:val="none" w:sz="0" w:space="0" w:color="auto"/>
          </w:divBdr>
        </w:div>
        <w:div w:id="143013865">
          <w:marLeft w:val="0"/>
          <w:marRight w:val="0"/>
          <w:marTop w:val="0"/>
          <w:marBottom w:val="0"/>
          <w:divBdr>
            <w:top w:val="none" w:sz="0" w:space="0" w:color="auto"/>
            <w:left w:val="none" w:sz="0" w:space="0" w:color="auto"/>
            <w:bottom w:val="none" w:sz="0" w:space="0" w:color="auto"/>
            <w:right w:val="none" w:sz="0" w:space="0" w:color="auto"/>
          </w:divBdr>
        </w:div>
        <w:div w:id="203250944">
          <w:marLeft w:val="0"/>
          <w:marRight w:val="0"/>
          <w:marTop w:val="0"/>
          <w:marBottom w:val="600"/>
          <w:divBdr>
            <w:top w:val="none" w:sz="0" w:space="0" w:color="auto"/>
            <w:left w:val="none" w:sz="0" w:space="0" w:color="auto"/>
            <w:bottom w:val="none" w:sz="0" w:space="0" w:color="auto"/>
            <w:right w:val="none" w:sz="0" w:space="0" w:color="auto"/>
          </w:divBdr>
        </w:div>
      </w:divsChild>
    </w:div>
    <w:div w:id="2034307506">
      <w:marLeft w:val="0"/>
      <w:marRight w:val="0"/>
      <w:marTop w:val="0"/>
      <w:marBottom w:val="0"/>
      <w:divBdr>
        <w:top w:val="none" w:sz="0" w:space="0" w:color="auto"/>
        <w:left w:val="none" w:sz="0" w:space="0" w:color="auto"/>
        <w:bottom w:val="none" w:sz="0" w:space="0" w:color="auto"/>
        <w:right w:val="none" w:sz="0" w:space="0" w:color="auto"/>
      </w:divBdr>
      <w:divsChild>
        <w:div w:id="231241194">
          <w:marLeft w:val="0"/>
          <w:marRight w:val="0"/>
          <w:marTop w:val="547"/>
          <w:marBottom w:val="0"/>
          <w:divBdr>
            <w:top w:val="none" w:sz="0" w:space="0" w:color="auto"/>
            <w:left w:val="none" w:sz="0" w:space="0" w:color="auto"/>
            <w:bottom w:val="none" w:sz="0" w:space="0" w:color="auto"/>
            <w:right w:val="none" w:sz="0" w:space="0" w:color="auto"/>
          </w:divBdr>
        </w:div>
        <w:div w:id="1979844164">
          <w:marLeft w:val="0"/>
          <w:marRight w:val="0"/>
          <w:marTop w:val="0"/>
          <w:marBottom w:val="0"/>
          <w:divBdr>
            <w:top w:val="none" w:sz="0" w:space="0" w:color="auto"/>
            <w:left w:val="none" w:sz="0" w:space="0" w:color="auto"/>
            <w:bottom w:val="none" w:sz="0" w:space="0" w:color="auto"/>
            <w:right w:val="none" w:sz="0" w:space="0" w:color="auto"/>
          </w:divBdr>
        </w:div>
        <w:div w:id="1646931717">
          <w:marLeft w:val="0"/>
          <w:marRight w:val="0"/>
          <w:marTop w:val="0"/>
          <w:marBottom w:val="600"/>
          <w:divBdr>
            <w:top w:val="none" w:sz="0" w:space="0" w:color="auto"/>
            <w:left w:val="none" w:sz="0" w:space="0" w:color="auto"/>
            <w:bottom w:val="none" w:sz="0" w:space="0" w:color="auto"/>
            <w:right w:val="none" w:sz="0" w:space="0" w:color="auto"/>
          </w:divBdr>
        </w:div>
      </w:divsChild>
    </w:div>
    <w:div w:id="2048986981">
      <w:marLeft w:val="0"/>
      <w:marRight w:val="0"/>
      <w:marTop w:val="0"/>
      <w:marBottom w:val="0"/>
      <w:divBdr>
        <w:top w:val="none" w:sz="0" w:space="0" w:color="auto"/>
        <w:left w:val="none" w:sz="0" w:space="0" w:color="auto"/>
        <w:bottom w:val="none" w:sz="0" w:space="0" w:color="auto"/>
        <w:right w:val="none" w:sz="0" w:space="0" w:color="auto"/>
      </w:divBdr>
      <w:divsChild>
        <w:div w:id="130513761">
          <w:marLeft w:val="0"/>
          <w:marRight w:val="0"/>
          <w:marTop w:val="547"/>
          <w:marBottom w:val="0"/>
          <w:divBdr>
            <w:top w:val="none" w:sz="0" w:space="0" w:color="auto"/>
            <w:left w:val="none" w:sz="0" w:space="0" w:color="auto"/>
            <w:bottom w:val="none" w:sz="0" w:space="0" w:color="auto"/>
            <w:right w:val="none" w:sz="0" w:space="0" w:color="auto"/>
          </w:divBdr>
        </w:div>
        <w:div w:id="2049840643">
          <w:marLeft w:val="0"/>
          <w:marRight w:val="0"/>
          <w:marTop w:val="0"/>
          <w:marBottom w:val="0"/>
          <w:divBdr>
            <w:top w:val="none" w:sz="0" w:space="0" w:color="auto"/>
            <w:left w:val="none" w:sz="0" w:space="0" w:color="auto"/>
            <w:bottom w:val="none" w:sz="0" w:space="0" w:color="auto"/>
            <w:right w:val="none" w:sz="0" w:space="0" w:color="auto"/>
          </w:divBdr>
          <w:divsChild>
            <w:div w:id="1264264348">
              <w:marLeft w:val="0"/>
              <w:marRight w:val="0"/>
              <w:marTop w:val="0"/>
              <w:marBottom w:val="0"/>
              <w:divBdr>
                <w:top w:val="none" w:sz="0" w:space="0" w:color="auto"/>
                <w:left w:val="none" w:sz="0" w:space="0" w:color="auto"/>
                <w:bottom w:val="none" w:sz="0" w:space="0" w:color="auto"/>
                <w:right w:val="none" w:sz="0" w:space="0" w:color="auto"/>
              </w:divBdr>
              <w:divsChild>
                <w:div w:id="1649939332">
                  <w:marLeft w:val="0"/>
                  <w:marRight w:val="0"/>
                  <w:marTop w:val="0"/>
                  <w:marBottom w:val="0"/>
                  <w:divBdr>
                    <w:top w:val="none" w:sz="0" w:space="0" w:color="auto"/>
                    <w:left w:val="none" w:sz="0" w:space="0" w:color="auto"/>
                    <w:bottom w:val="none" w:sz="0" w:space="0" w:color="auto"/>
                    <w:right w:val="none" w:sz="0" w:space="0" w:color="auto"/>
                  </w:divBdr>
                </w:div>
              </w:divsChild>
            </w:div>
            <w:div w:id="973021501">
              <w:marLeft w:val="0"/>
              <w:marRight w:val="0"/>
              <w:marTop w:val="0"/>
              <w:marBottom w:val="0"/>
              <w:divBdr>
                <w:top w:val="none" w:sz="0" w:space="0" w:color="auto"/>
                <w:left w:val="none" w:sz="0" w:space="0" w:color="auto"/>
                <w:bottom w:val="none" w:sz="0" w:space="0" w:color="auto"/>
                <w:right w:val="none" w:sz="0" w:space="0" w:color="auto"/>
              </w:divBdr>
              <w:divsChild>
                <w:div w:id="435175356">
                  <w:marLeft w:val="0"/>
                  <w:marRight w:val="0"/>
                  <w:marTop w:val="0"/>
                  <w:marBottom w:val="0"/>
                  <w:divBdr>
                    <w:top w:val="none" w:sz="0" w:space="0" w:color="auto"/>
                    <w:left w:val="none" w:sz="0" w:space="0" w:color="auto"/>
                    <w:bottom w:val="none" w:sz="0" w:space="0" w:color="auto"/>
                    <w:right w:val="none" w:sz="0" w:space="0" w:color="auto"/>
                  </w:divBdr>
                </w:div>
              </w:divsChild>
            </w:div>
            <w:div w:id="1687093376">
              <w:marLeft w:val="0"/>
              <w:marRight w:val="0"/>
              <w:marTop w:val="0"/>
              <w:marBottom w:val="0"/>
              <w:divBdr>
                <w:top w:val="none" w:sz="0" w:space="0" w:color="auto"/>
                <w:left w:val="none" w:sz="0" w:space="0" w:color="auto"/>
                <w:bottom w:val="none" w:sz="0" w:space="0" w:color="auto"/>
                <w:right w:val="none" w:sz="0" w:space="0" w:color="auto"/>
              </w:divBdr>
              <w:divsChild>
                <w:div w:id="1142770372">
                  <w:marLeft w:val="0"/>
                  <w:marRight w:val="0"/>
                  <w:marTop w:val="0"/>
                  <w:marBottom w:val="0"/>
                  <w:divBdr>
                    <w:top w:val="none" w:sz="0" w:space="0" w:color="auto"/>
                    <w:left w:val="none" w:sz="0" w:space="0" w:color="auto"/>
                    <w:bottom w:val="none" w:sz="0" w:space="0" w:color="auto"/>
                    <w:right w:val="none" w:sz="0" w:space="0" w:color="auto"/>
                  </w:divBdr>
                </w:div>
              </w:divsChild>
            </w:div>
            <w:div w:id="162547586">
              <w:marLeft w:val="0"/>
              <w:marRight w:val="0"/>
              <w:marTop w:val="0"/>
              <w:marBottom w:val="0"/>
              <w:divBdr>
                <w:top w:val="none" w:sz="0" w:space="0" w:color="auto"/>
                <w:left w:val="none" w:sz="0" w:space="0" w:color="auto"/>
                <w:bottom w:val="none" w:sz="0" w:space="0" w:color="auto"/>
                <w:right w:val="none" w:sz="0" w:space="0" w:color="auto"/>
              </w:divBdr>
              <w:divsChild>
                <w:div w:id="702828289">
                  <w:marLeft w:val="0"/>
                  <w:marRight w:val="0"/>
                  <w:marTop w:val="0"/>
                  <w:marBottom w:val="0"/>
                  <w:divBdr>
                    <w:top w:val="none" w:sz="0" w:space="0" w:color="auto"/>
                    <w:left w:val="none" w:sz="0" w:space="0" w:color="auto"/>
                    <w:bottom w:val="none" w:sz="0" w:space="0" w:color="auto"/>
                    <w:right w:val="none" w:sz="0" w:space="0" w:color="auto"/>
                  </w:divBdr>
                </w:div>
              </w:divsChild>
            </w:div>
            <w:div w:id="1984578323">
              <w:marLeft w:val="0"/>
              <w:marRight w:val="0"/>
              <w:marTop w:val="0"/>
              <w:marBottom w:val="0"/>
              <w:divBdr>
                <w:top w:val="none" w:sz="0" w:space="0" w:color="auto"/>
                <w:left w:val="none" w:sz="0" w:space="0" w:color="auto"/>
                <w:bottom w:val="none" w:sz="0" w:space="0" w:color="auto"/>
                <w:right w:val="none" w:sz="0" w:space="0" w:color="auto"/>
              </w:divBdr>
              <w:divsChild>
                <w:div w:id="1594315468">
                  <w:marLeft w:val="0"/>
                  <w:marRight w:val="0"/>
                  <w:marTop w:val="0"/>
                  <w:marBottom w:val="0"/>
                  <w:divBdr>
                    <w:top w:val="none" w:sz="0" w:space="0" w:color="auto"/>
                    <w:left w:val="none" w:sz="0" w:space="0" w:color="auto"/>
                    <w:bottom w:val="none" w:sz="0" w:space="0" w:color="auto"/>
                    <w:right w:val="none" w:sz="0" w:space="0" w:color="auto"/>
                  </w:divBdr>
                </w:div>
              </w:divsChild>
            </w:div>
            <w:div w:id="1271279612">
              <w:marLeft w:val="0"/>
              <w:marRight w:val="0"/>
              <w:marTop w:val="0"/>
              <w:marBottom w:val="0"/>
              <w:divBdr>
                <w:top w:val="none" w:sz="0" w:space="0" w:color="auto"/>
                <w:left w:val="none" w:sz="0" w:space="0" w:color="auto"/>
                <w:bottom w:val="none" w:sz="0" w:space="0" w:color="auto"/>
                <w:right w:val="none" w:sz="0" w:space="0" w:color="auto"/>
              </w:divBdr>
              <w:divsChild>
                <w:div w:id="1231042015">
                  <w:marLeft w:val="0"/>
                  <w:marRight w:val="0"/>
                  <w:marTop w:val="0"/>
                  <w:marBottom w:val="0"/>
                  <w:divBdr>
                    <w:top w:val="none" w:sz="0" w:space="0" w:color="auto"/>
                    <w:left w:val="none" w:sz="0" w:space="0" w:color="auto"/>
                    <w:bottom w:val="none" w:sz="0" w:space="0" w:color="auto"/>
                    <w:right w:val="none" w:sz="0" w:space="0" w:color="auto"/>
                  </w:divBdr>
                </w:div>
              </w:divsChild>
            </w:div>
            <w:div w:id="953250884">
              <w:marLeft w:val="0"/>
              <w:marRight w:val="0"/>
              <w:marTop w:val="0"/>
              <w:marBottom w:val="0"/>
              <w:divBdr>
                <w:top w:val="none" w:sz="0" w:space="0" w:color="auto"/>
                <w:left w:val="none" w:sz="0" w:space="0" w:color="auto"/>
                <w:bottom w:val="none" w:sz="0" w:space="0" w:color="auto"/>
                <w:right w:val="none" w:sz="0" w:space="0" w:color="auto"/>
              </w:divBdr>
              <w:divsChild>
                <w:div w:id="1534340364">
                  <w:marLeft w:val="0"/>
                  <w:marRight w:val="0"/>
                  <w:marTop w:val="0"/>
                  <w:marBottom w:val="0"/>
                  <w:divBdr>
                    <w:top w:val="none" w:sz="0" w:space="0" w:color="auto"/>
                    <w:left w:val="none" w:sz="0" w:space="0" w:color="auto"/>
                    <w:bottom w:val="none" w:sz="0" w:space="0" w:color="auto"/>
                    <w:right w:val="none" w:sz="0" w:space="0" w:color="auto"/>
                  </w:divBdr>
                </w:div>
              </w:divsChild>
            </w:div>
            <w:div w:id="1371415147">
              <w:marLeft w:val="0"/>
              <w:marRight w:val="0"/>
              <w:marTop w:val="0"/>
              <w:marBottom w:val="0"/>
              <w:divBdr>
                <w:top w:val="none" w:sz="0" w:space="0" w:color="auto"/>
                <w:left w:val="none" w:sz="0" w:space="0" w:color="auto"/>
                <w:bottom w:val="none" w:sz="0" w:space="0" w:color="auto"/>
                <w:right w:val="none" w:sz="0" w:space="0" w:color="auto"/>
              </w:divBdr>
              <w:divsChild>
                <w:div w:id="94399024">
                  <w:marLeft w:val="0"/>
                  <w:marRight w:val="0"/>
                  <w:marTop w:val="0"/>
                  <w:marBottom w:val="0"/>
                  <w:divBdr>
                    <w:top w:val="none" w:sz="0" w:space="0" w:color="auto"/>
                    <w:left w:val="none" w:sz="0" w:space="0" w:color="auto"/>
                    <w:bottom w:val="none" w:sz="0" w:space="0" w:color="auto"/>
                    <w:right w:val="none" w:sz="0" w:space="0" w:color="auto"/>
                  </w:divBdr>
                </w:div>
              </w:divsChild>
            </w:div>
            <w:div w:id="1919289755">
              <w:marLeft w:val="0"/>
              <w:marRight w:val="0"/>
              <w:marTop w:val="0"/>
              <w:marBottom w:val="0"/>
              <w:divBdr>
                <w:top w:val="none" w:sz="0" w:space="0" w:color="auto"/>
                <w:left w:val="none" w:sz="0" w:space="0" w:color="auto"/>
                <w:bottom w:val="none" w:sz="0" w:space="0" w:color="auto"/>
                <w:right w:val="none" w:sz="0" w:space="0" w:color="auto"/>
              </w:divBdr>
              <w:divsChild>
                <w:div w:id="2102021278">
                  <w:marLeft w:val="0"/>
                  <w:marRight w:val="0"/>
                  <w:marTop w:val="0"/>
                  <w:marBottom w:val="0"/>
                  <w:divBdr>
                    <w:top w:val="none" w:sz="0" w:space="0" w:color="auto"/>
                    <w:left w:val="none" w:sz="0" w:space="0" w:color="auto"/>
                    <w:bottom w:val="none" w:sz="0" w:space="0" w:color="auto"/>
                    <w:right w:val="none" w:sz="0" w:space="0" w:color="auto"/>
                  </w:divBdr>
                </w:div>
              </w:divsChild>
            </w:div>
            <w:div w:id="1132097969">
              <w:marLeft w:val="0"/>
              <w:marRight w:val="0"/>
              <w:marTop w:val="0"/>
              <w:marBottom w:val="0"/>
              <w:divBdr>
                <w:top w:val="none" w:sz="0" w:space="0" w:color="auto"/>
                <w:left w:val="none" w:sz="0" w:space="0" w:color="auto"/>
                <w:bottom w:val="none" w:sz="0" w:space="0" w:color="auto"/>
                <w:right w:val="none" w:sz="0" w:space="0" w:color="auto"/>
              </w:divBdr>
              <w:divsChild>
                <w:div w:id="603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4957">
          <w:marLeft w:val="0"/>
          <w:marRight w:val="0"/>
          <w:marTop w:val="0"/>
          <w:marBottom w:val="600"/>
          <w:divBdr>
            <w:top w:val="none" w:sz="0" w:space="0" w:color="auto"/>
            <w:left w:val="none" w:sz="0" w:space="0" w:color="auto"/>
            <w:bottom w:val="none" w:sz="0" w:space="0" w:color="auto"/>
            <w:right w:val="none" w:sz="0" w:space="0" w:color="auto"/>
          </w:divBdr>
        </w:div>
      </w:divsChild>
    </w:div>
    <w:div w:id="2062895426">
      <w:marLeft w:val="0"/>
      <w:marRight w:val="0"/>
      <w:marTop w:val="0"/>
      <w:marBottom w:val="0"/>
      <w:divBdr>
        <w:top w:val="none" w:sz="0" w:space="0" w:color="auto"/>
        <w:left w:val="none" w:sz="0" w:space="0" w:color="auto"/>
        <w:bottom w:val="none" w:sz="0" w:space="0" w:color="auto"/>
        <w:right w:val="none" w:sz="0" w:space="0" w:color="auto"/>
      </w:divBdr>
      <w:divsChild>
        <w:div w:id="554781138">
          <w:marLeft w:val="0"/>
          <w:marRight w:val="0"/>
          <w:marTop w:val="547"/>
          <w:marBottom w:val="0"/>
          <w:divBdr>
            <w:top w:val="none" w:sz="0" w:space="0" w:color="auto"/>
            <w:left w:val="none" w:sz="0" w:space="0" w:color="auto"/>
            <w:bottom w:val="none" w:sz="0" w:space="0" w:color="auto"/>
            <w:right w:val="none" w:sz="0" w:space="0" w:color="auto"/>
          </w:divBdr>
        </w:div>
        <w:div w:id="625700050">
          <w:marLeft w:val="0"/>
          <w:marRight w:val="0"/>
          <w:marTop w:val="0"/>
          <w:marBottom w:val="0"/>
          <w:divBdr>
            <w:top w:val="none" w:sz="0" w:space="0" w:color="auto"/>
            <w:left w:val="none" w:sz="0" w:space="0" w:color="auto"/>
            <w:bottom w:val="none" w:sz="0" w:space="0" w:color="auto"/>
            <w:right w:val="none" w:sz="0" w:space="0" w:color="auto"/>
          </w:divBdr>
        </w:div>
        <w:div w:id="1726291893">
          <w:marLeft w:val="0"/>
          <w:marRight w:val="0"/>
          <w:marTop w:val="0"/>
          <w:marBottom w:val="600"/>
          <w:divBdr>
            <w:top w:val="none" w:sz="0" w:space="0" w:color="auto"/>
            <w:left w:val="none" w:sz="0" w:space="0" w:color="auto"/>
            <w:bottom w:val="none" w:sz="0" w:space="0" w:color="auto"/>
            <w:right w:val="none" w:sz="0" w:space="0" w:color="auto"/>
          </w:divBdr>
        </w:div>
      </w:divsChild>
    </w:div>
    <w:div w:id="2084524004">
      <w:marLeft w:val="0"/>
      <w:marRight w:val="0"/>
      <w:marTop w:val="0"/>
      <w:marBottom w:val="0"/>
      <w:divBdr>
        <w:top w:val="none" w:sz="0" w:space="0" w:color="auto"/>
        <w:left w:val="none" w:sz="0" w:space="0" w:color="auto"/>
        <w:bottom w:val="none" w:sz="0" w:space="0" w:color="auto"/>
        <w:right w:val="none" w:sz="0" w:space="0" w:color="auto"/>
      </w:divBdr>
      <w:divsChild>
        <w:div w:id="849949316">
          <w:marLeft w:val="0"/>
          <w:marRight w:val="0"/>
          <w:marTop w:val="547"/>
          <w:marBottom w:val="0"/>
          <w:divBdr>
            <w:top w:val="none" w:sz="0" w:space="0" w:color="auto"/>
            <w:left w:val="none" w:sz="0" w:space="0" w:color="auto"/>
            <w:bottom w:val="none" w:sz="0" w:space="0" w:color="auto"/>
            <w:right w:val="none" w:sz="0" w:space="0" w:color="auto"/>
          </w:divBdr>
        </w:div>
        <w:div w:id="1264804061">
          <w:marLeft w:val="0"/>
          <w:marRight w:val="0"/>
          <w:marTop w:val="0"/>
          <w:marBottom w:val="0"/>
          <w:divBdr>
            <w:top w:val="none" w:sz="0" w:space="0" w:color="auto"/>
            <w:left w:val="none" w:sz="0" w:space="0" w:color="auto"/>
            <w:bottom w:val="none" w:sz="0" w:space="0" w:color="auto"/>
            <w:right w:val="none" w:sz="0" w:space="0" w:color="auto"/>
          </w:divBdr>
          <w:divsChild>
            <w:div w:id="639261848">
              <w:marLeft w:val="0"/>
              <w:marRight w:val="0"/>
              <w:marTop w:val="0"/>
              <w:marBottom w:val="0"/>
              <w:divBdr>
                <w:top w:val="none" w:sz="0" w:space="0" w:color="auto"/>
                <w:left w:val="none" w:sz="0" w:space="0" w:color="auto"/>
                <w:bottom w:val="none" w:sz="0" w:space="0" w:color="auto"/>
                <w:right w:val="none" w:sz="0" w:space="0" w:color="auto"/>
              </w:divBdr>
              <w:divsChild>
                <w:div w:id="350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4368">
          <w:marLeft w:val="0"/>
          <w:marRight w:val="0"/>
          <w:marTop w:val="0"/>
          <w:marBottom w:val="600"/>
          <w:divBdr>
            <w:top w:val="none" w:sz="0" w:space="0" w:color="auto"/>
            <w:left w:val="none" w:sz="0" w:space="0" w:color="auto"/>
            <w:bottom w:val="none" w:sz="0" w:space="0" w:color="auto"/>
            <w:right w:val="none" w:sz="0" w:space="0" w:color="auto"/>
          </w:divBdr>
        </w:div>
      </w:divsChild>
    </w:div>
    <w:div w:id="2116825989">
      <w:marLeft w:val="0"/>
      <w:marRight w:val="0"/>
      <w:marTop w:val="0"/>
      <w:marBottom w:val="0"/>
      <w:divBdr>
        <w:top w:val="none" w:sz="0" w:space="0" w:color="auto"/>
        <w:left w:val="none" w:sz="0" w:space="0" w:color="auto"/>
        <w:bottom w:val="none" w:sz="0" w:space="0" w:color="auto"/>
        <w:right w:val="none" w:sz="0" w:space="0" w:color="auto"/>
      </w:divBdr>
      <w:divsChild>
        <w:div w:id="1154294513">
          <w:marLeft w:val="0"/>
          <w:marRight w:val="0"/>
          <w:marTop w:val="547"/>
          <w:marBottom w:val="0"/>
          <w:divBdr>
            <w:top w:val="none" w:sz="0" w:space="0" w:color="auto"/>
            <w:left w:val="none" w:sz="0" w:space="0" w:color="auto"/>
            <w:bottom w:val="none" w:sz="0" w:space="0" w:color="auto"/>
            <w:right w:val="none" w:sz="0" w:space="0" w:color="auto"/>
          </w:divBdr>
        </w:div>
        <w:div w:id="391347897">
          <w:marLeft w:val="0"/>
          <w:marRight w:val="0"/>
          <w:marTop w:val="0"/>
          <w:marBottom w:val="0"/>
          <w:divBdr>
            <w:top w:val="none" w:sz="0" w:space="0" w:color="auto"/>
            <w:left w:val="none" w:sz="0" w:space="0" w:color="auto"/>
            <w:bottom w:val="none" w:sz="0" w:space="0" w:color="auto"/>
            <w:right w:val="none" w:sz="0" w:space="0" w:color="auto"/>
          </w:divBdr>
        </w:div>
        <w:div w:id="702051613">
          <w:marLeft w:val="0"/>
          <w:marRight w:val="0"/>
          <w:marTop w:val="0"/>
          <w:marBottom w:val="600"/>
          <w:divBdr>
            <w:top w:val="none" w:sz="0" w:space="0" w:color="auto"/>
            <w:left w:val="none" w:sz="0" w:space="0" w:color="auto"/>
            <w:bottom w:val="none" w:sz="0" w:space="0" w:color="auto"/>
            <w:right w:val="none" w:sz="0" w:space="0" w:color="auto"/>
          </w:divBdr>
        </w:div>
      </w:divsChild>
    </w:div>
    <w:div w:id="2126537001">
      <w:marLeft w:val="0"/>
      <w:marRight w:val="0"/>
      <w:marTop w:val="0"/>
      <w:marBottom w:val="0"/>
      <w:divBdr>
        <w:top w:val="none" w:sz="0" w:space="0" w:color="auto"/>
        <w:left w:val="none" w:sz="0" w:space="0" w:color="auto"/>
        <w:bottom w:val="none" w:sz="0" w:space="0" w:color="auto"/>
        <w:right w:val="none" w:sz="0" w:space="0" w:color="auto"/>
      </w:divBdr>
      <w:divsChild>
        <w:div w:id="2109696604">
          <w:marLeft w:val="0"/>
          <w:marRight w:val="0"/>
          <w:marTop w:val="547"/>
          <w:marBottom w:val="0"/>
          <w:divBdr>
            <w:top w:val="none" w:sz="0" w:space="0" w:color="auto"/>
            <w:left w:val="none" w:sz="0" w:space="0" w:color="auto"/>
            <w:bottom w:val="none" w:sz="0" w:space="0" w:color="auto"/>
            <w:right w:val="none" w:sz="0" w:space="0" w:color="auto"/>
          </w:divBdr>
        </w:div>
        <w:div w:id="1751077712">
          <w:marLeft w:val="0"/>
          <w:marRight w:val="0"/>
          <w:marTop w:val="0"/>
          <w:marBottom w:val="0"/>
          <w:divBdr>
            <w:top w:val="none" w:sz="0" w:space="0" w:color="auto"/>
            <w:left w:val="none" w:sz="0" w:space="0" w:color="auto"/>
            <w:bottom w:val="none" w:sz="0" w:space="0" w:color="auto"/>
            <w:right w:val="none" w:sz="0" w:space="0" w:color="auto"/>
          </w:divBdr>
        </w:div>
        <w:div w:id="1215265720">
          <w:marLeft w:val="0"/>
          <w:marRight w:val="0"/>
          <w:marTop w:val="0"/>
          <w:marBottom w:val="600"/>
          <w:divBdr>
            <w:top w:val="none" w:sz="0" w:space="0" w:color="auto"/>
            <w:left w:val="none" w:sz="0" w:space="0" w:color="auto"/>
            <w:bottom w:val="none" w:sz="0" w:space="0" w:color="auto"/>
            <w:right w:val="none" w:sz="0" w:space="0" w:color="auto"/>
          </w:divBdr>
        </w:div>
      </w:divsChild>
    </w:div>
    <w:div w:id="2140299492">
      <w:marLeft w:val="0"/>
      <w:marRight w:val="0"/>
      <w:marTop w:val="0"/>
      <w:marBottom w:val="0"/>
      <w:divBdr>
        <w:top w:val="none" w:sz="0" w:space="0" w:color="auto"/>
        <w:left w:val="none" w:sz="0" w:space="0" w:color="auto"/>
        <w:bottom w:val="none" w:sz="0" w:space="0" w:color="auto"/>
        <w:right w:val="none" w:sz="0" w:space="0" w:color="auto"/>
      </w:divBdr>
      <w:divsChild>
        <w:div w:id="1971131138">
          <w:marLeft w:val="0"/>
          <w:marRight w:val="0"/>
          <w:marTop w:val="547"/>
          <w:marBottom w:val="0"/>
          <w:divBdr>
            <w:top w:val="none" w:sz="0" w:space="0" w:color="auto"/>
            <w:left w:val="none" w:sz="0" w:space="0" w:color="auto"/>
            <w:bottom w:val="none" w:sz="0" w:space="0" w:color="auto"/>
            <w:right w:val="none" w:sz="0" w:space="0" w:color="auto"/>
          </w:divBdr>
        </w:div>
        <w:div w:id="1128667282">
          <w:marLeft w:val="0"/>
          <w:marRight w:val="0"/>
          <w:marTop w:val="0"/>
          <w:marBottom w:val="0"/>
          <w:divBdr>
            <w:top w:val="none" w:sz="0" w:space="0" w:color="auto"/>
            <w:left w:val="none" w:sz="0" w:space="0" w:color="auto"/>
            <w:bottom w:val="none" w:sz="0" w:space="0" w:color="auto"/>
            <w:right w:val="none" w:sz="0" w:space="0" w:color="auto"/>
          </w:divBdr>
          <w:divsChild>
            <w:div w:id="858740078">
              <w:marLeft w:val="0"/>
              <w:marRight w:val="0"/>
              <w:marTop w:val="0"/>
              <w:marBottom w:val="0"/>
              <w:divBdr>
                <w:top w:val="none" w:sz="0" w:space="0" w:color="auto"/>
                <w:left w:val="none" w:sz="0" w:space="0" w:color="auto"/>
                <w:bottom w:val="none" w:sz="0" w:space="0" w:color="auto"/>
                <w:right w:val="none" w:sz="0" w:space="0" w:color="auto"/>
              </w:divBdr>
              <w:divsChild>
                <w:div w:id="1209688252">
                  <w:marLeft w:val="0"/>
                  <w:marRight w:val="0"/>
                  <w:marTop w:val="0"/>
                  <w:marBottom w:val="0"/>
                  <w:divBdr>
                    <w:top w:val="none" w:sz="0" w:space="0" w:color="auto"/>
                    <w:left w:val="none" w:sz="0" w:space="0" w:color="auto"/>
                    <w:bottom w:val="none" w:sz="0" w:space="0" w:color="auto"/>
                    <w:right w:val="none" w:sz="0" w:space="0" w:color="auto"/>
                  </w:divBdr>
                </w:div>
              </w:divsChild>
            </w:div>
            <w:div w:id="9377797">
              <w:marLeft w:val="0"/>
              <w:marRight w:val="0"/>
              <w:marTop w:val="0"/>
              <w:marBottom w:val="0"/>
              <w:divBdr>
                <w:top w:val="none" w:sz="0" w:space="0" w:color="auto"/>
                <w:left w:val="none" w:sz="0" w:space="0" w:color="auto"/>
                <w:bottom w:val="none" w:sz="0" w:space="0" w:color="auto"/>
                <w:right w:val="none" w:sz="0" w:space="0" w:color="auto"/>
              </w:divBdr>
              <w:divsChild>
                <w:div w:id="48573720">
                  <w:marLeft w:val="0"/>
                  <w:marRight w:val="0"/>
                  <w:marTop w:val="0"/>
                  <w:marBottom w:val="0"/>
                  <w:divBdr>
                    <w:top w:val="none" w:sz="0" w:space="0" w:color="auto"/>
                    <w:left w:val="none" w:sz="0" w:space="0" w:color="auto"/>
                    <w:bottom w:val="none" w:sz="0" w:space="0" w:color="auto"/>
                    <w:right w:val="none" w:sz="0" w:space="0" w:color="auto"/>
                  </w:divBdr>
                </w:div>
              </w:divsChild>
            </w:div>
            <w:div w:id="1883901378">
              <w:marLeft w:val="0"/>
              <w:marRight w:val="0"/>
              <w:marTop w:val="0"/>
              <w:marBottom w:val="0"/>
              <w:divBdr>
                <w:top w:val="none" w:sz="0" w:space="0" w:color="auto"/>
                <w:left w:val="none" w:sz="0" w:space="0" w:color="auto"/>
                <w:bottom w:val="none" w:sz="0" w:space="0" w:color="auto"/>
                <w:right w:val="none" w:sz="0" w:space="0" w:color="auto"/>
              </w:divBdr>
              <w:divsChild>
                <w:div w:id="1973826803">
                  <w:marLeft w:val="0"/>
                  <w:marRight w:val="0"/>
                  <w:marTop w:val="0"/>
                  <w:marBottom w:val="0"/>
                  <w:divBdr>
                    <w:top w:val="none" w:sz="0" w:space="0" w:color="auto"/>
                    <w:left w:val="none" w:sz="0" w:space="0" w:color="auto"/>
                    <w:bottom w:val="none" w:sz="0" w:space="0" w:color="auto"/>
                    <w:right w:val="none" w:sz="0" w:space="0" w:color="auto"/>
                  </w:divBdr>
                </w:div>
              </w:divsChild>
            </w:div>
            <w:div w:id="933168361">
              <w:marLeft w:val="0"/>
              <w:marRight w:val="0"/>
              <w:marTop w:val="0"/>
              <w:marBottom w:val="0"/>
              <w:divBdr>
                <w:top w:val="none" w:sz="0" w:space="0" w:color="auto"/>
                <w:left w:val="none" w:sz="0" w:space="0" w:color="auto"/>
                <w:bottom w:val="none" w:sz="0" w:space="0" w:color="auto"/>
                <w:right w:val="none" w:sz="0" w:space="0" w:color="auto"/>
              </w:divBdr>
              <w:divsChild>
                <w:div w:id="1506096070">
                  <w:marLeft w:val="0"/>
                  <w:marRight w:val="0"/>
                  <w:marTop w:val="0"/>
                  <w:marBottom w:val="0"/>
                  <w:divBdr>
                    <w:top w:val="none" w:sz="0" w:space="0" w:color="auto"/>
                    <w:left w:val="none" w:sz="0" w:space="0" w:color="auto"/>
                    <w:bottom w:val="none" w:sz="0" w:space="0" w:color="auto"/>
                    <w:right w:val="none" w:sz="0" w:space="0" w:color="auto"/>
                  </w:divBdr>
                </w:div>
              </w:divsChild>
            </w:div>
            <w:div w:id="841553041">
              <w:marLeft w:val="0"/>
              <w:marRight w:val="0"/>
              <w:marTop w:val="0"/>
              <w:marBottom w:val="0"/>
              <w:divBdr>
                <w:top w:val="none" w:sz="0" w:space="0" w:color="auto"/>
                <w:left w:val="none" w:sz="0" w:space="0" w:color="auto"/>
                <w:bottom w:val="none" w:sz="0" w:space="0" w:color="auto"/>
                <w:right w:val="none" w:sz="0" w:space="0" w:color="auto"/>
              </w:divBdr>
              <w:divsChild>
                <w:div w:id="1553156766">
                  <w:marLeft w:val="0"/>
                  <w:marRight w:val="0"/>
                  <w:marTop w:val="0"/>
                  <w:marBottom w:val="0"/>
                  <w:divBdr>
                    <w:top w:val="none" w:sz="0" w:space="0" w:color="auto"/>
                    <w:left w:val="none" w:sz="0" w:space="0" w:color="auto"/>
                    <w:bottom w:val="none" w:sz="0" w:space="0" w:color="auto"/>
                    <w:right w:val="none" w:sz="0" w:space="0" w:color="auto"/>
                  </w:divBdr>
                </w:div>
              </w:divsChild>
            </w:div>
            <w:div w:id="995376996">
              <w:marLeft w:val="0"/>
              <w:marRight w:val="0"/>
              <w:marTop w:val="0"/>
              <w:marBottom w:val="0"/>
              <w:divBdr>
                <w:top w:val="none" w:sz="0" w:space="0" w:color="auto"/>
                <w:left w:val="none" w:sz="0" w:space="0" w:color="auto"/>
                <w:bottom w:val="none" w:sz="0" w:space="0" w:color="auto"/>
                <w:right w:val="none" w:sz="0" w:space="0" w:color="auto"/>
              </w:divBdr>
              <w:divsChild>
                <w:div w:id="788075">
                  <w:marLeft w:val="0"/>
                  <w:marRight w:val="0"/>
                  <w:marTop w:val="0"/>
                  <w:marBottom w:val="0"/>
                  <w:divBdr>
                    <w:top w:val="none" w:sz="0" w:space="0" w:color="auto"/>
                    <w:left w:val="none" w:sz="0" w:space="0" w:color="auto"/>
                    <w:bottom w:val="none" w:sz="0" w:space="0" w:color="auto"/>
                    <w:right w:val="none" w:sz="0" w:space="0" w:color="auto"/>
                  </w:divBdr>
                </w:div>
              </w:divsChild>
            </w:div>
            <w:div w:id="584610588">
              <w:marLeft w:val="0"/>
              <w:marRight w:val="0"/>
              <w:marTop w:val="0"/>
              <w:marBottom w:val="0"/>
              <w:divBdr>
                <w:top w:val="none" w:sz="0" w:space="0" w:color="auto"/>
                <w:left w:val="none" w:sz="0" w:space="0" w:color="auto"/>
                <w:bottom w:val="none" w:sz="0" w:space="0" w:color="auto"/>
                <w:right w:val="none" w:sz="0" w:space="0" w:color="auto"/>
              </w:divBdr>
              <w:divsChild>
                <w:div w:id="1851289051">
                  <w:marLeft w:val="0"/>
                  <w:marRight w:val="0"/>
                  <w:marTop w:val="0"/>
                  <w:marBottom w:val="0"/>
                  <w:divBdr>
                    <w:top w:val="none" w:sz="0" w:space="0" w:color="auto"/>
                    <w:left w:val="none" w:sz="0" w:space="0" w:color="auto"/>
                    <w:bottom w:val="none" w:sz="0" w:space="0" w:color="auto"/>
                    <w:right w:val="none" w:sz="0" w:space="0" w:color="auto"/>
                  </w:divBdr>
                </w:div>
              </w:divsChild>
            </w:div>
            <w:div w:id="1815560908">
              <w:marLeft w:val="0"/>
              <w:marRight w:val="0"/>
              <w:marTop w:val="0"/>
              <w:marBottom w:val="0"/>
              <w:divBdr>
                <w:top w:val="none" w:sz="0" w:space="0" w:color="auto"/>
                <w:left w:val="none" w:sz="0" w:space="0" w:color="auto"/>
                <w:bottom w:val="none" w:sz="0" w:space="0" w:color="auto"/>
                <w:right w:val="none" w:sz="0" w:space="0" w:color="auto"/>
              </w:divBdr>
              <w:divsChild>
                <w:div w:id="881744672">
                  <w:marLeft w:val="0"/>
                  <w:marRight w:val="0"/>
                  <w:marTop w:val="0"/>
                  <w:marBottom w:val="0"/>
                  <w:divBdr>
                    <w:top w:val="none" w:sz="0" w:space="0" w:color="auto"/>
                    <w:left w:val="none" w:sz="0" w:space="0" w:color="auto"/>
                    <w:bottom w:val="none" w:sz="0" w:space="0" w:color="auto"/>
                    <w:right w:val="none" w:sz="0" w:space="0" w:color="auto"/>
                  </w:divBdr>
                </w:div>
              </w:divsChild>
            </w:div>
            <w:div w:id="1556576142">
              <w:marLeft w:val="0"/>
              <w:marRight w:val="0"/>
              <w:marTop w:val="0"/>
              <w:marBottom w:val="0"/>
              <w:divBdr>
                <w:top w:val="none" w:sz="0" w:space="0" w:color="auto"/>
                <w:left w:val="none" w:sz="0" w:space="0" w:color="auto"/>
                <w:bottom w:val="none" w:sz="0" w:space="0" w:color="auto"/>
                <w:right w:val="none" w:sz="0" w:space="0" w:color="auto"/>
              </w:divBdr>
              <w:divsChild>
                <w:div w:id="360665960">
                  <w:marLeft w:val="0"/>
                  <w:marRight w:val="0"/>
                  <w:marTop w:val="0"/>
                  <w:marBottom w:val="0"/>
                  <w:divBdr>
                    <w:top w:val="none" w:sz="0" w:space="0" w:color="auto"/>
                    <w:left w:val="none" w:sz="0" w:space="0" w:color="auto"/>
                    <w:bottom w:val="none" w:sz="0" w:space="0" w:color="auto"/>
                    <w:right w:val="none" w:sz="0" w:space="0" w:color="auto"/>
                  </w:divBdr>
                </w:div>
              </w:divsChild>
            </w:div>
            <w:div w:id="824320222">
              <w:marLeft w:val="0"/>
              <w:marRight w:val="0"/>
              <w:marTop w:val="0"/>
              <w:marBottom w:val="0"/>
              <w:divBdr>
                <w:top w:val="none" w:sz="0" w:space="0" w:color="auto"/>
                <w:left w:val="none" w:sz="0" w:space="0" w:color="auto"/>
                <w:bottom w:val="none" w:sz="0" w:space="0" w:color="auto"/>
                <w:right w:val="none" w:sz="0" w:space="0" w:color="auto"/>
              </w:divBdr>
              <w:divsChild>
                <w:div w:id="589587187">
                  <w:marLeft w:val="0"/>
                  <w:marRight w:val="0"/>
                  <w:marTop w:val="0"/>
                  <w:marBottom w:val="0"/>
                  <w:divBdr>
                    <w:top w:val="none" w:sz="0" w:space="0" w:color="auto"/>
                    <w:left w:val="none" w:sz="0" w:space="0" w:color="auto"/>
                    <w:bottom w:val="none" w:sz="0" w:space="0" w:color="auto"/>
                    <w:right w:val="none" w:sz="0" w:space="0" w:color="auto"/>
                  </w:divBdr>
                </w:div>
              </w:divsChild>
            </w:div>
            <w:div w:id="1715345198">
              <w:marLeft w:val="0"/>
              <w:marRight w:val="0"/>
              <w:marTop w:val="0"/>
              <w:marBottom w:val="0"/>
              <w:divBdr>
                <w:top w:val="none" w:sz="0" w:space="0" w:color="auto"/>
                <w:left w:val="none" w:sz="0" w:space="0" w:color="auto"/>
                <w:bottom w:val="none" w:sz="0" w:space="0" w:color="auto"/>
                <w:right w:val="none" w:sz="0" w:space="0" w:color="auto"/>
              </w:divBdr>
              <w:divsChild>
                <w:div w:id="2104111634">
                  <w:marLeft w:val="0"/>
                  <w:marRight w:val="0"/>
                  <w:marTop w:val="0"/>
                  <w:marBottom w:val="0"/>
                  <w:divBdr>
                    <w:top w:val="none" w:sz="0" w:space="0" w:color="auto"/>
                    <w:left w:val="none" w:sz="0" w:space="0" w:color="auto"/>
                    <w:bottom w:val="none" w:sz="0" w:space="0" w:color="auto"/>
                    <w:right w:val="none" w:sz="0" w:space="0" w:color="auto"/>
                  </w:divBdr>
                </w:div>
              </w:divsChild>
            </w:div>
            <w:div w:id="1985890796">
              <w:marLeft w:val="0"/>
              <w:marRight w:val="0"/>
              <w:marTop w:val="0"/>
              <w:marBottom w:val="0"/>
              <w:divBdr>
                <w:top w:val="none" w:sz="0" w:space="0" w:color="auto"/>
                <w:left w:val="none" w:sz="0" w:space="0" w:color="auto"/>
                <w:bottom w:val="none" w:sz="0" w:space="0" w:color="auto"/>
                <w:right w:val="none" w:sz="0" w:space="0" w:color="auto"/>
              </w:divBdr>
              <w:divsChild>
                <w:div w:id="1140537371">
                  <w:marLeft w:val="0"/>
                  <w:marRight w:val="0"/>
                  <w:marTop w:val="0"/>
                  <w:marBottom w:val="0"/>
                  <w:divBdr>
                    <w:top w:val="none" w:sz="0" w:space="0" w:color="auto"/>
                    <w:left w:val="none" w:sz="0" w:space="0" w:color="auto"/>
                    <w:bottom w:val="none" w:sz="0" w:space="0" w:color="auto"/>
                    <w:right w:val="none" w:sz="0" w:space="0" w:color="auto"/>
                  </w:divBdr>
                </w:div>
              </w:divsChild>
            </w:div>
            <w:div w:id="999121323">
              <w:marLeft w:val="0"/>
              <w:marRight w:val="0"/>
              <w:marTop w:val="0"/>
              <w:marBottom w:val="0"/>
              <w:divBdr>
                <w:top w:val="none" w:sz="0" w:space="0" w:color="auto"/>
                <w:left w:val="none" w:sz="0" w:space="0" w:color="auto"/>
                <w:bottom w:val="none" w:sz="0" w:space="0" w:color="auto"/>
                <w:right w:val="none" w:sz="0" w:space="0" w:color="auto"/>
              </w:divBdr>
              <w:divsChild>
                <w:div w:id="21326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3346">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bph-20200630xex31d2.htm" TargetMode="External"/><Relationship Id="rId3" Type="http://schemas.openxmlformats.org/officeDocument/2006/relationships/webSettings" Target="webSettings.xml"/><Relationship Id="rId7" Type="http://schemas.openxmlformats.org/officeDocument/2006/relationships/hyperlink" Target="tbph-20200630xex31d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583107/000110465920076844/tm2023294d1_ex10-3.htm" TargetMode="External"/><Relationship Id="rId11" Type="http://schemas.openxmlformats.org/officeDocument/2006/relationships/theme" Target="theme/theme1.xml"/><Relationship Id="rId5" Type="http://schemas.openxmlformats.org/officeDocument/2006/relationships/hyperlink" Target="https://www.sec.gov/Archives/edgar/data/1583107/000110465920076844/tm2023294d1_ex10-2.htm" TargetMode="External"/><Relationship Id="rId10" Type="http://schemas.openxmlformats.org/officeDocument/2006/relationships/fontTable" Target="fontTable.xml"/><Relationship Id="rId4" Type="http://schemas.openxmlformats.org/officeDocument/2006/relationships/hyperlink" Target="https://www.sec.gov/Archives/edgar/data/1583107/000110465920076844/tm2023294d1_ex10-1.htm" TargetMode="External"/><Relationship Id="rId9" Type="http://schemas.openxmlformats.org/officeDocument/2006/relationships/hyperlink" Target="tbph-20200630xex3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51594</Words>
  <Characters>294092</Characters>
  <Application>Microsoft Office Word</Application>
  <DocSecurity>0</DocSecurity>
  <Lines>2450</Lines>
  <Paragraphs>689</Paragraphs>
  <ScaleCrop>false</ScaleCrop>
  <Company/>
  <LinksUpToDate>false</LinksUpToDate>
  <CharactersWithSpaces>344997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dc:title>
  <dc:subject/>
  <dc:creator>Chongjian.Yue</dc:creator>
  <cp:keywords/>
  <dc:description/>
  <cp:lastModifiedBy>Yue Chongjian</cp:lastModifiedBy>
  <cp:revision>1</cp:revision>
  <dcterms:created xsi:type="dcterms:W3CDTF">2024-01-04T16:16:00Z</dcterms:created>
  <dcterms:modified xsi:type="dcterms:W3CDTF">2024-01-04T16:16:00Z</dcterms:modified>
</cp:coreProperties>
</file>