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51E11">
      <w:pPr>
        <w:divId w:val="124737609"/>
        <w:rPr>
          <w:rFonts w:eastAsia="Times New Roman"/>
          <w:vanish/>
        </w:rPr>
      </w:pPr>
      <w:r>
        <w:rPr>
          <w:rFonts w:eastAsia="Times New Roman"/>
          <w:vanish/>
        </w:rPr>
        <w:t>000001583107--12-312020Q3false57015000639560000001583107tbph:NonRecourseDebt2033Member2020-02-2800015831072020-02-142020-02-140001583107us-gaap:RetainedEarningsMember2020-09-300001583107</w:t>
      </w:r>
      <w:r>
        <w:rPr>
          <w:rFonts w:eastAsia="Times New Roman"/>
          <w:vanish/>
        </w:rPr>
        <w:t>us-gaap:AdditionalPaidInCapitalMember2020-09-300001583107us-gaap:AccumulatedOtherComprehensiveIncomeMember2020-09-300001583107us-gaap:RetainedEarningsMember2020-06-300001583107us-gaap:AdditionalPaidInCapitalMember2020-06-300001583107us-gaap:AccumulatedOthe</w:t>
      </w:r>
      <w:r>
        <w:rPr>
          <w:rFonts w:eastAsia="Times New Roman"/>
          <w:vanish/>
        </w:rPr>
        <w:t>rComprehensiveIncomeMember2020-06-3000015831072020-06-300001583107us-gaap:RetainedEarningsMember2019-12-310001583107us-gaap:AdditionalPaidInCapitalMember2019-12-310001583107us-gaap:AccumulatedOtherComprehensiveIncomeMember2019-12-310001583107us-gaap:Retain</w:t>
      </w:r>
      <w:r>
        <w:rPr>
          <w:rFonts w:eastAsia="Times New Roman"/>
          <w:vanish/>
        </w:rPr>
        <w:t>edEarningsMember2019-09-300001583107us-gaap:AdditionalPaidInCapitalMember2019-09-300001583107us-gaap:AccumulatedOtherComprehensiveIncomeMember2019-09-300001583107us-gaap:RetainedEarningsMember2019-06-300001583107us-gaap:AdditionalPaidInCapitalMember2019-06</w:t>
      </w:r>
      <w:r>
        <w:rPr>
          <w:rFonts w:eastAsia="Times New Roman"/>
          <w:vanish/>
        </w:rPr>
        <w:t>-300001583107us-gaap:AccumulatedOtherComprehensiveIncomeMember2019-06-3000015831072019-06-300001583107us-gaap:RetainedEarningsMember2018-12-310001583107us-gaap:AdditionalPaidInCapitalMember2018-12-310001583107us-gaap:AccumulatedOtherComprehensiveIncomeMemb</w:t>
      </w:r>
      <w:r>
        <w:rPr>
          <w:rFonts w:eastAsia="Times New Roman"/>
          <w:vanish/>
        </w:rPr>
        <w:t>er2018-12-3100015831072018-12-310001583107us-gaap:CommonStockMember2020-07-012020-09-300001583107us-gaap:CommonStockMember2020-01-012020-09-300001583107us-gaap:CommonStockMember2019-07-012019-09-300001583107us-gaap:CommonStockMember2019-01-012019-09-300001</w:t>
      </w:r>
      <w:r>
        <w:rPr>
          <w:rFonts w:eastAsia="Times New Roman"/>
          <w:vanish/>
        </w:rPr>
        <w:t>5831072020-02-140001583107srt:ManagementMembertbph:EmployeePerformanceRestrictedStockUnitsRSUMember2016-12-310001583107tbph:EmployeePerformanceRestrictedStockMember2016-12-310001583107tbph:EmployeePerformanceRestrictedStockUnitsRSUMember2020-09-30000158310</w:t>
      </w:r>
      <w:r>
        <w:rPr>
          <w:rFonts w:eastAsia="Times New Roman"/>
          <w:vanish/>
        </w:rPr>
        <w:t>7tbph:EmployeePerformanceRestrictedStockUnitsRsuAndCashBonusMilestonesMember2020-09-300001583107tbph:EmployeePerformanceRestrictedStockMember2020-09-300001583107tbph:EmployeePerformanceRestrictedStockUnitsRSUMember2019-09-300001583107tbph:EmployeePerforman</w:t>
      </w:r>
      <w:r>
        <w:rPr>
          <w:rFonts w:eastAsia="Times New Roman"/>
          <w:vanish/>
        </w:rPr>
        <w:t>ceRestrictedStockMember2019-09-300001583107tbph:EmployeePerformanceRestrictedStockMember2016-01-012016-12-310001583107tbph:TheravanceRespiratoryCompanyLlcMember2020-07-012020-09-300001583107tbph:TheravanceRespiratoryCompanyLlcMember2019-07-012019-09-300001</w:t>
      </w:r>
      <w:r>
        <w:rPr>
          <w:rFonts w:eastAsia="Times New Roman"/>
          <w:vanish/>
        </w:rPr>
        <w:t>583107tbph:TheravanceRespiratoryCompanyLlcMember2019-01-012019-09-300001583107tbph:CoPromoteAgreementMember2020-07-012020-09-300001583107us-gaap:LicenseMember2020-01-012020-09-300001583107tbph:CoPromoteAgreementMember2020-01-012020-09-300001583107tbph:Pfiz</w:t>
      </w:r>
      <w:r>
        <w:rPr>
          <w:rFonts w:eastAsia="Times New Roman"/>
          <w:vanish/>
        </w:rPr>
        <w:t>erInc.Membertbph:SalesMilestonesMember2019-12-012019-12-310001583107tbph:CoPromoteAgreementMember2019-07-012019-09-300001583107us-gaap:LicenseMember2019-01-012019-09-300001583107tbph:CoPromoteAgreementMember2019-01-012019-09-300001583107tbph:MylanMembertbp</w:t>
      </w:r>
      <w:r>
        <w:rPr>
          <w:rFonts w:eastAsia="Times New Roman"/>
          <w:vanish/>
        </w:rPr>
        <w:t>h:Milestone50PercentEnrollmentInPhase3Membertbph:DevelopmentAndCommercializationAgreementMember2016-01-012016-12-310001583107us-gaap:AccumulatedOtherComprehensiveIncomeMember2020-07-012020-09-300001583107us-gaap:AccumulatedOtherComprehensiveIncomeMember202</w:t>
      </w:r>
      <w:r>
        <w:rPr>
          <w:rFonts w:eastAsia="Times New Roman"/>
          <w:vanish/>
        </w:rPr>
        <w:t>0-01-012020-09-300001583107us-gaap:AccumulatedOtherComprehensiveIncomeMember2019-07-012019-09-300001583107us-gaap:AccumulatedOtherComprehensiveIncomeMember2019-01-012019-09-300001583107us-gaap:RetainedEarningsMember2020-07-012020-09-300001583107us-gaap:Ret</w:t>
      </w:r>
      <w:r>
        <w:rPr>
          <w:rFonts w:eastAsia="Times New Roman"/>
          <w:vanish/>
        </w:rPr>
        <w:t>ainedEarningsMember2020-01-012020-09-300001583107us-gaap:RetainedEarningsMember2019-07-012019-09-300001583107us-gaap:RetainedEarningsMember2019-01-012019-09-300001583107tbph:TheravanceRespiratoryCompanyLlcMember2019-12-310001583107tbph:IssuerTwoClassCUnits</w:t>
      </w:r>
      <w:r>
        <w:rPr>
          <w:rFonts w:eastAsia="Times New Roman"/>
          <w:vanish/>
        </w:rPr>
        <w:t>Member2020-02-210001583107tbph:TheravanceRespiratoryCompanyLlcMember2020-09-300001583107us-gaap:USTreasuryAndGovernmentMember2020-09-300001583107us-gaap:CommercialPaperMember2020-09-300001583107us-gaap:CorporateNoteSecuritiesMember2019-12-310001583107us-ga</w:t>
      </w:r>
      <w:r>
        <w:rPr>
          <w:rFonts w:eastAsia="Times New Roman"/>
          <w:vanish/>
        </w:rPr>
        <w:t>ap:CommercialPaperMember2019-12-310001583107tbph:NonRecourseDebt2033Member2020-09-300001583107tbph:NonRecourseDebt2033Member2019-09-300001583107tbph:NonRecourseDebt2033Member2018-11-300001583107tbph:TermNotesDue2035Member2020-09-300001583107us-gaap:SeniorN</w:t>
      </w:r>
      <w:r>
        <w:rPr>
          <w:rFonts w:eastAsia="Times New Roman"/>
          <w:vanish/>
        </w:rPr>
        <w:t>otesMember2020-09-300001583107tbph:PfizerInc.Member2019-10-012019-12-310001583107tbph:MylanMember2019-06-012019-06-300001583107tbph:MylanMember2020-09-300001583107tbph:JanssenBiotechIncMember2020-09-300001583107us-gaap:CommonStockMember2020-09-300001583107</w:t>
      </w:r>
      <w:r>
        <w:rPr>
          <w:rFonts w:eastAsia="Times New Roman"/>
          <w:vanish/>
        </w:rPr>
        <w:t>us-gaap:CommonStockMember2020-06-300001583107us-gaap:CommonStockMember2019-12-310001583107us-gaap:CommonStockMember2019-09-300001583107us-gaap:CommonStockMember2019-06-300001583107us-gaap:CommonStockMember2018-12-3100015831072017-12-3100015831072019-09-300</w:t>
      </w:r>
      <w:r>
        <w:rPr>
          <w:rFonts w:eastAsia="Times New Roman"/>
          <w:vanish/>
        </w:rPr>
        <w:t>001583107tbph:MylanMembertbph:YupelriMonotherapyMembertbph:SalesMilestonesMember2020-09-300001583107tbph:MylanMembertbph:YupelriMonotherapyMembertbph:EuropeanUnionRegulatoryIssuesMember2020-09-300001583107tbph:MylanMembertbph:YupelriMonotherapyMembertbph:D</w:t>
      </w:r>
      <w:r>
        <w:rPr>
          <w:rFonts w:eastAsia="Times New Roman"/>
          <w:vanish/>
        </w:rPr>
        <w:t>evelopmentAndSalesMilestonesMember2020-09-300001583107tbph:MylanMembertbph:YupelriMonotherapyMembertbph:DevelopmentAndCommercializationAgreementMember2020-09-300001583107tbph:MylanMembertbph:FuturePotentialCombinationProductsMember2020-09-300001583107tbph:</w:t>
      </w:r>
      <w:r>
        <w:rPr>
          <w:rFonts w:eastAsia="Times New Roman"/>
          <w:vanish/>
        </w:rPr>
        <w:t>MylanMembertbph:DevelopmentAndSalesMilestonesMember2020-09-300001583107tbph:MylanMember2020-03-310001583107tbph:MylanMembertbph:FuturePotentialCombinationProductsMembertbph:DevelopmentAndSalesMilestonesMember2019-06-300001583107tbph:MylanMembertbph:Yupelri</w:t>
      </w:r>
      <w:r>
        <w:rPr>
          <w:rFonts w:eastAsia="Times New Roman"/>
          <w:vanish/>
        </w:rPr>
        <w:t>MonotherapyMember2019-06-300001583107tbph:MylanMembertbph:SalesMilestonesMember2019-06-300001583107tbph:MylanMembertbph:FuturePotentialCombinationProductsMember2019-06-300001583107us-gaap:FairValueInputsLevel1Memberus-gaap:MoneyMarketFundsMember2020-09-300</w:t>
      </w:r>
      <w:r>
        <w:rPr>
          <w:rFonts w:eastAsia="Times New Roman"/>
          <w:vanish/>
        </w:rPr>
        <w:t>001583107us-gaap:FairValueInputsLevel1Memberus-gaap:MoneyMarketFundsMember2019-12-310001583107us-gaap:FairValueInputsLevel2Memberus-gaap:USGovernmentAgenciesDebtSecuritiesMember2020-09-300001583107us-gaap:FairValueInputsLevel2Memberus-gaap:CommercialPaperM</w:t>
      </w:r>
      <w:r>
        <w:rPr>
          <w:rFonts w:eastAsia="Times New Roman"/>
          <w:vanish/>
        </w:rPr>
        <w:t>ember2020-09-300001583107us-gaap:FairValueInputsLevel1Memberus-gaap:USTreasuryAndGovernmentMember2020-09-300001583107tbph:MarketableSecuritiesMember2020-09-300001583107us-gaap:FairValueInputsLevel2Memberus-gaap:CorporateNoteSecuritiesMember2019-12-31000158</w:t>
      </w:r>
      <w:r>
        <w:rPr>
          <w:rFonts w:eastAsia="Times New Roman"/>
          <w:vanish/>
        </w:rPr>
        <w:t>3107us-gaap:FairValueInputsLevel2Memberus-gaap:CommercialPaperMember2019-12-310001583107us-gaap:FairValueInputsLevel1Memberus-gaap:USTreasuryAndGovernmentMember2019-12-310001583107tbph:MarketableSecuritiesMember2019-12-310001583107us-gaap:StockCompensation</w:t>
      </w:r>
      <w:r>
        <w:rPr>
          <w:rFonts w:eastAsia="Times New Roman"/>
          <w:vanish/>
        </w:rPr>
        <w:t>PlanMember2020-07-012020-09-300001583107us-gaap:ConvertibleSubordinatedDebtMember2020-07-012020-09-300001583107us-gaap:StockCompensationPlanMember2020-01-012020-09-300001583107us-gaap:PerformanceSharesMember2020-01-012020-09-300001583107us-gaap:Convertible</w:t>
      </w:r>
      <w:r>
        <w:rPr>
          <w:rFonts w:eastAsia="Times New Roman"/>
          <w:vanish/>
        </w:rPr>
        <w:t>SubordinatedDebtMember2020-01-012020-09-300001583107us-gaap:StockCompensationPlanMember2019-07-012019-09-300001583107us-gaap:ConvertibleSubordinatedDebtMember2019-07-012019-09-300001583107us-gaap:StockCompensationPlanMember2019-01-012019-09-300001583107us-</w:t>
      </w:r>
      <w:r>
        <w:rPr>
          <w:rFonts w:eastAsia="Times New Roman"/>
          <w:vanish/>
        </w:rPr>
        <w:t>gaap:PerformanceSharesMember2019-01-012019-09-300001583107us-gaap:ConvertibleSubordinatedDebtMember2019-01-012019-09-300001583107us-gaap:ShareBasedCompensationAwardTrancheThreeMember2020-07-012020-09-300001583107us-gaap:SellingGeneralAndAdministrativeExpen</w:t>
      </w:r>
      <w:r>
        <w:rPr>
          <w:rFonts w:eastAsia="Times New Roman"/>
          <w:vanish/>
        </w:rPr>
        <w:t>sesMember2020-07-012020-09-300001583107us-gaap:ResearchAndDevelopmentExpenseMember2020-07-012020-09-300001583107tbph:EmployeePerformanceRestrictedStockUnitsRsuAndCashBonusMilestonesMember2020-07-012020-09-300001583107us-gaap:ScenarioPlanMemberus-gaap:Selli</w:t>
      </w:r>
      <w:r>
        <w:rPr>
          <w:rFonts w:eastAsia="Times New Roman"/>
          <w:vanish/>
        </w:rPr>
        <w:t>ngGeneralAndAdministrativeExpensesMemberus-gaap:ShareBasedCompensationAwardTrancheThreeMember2020-01-012020-09-300001583107us-gaap:ScenarioPlanMemberus-gaap:ResearchAndDevelopmentExpenseMemberus-gaap:ShareBasedCompensationAwardTrancheThreeMember2020-01-012</w:t>
      </w:r>
      <w:r>
        <w:rPr>
          <w:rFonts w:eastAsia="Times New Roman"/>
          <w:vanish/>
        </w:rPr>
        <w:t>020-09-300001583107us-gaap:ScenarioPlanMemberus-gaap:ShareBasedCompensationAwardTrancheThreeMember2020-01-012020-09-300001583107us-gaap:ScenarioPlanMembertbph:EmployeePerformanceRestrictedStockUnitsRsuAndCashBonusMilestonesMember2020-01-012020-09-300001583</w:t>
      </w:r>
      <w:r>
        <w:rPr>
          <w:rFonts w:eastAsia="Times New Roman"/>
          <w:vanish/>
        </w:rPr>
        <w:t>107us-gaap:ShareBasedCompensationAwardTrancheTwoMember2020-01-012020-09-300001583107us-gaap:ShareBasedCompensationAwardTrancheThreeMember2020-01-012020-09-300001583107us-gaap:SellingGeneralAndAdministrativeExpensesMember2020-01-012020-09-300001583107us-gaa</w:t>
      </w:r>
      <w:r>
        <w:rPr>
          <w:rFonts w:eastAsia="Times New Roman"/>
          <w:vanish/>
        </w:rPr>
        <w:t>p:ResearchAndDevelopmentExpenseMember2020-01-012020-09-300001583107tbph:EmployeePerformanceRestrictedStockUnitsRSUMember2020-01-012020-09-300001583107us-gaap:ShareBasedCompensationAwardTrancheTwoMember2019-07-012019-09-300001583107us-gaap:SellingGeneralAnd</w:t>
      </w:r>
      <w:r>
        <w:rPr>
          <w:rFonts w:eastAsia="Times New Roman"/>
          <w:vanish/>
        </w:rPr>
        <w:t>AdministrativeExpensesMember2019-07-012019-09-300001583107us-gaap:ResearchAndDevelopmentExpenseMember2019-07-012019-09-300001583107us-gaap:ShareBasedCompensationAwardTrancheTwoMember2019-01-012019-09-300001583107us-gaap:SellingGeneralAndAdministrativeExpen</w:t>
      </w:r>
      <w:r>
        <w:rPr>
          <w:rFonts w:eastAsia="Times New Roman"/>
          <w:vanish/>
        </w:rPr>
        <w:t>sesMember2019-01-012019-09-300001583107us-gaap:ResearchAndDevelopmentExpenseMember2019-01-012019-09-300001583107us-gaap:AdditionalPaidInCapitalMember2020-07-012020-09-300001583107us-gaap:AdditionalPaidInCapitalMember2020-01-012020-09-300001583107us-gaap:Ad</w:t>
      </w:r>
      <w:r>
        <w:rPr>
          <w:rFonts w:eastAsia="Times New Roman"/>
          <w:vanish/>
        </w:rPr>
        <w:t>ditionalPaidInCapitalMember2019-07-012019-09-300001583107us-gaap:AdditionalPaidInCapitalMember2019-01-012019-09-300001583107tbph:MylanMembertbph:OrdinarySharePurchaseAgreementMember2015-01-012015-12-310001583107tbph:PfizerInc.Member2019-12-012019-12-310001</w:t>
      </w:r>
      <w:r>
        <w:rPr>
          <w:rFonts w:eastAsia="Times New Roman"/>
          <w:vanish/>
        </w:rPr>
        <w:t>583107tbph:MylanMember2015-01-012015-01-3100015831072018-02-012018-02-280001583107srt:MinimumMembertbph:TheravanceRespiratoryCompanyLlcMember2020-02-212020-02-210001583107srt:MaximumMembertbph:TheravanceRespiratoryCompanyLlcMember2020-02-212020-02-21000158</w:t>
      </w:r>
      <w:r>
        <w:rPr>
          <w:rFonts w:eastAsia="Times New Roman"/>
          <w:vanish/>
        </w:rPr>
        <w:t>3107tbph:GlaxoSmithKlinePlcSeniorNotesMember2020-06-222020-06-220001583107tbph:TermNotesDue2035Member2020-02-210001583107tbph:TermNotesDue2035Member2020-07-012020-09-300001583107tbph:TermNotesDue2035Member2020-01-012020-09-300001583107tbph:MylanMembertbph:</w:t>
      </w:r>
      <w:r>
        <w:rPr>
          <w:rFonts w:eastAsia="Times New Roman"/>
          <w:vanish/>
        </w:rPr>
        <w:t>DevelopmentAndCommercializationAgreementMember2015-01-012016-12-310001583107tbph:MylanMembertbph:DevelopmentAndCommercializationAgreementMember2015-01-012015-12-310001583107tbph:ArbitrationAgainstInnovivaAndTrcMembertbph:TheravanceRespiratoryCompanyLlcMemb</w:t>
      </w:r>
      <w:r>
        <w:rPr>
          <w:rFonts w:eastAsia="Times New Roman"/>
          <w:vanish/>
        </w:rPr>
        <w:t>er2020-10-012020-10-310001583107tbph:TheravanceRespiratoryCompanyLlcMembertbph:IssuerTwoClassCUnitsMember2020-02-212020-02-210001583107tbph:TheravanceRespiratoryCompanyLlcMember2020-02-212020-02-210001583107tbph:IssuerTwoClassCUnitsMember2020-02-212020-02-</w:t>
      </w:r>
      <w:r>
        <w:rPr>
          <w:rFonts w:eastAsia="Times New Roman"/>
          <w:vanish/>
        </w:rPr>
        <w:t>210001583107tbph:GlaxoSmithKlinePlcSeniorNotesMember2020-06-220001583107tbph:NonRecourseDebt2033Member2020-01-012020-09-300001583107tbph:NonRecourseDebt2033Member2018-11-012018-11-300001583107tbph:YupelriMonotherapyMembertbph:CoPromoteAgreementMember2020-0</w:t>
      </w:r>
      <w:r>
        <w:rPr>
          <w:rFonts w:eastAsia="Times New Roman"/>
          <w:vanish/>
        </w:rPr>
        <w:t>7-012020-09-300001583107tbph:OthersMember2020-07-012020-09-300001583107tbph:CoPromoteAgreementMember2020-07-012020-09-300001583107tbph:CollaborativeArrangementRevenueMember2020-07-012020-09-300001583107tbph:YupelriMonotherapyMembertbph:CoPromoteAgreementMe</w:t>
      </w:r>
      <w:r>
        <w:rPr>
          <w:rFonts w:eastAsia="Times New Roman"/>
          <w:vanish/>
        </w:rPr>
        <w:t>mber2020-01-012020-09-300001583107tbph:OthersMember2020-01-012020-09-300001583107tbph:CoPromoteAgreementMember2020-01-012020-09-300001583107tbph:CollaborativeArrangementRevenueMember2020-01-012020-09-300001583107tbph:YupelriMonotherapyMembertbph:CoPromoteA</w:t>
      </w:r>
      <w:r>
        <w:rPr>
          <w:rFonts w:eastAsia="Times New Roman"/>
          <w:vanish/>
        </w:rPr>
        <w:t>greementMember2019-07-012019-09-300001583107tbph:OthersMember2019-07-012019-09-300001583107tbph:CoPromoteAgreementMember2019-07-012019-09-300001583107tbph:CollaborativeArrangementRevenueMember2019-07-012019-09-300001583107tbph:YupelriMonotherapyMembertbph:</w:t>
      </w:r>
      <w:r>
        <w:rPr>
          <w:rFonts w:eastAsia="Times New Roman"/>
          <w:vanish/>
        </w:rPr>
        <w:t>CoPromoteAgreementMember2019-01-012019-09-300001583107tbph:OthersMember2019-01-012019-09-300001583107tbph:CollaborativeArrangementRevenueMember2019-01-012019-09-300001583107tbph:MylanMember2020-07-012020-09-300001583107tbph:JanssenBiotechIncMember2020-07-0</w:t>
      </w:r>
      <w:r>
        <w:rPr>
          <w:rFonts w:eastAsia="Times New Roman"/>
          <w:vanish/>
        </w:rPr>
        <w:t>12020-09-3000015831072020-07-012020-09-300001583107tbph:MylanMember2020-01-012020-09-300001583107tbph:JanssenBiotechIncMember2020-01-012020-09-300001583107tbph:MylanMember2019-07-012019-09-300001583107tbph:JanssenBiotechIncMember2019-07-012019-09-300001583</w:t>
      </w:r>
      <w:r>
        <w:rPr>
          <w:rFonts w:eastAsia="Times New Roman"/>
          <w:vanish/>
        </w:rPr>
        <w:t>1072019-07-012019-09-300001583107tbph:MylanMember2019-01-012019-09-300001583107tbph:JanssenBiotechIncMember2019-01-012019-09-300001583107tbph:JanssenBiotechIncMembertbph:Td1473Memberus-gaap:CollaborativeArrangementMember2018-02-012018-02-280001583107tbph:J</w:t>
      </w:r>
      <w:r>
        <w:rPr>
          <w:rFonts w:eastAsia="Times New Roman"/>
          <w:vanish/>
        </w:rPr>
        <w:t>anssenBiotechIncMemberus-gaap:CollaborativeArrangementMember2018-02-012018-02-280001583107tbph:CoPromoteAgreementMember2019-01-012019-09-300001583107tbph:JanssenBiotechIncMember2018-02-012018-02-280001583107tbph:TheravanceRespiratoryCompanyLlcMember2020-01</w:t>
      </w:r>
      <w:r>
        <w:rPr>
          <w:rFonts w:eastAsia="Times New Roman"/>
          <w:vanish/>
        </w:rPr>
        <w:t>-012020-09-3000015831072019-01-012019-09-3000015831072020-09-3000015831072019-12-3100015831072020-10-3000015831072020-01-012020-09-30xbrli:sharesiso4217:USDxbrli:puretbph:plantbph:itemiso4217:USDxbrli:shares</w:t>
      </w:r>
    </w:p>
    <w:p w:rsidR="00000000" w:rsidRDefault="00B51E11">
      <w:pPr>
        <w:pStyle w:val="a3"/>
        <w:spacing w:before="0" w:beforeAutospacing="0" w:after="120" w:afterAutospacing="0"/>
        <w:divId w:val="63725793"/>
        <w:rPr>
          <w:sz w:val="20"/>
          <w:szCs w:val="20"/>
        </w:rPr>
      </w:pPr>
      <w:hyperlink w:anchor="TOC" w:history="1">
        <w:r>
          <w:rPr>
            <w:rStyle w:val="a4"/>
            <w:sz w:val="20"/>
            <w:szCs w:val="20"/>
          </w:rPr>
          <w:t>Table of Contents</w:t>
        </w:r>
      </w:hyperlink>
    </w:p>
    <w:p w:rsidR="00000000" w:rsidRDefault="00B51E11">
      <w:pPr>
        <w:pStyle w:val="a3"/>
        <w:pBdr>
          <w:top w:val="single" w:sz="24" w:space="1" w:color="000000"/>
          <w:bottom w:val="single" w:sz="8" w:space="1" w:color="000000"/>
        </w:pBdr>
        <w:spacing w:before="0" w:beforeAutospacing="0" w:after="0" w:afterAutospacing="0"/>
        <w:divId w:val="1886598061"/>
        <w:rPr>
          <w:sz w:val="20"/>
          <w:szCs w:val="20"/>
        </w:rPr>
      </w:pPr>
      <w:r>
        <w:rPr>
          <w:sz w:val="2"/>
          <w:szCs w:val="2"/>
        </w:rPr>
        <w:t>​</w:t>
      </w:r>
    </w:p>
    <w:p w:rsidR="00000000" w:rsidRDefault="00B51E11">
      <w:pPr>
        <w:pStyle w:val="a3"/>
        <w:spacing w:before="0" w:beforeAutospacing="0" w:after="0" w:afterAutospacing="0"/>
        <w:divId w:val="1886598061"/>
        <w:rPr>
          <w:sz w:val="20"/>
          <w:szCs w:val="20"/>
        </w:rPr>
      </w:pPr>
      <w:r>
        <w:rPr>
          <w:sz w:val="10"/>
          <w:szCs w:val="10"/>
        </w:rPr>
        <w:t>​</w:t>
      </w:r>
    </w:p>
    <w:p w:rsidR="00000000" w:rsidRDefault="00B51E11">
      <w:pPr>
        <w:pStyle w:val="a3"/>
        <w:spacing w:before="0" w:beforeAutospacing="0" w:after="0" w:afterAutospacing="0"/>
        <w:jc w:val="center"/>
        <w:divId w:val="1886598061"/>
        <w:rPr>
          <w:sz w:val="20"/>
          <w:szCs w:val="20"/>
        </w:rPr>
      </w:pPr>
      <w:r>
        <w:rPr>
          <w:b/>
          <w:bCs/>
          <w:sz w:val="34"/>
          <w:szCs w:val="34"/>
        </w:rPr>
        <w:t>UNITED STATES</w:t>
      </w:r>
    </w:p>
    <w:p w:rsidR="00000000" w:rsidRDefault="00B51E11">
      <w:pPr>
        <w:pStyle w:val="a3"/>
        <w:spacing w:before="0" w:beforeAutospacing="0" w:after="0" w:afterAutospacing="0"/>
        <w:jc w:val="center"/>
        <w:divId w:val="1886598061"/>
        <w:rPr>
          <w:sz w:val="20"/>
          <w:szCs w:val="20"/>
        </w:rPr>
      </w:pPr>
      <w:r>
        <w:rPr>
          <w:b/>
          <w:bCs/>
          <w:sz w:val="34"/>
          <w:szCs w:val="34"/>
        </w:rPr>
        <w:t>SECURITIES AND EXCHANGE COMMISSION</w:t>
      </w:r>
    </w:p>
    <w:p w:rsidR="00000000" w:rsidRDefault="00B51E11">
      <w:pPr>
        <w:pStyle w:val="a3"/>
        <w:spacing w:before="0" w:beforeAutospacing="0" w:after="0" w:afterAutospacing="0"/>
        <w:jc w:val="center"/>
        <w:divId w:val="1886598061"/>
        <w:rPr>
          <w:sz w:val="18"/>
          <w:szCs w:val="18"/>
        </w:rPr>
      </w:pPr>
      <w:r>
        <w:rPr>
          <w:b/>
          <w:bCs/>
          <w:sz w:val="18"/>
          <w:szCs w:val="18"/>
        </w:rPr>
        <w:t>Washington, D.C. 20549</w:t>
      </w:r>
    </w:p>
    <w:p w:rsidR="00000000" w:rsidRDefault="00B51E11">
      <w:pPr>
        <w:pStyle w:val="a3"/>
        <w:spacing w:before="0" w:beforeAutospacing="0" w:after="0" w:afterAutospacing="0"/>
        <w:jc w:val="center"/>
        <w:divId w:val="1886598061"/>
        <w:rPr>
          <w:sz w:val="20"/>
          <w:szCs w:val="20"/>
        </w:rPr>
      </w:pPr>
      <w:r>
        <w:rPr>
          <w:b/>
          <w:bCs/>
          <w:sz w:val="10"/>
          <w:szCs w:val="10"/>
        </w:rPr>
        <w:t>​</w:t>
      </w:r>
    </w:p>
    <w:p w:rsidR="00000000" w:rsidRDefault="00B51E11">
      <w:pPr>
        <w:pStyle w:val="a3"/>
        <w:spacing w:before="0" w:beforeAutospacing="0" w:after="0" w:afterAutospacing="0"/>
        <w:jc w:val="center"/>
        <w:divId w:val="1886598061"/>
        <w:rPr>
          <w:sz w:val="34"/>
          <w:szCs w:val="34"/>
        </w:rPr>
      </w:pPr>
      <w:r>
        <w:rPr>
          <w:b/>
          <w:bCs/>
          <w:sz w:val="34"/>
          <w:szCs w:val="34"/>
        </w:rPr>
        <w:t>Form 10-Q</w:t>
      </w:r>
    </w:p>
    <w:p w:rsidR="00000000" w:rsidRDefault="00B51E11">
      <w:pPr>
        <w:pStyle w:val="a3"/>
        <w:spacing w:before="0" w:beforeAutospacing="0" w:after="0" w:afterAutospacing="0"/>
        <w:divId w:val="1886598061"/>
        <w:rPr>
          <w:sz w:val="20"/>
          <w:szCs w:val="20"/>
        </w:rPr>
      </w:pPr>
      <w:r>
        <w:rPr>
          <w:b/>
          <w:bCs/>
          <w:sz w:val="10"/>
          <w:szCs w:val="10"/>
        </w:rPr>
        <w:t>​</w:t>
      </w:r>
    </w:p>
    <w:p w:rsidR="00000000" w:rsidRDefault="00B51E11">
      <w:pPr>
        <w:pStyle w:val="a3"/>
        <w:spacing w:before="0" w:beforeAutospacing="0" w:after="0" w:afterAutospacing="0"/>
        <w:divId w:val="1886598061"/>
        <w:rPr>
          <w:sz w:val="18"/>
          <w:szCs w:val="18"/>
        </w:rPr>
      </w:pPr>
      <w:r>
        <w:rPr>
          <w:b/>
          <w:bCs/>
          <w:sz w:val="18"/>
          <w:szCs w:val="18"/>
        </w:rPr>
        <w:t>(Mark One)</w:t>
      </w:r>
    </w:p>
    <w:p w:rsidR="00000000" w:rsidRDefault="00B51E11">
      <w:pPr>
        <w:pStyle w:val="a3"/>
        <w:spacing w:before="0" w:beforeAutospacing="0" w:after="0" w:afterAutospacing="0"/>
        <w:ind w:left="360" w:hanging="360"/>
        <w:divId w:val="1886598061"/>
        <w:rPr>
          <w:sz w:val="20"/>
          <w:szCs w:val="20"/>
        </w:rPr>
      </w:pPr>
      <w:r>
        <w:rPr>
          <w:b/>
          <w:bCs/>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trPr>
          <w:divId w:val="1886598061"/>
        </w:trPr>
        <w:tc>
          <w:tcPr>
            <w:tcW w:w="360" w:type="dxa"/>
            <w:tcMar>
              <w:top w:w="0" w:type="dxa"/>
              <w:left w:w="0" w:type="dxa"/>
              <w:bottom w:w="0" w:type="dxa"/>
              <w:right w:w="0" w:type="dxa"/>
            </w:tcMar>
            <w:vAlign w:val="center"/>
            <w:hideMark/>
          </w:tcPr>
          <w:p w:rsidR="00000000" w:rsidRDefault="00B51E11">
            <w:pPr>
              <w:rPr>
                <w:sz w:val="20"/>
                <w:szCs w:val="20"/>
              </w:rPr>
            </w:pPr>
          </w:p>
        </w:tc>
        <w:tc>
          <w:tcPr>
            <w:tcW w:w="357" w:type="dxa"/>
            <w:noWrap/>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b/>
                <w:bCs/>
                <w:sz w:val="18"/>
                <w:szCs w:val="18"/>
              </w:rPr>
              <w:t>QUARTERLY REPORT PURSUANT TO SECTION 13 OR 15(d) OF THE SECURITIES EXCHANGE ACT OF 1934</w:t>
            </w:r>
          </w:p>
        </w:tc>
      </w:tr>
    </w:tbl>
    <w:p w:rsidR="00000000" w:rsidRDefault="00B51E11">
      <w:pPr>
        <w:pStyle w:val="a3"/>
        <w:spacing w:before="0" w:beforeAutospacing="0" w:after="0" w:afterAutospacing="0"/>
        <w:jc w:val="center"/>
        <w:divId w:val="1886598061"/>
        <w:rPr>
          <w:sz w:val="20"/>
          <w:szCs w:val="20"/>
        </w:rPr>
      </w:pPr>
      <w:r>
        <w:rPr>
          <w:sz w:val="10"/>
          <w:szCs w:val="10"/>
        </w:rPr>
        <w:t>​</w:t>
      </w:r>
    </w:p>
    <w:p w:rsidR="00000000" w:rsidRDefault="00B51E11">
      <w:pPr>
        <w:pStyle w:val="a3"/>
        <w:spacing w:before="0" w:beforeAutospacing="0" w:after="0" w:afterAutospacing="0"/>
        <w:jc w:val="center"/>
        <w:divId w:val="1886598061"/>
        <w:rPr>
          <w:sz w:val="20"/>
          <w:szCs w:val="20"/>
        </w:rPr>
      </w:pPr>
      <w:r>
        <w:rPr>
          <w:b/>
          <w:bCs/>
          <w:sz w:val="18"/>
          <w:szCs w:val="18"/>
        </w:rPr>
        <w:t xml:space="preserve">For the quarterly period ended </w:t>
      </w:r>
      <w:r>
        <w:rPr>
          <w:b/>
          <w:bCs/>
          <w:sz w:val="18"/>
          <w:szCs w:val="18"/>
        </w:rPr>
        <w:t>September 30, 2020</w:t>
      </w:r>
    </w:p>
    <w:p w:rsidR="00000000" w:rsidRDefault="00B51E11">
      <w:pPr>
        <w:pStyle w:val="a3"/>
        <w:spacing w:before="0" w:beforeAutospacing="0" w:after="0" w:afterAutospacing="0"/>
        <w:jc w:val="center"/>
        <w:divId w:val="1886598061"/>
        <w:rPr>
          <w:sz w:val="20"/>
          <w:szCs w:val="20"/>
        </w:rPr>
      </w:pPr>
      <w:r>
        <w:rPr>
          <w:sz w:val="10"/>
          <w:szCs w:val="10"/>
        </w:rPr>
        <w:t>​</w:t>
      </w:r>
    </w:p>
    <w:p w:rsidR="00000000" w:rsidRDefault="00B51E11">
      <w:pPr>
        <w:pStyle w:val="a3"/>
        <w:spacing w:before="0" w:beforeAutospacing="0" w:after="0" w:afterAutospacing="0"/>
        <w:jc w:val="center"/>
        <w:divId w:val="1886598061"/>
        <w:rPr>
          <w:sz w:val="18"/>
          <w:szCs w:val="18"/>
        </w:rPr>
      </w:pPr>
      <w:r>
        <w:rPr>
          <w:b/>
          <w:bCs/>
          <w:sz w:val="18"/>
          <w:szCs w:val="18"/>
        </w:rPr>
        <w:t>OR</w:t>
      </w:r>
    </w:p>
    <w:p w:rsidR="00000000" w:rsidRDefault="00B51E11">
      <w:pPr>
        <w:pStyle w:val="a3"/>
        <w:spacing w:before="0" w:beforeAutospacing="0" w:after="0" w:afterAutospacing="0"/>
        <w:jc w:val="center"/>
        <w:divId w:val="1886598061"/>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trPr>
          <w:divId w:val="1886598061"/>
        </w:trPr>
        <w:tc>
          <w:tcPr>
            <w:tcW w:w="360" w:type="dxa"/>
            <w:tcMar>
              <w:top w:w="0" w:type="dxa"/>
              <w:left w:w="0" w:type="dxa"/>
              <w:bottom w:w="0" w:type="dxa"/>
              <w:right w:w="0" w:type="dxa"/>
            </w:tcMar>
            <w:vAlign w:val="center"/>
            <w:hideMark/>
          </w:tcPr>
          <w:p w:rsidR="00000000" w:rsidRDefault="00B51E11">
            <w:pPr>
              <w:rPr>
                <w:sz w:val="20"/>
                <w:szCs w:val="20"/>
              </w:rPr>
            </w:pPr>
          </w:p>
        </w:tc>
        <w:tc>
          <w:tcPr>
            <w:tcW w:w="359" w:type="dxa"/>
            <w:noWrap/>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b/>
                <w:bCs/>
                <w:sz w:val="18"/>
                <w:szCs w:val="18"/>
              </w:rPr>
              <w:t>TRANSITION REPORT PURSUANT TO SECTION 13 OR 15(d) OF THE SECURITIES EXCHANGE ACT OF 1934</w:t>
            </w:r>
          </w:p>
        </w:tc>
      </w:tr>
    </w:tbl>
    <w:p w:rsidR="00000000" w:rsidRDefault="00B51E11">
      <w:pPr>
        <w:pStyle w:val="a3"/>
        <w:spacing w:before="0" w:beforeAutospacing="0" w:after="0" w:afterAutospacing="0"/>
        <w:ind w:hanging="490"/>
        <w:jc w:val="center"/>
        <w:divId w:val="1886598061"/>
        <w:rPr>
          <w:sz w:val="20"/>
          <w:szCs w:val="20"/>
        </w:rPr>
      </w:pPr>
      <w:r>
        <w:rPr>
          <w:sz w:val="10"/>
          <w:szCs w:val="10"/>
        </w:rPr>
        <w:t>​</w:t>
      </w:r>
    </w:p>
    <w:p w:rsidR="00000000" w:rsidRDefault="00B51E11">
      <w:pPr>
        <w:pStyle w:val="a3"/>
        <w:spacing w:before="0" w:beforeAutospacing="0" w:after="0" w:afterAutospacing="0"/>
        <w:jc w:val="center"/>
        <w:divId w:val="1886598061"/>
        <w:rPr>
          <w:sz w:val="18"/>
          <w:szCs w:val="18"/>
        </w:rPr>
      </w:pPr>
      <w:r>
        <w:rPr>
          <w:b/>
          <w:bCs/>
          <w:sz w:val="18"/>
          <w:szCs w:val="18"/>
        </w:rPr>
        <w:t>For the transition period from                  to</w:t>
      </w:r>
    </w:p>
    <w:p w:rsidR="00000000" w:rsidRDefault="00B51E11">
      <w:pPr>
        <w:pStyle w:val="a3"/>
        <w:spacing w:before="0" w:beforeAutospacing="0" w:after="0" w:afterAutospacing="0"/>
        <w:jc w:val="center"/>
        <w:divId w:val="1886598061"/>
        <w:rPr>
          <w:sz w:val="20"/>
          <w:szCs w:val="20"/>
        </w:rPr>
      </w:pPr>
      <w:r>
        <w:rPr>
          <w:sz w:val="10"/>
          <w:szCs w:val="10"/>
        </w:rPr>
        <w:t>​</w:t>
      </w:r>
    </w:p>
    <w:p w:rsidR="00000000" w:rsidRDefault="00B51E11">
      <w:pPr>
        <w:pStyle w:val="a3"/>
        <w:spacing w:before="0" w:beforeAutospacing="0" w:after="0" w:afterAutospacing="0"/>
        <w:jc w:val="center"/>
        <w:divId w:val="1886598061"/>
        <w:rPr>
          <w:sz w:val="20"/>
          <w:szCs w:val="20"/>
        </w:rPr>
      </w:pPr>
      <w:r>
        <w:rPr>
          <w:b/>
          <w:bCs/>
          <w:sz w:val="18"/>
          <w:szCs w:val="18"/>
        </w:rPr>
        <w:t>Commission file number: 001-36033</w:t>
      </w:r>
    </w:p>
    <w:p w:rsidR="00000000" w:rsidRDefault="00B51E11">
      <w:pPr>
        <w:pStyle w:val="a3"/>
        <w:spacing w:before="0" w:beforeAutospacing="0" w:after="0" w:afterAutospacing="0"/>
        <w:jc w:val="center"/>
        <w:divId w:val="1886598061"/>
        <w:rPr>
          <w:sz w:val="20"/>
          <w:szCs w:val="20"/>
        </w:rPr>
      </w:pPr>
      <w:r>
        <w:rPr>
          <w:sz w:val="10"/>
          <w:szCs w:val="10"/>
        </w:rPr>
        <w:t>​</w:t>
      </w:r>
    </w:p>
    <w:p w:rsidR="00000000" w:rsidRDefault="00B51E11">
      <w:pPr>
        <w:pStyle w:val="a3"/>
        <w:spacing w:before="0" w:beforeAutospacing="0" w:after="0" w:afterAutospacing="0"/>
        <w:jc w:val="center"/>
        <w:divId w:val="1886598061"/>
        <w:rPr>
          <w:sz w:val="34"/>
          <w:szCs w:val="34"/>
        </w:rPr>
      </w:pPr>
      <w:r>
        <w:rPr>
          <w:b/>
          <w:bCs/>
          <w:sz w:val="34"/>
          <w:szCs w:val="34"/>
        </w:rPr>
        <w:t>THERAVANCE BIOPHARMA, INC.</w:t>
      </w:r>
    </w:p>
    <w:p w:rsidR="00000000" w:rsidRDefault="00B51E11">
      <w:pPr>
        <w:pStyle w:val="a3"/>
        <w:spacing w:before="0" w:beforeAutospacing="0" w:after="0" w:afterAutospacing="0"/>
        <w:jc w:val="center"/>
        <w:divId w:val="1886598061"/>
        <w:rPr>
          <w:sz w:val="18"/>
          <w:szCs w:val="18"/>
        </w:rPr>
      </w:pPr>
      <w:r>
        <w:rPr>
          <w:sz w:val="18"/>
          <w:szCs w:val="18"/>
        </w:rPr>
        <w:t>(Exact Name of Regi</w:t>
      </w:r>
      <w:r>
        <w:rPr>
          <w:sz w:val="18"/>
          <w:szCs w:val="18"/>
        </w:rPr>
        <w:t>strant as Specified in its Charter)</w:t>
      </w:r>
    </w:p>
    <w:p w:rsidR="00000000" w:rsidRDefault="00B51E11">
      <w:pPr>
        <w:pStyle w:val="a3"/>
        <w:spacing w:before="0" w:beforeAutospacing="0" w:after="0" w:afterAutospacing="0"/>
        <w:jc w:val="center"/>
        <w:divId w:val="1886598061"/>
        <w:rPr>
          <w:sz w:val="20"/>
          <w:szCs w:val="20"/>
        </w:rPr>
      </w:pPr>
      <w:r>
        <w:rPr>
          <w:sz w:val="10"/>
          <w:szCs w:val="10"/>
        </w:rPr>
        <w:t>​</w:t>
      </w:r>
    </w:p>
    <w:p w:rsidR="00000000" w:rsidRDefault="00B51E11">
      <w:pPr>
        <w:pStyle w:val="a3"/>
        <w:spacing w:before="0" w:beforeAutospacing="0" w:after="0" w:afterAutospacing="0"/>
        <w:divId w:val="1886598061"/>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trPr>
          <w:divId w:val="1886598061"/>
        </w:trPr>
        <w:tc>
          <w:tcPr>
            <w:tcW w:w="2449"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
                <w:szCs w:val="2"/>
              </w:rPr>
              <w:t>​</w:t>
            </w:r>
          </w:p>
        </w:tc>
        <w:tc>
          <w:tcPr>
            <w:tcW w:w="10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c>
          <w:tcPr>
            <w:tcW w:w="2449"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
                <w:szCs w:val="2"/>
              </w:rPr>
              <w:t>​</w:t>
            </w:r>
          </w:p>
        </w:tc>
      </w:tr>
      <w:tr w:rsidR="00000000">
        <w:trPr>
          <w:divId w:val="1886598061"/>
        </w:trPr>
        <w:tc>
          <w:tcPr>
            <w:tcW w:w="2449" w:type="pct"/>
            <w:tcMar>
              <w:top w:w="0" w:type="dxa"/>
              <w:left w:w="0" w:type="dxa"/>
              <w:bottom w:w="0" w:type="dxa"/>
              <w:right w:w="0" w:type="dxa"/>
            </w:tcMar>
            <w:hideMark/>
          </w:tcPr>
          <w:p w:rsidR="00000000" w:rsidRDefault="00B51E11">
            <w:pPr>
              <w:pStyle w:val="a3"/>
              <w:spacing w:before="0" w:beforeAutospacing="0" w:after="0" w:afterAutospacing="0"/>
              <w:ind w:hanging="200"/>
              <w:jc w:val="center"/>
              <w:rPr>
                <w:sz w:val="20"/>
                <w:szCs w:val="20"/>
              </w:rPr>
            </w:pPr>
            <w:r>
              <w:rPr>
                <w:b/>
                <w:bCs/>
                <w:sz w:val="18"/>
                <w:szCs w:val="18"/>
              </w:rPr>
              <w:t>Cayman Islands</w:t>
            </w:r>
          </w:p>
        </w:tc>
        <w:tc>
          <w:tcPr>
            <w:tcW w:w="100" w:type="pct"/>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b/>
                <w:bCs/>
                <w:sz w:val="18"/>
                <w:szCs w:val="18"/>
              </w:rPr>
              <w:t>    </w:t>
            </w:r>
          </w:p>
        </w:tc>
        <w:tc>
          <w:tcPr>
            <w:tcW w:w="2449"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b/>
                <w:bCs/>
                <w:sz w:val="18"/>
                <w:szCs w:val="18"/>
              </w:rPr>
              <w:t>98-1226628</w:t>
            </w:r>
          </w:p>
        </w:tc>
      </w:tr>
      <w:tr w:rsidR="00000000">
        <w:trPr>
          <w:divId w:val="1886598061"/>
        </w:trPr>
        <w:tc>
          <w:tcPr>
            <w:tcW w:w="2449" w:type="pct"/>
            <w:tcMar>
              <w:top w:w="0" w:type="dxa"/>
              <w:left w:w="0" w:type="dxa"/>
              <w:bottom w:w="0" w:type="dxa"/>
              <w:right w:w="0" w:type="dxa"/>
            </w:tcMar>
            <w:hideMark/>
          </w:tcPr>
          <w:p w:rsidR="00000000" w:rsidRDefault="00B51E11">
            <w:pPr>
              <w:pStyle w:val="a3"/>
              <w:spacing w:before="0" w:beforeAutospacing="0" w:after="0" w:afterAutospacing="0"/>
              <w:ind w:hanging="200"/>
              <w:jc w:val="center"/>
              <w:rPr>
                <w:sz w:val="18"/>
                <w:szCs w:val="18"/>
              </w:rPr>
            </w:pPr>
            <w:r>
              <w:rPr>
                <w:sz w:val="18"/>
                <w:szCs w:val="18"/>
              </w:rPr>
              <w:t>(State or Other Jurisdiction of</w:t>
            </w:r>
          </w:p>
        </w:tc>
        <w:tc>
          <w:tcPr>
            <w:tcW w:w="10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B51E11">
            <w:pPr>
              <w:pStyle w:val="a3"/>
              <w:spacing w:before="0" w:beforeAutospacing="0" w:after="0" w:afterAutospacing="0"/>
              <w:jc w:val="center"/>
              <w:rPr>
                <w:sz w:val="18"/>
                <w:szCs w:val="18"/>
              </w:rPr>
            </w:pPr>
            <w:r>
              <w:rPr>
                <w:sz w:val="18"/>
                <w:szCs w:val="18"/>
              </w:rPr>
              <w:t>(I.R.S. Employer</w:t>
            </w:r>
          </w:p>
        </w:tc>
      </w:tr>
      <w:tr w:rsidR="00000000">
        <w:trPr>
          <w:divId w:val="1886598061"/>
        </w:trPr>
        <w:tc>
          <w:tcPr>
            <w:tcW w:w="2449" w:type="pct"/>
            <w:tcMar>
              <w:top w:w="0" w:type="dxa"/>
              <w:left w:w="0" w:type="dxa"/>
              <w:bottom w:w="0" w:type="dxa"/>
              <w:right w:w="0" w:type="dxa"/>
            </w:tcMar>
            <w:hideMark/>
          </w:tcPr>
          <w:p w:rsidR="00000000" w:rsidRDefault="00B51E11">
            <w:pPr>
              <w:pStyle w:val="a3"/>
              <w:spacing w:before="0" w:beforeAutospacing="0" w:after="0" w:afterAutospacing="0"/>
              <w:ind w:hanging="200"/>
              <w:jc w:val="center"/>
              <w:rPr>
                <w:sz w:val="18"/>
                <w:szCs w:val="18"/>
              </w:rPr>
            </w:pPr>
            <w:r>
              <w:rPr>
                <w:sz w:val="18"/>
                <w:szCs w:val="18"/>
              </w:rPr>
              <w:t>Incorporation or Organization)</w:t>
            </w:r>
          </w:p>
        </w:tc>
        <w:tc>
          <w:tcPr>
            <w:tcW w:w="10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B51E11">
            <w:pPr>
              <w:pStyle w:val="a3"/>
              <w:spacing w:before="0" w:beforeAutospacing="0" w:after="0" w:afterAutospacing="0"/>
              <w:jc w:val="center"/>
              <w:rPr>
                <w:sz w:val="18"/>
                <w:szCs w:val="18"/>
              </w:rPr>
            </w:pPr>
            <w:r>
              <w:rPr>
                <w:sz w:val="18"/>
                <w:szCs w:val="18"/>
              </w:rPr>
              <w:t>Identification No.)</w:t>
            </w:r>
          </w:p>
        </w:tc>
      </w:tr>
      <w:tr w:rsidR="00000000">
        <w:trPr>
          <w:divId w:val="1886598061"/>
        </w:trPr>
        <w:tc>
          <w:tcPr>
            <w:tcW w:w="2449" w:type="pct"/>
            <w:tcMar>
              <w:top w:w="0" w:type="dxa"/>
              <w:left w:w="0" w:type="dxa"/>
              <w:bottom w:w="0" w:type="dxa"/>
              <w:right w:w="0" w:type="dxa"/>
            </w:tcMar>
            <w:hideMark/>
          </w:tcPr>
          <w:p w:rsidR="00000000" w:rsidRDefault="00B51E11">
            <w:pPr>
              <w:pStyle w:val="a3"/>
              <w:spacing w:before="0" w:beforeAutospacing="0" w:after="0" w:afterAutospacing="0"/>
              <w:ind w:hanging="200"/>
              <w:jc w:val="center"/>
              <w:rPr>
                <w:sz w:val="20"/>
                <w:szCs w:val="20"/>
              </w:rPr>
            </w:pPr>
            <w:r>
              <w:rPr>
                <w:sz w:val="10"/>
                <w:szCs w:val="10"/>
              </w:rPr>
              <w:t>​</w:t>
            </w:r>
          </w:p>
        </w:tc>
        <w:tc>
          <w:tcPr>
            <w:tcW w:w="10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10"/>
                <w:szCs w:val="10"/>
              </w:rPr>
              <w:t>​</w:t>
            </w:r>
          </w:p>
        </w:tc>
      </w:tr>
      <w:tr w:rsidR="00000000">
        <w:trPr>
          <w:divId w:val="1886598061"/>
        </w:trPr>
        <w:tc>
          <w:tcPr>
            <w:tcW w:w="2449" w:type="pct"/>
            <w:tcMar>
              <w:top w:w="0" w:type="dxa"/>
              <w:left w:w="0" w:type="dxa"/>
              <w:bottom w:w="0" w:type="dxa"/>
              <w:right w:w="0" w:type="dxa"/>
            </w:tcMar>
            <w:hideMark/>
          </w:tcPr>
          <w:p w:rsidR="00000000" w:rsidRDefault="00B51E11">
            <w:pPr>
              <w:pStyle w:val="a3"/>
              <w:spacing w:before="0" w:beforeAutospacing="0" w:after="0" w:afterAutospacing="0"/>
              <w:ind w:hanging="200"/>
              <w:jc w:val="center"/>
              <w:rPr>
                <w:sz w:val="20"/>
                <w:szCs w:val="20"/>
              </w:rPr>
            </w:pPr>
            <w:r>
              <w:rPr>
                <w:b/>
                <w:bCs/>
                <w:sz w:val="18"/>
                <w:szCs w:val="18"/>
              </w:rPr>
              <w:t>PO Box 309</w:t>
            </w:r>
          </w:p>
        </w:tc>
        <w:tc>
          <w:tcPr>
            <w:tcW w:w="10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18"/>
                <w:szCs w:val="18"/>
              </w:rPr>
              <w:t>​</w:t>
            </w:r>
          </w:p>
        </w:tc>
      </w:tr>
      <w:tr w:rsidR="00000000">
        <w:trPr>
          <w:divId w:val="1886598061"/>
        </w:trPr>
        <w:tc>
          <w:tcPr>
            <w:tcW w:w="2449" w:type="pct"/>
            <w:tcMar>
              <w:top w:w="0" w:type="dxa"/>
              <w:left w:w="0" w:type="dxa"/>
              <w:bottom w:w="0" w:type="dxa"/>
              <w:right w:w="0" w:type="dxa"/>
            </w:tcMar>
            <w:hideMark/>
          </w:tcPr>
          <w:p w:rsidR="00000000" w:rsidRDefault="00B51E11">
            <w:pPr>
              <w:pStyle w:val="a3"/>
              <w:spacing w:before="0" w:beforeAutospacing="0" w:after="0" w:afterAutospacing="0"/>
              <w:ind w:hanging="200"/>
              <w:jc w:val="center"/>
              <w:rPr>
                <w:sz w:val="20"/>
                <w:szCs w:val="20"/>
              </w:rPr>
            </w:pPr>
            <w:r>
              <w:rPr>
                <w:b/>
                <w:bCs/>
                <w:sz w:val="18"/>
                <w:szCs w:val="18"/>
              </w:rPr>
              <w:t>Ugland House, South Church Street</w:t>
            </w:r>
          </w:p>
        </w:tc>
        <w:tc>
          <w:tcPr>
            <w:tcW w:w="10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b/>
                <w:bCs/>
                <w:sz w:val="18"/>
                <w:szCs w:val="18"/>
              </w:rPr>
              <w:t>​</w:t>
            </w:r>
          </w:p>
        </w:tc>
      </w:tr>
      <w:tr w:rsidR="00000000">
        <w:trPr>
          <w:divId w:val="1886598061"/>
        </w:trPr>
        <w:tc>
          <w:tcPr>
            <w:tcW w:w="2449" w:type="pct"/>
            <w:tcMar>
              <w:top w:w="0" w:type="dxa"/>
              <w:left w:w="0" w:type="dxa"/>
              <w:bottom w:w="0" w:type="dxa"/>
              <w:right w:w="0" w:type="dxa"/>
            </w:tcMar>
            <w:hideMark/>
          </w:tcPr>
          <w:p w:rsidR="00000000" w:rsidRDefault="00B51E11">
            <w:pPr>
              <w:pStyle w:val="a3"/>
              <w:spacing w:before="0" w:beforeAutospacing="0" w:after="0" w:afterAutospacing="0"/>
              <w:ind w:hanging="200"/>
              <w:jc w:val="center"/>
              <w:rPr>
                <w:sz w:val="20"/>
                <w:szCs w:val="20"/>
              </w:rPr>
            </w:pPr>
            <w:r>
              <w:rPr>
                <w:b/>
                <w:bCs/>
                <w:sz w:val="18"/>
                <w:szCs w:val="18"/>
              </w:rPr>
              <w:t>George Town, Grand Cayman, Cayman Islands</w:t>
            </w:r>
          </w:p>
        </w:tc>
        <w:tc>
          <w:tcPr>
            <w:tcW w:w="10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b/>
                <w:bCs/>
                <w:sz w:val="18"/>
                <w:szCs w:val="18"/>
              </w:rPr>
              <w:t>KY1-1104</w:t>
            </w:r>
          </w:p>
        </w:tc>
      </w:tr>
      <w:tr w:rsidR="00000000">
        <w:trPr>
          <w:divId w:val="1886598061"/>
        </w:trPr>
        <w:tc>
          <w:tcPr>
            <w:tcW w:w="2449" w:type="pct"/>
            <w:tcMar>
              <w:top w:w="0" w:type="dxa"/>
              <w:left w:w="0" w:type="dxa"/>
              <w:bottom w:w="0" w:type="dxa"/>
              <w:right w:w="0" w:type="dxa"/>
            </w:tcMar>
            <w:hideMark/>
          </w:tcPr>
          <w:p w:rsidR="00000000" w:rsidRDefault="00B51E11">
            <w:pPr>
              <w:pStyle w:val="a3"/>
              <w:spacing w:before="0" w:beforeAutospacing="0" w:after="0" w:afterAutospacing="0"/>
              <w:ind w:hanging="200"/>
              <w:jc w:val="center"/>
              <w:rPr>
                <w:sz w:val="18"/>
                <w:szCs w:val="18"/>
              </w:rPr>
            </w:pPr>
            <w:r>
              <w:rPr>
                <w:sz w:val="18"/>
                <w:szCs w:val="18"/>
              </w:rPr>
              <w:t>(Address of Principal Executive Offices)</w:t>
            </w:r>
          </w:p>
        </w:tc>
        <w:tc>
          <w:tcPr>
            <w:tcW w:w="10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B51E11">
            <w:pPr>
              <w:pStyle w:val="a3"/>
              <w:spacing w:before="0" w:beforeAutospacing="0" w:after="0" w:afterAutospacing="0"/>
              <w:jc w:val="center"/>
              <w:rPr>
                <w:sz w:val="18"/>
                <w:szCs w:val="18"/>
              </w:rPr>
            </w:pPr>
            <w:r>
              <w:rPr>
                <w:sz w:val="18"/>
                <w:szCs w:val="18"/>
              </w:rPr>
              <w:t>(Zip Code)</w:t>
            </w:r>
          </w:p>
        </w:tc>
      </w:tr>
    </w:tbl>
    <w:p w:rsidR="00000000" w:rsidRDefault="00B51E11">
      <w:pPr>
        <w:pStyle w:val="a3"/>
        <w:spacing w:before="0" w:beforeAutospacing="0" w:after="0" w:afterAutospacing="0"/>
        <w:divId w:val="1886598061"/>
        <w:rPr>
          <w:sz w:val="20"/>
          <w:szCs w:val="20"/>
        </w:rPr>
      </w:pPr>
      <w:r>
        <w:rPr>
          <w:sz w:val="10"/>
          <w:szCs w:val="10"/>
        </w:rPr>
        <w:t>​</w:t>
      </w:r>
    </w:p>
    <w:p w:rsidR="00000000" w:rsidRDefault="00B51E11">
      <w:pPr>
        <w:pStyle w:val="a3"/>
        <w:spacing w:before="0" w:beforeAutospacing="0" w:after="0" w:afterAutospacing="0"/>
        <w:jc w:val="center"/>
        <w:divId w:val="1886598061"/>
        <w:rPr>
          <w:sz w:val="20"/>
          <w:szCs w:val="20"/>
        </w:rPr>
      </w:pPr>
      <w:r>
        <w:rPr>
          <w:b/>
          <w:bCs/>
          <w:sz w:val="18"/>
          <w:szCs w:val="18"/>
        </w:rPr>
        <w:t>(650) 808-6000</w:t>
      </w:r>
    </w:p>
    <w:p w:rsidR="00000000" w:rsidRDefault="00B51E11">
      <w:pPr>
        <w:pStyle w:val="a3"/>
        <w:spacing w:before="0" w:beforeAutospacing="0" w:after="0" w:afterAutospacing="0"/>
        <w:jc w:val="center"/>
        <w:divId w:val="1886598061"/>
        <w:rPr>
          <w:sz w:val="18"/>
          <w:szCs w:val="18"/>
        </w:rPr>
      </w:pPr>
      <w:r>
        <w:rPr>
          <w:sz w:val="18"/>
          <w:szCs w:val="18"/>
        </w:rPr>
        <w:t>(Registrant’s Telephone Number, Including Area Code)</w:t>
      </w:r>
    </w:p>
    <w:p w:rsidR="00000000" w:rsidRDefault="00B51E11">
      <w:pPr>
        <w:pStyle w:val="a3"/>
        <w:spacing w:before="0" w:beforeAutospacing="0" w:after="0" w:afterAutospacing="0"/>
        <w:jc w:val="center"/>
        <w:divId w:val="1886598061"/>
        <w:rPr>
          <w:sz w:val="20"/>
          <w:szCs w:val="20"/>
        </w:rPr>
      </w:pPr>
      <w:r>
        <w:rPr>
          <w:sz w:val="18"/>
          <w:szCs w:val="18"/>
        </w:rPr>
        <w:t>​</w:t>
      </w:r>
    </w:p>
    <w:p w:rsidR="00000000" w:rsidRDefault="00B51E11">
      <w:pPr>
        <w:pStyle w:val="a3"/>
        <w:spacing w:before="0" w:beforeAutospacing="0" w:after="60" w:afterAutospacing="0"/>
        <w:ind w:firstLine="490"/>
        <w:divId w:val="1886598061"/>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2740"/>
        <w:gridCol w:w="185"/>
        <w:gridCol w:w="185"/>
        <w:gridCol w:w="1367"/>
        <w:gridCol w:w="183"/>
        <w:gridCol w:w="3646"/>
      </w:tblGrid>
      <w:tr w:rsidR="00000000">
        <w:trPr>
          <w:divId w:val="1886598061"/>
          <w:trHeight w:val="20"/>
        </w:trPr>
        <w:tc>
          <w:tcPr>
            <w:tcW w:w="1648" w:type="pct"/>
            <w:noWrap/>
            <w:tcMar>
              <w:top w:w="0" w:type="dxa"/>
              <w:left w:w="0" w:type="dxa"/>
              <w:bottom w:w="0" w:type="dxa"/>
              <w:right w:w="0" w:type="dxa"/>
            </w:tcMar>
            <w:vAlign w:val="bottom"/>
            <w:hideMark/>
          </w:tcPr>
          <w:p w:rsidR="00000000" w:rsidRDefault="00B51E11">
            <w:pPr>
              <w:rPr>
                <w:sz w:val="18"/>
                <w:szCs w:val="18"/>
              </w:rPr>
            </w:pPr>
          </w:p>
        </w:tc>
        <w:tc>
          <w:tcPr>
            <w:tcW w:w="111" w:type="pct"/>
            <w:tcMar>
              <w:top w:w="0" w:type="dxa"/>
              <w:left w:w="0" w:type="dxa"/>
              <w:bottom w:w="0" w:type="dxa"/>
              <w:right w:w="0" w:type="dxa"/>
            </w:tcMar>
            <w:hideMark/>
          </w:tcPr>
          <w:p w:rsidR="00000000" w:rsidRDefault="00B51E11">
            <w:pPr>
              <w:pStyle w:val="a3"/>
              <w:spacing w:before="0" w:beforeAutospacing="0" w:after="0" w:afterAutospacing="0"/>
              <w:divId w:val="2091270978"/>
              <w:rPr>
                <w:sz w:val="20"/>
                <w:szCs w:val="20"/>
              </w:rPr>
            </w:pPr>
            <w:r>
              <w:rPr>
                <w:sz w:val="2"/>
                <w:szCs w:val="2"/>
              </w:rPr>
              <w:t>​</w:t>
            </w:r>
          </w:p>
        </w:tc>
        <w:tc>
          <w:tcPr>
            <w:tcW w:w="111" w:type="pct"/>
            <w:tcMar>
              <w:top w:w="0" w:type="dxa"/>
              <w:left w:w="0" w:type="dxa"/>
              <w:bottom w:w="0" w:type="dxa"/>
              <w:right w:w="0" w:type="dxa"/>
            </w:tcMar>
            <w:hideMark/>
          </w:tcPr>
          <w:p w:rsidR="00000000" w:rsidRDefault="00B51E11">
            <w:pPr>
              <w:rPr>
                <w:sz w:val="20"/>
                <w:szCs w:val="20"/>
              </w:rPr>
            </w:pPr>
          </w:p>
        </w:tc>
        <w:tc>
          <w:tcPr>
            <w:tcW w:w="823" w:type="pct"/>
            <w:noWrap/>
            <w:tcMar>
              <w:top w:w="0" w:type="dxa"/>
              <w:left w:w="0" w:type="dxa"/>
              <w:bottom w:w="0" w:type="dxa"/>
              <w:right w:w="0" w:type="dxa"/>
            </w:tcMar>
            <w:vAlign w:val="bottom"/>
            <w:hideMark/>
          </w:tcPr>
          <w:p w:rsidR="00000000" w:rsidRDefault="00B51E11">
            <w:pPr>
              <w:rPr>
                <w:rFonts w:eastAsia="Times New Roman"/>
                <w:sz w:val="20"/>
                <w:szCs w:val="20"/>
              </w:rPr>
            </w:pPr>
          </w:p>
        </w:tc>
        <w:tc>
          <w:tcPr>
            <w:tcW w:w="110" w:type="pct"/>
            <w:tcMar>
              <w:top w:w="0" w:type="dxa"/>
              <w:left w:w="0" w:type="dxa"/>
              <w:bottom w:w="0" w:type="dxa"/>
              <w:right w:w="0" w:type="dxa"/>
            </w:tcMar>
            <w:hideMark/>
          </w:tcPr>
          <w:p w:rsidR="00000000" w:rsidRDefault="00B51E11">
            <w:pPr>
              <w:rPr>
                <w:rFonts w:eastAsia="Times New Roman"/>
                <w:sz w:val="20"/>
                <w:szCs w:val="20"/>
              </w:rPr>
            </w:pPr>
          </w:p>
        </w:tc>
        <w:tc>
          <w:tcPr>
            <w:tcW w:w="2194" w:type="pct"/>
            <w:noWrap/>
            <w:tcMar>
              <w:top w:w="0" w:type="dxa"/>
              <w:left w:w="0" w:type="dxa"/>
              <w:bottom w:w="0" w:type="dxa"/>
              <w:right w:w="0" w:type="dxa"/>
            </w:tcMar>
            <w:vAlign w:val="bottom"/>
            <w:hideMark/>
          </w:tcPr>
          <w:p w:rsidR="00000000" w:rsidRDefault="00B51E11">
            <w:pPr>
              <w:rPr>
                <w:rFonts w:eastAsia="Times New Roman"/>
                <w:sz w:val="20"/>
                <w:szCs w:val="20"/>
              </w:rPr>
            </w:pPr>
          </w:p>
        </w:tc>
      </w:tr>
      <w:tr w:rsidR="00000000">
        <w:trPr>
          <w:divId w:val="1886598061"/>
        </w:trPr>
        <w:tc>
          <w:tcPr>
            <w:tcW w:w="164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u w:val="single"/>
              </w:rPr>
              <w:t>Title of each class</w:t>
            </w:r>
          </w:p>
        </w:tc>
        <w:tc>
          <w:tcPr>
            <w:tcW w:w="11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b/>
                <w:bCs/>
                <w:sz w:val="16"/>
                <w:szCs w:val="16"/>
              </w:rPr>
              <w:t>​</w:t>
            </w:r>
          </w:p>
        </w:tc>
        <w:tc>
          <w:tcPr>
            <w:tcW w:w="111" w:type="pct"/>
            <w:tcMar>
              <w:top w:w="0" w:type="dxa"/>
              <w:left w:w="0" w:type="dxa"/>
              <w:bottom w:w="0" w:type="dxa"/>
              <w:right w:w="0" w:type="dxa"/>
            </w:tcMar>
            <w:hideMark/>
          </w:tcPr>
          <w:p w:rsidR="00000000" w:rsidRDefault="00B51E11">
            <w:pPr>
              <w:pStyle w:val="a3"/>
              <w:spacing w:before="0" w:beforeAutospacing="0" w:after="0" w:afterAutospacing="0"/>
              <w:jc w:val="center"/>
              <w:rPr>
                <w:sz w:val="16"/>
                <w:szCs w:val="16"/>
              </w:rPr>
            </w:pPr>
            <w:r>
              <w:rPr>
                <w:b/>
                <w:bCs/>
                <w:sz w:val="16"/>
                <w:szCs w:val="16"/>
              </w:rPr>
              <w:t>    </w:t>
            </w:r>
          </w:p>
        </w:tc>
        <w:tc>
          <w:tcPr>
            <w:tcW w:w="823"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u w:val="single"/>
              </w:rPr>
              <w:t>Trading Symbol</w:t>
            </w:r>
          </w:p>
        </w:tc>
        <w:tc>
          <w:tcPr>
            <w:tcW w:w="110" w:type="pct"/>
            <w:tcMar>
              <w:top w:w="0" w:type="dxa"/>
              <w:left w:w="0" w:type="dxa"/>
              <w:bottom w:w="0" w:type="dxa"/>
              <w:right w:w="0" w:type="dxa"/>
            </w:tcMar>
            <w:hideMark/>
          </w:tcPr>
          <w:p w:rsidR="00000000" w:rsidRDefault="00B51E11">
            <w:pPr>
              <w:pStyle w:val="a3"/>
              <w:spacing w:before="0" w:beforeAutospacing="0" w:after="0" w:afterAutospacing="0"/>
              <w:jc w:val="center"/>
              <w:rPr>
                <w:sz w:val="16"/>
                <w:szCs w:val="16"/>
              </w:rPr>
            </w:pPr>
            <w:r>
              <w:rPr>
                <w:b/>
                <w:bCs/>
                <w:sz w:val="16"/>
                <w:szCs w:val="16"/>
              </w:rPr>
              <w:t>    </w:t>
            </w:r>
          </w:p>
        </w:tc>
        <w:tc>
          <w:tcPr>
            <w:tcW w:w="2194"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u w:val="single"/>
              </w:rPr>
              <w:t>Name of each exchange on which registered</w:t>
            </w:r>
          </w:p>
        </w:tc>
      </w:tr>
      <w:tr w:rsidR="00000000">
        <w:trPr>
          <w:divId w:val="1886598061"/>
        </w:trPr>
        <w:tc>
          <w:tcPr>
            <w:tcW w:w="1648"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18"/>
                <w:szCs w:val="18"/>
              </w:rPr>
              <w:t>Ordinary Share $0.00001 Par Value</w:t>
            </w:r>
          </w:p>
        </w:tc>
        <w:tc>
          <w:tcPr>
            <w:tcW w:w="11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18"/>
                <w:szCs w:val="18"/>
              </w:rPr>
              <w:t>​</w:t>
            </w:r>
          </w:p>
        </w:tc>
        <w:tc>
          <w:tcPr>
            <w:tcW w:w="11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18"/>
                <w:szCs w:val="18"/>
              </w:rPr>
              <w:t>​</w:t>
            </w:r>
          </w:p>
        </w:tc>
        <w:tc>
          <w:tcPr>
            <w:tcW w:w="823"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18"/>
                <w:szCs w:val="18"/>
              </w:rPr>
              <w:t>TBPH</w:t>
            </w:r>
          </w:p>
        </w:tc>
        <w:tc>
          <w:tcPr>
            <w:tcW w:w="110"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18"/>
                <w:szCs w:val="18"/>
              </w:rPr>
              <w:t>​</w:t>
            </w:r>
          </w:p>
        </w:tc>
        <w:tc>
          <w:tcPr>
            <w:tcW w:w="2194"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18"/>
                <w:szCs w:val="18"/>
              </w:rPr>
              <w:t>The Nasdaq Global Market</w:t>
            </w:r>
          </w:p>
        </w:tc>
      </w:tr>
    </w:tbl>
    <w:p w:rsidR="00000000" w:rsidRDefault="00B51E11">
      <w:pPr>
        <w:pStyle w:val="a3"/>
        <w:spacing w:before="0" w:beforeAutospacing="0" w:after="0" w:afterAutospacing="0"/>
        <w:jc w:val="center"/>
        <w:divId w:val="1886598061"/>
        <w:rPr>
          <w:sz w:val="20"/>
          <w:szCs w:val="20"/>
        </w:rPr>
      </w:pPr>
      <w:r>
        <w:rPr>
          <w:sz w:val="10"/>
          <w:szCs w:val="10"/>
        </w:rPr>
        <w:t>​</w:t>
      </w:r>
    </w:p>
    <w:p w:rsidR="00000000" w:rsidRDefault="00B51E11">
      <w:pPr>
        <w:pStyle w:val="a3"/>
        <w:spacing w:before="0" w:beforeAutospacing="0" w:after="0" w:afterAutospacing="0"/>
        <w:ind w:firstLine="490"/>
        <w:divId w:val="1886598061"/>
        <w:rPr>
          <w:sz w:val="20"/>
          <w:szCs w:val="20"/>
        </w:rPr>
      </w:pPr>
      <w:r>
        <w:rPr>
          <w:sz w:val="18"/>
          <w:szCs w:val="18"/>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z w:val="18"/>
          <w:szCs w:val="18"/>
        </w:rPr>
        <w:t>such reports), and (2) has been subject to such filing requirements for the past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r>
        <w:rPr>
          <w:sz w:val="18"/>
          <w:szCs w:val="18"/>
        </w:rPr>
        <w:t> </w:t>
      </w:r>
    </w:p>
    <w:p w:rsidR="00000000" w:rsidRDefault="00B51E11">
      <w:pPr>
        <w:pStyle w:val="a3"/>
        <w:spacing w:before="0" w:beforeAutospacing="0" w:after="0" w:afterAutospacing="0"/>
        <w:ind w:firstLine="490"/>
        <w:divId w:val="1886598061"/>
        <w:rPr>
          <w:sz w:val="20"/>
          <w:szCs w:val="20"/>
        </w:rPr>
      </w:pPr>
      <w:r>
        <w:rPr>
          <w:sz w:val="10"/>
          <w:szCs w:val="10"/>
        </w:rPr>
        <w:t>​</w:t>
      </w:r>
    </w:p>
    <w:p w:rsidR="00000000" w:rsidRDefault="00B51E11">
      <w:pPr>
        <w:pStyle w:val="a3"/>
        <w:spacing w:before="0" w:beforeAutospacing="0" w:after="0" w:afterAutospacing="0"/>
        <w:ind w:firstLine="490"/>
        <w:divId w:val="1886598061"/>
        <w:rPr>
          <w:sz w:val="20"/>
          <w:szCs w:val="20"/>
        </w:rPr>
      </w:pPr>
      <w:r>
        <w:rPr>
          <w:sz w:val="18"/>
          <w:szCs w:val="18"/>
        </w:rPr>
        <w:t>Indicate by check mark whether the registrant has submitted electronically every Interactive Data File required to be submitted pursuant to Rule 405 of</w:t>
      </w:r>
      <w:r>
        <w:rPr>
          <w:sz w:val="18"/>
          <w:szCs w:val="18"/>
        </w:rPr>
        <w:t xml:space="preserve"> Regulation S-T (§ 232.405 of this chapter)</w:t>
      </w:r>
      <w:r>
        <w:rPr>
          <w:sz w:val="16"/>
          <w:szCs w:val="16"/>
        </w:rPr>
        <w:t xml:space="preserve"> </w:t>
      </w:r>
      <w:r>
        <w:rPr>
          <w:sz w:val="18"/>
          <w:szCs w:val="18"/>
        </w:rPr>
        <w:t>during the preceding 12 months (or for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B51E11">
      <w:pPr>
        <w:pStyle w:val="a3"/>
        <w:spacing w:before="0" w:beforeAutospacing="0" w:after="0" w:afterAutospacing="0"/>
        <w:ind w:firstLine="490"/>
        <w:divId w:val="1886598061"/>
        <w:rPr>
          <w:sz w:val="20"/>
          <w:szCs w:val="20"/>
        </w:rPr>
      </w:pPr>
      <w:r>
        <w:rPr>
          <w:sz w:val="10"/>
          <w:szCs w:val="10"/>
        </w:rPr>
        <w:t>​</w:t>
      </w:r>
    </w:p>
    <w:p w:rsidR="00000000" w:rsidRDefault="00B51E11">
      <w:pPr>
        <w:pStyle w:val="a3"/>
        <w:spacing w:before="0" w:beforeAutospacing="0" w:after="0" w:afterAutospacing="0"/>
        <w:ind w:firstLine="490"/>
        <w:divId w:val="1886598061"/>
        <w:rPr>
          <w:sz w:val="18"/>
          <w:szCs w:val="18"/>
        </w:rPr>
      </w:pPr>
      <w:r>
        <w:rPr>
          <w:sz w:val="18"/>
          <w:szCs w:val="18"/>
        </w:rPr>
        <w:t>Indicate by check mark whether the registrant is a large accelerated filer, an acce</w:t>
      </w:r>
      <w:r>
        <w:rPr>
          <w:sz w:val="18"/>
          <w:szCs w:val="18"/>
        </w:rPr>
        <w:t xml:space="preserve">lerated filer, a non-accelerated filer, a smaller reporting company, or emerging growth company. See the definitions of “large </w:t>
      </w:r>
      <w:r>
        <w:rPr>
          <w:sz w:val="18"/>
          <w:szCs w:val="18"/>
        </w:rPr>
        <w:lastRenderedPageBreak/>
        <w:t>accelerated filer,” “accelerated filer,” “smaller reporting company,” and “emerging growth company” in Rule 12b-2 of the Exchange</w:t>
      </w:r>
      <w:r>
        <w:rPr>
          <w:sz w:val="18"/>
          <w:szCs w:val="18"/>
        </w:rPr>
        <w:t xml:space="preserve"> Act. </w:t>
      </w:r>
    </w:p>
    <w:p w:rsidR="00000000" w:rsidRDefault="00B51E11">
      <w:pPr>
        <w:pStyle w:val="a3"/>
        <w:spacing w:before="0" w:beforeAutospacing="0" w:after="0" w:afterAutospacing="0"/>
        <w:divId w:val="1886598061"/>
        <w:rPr>
          <w:sz w:val="20"/>
          <w:szCs w:val="20"/>
        </w:rPr>
      </w:pPr>
      <w:r>
        <w:rPr>
          <w:sz w:val="10"/>
          <w:szCs w:val="10"/>
        </w:rPr>
        <w:t>​</w:t>
      </w:r>
    </w:p>
    <w:tbl>
      <w:tblPr>
        <w:tblW w:w="4000" w:type="pct"/>
        <w:tblCellMar>
          <w:top w:w="15" w:type="dxa"/>
          <w:left w:w="0" w:type="dxa"/>
          <w:bottom w:w="15" w:type="dxa"/>
          <w:right w:w="0" w:type="dxa"/>
        </w:tblCellMar>
        <w:tblLook w:val="04A0" w:firstRow="1" w:lastRow="0" w:firstColumn="1" w:lastColumn="0" w:noHBand="0" w:noVBand="1"/>
      </w:tblPr>
      <w:tblGrid>
        <w:gridCol w:w="3025"/>
        <w:gridCol w:w="180"/>
        <w:gridCol w:w="3440"/>
      </w:tblGrid>
      <w:tr w:rsidR="00000000">
        <w:trPr>
          <w:divId w:val="1886598061"/>
          <w:trHeight w:val="20"/>
        </w:trPr>
        <w:tc>
          <w:tcPr>
            <w:tcW w:w="2288" w:type="pct"/>
            <w:tcMar>
              <w:top w:w="0" w:type="dxa"/>
              <w:left w:w="0" w:type="dxa"/>
              <w:bottom w:w="0" w:type="dxa"/>
              <w:right w:w="0" w:type="dxa"/>
            </w:tcMar>
            <w:hideMark/>
          </w:tcPr>
          <w:p w:rsidR="00000000" w:rsidRDefault="00B51E11">
            <w:pPr>
              <w:pStyle w:val="a3"/>
              <w:spacing w:before="0" w:beforeAutospacing="0" w:after="0" w:afterAutospacing="0"/>
              <w:divId w:val="416246772"/>
              <w:rPr>
                <w:sz w:val="20"/>
                <w:szCs w:val="20"/>
              </w:rPr>
            </w:pPr>
            <w:r>
              <w:rPr>
                <w:sz w:val="2"/>
                <w:szCs w:val="2"/>
              </w:rPr>
              <w:t>​</w:t>
            </w:r>
          </w:p>
        </w:tc>
        <w:tc>
          <w:tcPr>
            <w:tcW w:w="112" w:type="pct"/>
            <w:tcMar>
              <w:top w:w="0" w:type="dxa"/>
              <w:left w:w="0" w:type="dxa"/>
              <w:bottom w:w="0" w:type="dxa"/>
              <w:right w:w="0" w:type="dxa"/>
            </w:tcMar>
            <w:vAlign w:val="bottom"/>
            <w:hideMark/>
          </w:tcPr>
          <w:p w:rsidR="00000000" w:rsidRDefault="00B51E11">
            <w:pPr>
              <w:pStyle w:val="a3"/>
              <w:spacing w:before="0" w:beforeAutospacing="0" w:after="0" w:afterAutospacing="0"/>
              <w:divId w:val="2010591878"/>
              <w:rPr>
                <w:sz w:val="20"/>
                <w:szCs w:val="20"/>
              </w:rPr>
            </w:pPr>
            <w:r>
              <w:rPr>
                <w:sz w:val="2"/>
                <w:szCs w:val="2"/>
              </w:rPr>
              <w:t>​</w:t>
            </w:r>
          </w:p>
        </w:tc>
        <w:tc>
          <w:tcPr>
            <w:tcW w:w="2599" w:type="pct"/>
            <w:tcMar>
              <w:top w:w="0" w:type="dxa"/>
              <w:left w:w="0" w:type="dxa"/>
              <w:bottom w:w="0" w:type="dxa"/>
              <w:right w:w="0" w:type="dxa"/>
            </w:tcMar>
            <w:hideMark/>
          </w:tcPr>
          <w:p w:rsidR="00000000" w:rsidRDefault="00B51E11">
            <w:pPr>
              <w:pStyle w:val="a3"/>
              <w:spacing w:before="0" w:beforeAutospacing="0" w:after="0" w:afterAutospacing="0"/>
              <w:divId w:val="342243497"/>
              <w:rPr>
                <w:sz w:val="20"/>
                <w:szCs w:val="20"/>
              </w:rPr>
            </w:pPr>
            <w:r>
              <w:rPr>
                <w:sz w:val="2"/>
                <w:szCs w:val="2"/>
              </w:rPr>
              <w:t>​</w:t>
            </w:r>
          </w:p>
        </w:tc>
      </w:tr>
      <w:tr w:rsidR="00000000">
        <w:trPr>
          <w:divId w:val="1886598061"/>
        </w:trPr>
        <w:tc>
          <w:tcPr>
            <w:tcW w:w="2288"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18"/>
                <w:szCs w:val="18"/>
              </w:rPr>
              <w:t>Large</w:t>
            </w:r>
            <w:r>
              <w:rPr>
                <w:sz w:val="16"/>
                <w:szCs w:val="16"/>
              </w:rPr>
              <w:t xml:space="preserve"> </w:t>
            </w:r>
            <w:r>
              <w:rPr>
                <w:sz w:val="18"/>
                <w:szCs w:val="18"/>
              </w:rPr>
              <w:t>Accelerated</w:t>
            </w:r>
            <w:r>
              <w:rPr>
                <w:sz w:val="16"/>
                <w:szCs w:val="16"/>
              </w:rPr>
              <w:t xml:space="preserve"> </w:t>
            </w:r>
            <w:r>
              <w:rPr>
                <w:sz w:val="18"/>
                <w:szCs w:val="18"/>
              </w:rPr>
              <w:t>Filer</w:t>
            </w:r>
            <w:r>
              <w:rPr>
                <w:sz w:val="16"/>
                <w:szCs w:val="16"/>
              </w:rPr>
              <w:t xml:space="preserve">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    </w:t>
            </w:r>
          </w:p>
        </w:tc>
        <w:tc>
          <w:tcPr>
            <w:tcW w:w="2599"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18"/>
                <w:szCs w:val="18"/>
              </w:rPr>
              <w:t>Smaller Reporting Company </w:t>
            </w:r>
            <w:r>
              <w:rPr>
                <w:rFonts w:ascii="Segoe UI Symbol" w:hAnsi="Segoe UI Symbol"/>
                <w:sz w:val="18"/>
                <w:szCs w:val="18"/>
              </w:rPr>
              <w:t>☐</w:t>
            </w:r>
          </w:p>
        </w:tc>
      </w:tr>
      <w:tr w:rsidR="00000000">
        <w:trPr>
          <w:divId w:val="1886598061"/>
        </w:trPr>
        <w:tc>
          <w:tcPr>
            <w:tcW w:w="2288" w:type="pct"/>
            <w:tcMar>
              <w:top w:w="0" w:type="dxa"/>
              <w:left w:w="0" w:type="dxa"/>
              <w:bottom w:w="0" w:type="dxa"/>
              <w:right w:w="0" w:type="dxa"/>
            </w:tcMar>
            <w:hideMark/>
          </w:tcPr>
          <w:p w:rsidR="00000000" w:rsidRDefault="00B51E11">
            <w:pPr>
              <w:pStyle w:val="a3"/>
              <w:spacing w:before="0" w:beforeAutospacing="0" w:after="0" w:afterAutospacing="0"/>
              <w:jc w:val="center"/>
              <w:rPr>
                <w:sz w:val="18"/>
                <w:szCs w:val="18"/>
              </w:rPr>
            </w:pPr>
            <w:r>
              <w:rPr>
                <w:sz w:val="18"/>
                <w:szCs w:val="18"/>
              </w:rPr>
              <w:t xml:space="preserve">Non-accelerated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0"/>
                <w:szCs w:val="10"/>
              </w:rPr>
              <w:t>​</w:t>
            </w:r>
          </w:p>
        </w:tc>
        <w:tc>
          <w:tcPr>
            <w:tcW w:w="2599"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r w:rsidR="00000000">
        <w:trPr>
          <w:divId w:val="1886598061"/>
        </w:trPr>
        <w:tc>
          <w:tcPr>
            <w:tcW w:w="2288" w:type="pct"/>
            <w:tcMar>
              <w:top w:w="0" w:type="dxa"/>
              <w:left w:w="0" w:type="dxa"/>
              <w:bottom w:w="0" w:type="dxa"/>
              <w:right w:w="0" w:type="dxa"/>
            </w:tcMar>
            <w:hideMark/>
          </w:tcPr>
          <w:p w:rsidR="00000000" w:rsidRDefault="00B51E11">
            <w:pPr>
              <w:pStyle w:val="a3"/>
              <w:spacing w:before="0" w:beforeAutospacing="0" w:after="0" w:afterAutospacing="0"/>
              <w:jc w:val="center"/>
              <w:rPr>
                <w:sz w:val="18"/>
                <w:szCs w:val="18"/>
              </w:rPr>
            </w:pPr>
            <w:r>
              <w:rPr>
                <w:sz w:val="18"/>
                <w:szCs w:val="18"/>
              </w:rPr>
              <w:t>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2599"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18"/>
                <w:szCs w:val="18"/>
              </w:rPr>
              <w:t>​</w:t>
            </w:r>
          </w:p>
        </w:tc>
      </w:tr>
    </w:tbl>
    <w:p w:rsidR="00000000" w:rsidRDefault="00B51E11">
      <w:pPr>
        <w:pStyle w:val="a3"/>
        <w:spacing w:before="0" w:beforeAutospacing="0" w:after="0" w:afterAutospacing="0"/>
        <w:divId w:val="1886598061"/>
        <w:rPr>
          <w:sz w:val="20"/>
          <w:szCs w:val="20"/>
        </w:rPr>
      </w:pPr>
      <w:r>
        <w:rPr>
          <w:sz w:val="10"/>
          <w:szCs w:val="10"/>
        </w:rPr>
        <w:t>​</w:t>
      </w:r>
    </w:p>
    <w:p w:rsidR="00000000" w:rsidRDefault="00B51E11">
      <w:pPr>
        <w:pStyle w:val="a3"/>
        <w:spacing w:before="0" w:beforeAutospacing="0" w:after="0" w:afterAutospacing="0"/>
        <w:ind w:firstLine="490"/>
        <w:divId w:val="1886598061"/>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B51E11">
      <w:pPr>
        <w:pStyle w:val="a3"/>
        <w:spacing w:before="0" w:beforeAutospacing="0" w:after="0" w:afterAutospacing="0"/>
        <w:ind w:firstLine="490"/>
        <w:divId w:val="1886598061"/>
        <w:rPr>
          <w:sz w:val="20"/>
          <w:szCs w:val="20"/>
        </w:rPr>
      </w:pPr>
      <w:r>
        <w:rPr>
          <w:sz w:val="10"/>
          <w:szCs w:val="10"/>
        </w:rPr>
        <w:t>​</w:t>
      </w:r>
    </w:p>
    <w:p w:rsidR="00000000" w:rsidRDefault="00B51E11">
      <w:pPr>
        <w:pStyle w:val="a3"/>
        <w:spacing w:before="0" w:beforeAutospacing="0" w:after="0" w:afterAutospacing="0"/>
        <w:ind w:firstLine="490"/>
        <w:divId w:val="1886598061"/>
        <w:rPr>
          <w:sz w:val="20"/>
          <w:szCs w:val="20"/>
        </w:rPr>
      </w:pPr>
      <w:r>
        <w:rPr>
          <w:sz w:val="18"/>
          <w:szCs w:val="18"/>
        </w:rPr>
        <w:t>I</w:t>
      </w:r>
      <w:r>
        <w:rPr>
          <w:sz w:val="18"/>
          <w:szCs w:val="18"/>
        </w:rPr>
        <w:t>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B51E11">
      <w:pPr>
        <w:pStyle w:val="a3"/>
        <w:spacing w:before="0" w:beforeAutospacing="0" w:after="0" w:afterAutospacing="0"/>
        <w:divId w:val="1886598061"/>
        <w:rPr>
          <w:sz w:val="20"/>
          <w:szCs w:val="20"/>
        </w:rPr>
      </w:pPr>
      <w:r>
        <w:rPr>
          <w:sz w:val="10"/>
          <w:szCs w:val="10"/>
        </w:rPr>
        <w:t>​</w:t>
      </w:r>
    </w:p>
    <w:p w:rsidR="00000000" w:rsidRDefault="00B51E11">
      <w:pPr>
        <w:pStyle w:val="a3"/>
        <w:spacing w:before="0" w:beforeAutospacing="0" w:after="0" w:afterAutospacing="0"/>
        <w:ind w:firstLine="490"/>
        <w:divId w:val="1886598061"/>
        <w:rPr>
          <w:sz w:val="18"/>
          <w:szCs w:val="18"/>
        </w:rPr>
      </w:pPr>
      <w:r>
        <w:rPr>
          <w:sz w:val="18"/>
          <w:szCs w:val="18"/>
        </w:rPr>
        <w:t>As of October 30, 2020, the number of the registrant’s outstanding ordinary shares was 63,981,317</w:t>
      </w:r>
      <w:r>
        <w:rPr>
          <w:sz w:val="20"/>
          <w:szCs w:val="20"/>
        </w:rPr>
        <w:t>.</w:t>
      </w:r>
    </w:p>
    <w:p w:rsidR="00000000" w:rsidRDefault="00B51E11">
      <w:pPr>
        <w:pStyle w:val="a3"/>
        <w:pBdr>
          <w:top w:val="single" w:sz="8" w:space="1" w:color="000000"/>
          <w:bottom w:val="single" w:sz="24" w:space="1" w:color="000000"/>
        </w:pBdr>
        <w:spacing w:before="0" w:beforeAutospacing="0" w:after="0" w:afterAutospacing="0"/>
        <w:divId w:val="1886598061"/>
        <w:rPr>
          <w:sz w:val="20"/>
          <w:szCs w:val="20"/>
        </w:rPr>
      </w:pPr>
      <w:r>
        <w:rPr>
          <w:sz w:val="2"/>
          <w:szCs w:val="2"/>
        </w:rPr>
        <w:t>​</w:t>
      </w:r>
    </w:p>
    <w:p w:rsidR="00000000" w:rsidRDefault="00B51E11">
      <w:pPr>
        <w:pStyle w:val="a3"/>
        <w:spacing w:before="0" w:beforeAutospacing="0" w:after="0" w:afterAutospacing="0" w:line="0" w:lineRule="atLeast"/>
        <w:jc w:val="center"/>
        <w:divId w:val="1886598061"/>
        <w:rPr>
          <w:vanish/>
        </w:rPr>
      </w:pPr>
      <w:r>
        <w:rPr>
          <w:vanish/>
          <w:sz w:val="2"/>
          <w:szCs w:val="2"/>
        </w:rPr>
        <w:t>​</w:t>
      </w:r>
    </w:p>
    <w:p w:rsidR="00000000" w:rsidRDefault="00B51E11">
      <w:pPr>
        <w:pStyle w:val="a3"/>
        <w:spacing w:before="0" w:beforeAutospacing="0" w:after="600" w:afterAutospacing="0"/>
        <w:divId w:val="762609240"/>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jc w:val="center"/>
        <w:divId w:val="1659797385"/>
        <w:rPr>
          <w:sz w:val="20"/>
          <w:szCs w:val="20"/>
        </w:rPr>
      </w:pPr>
      <w:r>
        <w:rPr>
          <w:b/>
          <w:bCs/>
          <w:sz w:val="20"/>
          <w:szCs w:val="20"/>
        </w:rPr>
        <w:t>THERAVANCE BIOPHARMA, INC.</w:t>
      </w:r>
    </w:p>
    <w:p w:rsidR="00000000" w:rsidRDefault="00B51E11">
      <w:pPr>
        <w:pStyle w:val="a3"/>
        <w:spacing w:before="0" w:beforeAutospacing="0" w:after="0" w:afterAutospacing="0"/>
        <w:jc w:val="center"/>
        <w:divId w:val="1659797385"/>
        <w:rPr>
          <w:sz w:val="20"/>
          <w:szCs w:val="20"/>
        </w:rPr>
      </w:pPr>
      <w:r>
        <w:rPr>
          <w:b/>
          <w:bCs/>
          <w:sz w:val="20"/>
          <w:szCs w:val="20"/>
        </w:rPr>
        <w:t>TABLE OF CONTENTS</w:t>
      </w:r>
    </w:p>
    <w:p w:rsidR="00000000" w:rsidRDefault="00B51E11">
      <w:pPr>
        <w:pStyle w:val="a3"/>
        <w:spacing w:before="0" w:beforeAutospacing="0" w:after="0" w:afterAutospacing="0"/>
        <w:divId w:val="165979738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701"/>
        <w:gridCol w:w="605"/>
      </w:tblGrid>
      <w:tr w:rsidR="00000000">
        <w:trPr>
          <w:divId w:val="1659797385"/>
          <w:trHeight w:val="20"/>
        </w:trPr>
        <w:tc>
          <w:tcPr>
            <w:tcW w:w="4687" w:type="pct"/>
            <w:tcMar>
              <w:top w:w="0" w:type="dxa"/>
              <w:left w:w="0" w:type="dxa"/>
              <w:bottom w:w="0" w:type="dxa"/>
              <w:right w:w="0" w:type="dxa"/>
            </w:tcMar>
            <w:vAlign w:val="bottom"/>
            <w:hideMark/>
          </w:tcPr>
          <w:p w:rsidR="00000000" w:rsidRDefault="00B51E11">
            <w:pPr>
              <w:pStyle w:val="a3"/>
              <w:spacing w:before="0" w:beforeAutospacing="0" w:after="0" w:afterAutospacing="0"/>
              <w:divId w:val="583298681"/>
              <w:rPr>
                <w:sz w:val="20"/>
                <w:szCs w:val="20"/>
              </w:rPr>
            </w:pPr>
            <w:r>
              <w:rPr>
                <w:sz w:val="2"/>
                <w:szCs w:val="2"/>
              </w:rPr>
              <w:t>​</w:t>
            </w:r>
          </w:p>
        </w:tc>
        <w:tc>
          <w:tcPr>
            <w:tcW w:w="312" w:type="pct"/>
            <w:tcMar>
              <w:top w:w="0" w:type="dxa"/>
              <w:left w:w="0" w:type="dxa"/>
              <w:bottom w:w="0" w:type="dxa"/>
              <w:right w:w="0" w:type="dxa"/>
            </w:tcMar>
            <w:vAlign w:val="bottom"/>
            <w:hideMark/>
          </w:tcPr>
          <w:p w:rsidR="00000000" w:rsidRDefault="00B51E11">
            <w:pPr>
              <w:pStyle w:val="a3"/>
              <w:spacing w:before="0" w:beforeAutospacing="0" w:after="0" w:afterAutospacing="0"/>
              <w:divId w:val="531773764"/>
              <w:rPr>
                <w:sz w:val="20"/>
                <w:szCs w:val="20"/>
              </w:rPr>
            </w:pPr>
            <w:r>
              <w:rPr>
                <w:sz w:val="2"/>
                <w:szCs w:val="2"/>
              </w:rPr>
              <w:t>​</w:t>
            </w:r>
          </w:p>
        </w:tc>
      </w:tr>
      <w:tr w:rsidR="00000000">
        <w:trPr>
          <w:divId w:val="1659797385"/>
        </w:trPr>
        <w:tc>
          <w:tcPr>
            <w:tcW w:w="468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rFonts w:ascii="Times New Roman Bold" w:hAnsi="Times New Roman Bold"/>
                <w:sz w:val="16"/>
                <w:szCs w:val="16"/>
              </w:rPr>
              <w:t>​</w:t>
            </w:r>
          </w:p>
        </w:tc>
        <w:tc>
          <w:tcPr>
            <w:tcW w:w="312"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Page No.</w:t>
            </w:r>
          </w:p>
        </w:tc>
      </w:tr>
      <w:tr w:rsidR="00000000">
        <w:trPr>
          <w:divId w:val="1659797385"/>
        </w:trPr>
        <w:tc>
          <w:tcPr>
            <w:tcW w:w="468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w:anchor="PARTIFINANCIALINFORMATION_279812" w:history="1">
              <w:r>
                <w:rPr>
                  <w:rStyle w:val="a4"/>
                  <w:b/>
                  <w:bCs/>
                  <w:sz w:val="20"/>
                  <w:szCs w:val="20"/>
                </w:rPr>
                <w:t>PART I. FINANCIAL INFORMATION</w:t>
              </w:r>
            </w:hyperlink>
          </w:p>
        </w:tc>
        <w:tc>
          <w:tcPr>
            <w:tcW w:w="312" w:type="pct"/>
            <w:tcBorders>
              <w:top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r w:rsidR="00000000">
        <w:trPr>
          <w:divId w:val="1659797385"/>
        </w:trPr>
        <w:tc>
          <w:tcPr>
            <w:tcW w:w="468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w:anchor="ITEM1FINANCIALSTATEMENTS_368827" w:history="1">
              <w:r>
                <w:rPr>
                  <w:rStyle w:val="a4"/>
                  <w:sz w:val="20"/>
                  <w:szCs w:val="20"/>
                </w:rPr>
                <w:t>Item 1. Financial Statements</w:t>
              </w:r>
            </w:hyperlink>
          </w:p>
        </w:tc>
        <w:tc>
          <w:tcPr>
            <w:tcW w:w="312"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r w:rsidR="00000000">
        <w:trPr>
          <w:divId w:val="1659797385"/>
        </w:trPr>
        <w:tc>
          <w:tcPr>
            <w:tcW w:w="4687"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144"/>
              <w:rPr>
                <w:sz w:val="20"/>
                <w:szCs w:val="20"/>
              </w:rPr>
            </w:pPr>
            <w:hyperlink w:anchor="CONSOLIDATEDBALANCESHEETS_45369" w:history="1">
              <w:r>
                <w:rPr>
                  <w:rStyle w:val="a4"/>
                  <w:sz w:val="20"/>
                  <w:szCs w:val="20"/>
                </w:rPr>
                <w:t>Condensed Consolidated Balance Sheets as of September 30, 2020 and December 31, 2019 (unaudited)</w:t>
              </w:r>
            </w:hyperlink>
          </w:p>
        </w:tc>
        <w:tc>
          <w:tcPr>
            <w:tcW w:w="3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3</w:t>
            </w:r>
          </w:p>
        </w:tc>
      </w:tr>
      <w:tr w:rsidR="00000000">
        <w:trPr>
          <w:divId w:val="1659797385"/>
        </w:trPr>
        <w:tc>
          <w:tcPr>
            <w:tcW w:w="4687" w:type="pct"/>
            <w:tcMar>
              <w:top w:w="0" w:type="dxa"/>
              <w:left w:w="0" w:type="dxa"/>
              <w:bottom w:w="0" w:type="dxa"/>
              <w:right w:w="0" w:type="dxa"/>
            </w:tcMar>
            <w:vAlign w:val="bottom"/>
            <w:hideMark/>
          </w:tcPr>
          <w:p w:rsidR="00000000" w:rsidRDefault="00B51E11">
            <w:pPr>
              <w:pStyle w:val="a3"/>
              <w:spacing w:before="0" w:beforeAutospacing="0" w:after="0" w:afterAutospacing="0"/>
              <w:ind w:left="144" w:hanging="144"/>
              <w:rPr>
                <w:sz w:val="20"/>
                <w:szCs w:val="20"/>
              </w:rPr>
            </w:pPr>
            <w:hyperlink w:anchor="CONSOLIDATEDSTATEMENTSOFOPERATIONS_3228" w:history="1">
              <w:r>
                <w:rPr>
                  <w:rStyle w:val="a4"/>
                  <w:sz w:val="20"/>
                  <w:szCs w:val="20"/>
                </w:rPr>
                <w:t>Condensed Consolidated Statements of Operations and Comprehensive Loss for the three and nine months ended September 30, 2020 and 2019 (unaudited)</w:t>
              </w:r>
            </w:hyperlink>
          </w:p>
        </w:tc>
        <w:tc>
          <w:tcPr>
            <w:tcW w:w="312"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4</w:t>
            </w:r>
          </w:p>
        </w:tc>
      </w:tr>
      <w:tr w:rsidR="00000000">
        <w:trPr>
          <w:divId w:val="1659797385"/>
        </w:trPr>
        <w:tc>
          <w:tcPr>
            <w:tcW w:w="4687"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144" w:hanging="144"/>
              <w:rPr>
                <w:sz w:val="20"/>
                <w:szCs w:val="20"/>
              </w:rPr>
            </w:pPr>
            <w:hyperlink w:anchor="CONSOLIDATEDSTATEMENTSOFSHAREHOLDERS_32" w:history="1">
              <w:r>
                <w:rPr>
                  <w:rStyle w:val="a4"/>
                  <w:sz w:val="20"/>
                  <w:szCs w:val="20"/>
                </w:rPr>
                <w:t>Condensed Consolidated Statements of Shareholders’ Deficit for the three and nine months ended September 30, 2020 and 2019 (unaudited)</w:t>
              </w:r>
            </w:hyperlink>
          </w:p>
        </w:tc>
        <w:tc>
          <w:tcPr>
            <w:tcW w:w="3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5</w:t>
            </w:r>
          </w:p>
        </w:tc>
      </w:tr>
      <w:tr w:rsidR="00000000">
        <w:trPr>
          <w:divId w:val="1659797385"/>
        </w:trPr>
        <w:tc>
          <w:tcPr>
            <w:tcW w:w="4687" w:type="pct"/>
            <w:tcMar>
              <w:top w:w="0" w:type="dxa"/>
              <w:left w:w="0" w:type="dxa"/>
              <w:bottom w:w="0" w:type="dxa"/>
              <w:right w:w="0" w:type="dxa"/>
            </w:tcMar>
            <w:vAlign w:val="bottom"/>
            <w:hideMark/>
          </w:tcPr>
          <w:p w:rsidR="00000000" w:rsidRDefault="00B51E11">
            <w:pPr>
              <w:pStyle w:val="a3"/>
              <w:spacing w:before="0" w:beforeAutospacing="0" w:after="0" w:afterAutospacing="0"/>
              <w:ind w:left="144" w:hanging="144"/>
              <w:rPr>
                <w:sz w:val="20"/>
                <w:szCs w:val="20"/>
              </w:rPr>
            </w:pPr>
            <w:hyperlink w:anchor="CONSOLIDATEDSTATEMENTSOFCASHFLOWS_69820" w:history="1">
              <w:r>
                <w:rPr>
                  <w:rStyle w:val="a4"/>
                  <w:sz w:val="20"/>
                  <w:szCs w:val="20"/>
                </w:rPr>
                <w:t>Condensed Consolidated Statements of Cash Flows for t</w:t>
              </w:r>
              <w:r>
                <w:rPr>
                  <w:rStyle w:val="a4"/>
                  <w:sz w:val="20"/>
                  <w:szCs w:val="20"/>
                </w:rPr>
                <w:t>he nine months ended September 30, 2020 and 2019 (unaudited)</w:t>
              </w:r>
            </w:hyperlink>
          </w:p>
        </w:tc>
        <w:tc>
          <w:tcPr>
            <w:tcW w:w="312"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6</w:t>
            </w:r>
          </w:p>
        </w:tc>
      </w:tr>
      <w:tr w:rsidR="00000000">
        <w:trPr>
          <w:divId w:val="1659797385"/>
        </w:trPr>
        <w:tc>
          <w:tcPr>
            <w:tcW w:w="4687"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144"/>
              <w:rPr>
                <w:sz w:val="20"/>
                <w:szCs w:val="20"/>
              </w:rPr>
            </w:pPr>
            <w:hyperlink w:anchor="NOTESTOCONDENSEDCONSOLIDATEDFINANCIAL_8" w:history="1">
              <w:r>
                <w:rPr>
                  <w:rStyle w:val="a4"/>
                  <w:sz w:val="20"/>
                  <w:szCs w:val="20"/>
                </w:rPr>
                <w:t>Notes to Condensed Consolidated Financial Statements (unaudited)</w:t>
              </w:r>
            </w:hyperlink>
          </w:p>
        </w:tc>
        <w:tc>
          <w:tcPr>
            <w:tcW w:w="3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7</w:t>
            </w:r>
          </w:p>
        </w:tc>
      </w:tr>
      <w:tr w:rsidR="00000000">
        <w:trPr>
          <w:divId w:val="1659797385"/>
        </w:trPr>
        <w:tc>
          <w:tcPr>
            <w:tcW w:w="468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w:anchor="MANAGEMENTSDISCUSSIONANDANALYSIS_237225" w:history="1">
              <w:r>
                <w:rPr>
                  <w:rStyle w:val="a4"/>
                  <w:sz w:val="20"/>
                  <w:szCs w:val="20"/>
                </w:rPr>
                <w:t>Item 2. Management’s Discussion and Analysis of Financial Condition and Results of Operations</w:t>
              </w:r>
            </w:hyperlink>
          </w:p>
        </w:tc>
        <w:tc>
          <w:tcPr>
            <w:tcW w:w="312"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21</w:t>
            </w:r>
          </w:p>
        </w:tc>
      </w:tr>
      <w:tr w:rsidR="00000000">
        <w:trPr>
          <w:divId w:val="1659797385"/>
        </w:trPr>
        <w:tc>
          <w:tcPr>
            <w:tcW w:w="4687"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w:anchor="QUANTITATIVEANDQUALITATIVEDISCLOSURES_5" w:history="1">
              <w:r>
                <w:rPr>
                  <w:rStyle w:val="a4"/>
                  <w:sz w:val="20"/>
                  <w:szCs w:val="20"/>
                </w:rPr>
                <w:t>Item 3. Quantitative and Qualitati</w:t>
              </w:r>
              <w:r>
                <w:rPr>
                  <w:rStyle w:val="a4"/>
                  <w:sz w:val="20"/>
                  <w:szCs w:val="20"/>
                </w:rPr>
                <w:t>ve Disclosures About Market Risk</w:t>
              </w:r>
            </w:hyperlink>
          </w:p>
        </w:tc>
        <w:tc>
          <w:tcPr>
            <w:tcW w:w="3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36</w:t>
            </w:r>
          </w:p>
        </w:tc>
      </w:tr>
      <w:tr w:rsidR="00000000">
        <w:trPr>
          <w:divId w:val="1659797385"/>
        </w:trPr>
        <w:tc>
          <w:tcPr>
            <w:tcW w:w="468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w:anchor="CONTROLSANDPROCEDURES_651619" w:history="1">
              <w:r>
                <w:rPr>
                  <w:rStyle w:val="a4"/>
                  <w:sz w:val="20"/>
                  <w:szCs w:val="20"/>
                </w:rPr>
                <w:t>Item 4. Controls and Procedures</w:t>
              </w:r>
            </w:hyperlink>
          </w:p>
        </w:tc>
        <w:tc>
          <w:tcPr>
            <w:tcW w:w="312"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36</w:t>
            </w:r>
          </w:p>
        </w:tc>
      </w:tr>
      <w:tr w:rsidR="00000000">
        <w:trPr>
          <w:divId w:val="1659797385"/>
        </w:trPr>
        <w:tc>
          <w:tcPr>
            <w:tcW w:w="4687"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r w:rsidR="00000000">
        <w:trPr>
          <w:divId w:val="1659797385"/>
        </w:trPr>
        <w:tc>
          <w:tcPr>
            <w:tcW w:w="468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w:anchor="PARTIIOTHERINFORMATION_797321" w:history="1">
              <w:r>
                <w:rPr>
                  <w:rStyle w:val="a4"/>
                  <w:b/>
                  <w:bCs/>
                  <w:sz w:val="20"/>
                  <w:szCs w:val="20"/>
                </w:rPr>
                <w:t>PART II. OTHER INFORMATION</w:t>
              </w:r>
            </w:hyperlink>
          </w:p>
        </w:tc>
        <w:tc>
          <w:tcPr>
            <w:tcW w:w="312"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r w:rsidR="00000000">
        <w:trPr>
          <w:divId w:val="1659797385"/>
        </w:trPr>
        <w:tc>
          <w:tcPr>
            <w:tcW w:w="4687"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w:anchor="ITEM1LEGALPROCEEDINGS_174301" w:history="1">
              <w:r>
                <w:rPr>
                  <w:rStyle w:val="a4"/>
                  <w:sz w:val="20"/>
                  <w:szCs w:val="20"/>
                </w:rPr>
                <w:t>Item 1. Legal Proceedings</w:t>
              </w:r>
            </w:hyperlink>
          </w:p>
        </w:tc>
        <w:tc>
          <w:tcPr>
            <w:tcW w:w="3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37</w:t>
            </w:r>
          </w:p>
        </w:tc>
      </w:tr>
      <w:tr w:rsidR="00000000">
        <w:trPr>
          <w:divId w:val="1659797385"/>
        </w:trPr>
        <w:tc>
          <w:tcPr>
            <w:tcW w:w="468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w:anchor="ITEM1ARISKFACTORS_513956" w:history="1">
              <w:r>
                <w:rPr>
                  <w:rStyle w:val="a4"/>
                  <w:sz w:val="20"/>
                  <w:szCs w:val="20"/>
                </w:rPr>
                <w:t>Item 1A. Risk Factors</w:t>
              </w:r>
            </w:hyperlink>
          </w:p>
        </w:tc>
        <w:tc>
          <w:tcPr>
            <w:tcW w:w="312"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37</w:t>
            </w:r>
          </w:p>
        </w:tc>
      </w:tr>
      <w:tr w:rsidR="00000000">
        <w:trPr>
          <w:divId w:val="1659797385"/>
        </w:trPr>
        <w:tc>
          <w:tcPr>
            <w:tcW w:w="4687"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w:anchor="ITEM2UNREGISTEREDSALESOFEQUITYSECURITIE" w:history="1">
              <w:r>
                <w:rPr>
                  <w:rStyle w:val="a4"/>
                  <w:sz w:val="20"/>
                  <w:szCs w:val="20"/>
                </w:rPr>
                <w:t>Item 2. Unregistered Sales of Equity Securities and Use of Proceeds</w:t>
              </w:r>
            </w:hyperlink>
          </w:p>
        </w:tc>
        <w:tc>
          <w:tcPr>
            <w:tcW w:w="3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72</w:t>
            </w:r>
          </w:p>
        </w:tc>
      </w:tr>
      <w:tr w:rsidR="00000000">
        <w:trPr>
          <w:divId w:val="1659797385"/>
        </w:trPr>
        <w:tc>
          <w:tcPr>
            <w:tcW w:w="468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w:anchor="ITEM6EXHIBITS_250977" w:history="1">
              <w:r>
                <w:rPr>
                  <w:rStyle w:val="a4"/>
                  <w:sz w:val="20"/>
                  <w:szCs w:val="20"/>
                </w:rPr>
                <w:t>Item 6. Exhibits</w:t>
              </w:r>
            </w:hyperlink>
          </w:p>
        </w:tc>
        <w:tc>
          <w:tcPr>
            <w:tcW w:w="312"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73</w:t>
            </w:r>
          </w:p>
        </w:tc>
      </w:tr>
      <w:tr w:rsidR="00000000">
        <w:trPr>
          <w:divId w:val="1659797385"/>
        </w:trPr>
        <w:tc>
          <w:tcPr>
            <w:tcW w:w="4687"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w:anchor="SIGNATURES_417351" w:history="1">
              <w:r>
                <w:rPr>
                  <w:rStyle w:val="a4"/>
                  <w:sz w:val="20"/>
                  <w:szCs w:val="20"/>
                </w:rPr>
                <w:t>Signatures</w:t>
              </w:r>
            </w:hyperlink>
          </w:p>
        </w:tc>
        <w:tc>
          <w:tcPr>
            <w:tcW w:w="3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74</w:t>
            </w:r>
          </w:p>
        </w:tc>
      </w:tr>
    </w:tbl>
    <w:p w:rsidR="00000000" w:rsidRDefault="00B51E11">
      <w:pPr>
        <w:pStyle w:val="a3"/>
        <w:spacing w:before="0" w:beforeAutospacing="0" w:after="0" w:afterAutospacing="0"/>
        <w:divId w:val="1659797385"/>
        <w:rPr>
          <w:sz w:val="20"/>
          <w:szCs w:val="20"/>
        </w:rPr>
      </w:pPr>
      <w:r>
        <w:rPr>
          <w:sz w:val="20"/>
          <w:szCs w:val="20"/>
        </w:rPr>
        <w:t>​</w:t>
      </w:r>
    </w:p>
    <w:p w:rsidR="00000000" w:rsidRDefault="00B51E11">
      <w:pPr>
        <w:pStyle w:val="a3"/>
        <w:spacing w:before="0" w:beforeAutospacing="0" w:after="0" w:afterAutospacing="0"/>
        <w:divId w:val="1659797385"/>
        <w:rPr>
          <w:sz w:val="20"/>
          <w:szCs w:val="20"/>
        </w:rPr>
      </w:pPr>
      <w:r>
        <w:rPr>
          <w:sz w:val="20"/>
          <w:szCs w:val="20"/>
        </w:rPr>
        <w:t>​</w:t>
      </w:r>
    </w:p>
    <w:p w:rsidR="00000000" w:rsidRDefault="00B51E11">
      <w:pPr>
        <w:pStyle w:val="a3"/>
        <w:spacing w:before="0" w:beforeAutospacing="0" w:after="0" w:afterAutospacing="0"/>
        <w:divId w:val="1659797385"/>
        <w:rPr>
          <w:sz w:val="20"/>
          <w:szCs w:val="20"/>
        </w:rPr>
      </w:pPr>
      <w:r>
        <w:rPr>
          <w:sz w:val="20"/>
          <w:szCs w:val="20"/>
        </w:rPr>
        <w:t>​</w:t>
      </w:r>
    </w:p>
    <w:p w:rsidR="00000000" w:rsidRDefault="00B51E11">
      <w:pPr>
        <w:pStyle w:val="a3"/>
        <w:spacing w:before="360" w:beforeAutospacing="0" w:after="0" w:afterAutospacing="0"/>
        <w:jc w:val="center"/>
        <w:divId w:val="1700472845"/>
        <w:rPr>
          <w:sz w:val="20"/>
          <w:szCs w:val="20"/>
        </w:rPr>
      </w:pPr>
      <w:r>
        <w:rPr>
          <w:sz w:val="20"/>
          <w:szCs w:val="20"/>
        </w:rPr>
        <w:t>2</w:t>
      </w:r>
    </w:p>
    <w:p w:rsidR="00000000" w:rsidRDefault="00B51E11">
      <w:pPr>
        <w:pStyle w:val="a3"/>
        <w:spacing w:before="0" w:beforeAutospacing="0" w:after="600" w:afterAutospacing="0"/>
        <w:divId w:val="2132163011"/>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34883232"/>
        <w:rPr>
          <w:sz w:val="20"/>
          <w:szCs w:val="20"/>
        </w:rPr>
      </w:pPr>
      <w:r>
        <w:rPr>
          <w:b/>
          <w:bCs/>
          <w:sz w:val="20"/>
          <w:szCs w:val="20"/>
        </w:rPr>
        <w:lastRenderedPageBreak/>
        <w:t>PART I. FINANCIAL INFORMATION</w:t>
      </w:r>
    </w:p>
    <w:p w:rsidR="00000000" w:rsidRDefault="00B51E11">
      <w:pPr>
        <w:pStyle w:val="a3"/>
        <w:spacing w:before="0" w:beforeAutospacing="0" w:after="240" w:afterAutospacing="0"/>
        <w:ind w:hanging="1008"/>
        <w:divId w:val="134883232"/>
        <w:rPr>
          <w:sz w:val="20"/>
          <w:szCs w:val="20"/>
        </w:rPr>
      </w:pPr>
      <w:r>
        <w:rPr>
          <w:b/>
          <w:bCs/>
          <w:sz w:val="20"/>
          <w:szCs w:val="20"/>
        </w:rPr>
        <w:t>ITEM 1.    FINANCIAL STATEMENTS</w:t>
      </w:r>
    </w:p>
    <w:p w:rsidR="00000000" w:rsidRDefault="00B51E11">
      <w:pPr>
        <w:pStyle w:val="a3"/>
        <w:spacing w:before="0" w:beforeAutospacing="0" w:after="0" w:afterAutospacing="0"/>
        <w:jc w:val="center"/>
        <w:divId w:val="134883232"/>
        <w:rPr>
          <w:sz w:val="20"/>
          <w:szCs w:val="20"/>
        </w:rPr>
      </w:pPr>
      <w:r>
        <w:rPr>
          <w:b/>
          <w:bCs/>
          <w:sz w:val="20"/>
          <w:szCs w:val="20"/>
        </w:rPr>
        <w:t>THERAVANCE BIOPHARMA, INC.</w:t>
      </w:r>
    </w:p>
    <w:p w:rsidR="00000000" w:rsidRDefault="00B51E11">
      <w:pPr>
        <w:pStyle w:val="a3"/>
        <w:spacing w:before="0" w:beforeAutospacing="0" w:after="0" w:afterAutospacing="0"/>
        <w:jc w:val="center"/>
        <w:divId w:val="134883232"/>
        <w:rPr>
          <w:sz w:val="20"/>
          <w:szCs w:val="20"/>
        </w:rPr>
      </w:pPr>
      <w:r>
        <w:rPr>
          <w:b/>
          <w:bCs/>
          <w:sz w:val="20"/>
          <w:szCs w:val="20"/>
        </w:rPr>
        <w:t>CONDENSED CONSOLIDATED BALANCE SHEETS</w:t>
      </w:r>
    </w:p>
    <w:p w:rsidR="00000000" w:rsidRDefault="00B51E11">
      <w:pPr>
        <w:pStyle w:val="a3"/>
        <w:spacing w:before="0" w:beforeAutospacing="0" w:after="0" w:afterAutospacing="0"/>
        <w:jc w:val="center"/>
        <w:divId w:val="134883232"/>
        <w:rPr>
          <w:sz w:val="20"/>
          <w:szCs w:val="20"/>
        </w:rPr>
      </w:pPr>
      <w:r>
        <w:rPr>
          <w:b/>
          <w:bCs/>
          <w:sz w:val="20"/>
          <w:szCs w:val="20"/>
        </w:rPr>
        <w:t>(Unaudited)</w:t>
      </w:r>
    </w:p>
    <w:p w:rsidR="00000000" w:rsidRDefault="00B51E11">
      <w:pPr>
        <w:pStyle w:val="a3"/>
        <w:spacing w:before="0" w:beforeAutospacing="0" w:after="120" w:afterAutospacing="0"/>
        <w:jc w:val="center"/>
        <w:divId w:val="134883232"/>
        <w:rPr>
          <w:sz w:val="20"/>
          <w:szCs w:val="20"/>
        </w:rPr>
      </w:pPr>
      <w:r>
        <w:rPr>
          <w:b/>
          <w:bCs/>
          <w:sz w:val="20"/>
          <w:szCs w:val="20"/>
        </w:rPr>
        <w:t>(In thousands, except per share data)</w:t>
      </w:r>
    </w:p>
    <w:tbl>
      <w:tblPr>
        <w:tblW w:w="5000" w:type="pct"/>
        <w:tblCellMar>
          <w:top w:w="15" w:type="dxa"/>
          <w:left w:w="0" w:type="dxa"/>
          <w:bottom w:w="15" w:type="dxa"/>
          <w:right w:w="0" w:type="dxa"/>
        </w:tblCellMar>
        <w:tblLook w:val="04A0" w:firstRow="1" w:lastRow="0" w:firstColumn="1" w:lastColumn="0" w:noHBand="0" w:noVBand="1"/>
      </w:tblPr>
      <w:tblGrid>
        <w:gridCol w:w="5817"/>
        <w:gridCol w:w="202"/>
        <w:gridCol w:w="205"/>
        <w:gridCol w:w="840"/>
        <w:gridCol w:w="199"/>
        <w:gridCol w:w="203"/>
        <w:gridCol w:w="840"/>
      </w:tblGrid>
      <w:tr w:rsidR="00000000">
        <w:trPr>
          <w:divId w:val="134883232"/>
          <w:trHeight w:val="20"/>
        </w:trPr>
        <w:tc>
          <w:tcPr>
            <w:tcW w:w="3503" w:type="pct"/>
            <w:tcMar>
              <w:top w:w="0" w:type="dxa"/>
              <w:left w:w="0" w:type="dxa"/>
              <w:bottom w:w="0" w:type="dxa"/>
              <w:right w:w="0" w:type="dxa"/>
            </w:tcMar>
            <w:hideMark/>
          </w:tcPr>
          <w:p w:rsidR="00000000" w:rsidRDefault="00B51E11">
            <w:pPr>
              <w:pStyle w:val="a3"/>
              <w:spacing w:before="0" w:beforeAutospacing="0" w:after="0" w:afterAutospacing="0"/>
              <w:divId w:val="166603134"/>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29096456"/>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79027279"/>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58296195"/>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33731917"/>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8840472"/>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83187240"/>
              <w:rPr>
                <w:sz w:val="20"/>
                <w:szCs w:val="20"/>
              </w:rPr>
            </w:pPr>
            <w:r>
              <w:rPr>
                <w:sz w:val="2"/>
                <w:szCs w:val="2"/>
              </w:rPr>
              <w:t>​</w:t>
            </w:r>
          </w:p>
        </w:tc>
      </w:tr>
      <w:tr w:rsidR="00000000">
        <w:trPr>
          <w:divId w:val="134883232"/>
        </w:trPr>
        <w:tc>
          <w:tcPr>
            <w:tcW w:w="350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62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62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December 31, </w:t>
            </w:r>
          </w:p>
        </w:tc>
      </w:tr>
      <w:tr w:rsidR="00000000">
        <w:trPr>
          <w:divId w:val="134883232"/>
        </w:trPr>
        <w:tc>
          <w:tcPr>
            <w:tcW w:w="350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b/>
                <w:bCs/>
                <w:sz w:val="18"/>
                <w:szCs w:val="18"/>
              </w:rPr>
              <w:t>Assets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Current assets: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 xml:space="preserve">Cash and cash equivalents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93,282</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58,064</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Short-term marketable securities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265,065</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222,767</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 xml:space="preserve">Receivables from collaborative arrangements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12,399</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11,996</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 xml:space="preserve">Receivables from licensing arrangements </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10,000</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Amounts due from TRC, LLC</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48,909</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28,574</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Prepaid clinical and development services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20,761</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2,736</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Other prepaid and current assets</w:t>
            </w:r>
            <w:r>
              <w:rPr>
                <w:sz w:val="18"/>
                <w:szCs w:val="18"/>
              </w:rPr>
              <w:t xml:space="preserve">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10,308</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4,351</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ind w:left="360"/>
              <w:rPr>
                <w:sz w:val="18"/>
                <w:szCs w:val="18"/>
              </w:rPr>
            </w:pPr>
            <w:r>
              <w:rPr>
                <w:sz w:val="18"/>
                <w:szCs w:val="18"/>
              </w:rPr>
              <w:t xml:space="preserve">Total current assets </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450,724</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338,488</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 xml:space="preserve">Property and equipment, net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15,430</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12,644</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Long-term marketable securities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4,985</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Operating lease assets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44,391</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46,604</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Tax receivable</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3,682</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 xml:space="preserve">Restricted cash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833</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833</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Other assets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810</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1,590</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360"/>
              <w:rPr>
                <w:sz w:val="18"/>
                <w:szCs w:val="18"/>
              </w:rPr>
            </w:pPr>
            <w:r>
              <w:rPr>
                <w:sz w:val="18"/>
                <w:szCs w:val="18"/>
              </w:rPr>
              <w:t xml:space="preserve">Total assets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512,188</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408,826</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b/>
                <w:bCs/>
                <w:sz w:val="18"/>
                <w:szCs w:val="18"/>
              </w:rPr>
              <w:t>Liabilities and Shareholders' Deficit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Current liabilities: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 xml:space="preserve">Accounts payable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6,442</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4,758</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 xml:space="preserve">Accrued personnel-related expenses </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30,472</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28,180</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 xml:space="preserve">Accrued clinical and development expenses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26,944</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17,587</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Accrued interest payable</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5,791</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5,659</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Non-recourse notes due 2033, net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9,851</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Operating lease liabilities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9,685</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7,762</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Deferred revenue</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18,204</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31,575</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ind w:left="240"/>
              <w:rPr>
                <w:sz w:val="18"/>
                <w:szCs w:val="18"/>
              </w:rPr>
            </w:pPr>
            <w:r>
              <w:rPr>
                <w:sz w:val="18"/>
                <w:szCs w:val="18"/>
              </w:rPr>
              <w:t xml:space="preserve">Other accrued liabilities </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6,732</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6,331</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360"/>
              <w:rPr>
                <w:sz w:val="18"/>
                <w:szCs w:val="18"/>
              </w:rPr>
            </w:pPr>
            <w:r>
              <w:rPr>
                <w:sz w:val="18"/>
                <w:szCs w:val="18"/>
              </w:rPr>
              <w:t xml:space="preserve">Total current liabilities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104,270</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111,703</w:t>
            </w:r>
          </w:p>
        </w:tc>
      </w:tr>
      <w:tr w:rsidR="00000000">
        <w:trPr>
          <w:divId w:val="134883232"/>
        </w:trPr>
        <w:tc>
          <w:tcPr>
            <w:tcW w:w="3503" w:type="pct"/>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Convertible senior notes due 2023, net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226,695</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225,890</w:t>
            </w:r>
          </w:p>
        </w:tc>
      </w:tr>
      <w:tr w:rsidR="00000000">
        <w:trPr>
          <w:divId w:val="134883232"/>
        </w:trPr>
        <w:tc>
          <w:tcPr>
            <w:tcW w:w="3503"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Non-recourse notes due 2035, net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384,482</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w:t>
            </w:r>
          </w:p>
        </w:tc>
      </w:tr>
      <w:tr w:rsidR="00000000">
        <w:trPr>
          <w:divId w:val="134883232"/>
        </w:trPr>
        <w:tc>
          <w:tcPr>
            <w:tcW w:w="3503" w:type="pct"/>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Non-recourse notes due 2033, net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219,300</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Long-term operating lease liabilities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47,823</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47,725</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Long-term deferred revenue</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750</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6,761</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Other long-term liabilities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9,704</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21,287</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Commitments and contingencies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b/>
                <w:bCs/>
                <w:sz w:val="18"/>
                <w:szCs w:val="18"/>
              </w:rPr>
              <w:t>Shareholders’ Deficit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Preferred shares, $0.00001 par value: 230 shares authorized, no shares issued or outstanding</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ind w:hanging="180"/>
              <w:rPr>
                <w:sz w:val="20"/>
                <w:szCs w:val="20"/>
              </w:rPr>
            </w:pPr>
            <w:r>
              <w:rPr>
                <w:sz w:val="18"/>
                <w:szCs w:val="18"/>
              </w:rPr>
              <w:t xml:space="preserve">Ordinary shares, $0.00001 par value: 200,000 </w:t>
            </w:r>
            <w:r>
              <w:rPr>
                <w:sz w:val="18"/>
                <w:szCs w:val="18"/>
              </w:rPr>
              <w:t>shares authorized; 63,956 and 57,015 shares</w:t>
            </w:r>
            <w:r>
              <w:rPr>
                <w:sz w:val="18"/>
                <w:szCs w:val="18"/>
              </w:rPr>
              <w:t xml:space="preserve"> </w:t>
            </w:r>
            <w:r>
              <w:rPr>
                <w:color w:val="000000"/>
                <w:sz w:val="18"/>
                <w:szCs w:val="18"/>
              </w:rPr>
              <w:t>issue</w:t>
            </w:r>
            <w:r>
              <w:rPr>
                <w:color w:val="000000"/>
                <w:sz w:val="18"/>
                <w:szCs w:val="18"/>
              </w:rPr>
              <w:t>d</w:t>
            </w:r>
            <w:r>
              <w:rPr>
                <w:sz w:val="18"/>
                <w:szCs w:val="18"/>
              </w:rPr>
              <w:t xml:space="preserve"> and</w:t>
            </w:r>
            <w:r>
              <w:rPr>
                <w:sz w:val="18"/>
                <w:szCs w:val="18"/>
              </w:rPr>
              <w:t xml:space="preserve"> </w:t>
            </w:r>
            <w:r>
              <w:rPr>
                <w:color w:val="000000"/>
                <w:sz w:val="18"/>
                <w:szCs w:val="18"/>
              </w:rPr>
              <w:t>outstandin</w:t>
            </w:r>
            <w:r>
              <w:rPr>
                <w:color w:val="000000"/>
                <w:sz w:val="18"/>
                <w:szCs w:val="18"/>
              </w:rPr>
              <w:t>g</w:t>
            </w:r>
            <w:r>
              <w:rPr>
                <w:sz w:val="18"/>
                <w:szCs w:val="18"/>
              </w:rPr>
              <w:t xml:space="preserve"> at September 30, 2020 and December 31, 2019, respectively</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Additional paid-in capital</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1,206,524</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1,024,614</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Accumulated other comprehensive income</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122</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145</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8"/>
                <w:szCs w:val="18"/>
              </w:rPr>
            </w:pPr>
            <w:r>
              <w:rPr>
                <w:sz w:val="18"/>
                <w:szCs w:val="18"/>
              </w:rPr>
              <w:t xml:space="preserve">Accumulated deficit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(1,468,183)</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(1,248,600)</w:t>
            </w:r>
          </w:p>
        </w:tc>
      </w:tr>
      <w:tr w:rsidR="00000000">
        <w:trPr>
          <w:divId w:val="134883232"/>
        </w:trPr>
        <w:tc>
          <w:tcPr>
            <w:tcW w:w="3503" w:type="pct"/>
            <w:tcMar>
              <w:top w:w="0" w:type="dxa"/>
              <w:left w:w="0" w:type="dxa"/>
              <w:bottom w:w="0" w:type="dxa"/>
              <w:right w:w="0" w:type="dxa"/>
            </w:tcMar>
            <w:hideMark/>
          </w:tcPr>
          <w:p w:rsidR="00000000" w:rsidRDefault="00B51E11">
            <w:pPr>
              <w:pStyle w:val="a3"/>
              <w:spacing w:before="0" w:beforeAutospacing="0" w:after="0" w:afterAutospacing="0"/>
              <w:ind w:left="360"/>
              <w:rPr>
                <w:sz w:val="18"/>
                <w:szCs w:val="18"/>
              </w:rPr>
            </w:pPr>
            <w:r>
              <w:rPr>
                <w:sz w:val="18"/>
                <w:szCs w:val="18"/>
              </w:rPr>
              <w:t>Total shareholders’ deficit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(261,536)</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(223,840)</w:t>
            </w:r>
          </w:p>
        </w:tc>
      </w:tr>
      <w:tr w:rsidR="00000000">
        <w:trPr>
          <w:divId w:val="134883232"/>
        </w:trPr>
        <w:tc>
          <w:tcPr>
            <w:tcW w:w="3503"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360"/>
              <w:rPr>
                <w:sz w:val="18"/>
                <w:szCs w:val="18"/>
              </w:rPr>
            </w:pPr>
            <w:r>
              <w:rPr>
                <w:sz w:val="18"/>
                <w:szCs w:val="18"/>
              </w:rPr>
              <w:t>Total liabilities and shareholders’ deficit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512,188</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408,826</w:t>
            </w:r>
          </w:p>
        </w:tc>
      </w:tr>
    </w:tbl>
    <w:p w:rsidR="00000000" w:rsidRDefault="00B51E11">
      <w:pPr>
        <w:pStyle w:val="a3"/>
        <w:spacing w:before="240" w:beforeAutospacing="0" w:after="0" w:afterAutospacing="0"/>
        <w:jc w:val="center"/>
        <w:divId w:val="134883232"/>
        <w:rPr>
          <w:sz w:val="20"/>
          <w:szCs w:val="20"/>
        </w:rPr>
      </w:pPr>
      <w:r>
        <w:rPr>
          <w:i/>
          <w:iCs/>
          <w:sz w:val="20"/>
          <w:szCs w:val="20"/>
        </w:rPr>
        <w:lastRenderedPageBreak/>
        <w:t>See accompanying notes to condensed consolidated financial statements.</w:t>
      </w:r>
    </w:p>
    <w:p w:rsidR="00000000" w:rsidRDefault="00B51E11">
      <w:pPr>
        <w:pStyle w:val="a3"/>
        <w:spacing w:before="360" w:beforeAutospacing="0" w:after="0" w:afterAutospacing="0"/>
        <w:jc w:val="center"/>
        <w:divId w:val="1051807815"/>
        <w:rPr>
          <w:sz w:val="20"/>
          <w:szCs w:val="20"/>
        </w:rPr>
      </w:pPr>
      <w:r>
        <w:rPr>
          <w:sz w:val="20"/>
          <w:szCs w:val="20"/>
        </w:rPr>
        <w:t>3</w:t>
      </w:r>
    </w:p>
    <w:p w:rsidR="00000000" w:rsidRDefault="00B51E11">
      <w:pPr>
        <w:pStyle w:val="a3"/>
        <w:spacing w:before="0" w:beforeAutospacing="0" w:after="600" w:afterAutospacing="0"/>
        <w:divId w:val="2009476426"/>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jc w:val="center"/>
        <w:divId w:val="492913293"/>
        <w:rPr>
          <w:sz w:val="20"/>
          <w:szCs w:val="20"/>
        </w:rPr>
      </w:pPr>
      <w:r>
        <w:rPr>
          <w:b/>
          <w:bCs/>
          <w:sz w:val="20"/>
          <w:szCs w:val="20"/>
        </w:rPr>
        <w:t>THERAVANCE BIOPHARMA, INC.</w:t>
      </w:r>
    </w:p>
    <w:p w:rsidR="00000000" w:rsidRDefault="00B51E11">
      <w:pPr>
        <w:pStyle w:val="a3"/>
        <w:spacing w:before="0" w:beforeAutospacing="0" w:after="0" w:afterAutospacing="0"/>
        <w:jc w:val="center"/>
        <w:divId w:val="492913293"/>
        <w:rPr>
          <w:sz w:val="20"/>
          <w:szCs w:val="20"/>
        </w:rPr>
      </w:pPr>
      <w:r>
        <w:rPr>
          <w:b/>
          <w:bCs/>
          <w:sz w:val="20"/>
          <w:szCs w:val="20"/>
        </w:rPr>
        <w:t>CONDENSED CONSOLIDATED STATEMENTS OF OPERATIONS AND COMPREHENSIVE LOSS</w:t>
      </w:r>
    </w:p>
    <w:p w:rsidR="00000000" w:rsidRDefault="00B51E11">
      <w:pPr>
        <w:pStyle w:val="a3"/>
        <w:spacing w:before="0" w:beforeAutospacing="0" w:after="0" w:afterAutospacing="0"/>
        <w:jc w:val="center"/>
        <w:divId w:val="492913293"/>
        <w:rPr>
          <w:sz w:val="20"/>
          <w:szCs w:val="20"/>
        </w:rPr>
      </w:pPr>
      <w:r>
        <w:rPr>
          <w:b/>
          <w:bCs/>
          <w:sz w:val="20"/>
          <w:szCs w:val="20"/>
        </w:rPr>
        <w:t>(Unaudited)</w:t>
      </w:r>
    </w:p>
    <w:p w:rsidR="00000000" w:rsidRDefault="00B51E11">
      <w:pPr>
        <w:pStyle w:val="a3"/>
        <w:spacing w:before="0" w:beforeAutospacing="0" w:after="0" w:afterAutospacing="0"/>
        <w:jc w:val="center"/>
        <w:divId w:val="492913293"/>
        <w:rPr>
          <w:sz w:val="20"/>
          <w:szCs w:val="20"/>
        </w:rPr>
      </w:pPr>
      <w:r>
        <w:rPr>
          <w:b/>
          <w:bCs/>
          <w:sz w:val="20"/>
          <w:szCs w:val="20"/>
        </w:rPr>
        <w:t>(In thousands, except per share data)</w:t>
      </w:r>
    </w:p>
    <w:p w:rsidR="00000000" w:rsidRDefault="00B51E11">
      <w:pPr>
        <w:pStyle w:val="a3"/>
        <w:spacing w:before="0" w:beforeAutospacing="0" w:after="0" w:afterAutospacing="0"/>
        <w:jc w:val="center"/>
        <w:divId w:val="492913293"/>
        <w:rPr>
          <w:sz w:val="20"/>
          <w:szCs w:val="20"/>
        </w:rPr>
      </w:pPr>
      <w:r>
        <w:rPr>
          <w:sz w:val="20"/>
          <w:szCs w:val="20"/>
        </w:rPr>
        <w:t>​</w:t>
      </w:r>
    </w:p>
    <w:tbl>
      <w:tblPr>
        <w:tblW w:w="5018" w:type="pct"/>
        <w:tblCellMar>
          <w:top w:w="15" w:type="dxa"/>
          <w:left w:w="0" w:type="dxa"/>
          <w:bottom w:w="15" w:type="dxa"/>
          <w:right w:w="0" w:type="dxa"/>
        </w:tblCellMar>
        <w:tblLook w:val="04A0" w:firstRow="1" w:lastRow="0" w:firstColumn="1" w:lastColumn="0" w:noHBand="0" w:noVBand="1"/>
      </w:tblPr>
      <w:tblGrid>
        <w:gridCol w:w="4503"/>
        <w:gridCol w:w="160"/>
        <w:gridCol w:w="136"/>
        <w:gridCol w:w="615"/>
        <w:gridCol w:w="160"/>
        <w:gridCol w:w="136"/>
        <w:gridCol w:w="620"/>
        <w:gridCol w:w="160"/>
        <w:gridCol w:w="137"/>
        <w:gridCol w:w="705"/>
        <w:gridCol w:w="160"/>
        <w:gridCol w:w="139"/>
        <w:gridCol w:w="705"/>
      </w:tblGrid>
      <w:tr w:rsidR="00000000">
        <w:trPr>
          <w:divId w:val="492913293"/>
          <w:trHeight w:val="20"/>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c>
          <w:tcPr>
            <w:tcW w:w="37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
                <w:szCs w:val="2"/>
              </w:rPr>
              <w:t>​</w:t>
            </w:r>
          </w:p>
        </w:tc>
      </w:tr>
      <w:tr w:rsidR="00000000">
        <w:trPr>
          <w:divId w:val="492913293"/>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1052" w:type="pct"/>
            <w:gridSpan w:val="5"/>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Three Months Ended September 30, </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1042" w:type="pct"/>
            <w:gridSpan w:val="5"/>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Nine Months Ended September 30, </w:t>
            </w:r>
          </w:p>
        </w:tc>
      </w:tr>
      <w:tr w:rsidR="00000000">
        <w:trPr>
          <w:divId w:val="492913293"/>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78"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r>
      <w:tr w:rsidR="00000000">
        <w:trPr>
          <w:divId w:val="492913293"/>
        </w:trPr>
        <w:tc>
          <w:tcPr>
            <w:tcW w:w="271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8"/>
                <w:szCs w:val="18"/>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b/>
                <w:bCs/>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8"/>
                <w:szCs w:val="18"/>
              </w:rPr>
              <w:t>​</w:t>
            </w:r>
          </w:p>
        </w:tc>
        <w:tc>
          <w:tcPr>
            <w:tcW w:w="478"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b/>
                <w:bCs/>
                <w:sz w:val="20"/>
                <w:szCs w:val="20"/>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467"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r>
      <w:tr w:rsidR="00000000">
        <w:trPr>
          <w:divId w:val="492913293"/>
        </w:trPr>
        <w:tc>
          <w:tcPr>
            <w:tcW w:w="27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Revenue:</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b/>
                <w:bCs/>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b/>
                <w:bCs/>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c>
          <w:tcPr>
            <w:tcW w:w="37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r>
      <w:tr w:rsidR="00000000">
        <w:trPr>
          <w:divId w:val="492913293"/>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8"/>
                <w:szCs w:val="18"/>
              </w:rPr>
            </w:pPr>
            <w:r>
              <w:rPr>
                <w:sz w:val="18"/>
                <w:szCs w:val="18"/>
              </w:rPr>
              <w:t>Collaboration revenue</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7,261</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8,836</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19,381</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71"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21,666</w:t>
            </w:r>
          </w:p>
        </w:tc>
      </w:tr>
      <w:tr w:rsidR="00000000">
        <w:trPr>
          <w:divId w:val="492913293"/>
        </w:trPr>
        <w:tc>
          <w:tcPr>
            <w:tcW w:w="27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8"/>
                <w:szCs w:val="18"/>
              </w:rPr>
            </w:pPr>
            <w:r>
              <w:rPr>
                <w:sz w:val="18"/>
                <w:szCs w:val="18"/>
              </w:rPr>
              <w:t>Licensing revenue</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1,500</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7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18,500</w:t>
            </w:r>
          </w:p>
        </w:tc>
      </w:tr>
      <w:tr w:rsidR="00000000">
        <w:trPr>
          <w:divId w:val="492913293"/>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8"/>
                <w:szCs w:val="18"/>
              </w:rPr>
            </w:pPr>
            <w:r>
              <w:rPr>
                <w:sz w:val="18"/>
                <w:szCs w:val="18"/>
              </w:rPr>
              <w:t>Mylan collaboration agreement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10,996</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3,591</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32,246</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7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3,749</w:t>
            </w:r>
          </w:p>
        </w:tc>
      </w:tr>
      <w:tr w:rsidR="00000000">
        <w:trPr>
          <w:divId w:val="492913293"/>
        </w:trPr>
        <w:tc>
          <w:tcPr>
            <w:tcW w:w="27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360"/>
              <w:rPr>
                <w:sz w:val="18"/>
                <w:szCs w:val="18"/>
              </w:rPr>
            </w:pPr>
            <w:r>
              <w:rPr>
                <w:sz w:val="18"/>
                <w:szCs w:val="18"/>
              </w:rPr>
              <w:t>Total revenue</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18,257</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12,427</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53,127</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7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43,915</w:t>
            </w:r>
          </w:p>
        </w:tc>
      </w:tr>
      <w:tr w:rsidR="00000000">
        <w:trPr>
          <w:divId w:val="492913293"/>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7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492913293"/>
        </w:trPr>
        <w:tc>
          <w:tcPr>
            <w:tcW w:w="27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Costs and expenses:</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7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492913293"/>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8"/>
                <w:szCs w:val="18"/>
              </w:rPr>
            </w:pPr>
            <w:r>
              <w:rPr>
                <w:sz w:val="18"/>
                <w:szCs w:val="18"/>
              </w:rPr>
              <w:t>Research and development (1)</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67,371</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2"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52,006</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195,788</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71"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152,223</w:t>
            </w:r>
          </w:p>
        </w:tc>
      </w:tr>
      <w:tr w:rsidR="00000000">
        <w:trPr>
          <w:divId w:val="492913293"/>
        </w:trPr>
        <w:tc>
          <w:tcPr>
            <w:tcW w:w="27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8"/>
                <w:szCs w:val="18"/>
              </w:rPr>
            </w:pPr>
            <w:r>
              <w:rPr>
                <w:sz w:val="18"/>
                <w:szCs w:val="18"/>
              </w:rPr>
              <w:t>Selling, general and administrative (1)</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27,501</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25,622</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78,606</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73,035</w:t>
            </w:r>
          </w:p>
        </w:tc>
      </w:tr>
      <w:tr w:rsidR="00000000">
        <w:trPr>
          <w:divId w:val="492913293"/>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ind w:left="360"/>
              <w:rPr>
                <w:sz w:val="18"/>
                <w:szCs w:val="18"/>
              </w:rPr>
            </w:pPr>
            <w:r>
              <w:rPr>
                <w:sz w:val="18"/>
                <w:szCs w:val="18"/>
              </w:rPr>
              <w:t xml:space="preserve">Total costs and expenses </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94,872</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77,628</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274,394</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7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225,258</w:t>
            </w:r>
          </w:p>
        </w:tc>
      </w:tr>
      <w:tr w:rsidR="00000000">
        <w:trPr>
          <w:divId w:val="492913293"/>
        </w:trPr>
        <w:tc>
          <w:tcPr>
            <w:tcW w:w="27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7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492913293"/>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 xml:space="preserve">Loss from operations </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(76,615)</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2"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(65,201)</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(221,267)</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7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(181,343)</w:t>
            </w:r>
          </w:p>
        </w:tc>
      </w:tr>
      <w:tr w:rsidR="00000000">
        <w:trPr>
          <w:divId w:val="492913293"/>
        </w:trPr>
        <w:tc>
          <w:tcPr>
            <w:tcW w:w="27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Income from investment in TRC, LLC</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13,403</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7,197</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48,299</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7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21,792</w:t>
            </w:r>
          </w:p>
        </w:tc>
      </w:tr>
      <w:tr w:rsidR="00000000">
        <w:trPr>
          <w:divId w:val="492913293"/>
        </w:trPr>
        <w:tc>
          <w:tcPr>
            <w:tcW w:w="271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Interest expense</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(11,573)</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(8,068)</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(32,905)</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7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(23,827)</w:t>
            </w:r>
          </w:p>
        </w:tc>
      </w:tr>
      <w:tr w:rsidR="00000000">
        <w:trPr>
          <w:divId w:val="492913293"/>
        </w:trPr>
        <w:tc>
          <w:tcPr>
            <w:tcW w:w="271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Loss on extinguishment of debt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(15,464)</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7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w:t>
            </w:r>
          </w:p>
        </w:tc>
      </w:tr>
      <w:tr w:rsidR="00000000">
        <w:trPr>
          <w:divId w:val="492913293"/>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Interest and other income, net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1,235</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2,089</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2,033</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7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7,258</w:t>
            </w:r>
          </w:p>
        </w:tc>
      </w:tr>
      <w:tr w:rsidR="00000000">
        <w:trPr>
          <w:divId w:val="492913293"/>
        </w:trPr>
        <w:tc>
          <w:tcPr>
            <w:tcW w:w="27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 xml:space="preserve">Loss before income taxes </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(73,550)</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(63,983)</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(219,304)</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7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(176,120)</w:t>
            </w:r>
          </w:p>
        </w:tc>
      </w:tr>
      <w:tr w:rsidR="00000000">
        <w:trPr>
          <w:divId w:val="492913293"/>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Provision for income tax (expense) benefit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(93)</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5,552</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(279)</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7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5,271</w:t>
            </w:r>
          </w:p>
        </w:tc>
      </w:tr>
      <w:tr w:rsidR="00000000">
        <w:trPr>
          <w:divId w:val="492913293"/>
        </w:trPr>
        <w:tc>
          <w:tcPr>
            <w:tcW w:w="27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 xml:space="preserve">Net loss </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(73,643)</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(58,431)</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(219,583)</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(170,849)</w:t>
            </w:r>
          </w:p>
        </w:tc>
      </w:tr>
      <w:tr w:rsidR="00000000">
        <w:trPr>
          <w:divId w:val="492913293"/>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7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492913293"/>
        </w:trPr>
        <w:tc>
          <w:tcPr>
            <w:tcW w:w="27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8"/>
                <w:szCs w:val="18"/>
              </w:rPr>
            </w:pPr>
            <w:r>
              <w:rPr>
                <w:sz w:val="18"/>
                <w:szCs w:val="18"/>
              </w:rPr>
              <w:t>Net unrealized gain (loss) on available-for-sale investments</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(158)</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(35)</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(23)</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260</w:t>
            </w:r>
          </w:p>
        </w:tc>
      </w:tr>
      <w:tr w:rsidR="00000000">
        <w:trPr>
          <w:divId w:val="492913293"/>
        </w:trPr>
        <w:tc>
          <w:tcPr>
            <w:tcW w:w="271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Total comprehensive loss</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(73,801)</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(58,466)</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(219,606)</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71"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(170,589)</w:t>
            </w:r>
          </w:p>
        </w:tc>
      </w:tr>
      <w:tr w:rsidR="00000000">
        <w:trPr>
          <w:divId w:val="492913293"/>
        </w:trPr>
        <w:tc>
          <w:tcPr>
            <w:tcW w:w="27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7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492913293"/>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Net loss per share:</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8"/>
                <w:szCs w:val="18"/>
              </w:rPr>
              <w:t>​</w:t>
            </w:r>
          </w:p>
        </w:tc>
        <w:tc>
          <w:tcPr>
            <w:tcW w:w="37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8"/>
                <w:szCs w:val="18"/>
              </w:rPr>
              <w:t>​</w:t>
            </w:r>
          </w:p>
        </w:tc>
      </w:tr>
      <w:tr w:rsidR="00000000">
        <w:trPr>
          <w:divId w:val="492913293"/>
        </w:trPr>
        <w:tc>
          <w:tcPr>
            <w:tcW w:w="271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8"/>
                <w:szCs w:val="18"/>
              </w:rPr>
            </w:pPr>
            <w:r>
              <w:rPr>
                <w:sz w:val="18"/>
                <w:szCs w:val="18"/>
              </w:rPr>
              <w:t>Basic and diluted net loss per share</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(1.16)</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(1.05)</w:t>
            </w:r>
          </w:p>
        </w:tc>
        <w:tc>
          <w:tcPr>
            <w:tcW w:w="9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(3.55)</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8"/>
                <w:szCs w:val="18"/>
              </w:rPr>
            </w:pPr>
            <w:r>
              <w:rPr>
                <w:sz w:val="18"/>
                <w:szCs w:val="18"/>
              </w:rPr>
              <w:t>(3.08)</w:t>
            </w:r>
          </w:p>
        </w:tc>
      </w:tr>
      <w:tr w:rsidR="00000000">
        <w:trPr>
          <w:divId w:val="492913293"/>
        </w:trPr>
        <w:tc>
          <w:tcPr>
            <w:tcW w:w="2712"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8"/>
                <w:szCs w:val="18"/>
              </w:rPr>
            </w:pPr>
            <w:r>
              <w:rPr>
                <w:sz w:val="18"/>
                <w:szCs w:val="18"/>
              </w:rPr>
              <w:t>Shares used to compute basic and diluted net loss per share</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63,303</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5"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2"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55,858</w:t>
            </w:r>
          </w:p>
        </w:tc>
        <w:tc>
          <w:tcPr>
            <w:tcW w:w="9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5"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81"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61,881</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6"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71"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60"/>
              <w:jc w:val="right"/>
              <w:rPr>
                <w:sz w:val="18"/>
                <w:szCs w:val="18"/>
              </w:rPr>
            </w:pPr>
            <w:r>
              <w:rPr>
                <w:sz w:val="18"/>
                <w:szCs w:val="18"/>
              </w:rPr>
              <w:t>55,445</w:t>
            </w:r>
          </w:p>
        </w:tc>
      </w:tr>
    </w:tbl>
    <w:p w:rsidR="00000000" w:rsidRDefault="00B51E11">
      <w:pPr>
        <w:divId w:val="4929132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492913293"/>
        </w:trPr>
        <w:tc>
          <w:tcPr>
            <w:tcW w:w="360" w:type="dxa"/>
            <w:noWrap/>
            <w:tcMar>
              <w:top w:w="0" w:type="dxa"/>
              <w:left w:w="0" w:type="dxa"/>
              <w:bottom w:w="0" w:type="dxa"/>
              <w:right w:w="0" w:type="dxa"/>
            </w:tcMar>
            <w:hideMark/>
          </w:tcPr>
          <w:p w:rsidR="00000000" w:rsidRDefault="00B51E11">
            <w:pPr>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rsidR="00000000" w:rsidRDefault="00B51E11">
            <w:pPr>
              <w:rPr>
                <w:rFonts w:eastAsia="Times New Roman"/>
                <w:sz w:val="20"/>
                <w:szCs w:val="20"/>
              </w:rPr>
            </w:pPr>
            <w:r>
              <w:rPr>
                <w:rFonts w:eastAsia="Times New Roman"/>
                <w:color w:val="000000"/>
                <w:sz w:val="18"/>
                <w:szCs w:val="18"/>
              </w:rPr>
              <w:t>Amounts include share-based compensation expense as follows:</w:t>
            </w:r>
          </w:p>
        </w:tc>
      </w:tr>
    </w:tbl>
    <w:p w:rsidR="00000000" w:rsidRDefault="00B51E11">
      <w:pPr>
        <w:pStyle w:val="a3"/>
        <w:spacing w:before="0" w:beforeAutospacing="0" w:after="0" w:afterAutospacing="0"/>
        <w:divId w:val="49291329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55"/>
        <w:gridCol w:w="160"/>
        <w:gridCol w:w="148"/>
        <w:gridCol w:w="588"/>
        <w:gridCol w:w="160"/>
        <w:gridCol w:w="147"/>
        <w:gridCol w:w="592"/>
        <w:gridCol w:w="147"/>
        <w:gridCol w:w="147"/>
        <w:gridCol w:w="588"/>
        <w:gridCol w:w="160"/>
        <w:gridCol w:w="147"/>
        <w:gridCol w:w="567"/>
      </w:tblGrid>
      <w:tr w:rsidR="00000000">
        <w:trPr>
          <w:divId w:val="492913293"/>
          <w:trHeight w:val="20"/>
        </w:trPr>
        <w:tc>
          <w:tcPr>
            <w:tcW w:w="2863" w:type="pct"/>
            <w:tcMar>
              <w:top w:w="0" w:type="dxa"/>
              <w:left w:w="0" w:type="dxa"/>
              <w:bottom w:w="0" w:type="dxa"/>
              <w:right w:w="0" w:type="dxa"/>
            </w:tcMar>
            <w:vAlign w:val="bottom"/>
            <w:hideMark/>
          </w:tcPr>
          <w:p w:rsidR="00000000" w:rsidRDefault="00B51E11">
            <w:pPr>
              <w:pStyle w:val="a3"/>
              <w:spacing w:before="0" w:beforeAutospacing="0" w:after="0" w:afterAutospacing="0"/>
              <w:divId w:val="71362495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5359025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05586153"/>
              <w:rPr>
                <w:sz w:val="20"/>
                <w:szCs w:val="20"/>
              </w:rPr>
            </w:pPr>
            <w:r>
              <w:rPr>
                <w:sz w:val="2"/>
                <w:szCs w:val="2"/>
              </w:rPr>
              <w:t>​</w:t>
            </w:r>
          </w:p>
        </w:tc>
        <w:tc>
          <w:tcPr>
            <w:tcW w:w="356"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43185260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8205476"/>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16510410"/>
              <w:rPr>
                <w:sz w:val="20"/>
                <w:szCs w:val="20"/>
              </w:rPr>
            </w:pPr>
            <w:r>
              <w:rPr>
                <w:sz w:val="2"/>
                <w:szCs w:val="2"/>
              </w:rPr>
              <w:t>​</w:t>
            </w:r>
          </w:p>
        </w:tc>
        <w:tc>
          <w:tcPr>
            <w:tcW w:w="356"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64031077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2195053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36490494"/>
              <w:rPr>
                <w:sz w:val="20"/>
                <w:szCs w:val="20"/>
              </w:rPr>
            </w:pPr>
            <w:r>
              <w:rPr>
                <w:sz w:val="2"/>
                <w:szCs w:val="2"/>
              </w:rPr>
              <w:t>​</w:t>
            </w:r>
          </w:p>
        </w:tc>
        <w:tc>
          <w:tcPr>
            <w:tcW w:w="356"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78194898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0362138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1242109"/>
              <w:rPr>
                <w:sz w:val="20"/>
                <w:szCs w:val="20"/>
              </w:rPr>
            </w:pPr>
            <w:r>
              <w:rPr>
                <w:sz w:val="2"/>
                <w:szCs w:val="2"/>
              </w:rPr>
              <w:t>​</w:t>
            </w:r>
          </w:p>
        </w:tc>
        <w:tc>
          <w:tcPr>
            <w:tcW w:w="340"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963726774"/>
              <w:rPr>
                <w:sz w:val="20"/>
                <w:szCs w:val="20"/>
              </w:rPr>
            </w:pPr>
            <w:r>
              <w:rPr>
                <w:sz w:val="2"/>
                <w:szCs w:val="2"/>
              </w:rPr>
              <w:t>​</w:t>
            </w:r>
          </w:p>
        </w:tc>
      </w:tr>
      <w:tr w:rsidR="00000000">
        <w:trPr>
          <w:divId w:val="492913293"/>
        </w:trPr>
        <w:tc>
          <w:tcPr>
            <w:tcW w:w="286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5"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69"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r>
      <w:tr w:rsidR="00000000">
        <w:trPr>
          <w:divId w:val="492913293"/>
        </w:trPr>
        <w:tc>
          <w:tcPr>
            <w:tcW w:w="286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5"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69"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r>
      <w:tr w:rsidR="00000000">
        <w:trPr>
          <w:divId w:val="492913293"/>
        </w:trPr>
        <w:tc>
          <w:tcPr>
            <w:tcW w:w="2863"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r>
      <w:tr w:rsidR="00000000">
        <w:trPr>
          <w:divId w:val="492913293"/>
        </w:trPr>
        <w:tc>
          <w:tcPr>
            <w:tcW w:w="2863"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 xml:space="preserve">Research and development </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56"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18"/>
                <w:szCs w:val="18"/>
              </w:rPr>
            </w:pPr>
            <w:r>
              <w:rPr>
                <w:sz w:val="18"/>
                <w:szCs w:val="18"/>
              </w:rPr>
              <w:t>7,761</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56"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18"/>
                <w:szCs w:val="18"/>
              </w:rPr>
            </w:pPr>
            <w:r>
              <w:rPr>
                <w:sz w:val="18"/>
                <w:szCs w:val="18"/>
              </w:rPr>
              <w:t>6,458</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56"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18"/>
                <w:szCs w:val="18"/>
              </w:rPr>
            </w:pPr>
            <w:r>
              <w:rPr>
                <w:sz w:val="18"/>
                <w:szCs w:val="18"/>
              </w:rPr>
              <w:t>23,724</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40"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18"/>
                <w:szCs w:val="18"/>
              </w:rPr>
            </w:pPr>
            <w:r>
              <w:rPr>
                <w:sz w:val="18"/>
                <w:szCs w:val="18"/>
              </w:rPr>
              <w:t>18,338</w:t>
            </w:r>
          </w:p>
        </w:tc>
      </w:tr>
      <w:tr w:rsidR="00000000">
        <w:trPr>
          <w:divId w:val="492913293"/>
        </w:trPr>
        <w:tc>
          <w:tcPr>
            <w:tcW w:w="2863" w:type="pct"/>
            <w:tcMar>
              <w:top w:w="0" w:type="dxa"/>
              <w:left w:w="0" w:type="dxa"/>
              <w:bottom w:w="0" w:type="dxa"/>
              <w:right w:w="0" w:type="dxa"/>
            </w:tcMar>
            <w:vAlign w:val="bottom"/>
            <w:hideMark/>
          </w:tcPr>
          <w:p w:rsidR="00000000" w:rsidRDefault="00B51E11">
            <w:pPr>
              <w:pStyle w:val="a3"/>
              <w:spacing w:before="0" w:beforeAutospacing="0" w:after="0" w:afterAutospacing="0"/>
              <w:rPr>
                <w:sz w:val="18"/>
                <w:szCs w:val="18"/>
              </w:rPr>
            </w:pPr>
            <w:r>
              <w:rPr>
                <w:sz w:val="18"/>
                <w:szCs w:val="18"/>
              </w:rPr>
              <w:t xml:space="preserve">Selling, general and administrative </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56"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18"/>
                <w:szCs w:val="18"/>
              </w:rPr>
            </w:pPr>
            <w:r>
              <w:rPr>
                <w:sz w:val="18"/>
                <w:szCs w:val="18"/>
              </w:rPr>
              <w:t>7,803</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56"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18"/>
                <w:szCs w:val="18"/>
              </w:rPr>
            </w:pPr>
            <w:r>
              <w:rPr>
                <w:sz w:val="18"/>
                <w:szCs w:val="18"/>
              </w:rPr>
              <w:t>6,561</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56"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18"/>
                <w:szCs w:val="18"/>
              </w:rPr>
            </w:pPr>
            <w:r>
              <w:rPr>
                <w:sz w:val="18"/>
                <w:szCs w:val="18"/>
              </w:rPr>
              <w:t>23,701</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 </w:t>
            </w:r>
          </w:p>
        </w:tc>
        <w:tc>
          <w:tcPr>
            <w:tcW w:w="340"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18"/>
                <w:szCs w:val="18"/>
              </w:rPr>
            </w:pPr>
            <w:r>
              <w:rPr>
                <w:sz w:val="18"/>
                <w:szCs w:val="18"/>
              </w:rPr>
              <w:t>18,200</w:t>
            </w:r>
          </w:p>
        </w:tc>
      </w:tr>
      <w:tr w:rsidR="00000000">
        <w:trPr>
          <w:divId w:val="492913293"/>
        </w:trPr>
        <w:tc>
          <w:tcPr>
            <w:tcW w:w="2863"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8"/>
                <w:szCs w:val="18"/>
              </w:rPr>
            </w:pPr>
            <w:r>
              <w:rPr>
                <w:sz w:val="18"/>
                <w:szCs w:val="18"/>
              </w:rPr>
              <w:t xml:space="preserve">Total share-based compensation expense </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18"/>
                <w:szCs w:val="18"/>
              </w:rPr>
            </w:pPr>
            <w:r>
              <w:rPr>
                <w:sz w:val="18"/>
                <w:szCs w:val="18"/>
              </w:rPr>
              <w:t>15,564</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18"/>
                <w:szCs w:val="18"/>
              </w:rPr>
            </w:pPr>
            <w:r>
              <w:rPr>
                <w:sz w:val="18"/>
                <w:szCs w:val="18"/>
              </w:rPr>
              <w:t>13,019</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18"/>
                <w:szCs w:val="18"/>
              </w:rPr>
            </w:pPr>
            <w:r>
              <w:rPr>
                <w:sz w:val="18"/>
                <w:szCs w:val="18"/>
              </w:rPr>
              <w:t>47,425</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8"/>
                <w:szCs w:val="18"/>
              </w:rPr>
            </w:pPr>
            <w:r>
              <w:rPr>
                <w:sz w:val="18"/>
                <w:szCs w:val="18"/>
              </w:rPr>
              <w:t>$</w:t>
            </w:r>
          </w:p>
        </w:tc>
        <w:tc>
          <w:tcPr>
            <w:tcW w:w="3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18"/>
                <w:szCs w:val="18"/>
              </w:rPr>
            </w:pPr>
            <w:r>
              <w:rPr>
                <w:sz w:val="18"/>
                <w:szCs w:val="18"/>
              </w:rPr>
              <w:t>36,538</w:t>
            </w:r>
          </w:p>
        </w:tc>
      </w:tr>
    </w:tbl>
    <w:p w:rsidR="00000000" w:rsidRDefault="00B51E11">
      <w:pPr>
        <w:pStyle w:val="a3"/>
        <w:spacing w:before="0" w:beforeAutospacing="0" w:after="0" w:afterAutospacing="0"/>
        <w:divId w:val="492913293"/>
        <w:rPr>
          <w:sz w:val="20"/>
          <w:szCs w:val="20"/>
        </w:rPr>
      </w:pPr>
      <w:r>
        <w:rPr>
          <w:sz w:val="20"/>
          <w:szCs w:val="20"/>
        </w:rPr>
        <w:t>​</w:t>
      </w:r>
    </w:p>
    <w:p w:rsidR="00000000" w:rsidRDefault="00B51E11">
      <w:pPr>
        <w:pStyle w:val="a3"/>
        <w:spacing w:before="0" w:beforeAutospacing="0" w:after="0" w:afterAutospacing="0"/>
        <w:jc w:val="center"/>
        <w:divId w:val="492913293"/>
        <w:rPr>
          <w:sz w:val="20"/>
          <w:szCs w:val="20"/>
        </w:rPr>
      </w:pPr>
      <w:r>
        <w:rPr>
          <w:i/>
          <w:iCs/>
          <w:sz w:val="20"/>
          <w:szCs w:val="20"/>
        </w:rPr>
        <w:t>See accompanying notes to condensed consolidated financial statements.</w:t>
      </w:r>
    </w:p>
    <w:p w:rsidR="00000000" w:rsidRDefault="00B51E11">
      <w:pPr>
        <w:pStyle w:val="a3"/>
        <w:spacing w:before="0" w:beforeAutospacing="0" w:after="0" w:afterAutospacing="0"/>
        <w:divId w:val="492913293"/>
        <w:rPr>
          <w:sz w:val="20"/>
          <w:szCs w:val="20"/>
        </w:rPr>
      </w:pPr>
      <w:r>
        <w:rPr>
          <w:sz w:val="20"/>
          <w:szCs w:val="20"/>
        </w:rPr>
        <w:lastRenderedPageBreak/>
        <w:t>​</w:t>
      </w:r>
    </w:p>
    <w:p w:rsidR="00000000" w:rsidRDefault="00B51E11">
      <w:pPr>
        <w:pStyle w:val="a3"/>
        <w:spacing w:before="360" w:beforeAutospacing="0" w:after="0" w:afterAutospacing="0"/>
        <w:jc w:val="center"/>
        <w:divId w:val="1107702899"/>
        <w:rPr>
          <w:sz w:val="20"/>
          <w:szCs w:val="20"/>
        </w:rPr>
      </w:pPr>
      <w:r>
        <w:rPr>
          <w:sz w:val="20"/>
          <w:szCs w:val="20"/>
        </w:rPr>
        <w:t>4</w:t>
      </w:r>
    </w:p>
    <w:p w:rsidR="00000000" w:rsidRDefault="00B51E11">
      <w:pPr>
        <w:pStyle w:val="a3"/>
        <w:spacing w:before="0" w:beforeAutospacing="0" w:after="600" w:afterAutospacing="0"/>
        <w:divId w:val="1645964728"/>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jc w:val="center"/>
        <w:divId w:val="1613586517"/>
        <w:rPr>
          <w:sz w:val="20"/>
          <w:szCs w:val="20"/>
        </w:rPr>
      </w:pPr>
      <w:r>
        <w:rPr>
          <w:b/>
          <w:bCs/>
          <w:sz w:val="20"/>
          <w:szCs w:val="20"/>
        </w:rPr>
        <w:t>THERAVANCE BIOPHARMA, INC.</w:t>
      </w:r>
    </w:p>
    <w:p w:rsidR="00000000" w:rsidRDefault="00B51E11">
      <w:pPr>
        <w:pStyle w:val="a3"/>
        <w:spacing w:before="0" w:beforeAutospacing="0" w:after="0" w:afterAutospacing="0"/>
        <w:jc w:val="center"/>
        <w:divId w:val="1613586517"/>
        <w:rPr>
          <w:sz w:val="20"/>
          <w:szCs w:val="20"/>
        </w:rPr>
      </w:pPr>
      <w:r>
        <w:rPr>
          <w:b/>
          <w:bCs/>
          <w:sz w:val="20"/>
          <w:szCs w:val="20"/>
        </w:rPr>
        <w:t>CONDENSED CONSOLIDATED STATEMENTS OF SHAREHOLDERS’ DEFICIT</w:t>
      </w:r>
    </w:p>
    <w:p w:rsidR="00000000" w:rsidRDefault="00B51E11">
      <w:pPr>
        <w:pStyle w:val="a3"/>
        <w:spacing w:before="0" w:beforeAutospacing="0" w:after="0" w:afterAutospacing="0"/>
        <w:jc w:val="center"/>
        <w:divId w:val="1613586517"/>
        <w:rPr>
          <w:sz w:val="20"/>
          <w:szCs w:val="20"/>
        </w:rPr>
      </w:pPr>
      <w:r>
        <w:rPr>
          <w:b/>
          <w:bCs/>
          <w:sz w:val="20"/>
          <w:szCs w:val="20"/>
        </w:rPr>
        <w:t>(Unaudited)</w:t>
      </w:r>
    </w:p>
    <w:p w:rsidR="00000000" w:rsidRDefault="00B51E11">
      <w:pPr>
        <w:pStyle w:val="a3"/>
        <w:spacing w:before="0" w:beforeAutospacing="0" w:after="0" w:afterAutospacing="0"/>
        <w:jc w:val="center"/>
        <w:divId w:val="1613586517"/>
        <w:rPr>
          <w:sz w:val="20"/>
          <w:szCs w:val="20"/>
        </w:rPr>
      </w:pPr>
      <w:r>
        <w:rPr>
          <w:b/>
          <w:bCs/>
          <w:sz w:val="20"/>
          <w:szCs w:val="20"/>
        </w:rPr>
        <w:t>(In thousands)</w:t>
      </w:r>
    </w:p>
    <w:p w:rsidR="00000000" w:rsidRDefault="00B51E11">
      <w:pPr>
        <w:pStyle w:val="a3"/>
        <w:spacing w:before="0" w:beforeAutospacing="0" w:after="0" w:afterAutospacing="0"/>
        <w:jc w:val="center"/>
        <w:divId w:val="1613586517"/>
        <w:rPr>
          <w:sz w:val="20"/>
          <w:szCs w:val="20"/>
        </w:rPr>
      </w:pPr>
      <w:r>
        <w:rPr>
          <w:b/>
          <w:bCs/>
          <w:sz w:val="20"/>
          <w:szCs w:val="20"/>
        </w:rPr>
        <w:t>​</w:t>
      </w:r>
    </w:p>
    <w:p w:rsidR="00000000" w:rsidRDefault="00B51E11">
      <w:pPr>
        <w:pStyle w:val="a3"/>
        <w:spacing w:before="0" w:beforeAutospacing="0" w:after="0" w:afterAutospacing="0"/>
        <w:jc w:val="center"/>
        <w:divId w:val="1613586517"/>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810"/>
        <w:gridCol w:w="120"/>
        <w:gridCol w:w="491"/>
        <w:gridCol w:w="121"/>
        <w:gridCol w:w="105"/>
        <w:gridCol w:w="471"/>
        <w:gridCol w:w="120"/>
        <w:gridCol w:w="80"/>
        <w:gridCol w:w="690"/>
        <w:gridCol w:w="120"/>
        <w:gridCol w:w="218"/>
        <w:gridCol w:w="849"/>
        <w:gridCol w:w="120"/>
        <w:gridCol w:w="172"/>
        <w:gridCol w:w="747"/>
        <w:gridCol w:w="120"/>
        <w:gridCol w:w="194"/>
        <w:gridCol w:w="758"/>
      </w:tblGrid>
      <w:tr w:rsidR="00000000">
        <w:trPr>
          <w:divId w:val="1613586517"/>
          <w:trHeight w:val="20"/>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divId w:val="1271163811"/>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4615434"/>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5418413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7566504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90552231"/>
              <w:rPr>
                <w:sz w:val="20"/>
                <w:szCs w:val="20"/>
              </w:rPr>
            </w:pPr>
            <w:r>
              <w:rPr>
                <w:sz w:val="2"/>
                <w:szCs w:val="2"/>
              </w:rPr>
              <w:t>​</w:t>
            </w:r>
          </w:p>
        </w:tc>
        <w:tc>
          <w:tcPr>
            <w:tcW w:w="34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8923761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0618532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94017601"/>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8082275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29461112"/>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71002334"/>
              <w:rPr>
                <w:sz w:val="20"/>
                <w:szCs w:val="20"/>
              </w:rPr>
            </w:pPr>
            <w:r>
              <w:rPr>
                <w:sz w:val="2"/>
                <w:szCs w:val="2"/>
              </w:rPr>
              <w:t>​</w:t>
            </w:r>
          </w:p>
        </w:tc>
        <w:tc>
          <w:tcPr>
            <w:tcW w:w="42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945400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4518712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64021887"/>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5914881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94354518"/>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54090866"/>
              <w:rPr>
                <w:sz w:val="20"/>
                <w:szCs w:val="20"/>
              </w:rPr>
            </w:pPr>
            <w:r>
              <w:rPr>
                <w:sz w:val="2"/>
                <w:szCs w:val="2"/>
              </w:rPr>
              <w:t>​</w:t>
            </w:r>
          </w:p>
        </w:tc>
        <w:tc>
          <w:tcPr>
            <w:tcW w:w="37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42381548"/>
              <w:rPr>
                <w:sz w:val="20"/>
                <w:szCs w:val="20"/>
              </w:rPr>
            </w:pPr>
            <w:r>
              <w:rPr>
                <w:sz w:val="2"/>
                <w:szCs w:val="2"/>
              </w:rPr>
              <w:t>​</w:t>
            </w:r>
          </w:p>
        </w:tc>
      </w:tr>
      <w:tr w:rsidR="00000000">
        <w:trPr>
          <w:divId w:val="1613586517"/>
        </w:trPr>
        <w:tc>
          <w:tcPr>
            <w:tcW w:w="184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color w:val="0563C1"/>
                <w:sz w:val="16"/>
                <w:szCs w:val="16"/>
                <w:u w:val="single"/>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5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Additional</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Other</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Total</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845"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Ordinary Shares</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Paid-In</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Comprehensive</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Shareholders'</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34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Shares</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Income (Loss)</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Deficit</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Balances at June 30, 2020</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63,515</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4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1,191,923</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280</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(1,394,540)</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(202,336)</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Proceeds from ESPP purchases</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Employee share-based compensation expense</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15,564</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15,564</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Issuance of restricted shares</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493</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Option exercises</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24</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24</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Repurchase of shares to satisfy tax withholding</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(54)</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(987)</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(987)</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Net unrealized loss on marketable securities</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(158)</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(158)</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Net loss</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(73,643)</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(73,643)</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Balances at September 30, 2020</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63,956</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4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1,206,524</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122</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(1,468,183)</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(261,536)</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r>
      <w:tr w:rsidR="00000000">
        <w:trPr>
          <w:divId w:val="1613586517"/>
        </w:trPr>
        <w:tc>
          <w:tcPr>
            <w:tcW w:w="184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color w:val="0563C1"/>
                <w:sz w:val="16"/>
                <w:szCs w:val="16"/>
                <w:u w:val="single"/>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5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Additional</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Other</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Total</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845"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Ordinary </w:t>
            </w:r>
            <w:r>
              <w:rPr>
                <w:b/>
                <w:bCs/>
                <w:sz w:val="16"/>
                <w:szCs w:val="16"/>
              </w:rPr>
              <w:t>Shares</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Paid-In</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Comprehensive</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Shareholders'</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34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Shares</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Income (Loss)</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Deficit</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Balances at December 31, 2019</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57,015</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4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1,024,614</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145</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(1,248,600)</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w:t>
            </w:r>
            <w:r>
              <w:rPr>
                <w:sz w:val="16"/>
                <w:szCs w:val="16"/>
              </w:rPr>
              <w:t>223,840)</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Net proceeds from sale of ordinary shares</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5,500</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139,915</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139,915</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Proceeds from ESPP purchases</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168</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2,545</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2,545</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Employee share-based compensation expense</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47,425</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47,425</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Issuance of restricted shares</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1,590</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Option exercises</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43</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960</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960</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Repurchase of shares to satisfy tax withholding</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(360)</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(8,935)</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(8,935)</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Net unrealized gain on marketable securities</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(23)</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(23)</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Net loss</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Borders>
              <w:bottom w:val="single" w:sz="6" w:space="0" w:color="000000"/>
            </w:tcBorders>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Borders>
              <w:bottom w:val="single" w:sz="6" w:space="0" w:color="000000"/>
            </w:tcBorders>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Borders>
              <w:bottom w:val="single" w:sz="6" w:space="0" w:color="000000"/>
            </w:tcBorders>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Borders>
              <w:bottom w:val="single" w:sz="6" w:space="0" w:color="000000"/>
            </w:tcBorders>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(219,583)</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(219,583)</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Balances at September 30, 2020</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63,956</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44"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62"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1,206,524</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22"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122</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90"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(1,468,183)</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75"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(261,536)</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5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Additional</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Other</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Total</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845"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Ordinary </w:t>
            </w:r>
            <w:r>
              <w:rPr>
                <w:b/>
                <w:bCs/>
                <w:sz w:val="16"/>
                <w:szCs w:val="16"/>
              </w:rPr>
              <w:t>Shares</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Paid-In</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Comprehensive</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Shareholders'</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Shares</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Income (Loss)</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Deficit</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Balances at June 30, 2019</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56,637</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4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987,209</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129</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(1,124,563)</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(137,224)</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Proceeds from ESPP purchases</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Employee share-based compensation expense</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13,019</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13,019</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Issuance of restricted shares</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209</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Option exercises</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29</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428</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428</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lastRenderedPageBreak/>
              <w:t>Repurchase of shares to satisfy tax withholding</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(113)</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(562)</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(562)</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Net unrealized loss on marketable securities</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(35)</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(35)</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Net loss</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(58,431)</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w:t>
            </w:r>
            <w:r>
              <w:rPr>
                <w:sz w:val="16"/>
                <w:szCs w:val="16"/>
              </w:rPr>
              <w:t>58,431)</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Balances at September 30, 2019</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56,762</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1,000,094</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94</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(1,182,994)</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(182,805)</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5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Additional</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Other</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Total</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845"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Ordinary Shares</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Paid-In</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Comprehensive</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Shareholders'</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Shares</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Income (Loss)</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Deficit</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Balances at December 31, 2018</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55,681</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4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960,721</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(166)</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(1,012,145)</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w:t>
            </w:r>
            <w:r>
              <w:rPr>
                <w:sz w:val="16"/>
                <w:szCs w:val="16"/>
              </w:rPr>
              <w:t>51,589)</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Proceeds from ESPP purchases</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145</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2,605</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2,605</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Employee share-based compensation expense</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36,538</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36,538</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Issuance of restricted shares</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898</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Option exercises</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151</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2,973</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2,973</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Repurchase of shares to satisfy tax withholding</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(113)</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(2,743)</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(2,743)</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Net unrealized gain on marketable securities</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260</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260</w:t>
            </w:r>
          </w:p>
        </w:tc>
      </w:tr>
      <w:tr w:rsidR="00000000">
        <w:trPr>
          <w:divId w:val="1613586517"/>
        </w:trPr>
        <w:tc>
          <w:tcPr>
            <w:tcW w:w="1841" w:type="pct"/>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16"/>
                <w:szCs w:val="16"/>
              </w:rPr>
            </w:pPr>
            <w:r>
              <w:rPr>
                <w:sz w:val="16"/>
                <w:szCs w:val="16"/>
              </w:rPr>
              <w:t>Net loss</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44"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2"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22"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(170,849)</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(170,849)</w:t>
            </w:r>
          </w:p>
        </w:tc>
      </w:tr>
      <w:tr w:rsidR="00000000">
        <w:trPr>
          <w:divId w:val="1613586517"/>
        </w:trPr>
        <w:tc>
          <w:tcPr>
            <w:tcW w:w="184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Balances at September 30, 2019</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56,762</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1,000,094</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94</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(1,182,994)</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(182,805)</w:t>
            </w:r>
          </w:p>
        </w:tc>
      </w:tr>
    </w:tbl>
    <w:p w:rsidR="00000000" w:rsidRDefault="00B51E11">
      <w:pPr>
        <w:pStyle w:val="a3"/>
        <w:spacing w:before="0" w:beforeAutospacing="0" w:after="0" w:afterAutospacing="0"/>
        <w:ind w:firstLine="720"/>
        <w:jc w:val="center"/>
        <w:divId w:val="1613586517"/>
        <w:rPr>
          <w:sz w:val="20"/>
          <w:szCs w:val="20"/>
        </w:rPr>
      </w:pPr>
      <w:r>
        <w:rPr>
          <w:i/>
          <w:iCs/>
          <w:sz w:val="20"/>
          <w:szCs w:val="20"/>
        </w:rPr>
        <w:t>​</w:t>
      </w:r>
    </w:p>
    <w:p w:rsidR="00000000" w:rsidRDefault="00B51E11">
      <w:pPr>
        <w:pStyle w:val="a3"/>
        <w:spacing w:before="0" w:beforeAutospacing="0" w:after="0" w:afterAutospacing="0"/>
        <w:ind w:firstLine="720"/>
        <w:jc w:val="center"/>
        <w:divId w:val="1613586517"/>
        <w:rPr>
          <w:sz w:val="20"/>
          <w:szCs w:val="20"/>
        </w:rPr>
      </w:pPr>
      <w:r>
        <w:rPr>
          <w:i/>
          <w:iCs/>
          <w:sz w:val="20"/>
          <w:szCs w:val="20"/>
        </w:rPr>
        <w:t>See accompanying notes to condensed consolidated financial statements.</w:t>
      </w:r>
    </w:p>
    <w:p w:rsidR="00000000" w:rsidRDefault="00B51E11">
      <w:pPr>
        <w:pStyle w:val="a3"/>
        <w:spacing w:before="360" w:beforeAutospacing="0" w:after="0" w:afterAutospacing="0"/>
        <w:jc w:val="center"/>
        <w:divId w:val="1405839080"/>
        <w:rPr>
          <w:sz w:val="20"/>
          <w:szCs w:val="20"/>
        </w:rPr>
      </w:pPr>
      <w:r>
        <w:rPr>
          <w:sz w:val="20"/>
          <w:szCs w:val="20"/>
        </w:rPr>
        <w:t>5</w:t>
      </w:r>
    </w:p>
    <w:p w:rsidR="00000000" w:rsidRDefault="00B51E11">
      <w:pPr>
        <w:pStyle w:val="a3"/>
        <w:spacing w:before="0" w:beforeAutospacing="0" w:after="600" w:afterAutospacing="0"/>
        <w:divId w:val="1108617264"/>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jc w:val="center"/>
        <w:divId w:val="810095597"/>
        <w:rPr>
          <w:sz w:val="20"/>
          <w:szCs w:val="20"/>
        </w:rPr>
      </w:pPr>
      <w:r>
        <w:rPr>
          <w:b/>
          <w:bCs/>
          <w:sz w:val="20"/>
          <w:szCs w:val="20"/>
        </w:rPr>
        <w:t>THERAVANCE BIOPHARMA, INC.</w:t>
      </w:r>
    </w:p>
    <w:p w:rsidR="00000000" w:rsidRDefault="00B51E11">
      <w:pPr>
        <w:pStyle w:val="a3"/>
        <w:spacing w:before="0" w:beforeAutospacing="0" w:after="0" w:afterAutospacing="0"/>
        <w:jc w:val="center"/>
        <w:divId w:val="810095597"/>
        <w:rPr>
          <w:sz w:val="20"/>
          <w:szCs w:val="20"/>
        </w:rPr>
      </w:pPr>
      <w:r>
        <w:rPr>
          <w:b/>
          <w:bCs/>
          <w:sz w:val="20"/>
          <w:szCs w:val="20"/>
        </w:rPr>
        <w:t>CONDENSED CONSOLIDATED STATEMENTS OF CASH FLOWS</w:t>
      </w:r>
    </w:p>
    <w:p w:rsidR="00000000" w:rsidRDefault="00B51E11">
      <w:pPr>
        <w:pStyle w:val="a3"/>
        <w:spacing w:before="0" w:beforeAutospacing="0" w:after="0" w:afterAutospacing="0"/>
        <w:jc w:val="center"/>
        <w:divId w:val="810095597"/>
        <w:rPr>
          <w:sz w:val="20"/>
          <w:szCs w:val="20"/>
        </w:rPr>
      </w:pPr>
      <w:r>
        <w:rPr>
          <w:b/>
          <w:bCs/>
          <w:sz w:val="20"/>
          <w:szCs w:val="20"/>
        </w:rPr>
        <w:t>(Unaudited)</w:t>
      </w:r>
    </w:p>
    <w:p w:rsidR="00000000" w:rsidRDefault="00B51E11">
      <w:pPr>
        <w:pStyle w:val="a3"/>
        <w:spacing w:before="0" w:beforeAutospacing="0" w:after="0" w:afterAutospacing="0"/>
        <w:jc w:val="center"/>
        <w:divId w:val="810095597"/>
        <w:rPr>
          <w:sz w:val="20"/>
          <w:szCs w:val="20"/>
        </w:rPr>
      </w:pPr>
      <w:r>
        <w:rPr>
          <w:b/>
          <w:bCs/>
          <w:sz w:val="20"/>
          <w:szCs w:val="20"/>
        </w:rPr>
        <w:t>(In thousands)</w:t>
      </w:r>
    </w:p>
    <w:p w:rsidR="00000000" w:rsidRDefault="00B51E11">
      <w:pPr>
        <w:pStyle w:val="a3"/>
        <w:spacing w:before="0" w:beforeAutospacing="0" w:after="0" w:afterAutospacing="0"/>
        <w:divId w:val="810095597"/>
        <w:rPr>
          <w:sz w:val="20"/>
          <w:szCs w:val="20"/>
        </w:rPr>
      </w:pPr>
      <w:r>
        <w:rPr>
          <w:b/>
          <w:bCs/>
          <w:color w:val="FF0000"/>
          <w:sz w:val="6"/>
          <w:szCs w:val="6"/>
        </w:rPr>
        <w:t>​</w:t>
      </w:r>
    </w:p>
    <w:p w:rsidR="00000000" w:rsidRDefault="00B51E11">
      <w:pPr>
        <w:pStyle w:val="a3"/>
        <w:spacing w:before="0" w:beforeAutospacing="0" w:after="0" w:afterAutospacing="0"/>
        <w:jc w:val="center"/>
        <w:divId w:val="810095597"/>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719"/>
        <w:gridCol w:w="160"/>
        <w:gridCol w:w="222"/>
        <w:gridCol w:w="880"/>
        <w:gridCol w:w="221"/>
        <w:gridCol w:w="221"/>
        <w:gridCol w:w="883"/>
      </w:tblGrid>
      <w:tr w:rsidR="00000000">
        <w:trPr>
          <w:divId w:val="810095597"/>
          <w:trHeight w:val="20"/>
        </w:trPr>
        <w:tc>
          <w:tcPr>
            <w:tcW w:w="3502" w:type="pct"/>
            <w:tcMar>
              <w:top w:w="0" w:type="dxa"/>
              <w:left w:w="0" w:type="dxa"/>
              <w:bottom w:w="0" w:type="dxa"/>
              <w:right w:w="0" w:type="dxa"/>
            </w:tcMar>
            <w:hideMark/>
          </w:tcPr>
          <w:p w:rsidR="00000000" w:rsidRDefault="00B51E11">
            <w:pPr>
              <w:pStyle w:val="a3"/>
              <w:spacing w:before="0" w:beforeAutospacing="0" w:after="0" w:afterAutospacing="0"/>
              <w:divId w:val="1425297275"/>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50186610"/>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43904380"/>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55657054"/>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90918502"/>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96957286"/>
              <w:rPr>
                <w:sz w:val="20"/>
                <w:szCs w:val="20"/>
              </w:rPr>
            </w:pPr>
            <w:r>
              <w:rPr>
                <w:sz w:val="2"/>
                <w:szCs w:val="2"/>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57374305"/>
              <w:rPr>
                <w:sz w:val="20"/>
                <w:szCs w:val="20"/>
              </w:rPr>
            </w:pPr>
            <w:r>
              <w:rPr>
                <w:sz w:val="2"/>
                <w:szCs w:val="2"/>
              </w:rPr>
              <w:t>​</w:t>
            </w:r>
          </w:p>
        </w:tc>
      </w:tr>
      <w:tr w:rsidR="00000000">
        <w:trPr>
          <w:divId w:val="810095597"/>
        </w:trPr>
        <w:tc>
          <w:tcPr>
            <w:tcW w:w="350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1371"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Nine Months Ended September 30, </w:t>
            </w:r>
          </w:p>
        </w:tc>
      </w:tr>
      <w:tr w:rsidR="00000000">
        <w:trPr>
          <w:divId w:val="810095597"/>
        </w:trPr>
        <w:tc>
          <w:tcPr>
            <w:tcW w:w="350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623"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b/>
                <w:bCs/>
                <w:sz w:val="16"/>
                <w:szCs w:val="16"/>
              </w:rPr>
              <w:t>Operating activities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sz w:val="16"/>
                <w:szCs w:val="16"/>
              </w:rPr>
              <w:t xml:space="preserve">Net loss </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(219,583)</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(170,849)</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sz w:val="16"/>
                <w:szCs w:val="16"/>
              </w:rPr>
              <w:t>Adjustments to reconcile net loss to net cash used in operating activities: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ind w:left="240"/>
              <w:rPr>
                <w:sz w:val="16"/>
                <w:szCs w:val="16"/>
              </w:rPr>
            </w:pPr>
            <w:r>
              <w:rPr>
                <w:sz w:val="16"/>
                <w:szCs w:val="16"/>
              </w:rPr>
              <w:t>Depreciation and amortization</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5,394</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4,676</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16"/>
                <w:szCs w:val="16"/>
              </w:rPr>
            </w:pPr>
            <w:r>
              <w:rPr>
                <w:sz w:val="16"/>
                <w:szCs w:val="16"/>
              </w:rPr>
              <w:t>Amortization and accretion income, net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(1,023)</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(2,599)</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ind w:left="240"/>
              <w:rPr>
                <w:sz w:val="16"/>
                <w:szCs w:val="16"/>
              </w:rPr>
            </w:pPr>
            <w:r>
              <w:rPr>
                <w:sz w:val="16"/>
                <w:szCs w:val="16"/>
              </w:rPr>
              <w:t xml:space="preserve">Share-based compensation </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47,425</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36,538</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16"/>
                <w:szCs w:val="16"/>
              </w:rPr>
            </w:pPr>
            <w:r>
              <w:rPr>
                <w:sz w:val="16"/>
                <w:szCs w:val="16"/>
              </w:rPr>
              <w:t>Amortization of right-of-use assets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2,213</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3,029</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ind w:left="240"/>
              <w:rPr>
                <w:sz w:val="16"/>
                <w:szCs w:val="16"/>
              </w:rPr>
            </w:pPr>
            <w:r>
              <w:rPr>
                <w:sz w:val="16"/>
                <w:szCs w:val="16"/>
              </w:rPr>
              <w:t>Amounts due from TRC, LLC</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(20,337)</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(11,239)</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16"/>
                <w:szCs w:val="16"/>
              </w:rPr>
            </w:pPr>
            <w:r>
              <w:rPr>
                <w:sz w:val="16"/>
                <w:szCs w:val="16"/>
              </w:rPr>
              <w:t>Interest shortfall on 2035 notes, net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10,144</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ind w:left="240"/>
              <w:rPr>
                <w:sz w:val="16"/>
                <w:szCs w:val="16"/>
              </w:rPr>
            </w:pPr>
            <w:r>
              <w:rPr>
                <w:sz w:val="16"/>
                <w:szCs w:val="16"/>
              </w:rPr>
              <w:t>Loss on extinguishment of debt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15,464</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16"/>
                <w:szCs w:val="16"/>
              </w:rPr>
            </w:pPr>
            <w:r>
              <w:rPr>
                <w:sz w:val="16"/>
                <w:szCs w:val="16"/>
              </w:rPr>
              <w:t>Other</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(42)</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148</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ind w:left="240"/>
              <w:rPr>
                <w:sz w:val="16"/>
                <w:szCs w:val="16"/>
              </w:rPr>
            </w:pPr>
            <w:r>
              <w:rPr>
                <w:sz w:val="16"/>
                <w:szCs w:val="16"/>
              </w:rPr>
              <w:t>Ch</w:t>
            </w:r>
            <w:r>
              <w:rPr>
                <w:sz w:val="16"/>
                <w:szCs w:val="16"/>
              </w:rPr>
              <w:t>anges in operating assets and liabilities: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360"/>
              <w:rPr>
                <w:sz w:val="16"/>
                <w:szCs w:val="16"/>
              </w:rPr>
            </w:pPr>
            <w:r>
              <w:rPr>
                <w:sz w:val="16"/>
                <w:szCs w:val="16"/>
              </w:rPr>
              <w:t xml:space="preserve">Accounts receivable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534</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ind w:left="360"/>
              <w:rPr>
                <w:sz w:val="16"/>
                <w:szCs w:val="16"/>
              </w:rPr>
            </w:pPr>
            <w:r>
              <w:rPr>
                <w:sz w:val="16"/>
                <w:szCs w:val="16"/>
              </w:rPr>
              <w:t xml:space="preserve">Receivables from collaborative and licensing arrangements </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9,597</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5,458</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360"/>
              <w:rPr>
                <w:sz w:val="16"/>
                <w:szCs w:val="16"/>
              </w:rPr>
            </w:pPr>
            <w:r>
              <w:rPr>
                <w:sz w:val="16"/>
                <w:szCs w:val="16"/>
              </w:rPr>
              <w:t>Prepaid clinical and development services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(18,025)</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(575)</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ind w:left="360"/>
              <w:rPr>
                <w:sz w:val="16"/>
                <w:szCs w:val="16"/>
              </w:rPr>
            </w:pPr>
            <w:r>
              <w:rPr>
                <w:sz w:val="16"/>
                <w:szCs w:val="16"/>
              </w:rPr>
              <w:t>Other prepaid and current assets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(2,274)</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(106)</w:t>
            </w:r>
          </w:p>
        </w:tc>
      </w:tr>
      <w:tr w:rsidR="00000000">
        <w:trPr>
          <w:divId w:val="810095597"/>
        </w:trPr>
        <w:tc>
          <w:tcPr>
            <w:tcW w:w="350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360"/>
              <w:rPr>
                <w:sz w:val="16"/>
                <w:szCs w:val="16"/>
              </w:rPr>
            </w:pPr>
            <w:r>
              <w:rPr>
                <w:sz w:val="16"/>
                <w:szCs w:val="16"/>
              </w:rPr>
              <w:t>Tax receivable</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37</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(3,700)</w:t>
            </w:r>
          </w:p>
        </w:tc>
      </w:tr>
      <w:tr w:rsidR="00000000">
        <w:trPr>
          <w:divId w:val="810095597"/>
        </w:trPr>
        <w:tc>
          <w:tcPr>
            <w:tcW w:w="3502" w:type="pct"/>
            <w:tcMar>
              <w:top w:w="0" w:type="dxa"/>
              <w:left w:w="0" w:type="dxa"/>
              <w:bottom w:w="0" w:type="dxa"/>
              <w:right w:w="0" w:type="dxa"/>
            </w:tcMar>
            <w:vAlign w:val="bottom"/>
            <w:hideMark/>
          </w:tcPr>
          <w:p w:rsidR="00000000" w:rsidRDefault="00B51E11">
            <w:pPr>
              <w:pStyle w:val="a3"/>
              <w:spacing w:before="0" w:beforeAutospacing="0" w:after="0" w:afterAutospacing="0"/>
              <w:ind w:left="360"/>
              <w:rPr>
                <w:sz w:val="16"/>
                <w:szCs w:val="16"/>
              </w:rPr>
            </w:pPr>
            <w:r>
              <w:rPr>
                <w:sz w:val="16"/>
                <w:szCs w:val="16"/>
              </w:rPr>
              <w:t>Other assets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541</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3</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360"/>
              <w:rPr>
                <w:sz w:val="16"/>
                <w:szCs w:val="16"/>
              </w:rPr>
            </w:pPr>
            <w:r>
              <w:rPr>
                <w:sz w:val="16"/>
                <w:szCs w:val="16"/>
              </w:rPr>
              <w:t xml:space="preserve">Accounts payable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2,133</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(543)</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ind w:left="360" w:hanging="180"/>
              <w:rPr>
                <w:sz w:val="16"/>
                <w:szCs w:val="16"/>
              </w:rPr>
            </w:pPr>
            <w:r>
              <w:rPr>
                <w:sz w:val="16"/>
                <w:szCs w:val="16"/>
              </w:rPr>
              <w:t xml:space="preserve">Accrued personnel-related expenses, accrued clinical and development expenses, and other accrued liabilities </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(178)</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(9,846)</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360"/>
              <w:rPr>
                <w:sz w:val="16"/>
                <w:szCs w:val="16"/>
              </w:rPr>
            </w:pPr>
            <w:r>
              <w:rPr>
                <w:sz w:val="16"/>
                <w:szCs w:val="16"/>
              </w:rPr>
              <w:t>Accrued interest payable</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132</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4,482</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ind w:left="360"/>
              <w:rPr>
                <w:sz w:val="16"/>
                <w:szCs w:val="16"/>
              </w:rPr>
            </w:pPr>
            <w:r>
              <w:rPr>
                <w:sz w:val="16"/>
                <w:szCs w:val="16"/>
              </w:rPr>
              <w:t xml:space="preserve">Deferred revenue </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(19,382)</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(21,661)</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360"/>
              <w:rPr>
                <w:sz w:val="16"/>
                <w:szCs w:val="16"/>
              </w:rPr>
            </w:pPr>
            <w:r>
              <w:rPr>
                <w:sz w:val="16"/>
                <w:szCs w:val="16"/>
              </w:rPr>
              <w:t>Operating lease liabilities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2,021</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(2,307)</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ind w:left="360"/>
              <w:rPr>
                <w:sz w:val="16"/>
                <w:szCs w:val="16"/>
              </w:rPr>
            </w:pPr>
            <w:r>
              <w:rPr>
                <w:sz w:val="16"/>
                <w:szCs w:val="16"/>
              </w:rPr>
              <w:t>Other long-term liabilities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265</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(5,288)</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480"/>
              <w:rPr>
                <w:sz w:val="16"/>
                <w:szCs w:val="16"/>
              </w:rPr>
            </w:pPr>
            <w:r>
              <w:rPr>
                <w:sz w:val="16"/>
                <w:szCs w:val="16"/>
              </w:rPr>
              <w:t xml:space="preserve">Net cash used in operating activities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(185,478)</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(173,845)</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b/>
                <w:bCs/>
                <w:sz w:val="16"/>
                <w:szCs w:val="16"/>
              </w:rPr>
              <w:t>Investing activities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sz w:val="16"/>
                <w:szCs w:val="16"/>
              </w:rPr>
              <w:t>Purchases of property and equipment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(5,372)</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(1,873)</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sz w:val="16"/>
                <w:szCs w:val="16"/>
              </w:rPr>
              <w:t xml:space="preserve">Purchases of marketable securities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(337,556)</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(366,412)</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sz w:val="16"/>
                <w:szCs w:val="16"/>
              </w:rPr>
              <w:t xml:space="preserve">Maturities of marketable securities </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281,318</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266,168</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sz w:val="16"/>
                <w:szCs w:val="16"/>
              </w:rPr>
              <w:t>Proceeds from the sale of marketable securities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19,928</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sz w:val="16"/>
                <w:szCs w:val="16"/>
              </w:rPr>
              <w:t>Proceeds from the sale of property and equipment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35</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5</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sz w:val="16"/>
                <w:szCs w:val="16"/>
              </w:rPr>
              <w:t>Proceeds from the sale of VIBATIV business, net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5,000</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ind w:left="480"/>
              <w:rPr>
                <w:sz w:val="16"/>
                <w:szCs w:val="16"/>
              </w:rPr>
            </w:pPr>
            <w:r>
              <w:rPr>
                <w:sz w:val="16"/>
                <w:szCs w:val="16"/>
              </w:rPr>
              <w:t xml:space="preserve">Net cash used in investing activities </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(41,647)</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(97,112)</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b/>
                <w:bCs/>
                <w:sz w:val="16"/>
                <w:szCs w:val="16"/>
              </w:rPr>
              <w:t>Financing activities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r>
      <w:tr w:rsidR="00000000">
        <w:trPr>
          <w:divId w:val="810095597"/>
        </w:trPr>
        <w:tc>
          <w:tcPr>
            <w:tcW w:w="350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Proceeds from the sale of ordinary shares, net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139,915</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810095597"/>
        </w:trPr>
        <w:tc>
          <w:tcPr>
            <w:tcW w:w="350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Proceeds from issuance of 2035 notes, net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380,000</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810095597"/>
        </w:trPr>
        <w:tc>
          <w:tcPr>
            <w:tcW w:w="350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Payment of issuance costs on 2035 notes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(5,326)</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810095597"/>
        </w:trPr>
        <w:tc>
          <w:tcPr>
            <w:tcW w:w="350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Payment of redemption premium on 2033 notes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(11,470)</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810095597"/>
        </w:trPr>
        <w:tc>
          <w:tcPr>
            <w:tcW w:w="3502"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Principal payment on 2033 notes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(235,347)</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r>
      <w:tr w:rsidR="00000000">
        <w:trPr>
          <w:divId w:val="810095597"/>
        </w:trPr>
        <w:tc>
          <w:tcPr>
            <w:tcW w:w="3502" w:type="pct"/>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sz w:val="16"/>
                <w:szCs w:val="16"/>
              </w:rPr>
              <w:t>Proceeds from ESPP purchases</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2,545</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2,605</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sz w:val="16"/>
                <w:szCs w:val="16"/>
              </w:rPr>
              <w:t>Proceeds from option exercises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960</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2,973</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sz w:val="16"/>
                <w:szCs w:val="16"/>
              </w:rPr>
              <w:t>Repurchase of shares to satisfy tax withholding</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(8,935)</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(2,743)</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480"/>
              <w:rPr>
                <w:sz w:val="16"/>
                <w:szCs w:val="16"/>
              </w:rPr>
            </w:pPr>
            <w:r>
              <w:rPr>
                <w:sz w:val="16"/>
                <w:szCs w:val="16"/>
              </w:rPr>
              <w:t>Net cash provided by financing activities</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262,342</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2,835</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b/>
                <w:bCs/>
                <w:sz w:val="16"/>
                <w:szCs w:val="16"/>
              </w:rPr>
              <w:t>Net increase (decrease) in cash, cash equivalents, and restricted cash</w:t>
            </w:r>
            <w:r>
              <w:rPr>
                <w:sz w:val="16"/>
                <w:szCs w:val="16"/>
              </w:rPr>
              <w:t xml:space="preserve">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35,218</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16"/>
                <w:szCs w:val="16"/>
              </w:rPr>
            </w:pPr>
            <w:r>
              <w:rPr>
                <w:sz w:val="16"/>
                <w:szCs w:val="16"/>
              </w:rPr>
              <w:t>(268,122)</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b/>
                <w:bCs/>
                <w:sz w:val="16"/>
                <w:szCs w:val="16"/>
              </w:rPr>
              <w:t>Cash, cash equivalents, and restricted cash at beginning of period</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58,897</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378,854</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b/>
                <w:bCs/>
                <w:sz w:val="16"/>
                <w:szCs w:val="16"/>
              </w:rPr>
              <w:t>Cash, cash equivalents, and restricted cash at end of period</w:t>
            </w:r>
            <w:r>
              <w:rPr>
                <w:sz w:val="16"/>
                <w:szCs w:val="16"/>
              </w:rPr>
              <w:t xml:space="preserve"> </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94,115</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110,732</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b/>
                <w:bCs/>
                <w:sz w:val="16"/>
                <w:szCs w:val="16"/>
              </w:rPr>
              <w:t>Supplemental disclosure of cash flow information</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16"/>
                <w:szCs w:val="16"/>
              </w:rPr>
              <w:t>​</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sz w:val="16"/>
                <w:szCs w:val="16"/>
              </w:rPr>
              <w:t>Cash paid for interest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20,287</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17,097</w:t>
            </w:r>
          </w:p>
        </w:tc>
      </w:tr>
      <w:tr w:rsidR="00000000">
        <w:trPr>
          <w:divId w:val="810095597"/>
        </w:trPr>
        <w:tc>
          <w:tcPr>
            <w:tcW w:w="350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sz w:val="16"/>
                <w:szCs w:val="16"/>
              </w:rPr>
              <w:t>Cash paid for income taxes, net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14</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22</w:t>
            </w:r>
          </w:p>
        </w:tc>
      </w:tr>
      <w:tr w:rsidR="00000000">
        <w:trPr>
          <w:divId w:val="810095597"/>
        </w:trPr>
        <w:tc>
          <w:tcPr>
            <w:tcW w:w="3502" w:type="pct"/>
            <w:tcMar>
              <w:top w:w="0" w:type="dxa"/>
              <w:left w:w="0" w:type="dxa"/>
              <w:bottom w:w="0" w:type="dxa"/>
              <w:right w:w="0" w:type="dxa"/>
            </w:tcMar>
            <w:hideMark/>
          </w:tcPr>
          <w:p w:rsidR="00000000" w:rsidRDefault="00B51E11">
            <w:pPr>
              <w:pStyle w:val="a3"/>
              <w:spacing w:before="0" w:beforeAutospacing="0" w:after="0" w:afterAutospacing="0"/>
              <w:rPr>
                <w:sz w:val="16"/>
                <w:szCs w:val="16"/>
              </w:rPr>
            </w:pPr>
            <w:r>
              <w:rPr>
                <w:sz w:val="16"/>
                <w:szCs w:val="16"/>
              </w:rPr>
              <w:t>Right-of-use assets obtained in exchange for lease obligations (1)</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9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sz w:val="16"/>
                <w:szCs w:val="16"/>
              </w:rPr>
              <w:t>$</w:t>
            </w:r>
          </w:p>
        </w:tc>
        <w:tc>
          <w:tcPr>
            <w:tcW w:w="497"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50"/>
              <w:jc w:val="right"/>
              <w:rPr>
                <w:sz w:val="16"/>
                <w:szCs w:val="16"/>
              </w:rPr>
            </w:pPr>
            <w:r>
              <w:rPr>
                <w:sz w:val="16"/>
                <w:szCs w:val="16"/>
              </w:rPr>
              <w:t>49,847</w:t>
            </w:r>
          </w:p>
        </w:tc>
      </w:tr>
    </w:tbl>
    <w:p w:rsidR="00000000" w:rsidRDefault="00B51E11">
      <w:pPr>
        <w:divId w:val="628319674"/>
        <w:rPr>
          <w:rFonts w:eastAsia="Times New Roman"/>
          <w:sz w:val="20"/>
          <w:szCs w:val="20"/>
        </w:rPr>
      </w:pPr>
      <w:r>
        <w:rPr>
          <w:rFonts w:eastAsia="Times New Roman"/>
          <w:sz w:val="18"/>
          <w:szCs w:val="18"/>
        </w:rPr>
        <w:t>(1</w:t>
      </w:r>
      <w:r>
        <w:rPr>
          <w:rFonts w:eastAsia="Times New Roman"/>
          <w:sz w:val="18"/>
          <w:szCs w:val="18"/>
        </w:rPr>
        <w:t>)</w:t>
      </w:r>
      <w:r>
        <w:rPr>
          <w:rFonts w:eastAsia="Times New Roman"/>
          <w:sz w:val="18"/>
          <w:szCs w:val="18"/>
        </w:rPr>
        <w:t>Amounts for the nine months ended September 30, 2019 include the transition adjustment for the adoption of ASC 842.</w:t>
      </w:r>
    </w:p>
    <w:p w:rsidR="00000000" w:rsidRDefault="00B51E11">
      <w:pPr>
        <w:pStyle w:val="a3"/>
        <w:spacing w:before="0" w:beforeAutospacing="0" w:after="0" w:afterAutospacing="0"/>
        <w:jc w:val="center"/>
        <w:divId w:val="810095597"/>
        <w:rPr>
          <w:sz w:val="20"/>
          <w:szCs w:val="20"/>
        </w:rPr>
      </w:pPr>
      <w:r>
        <w:rPr>
          <w:i/>
          <w:iCs/>
          <w:sz w:val="20"/>
          <w:szCs w:val="20"/>
        </w:rPr>
        <w:t>See accompanying notes to condensed consolidated financial statements</w:t>
      </w:r>
      <w:r>
        <w:rPr>
          <w:sz w:val="20"/>
          <w:szCs w:val="20"/>
        </w:rPr>
        <w:t>.</w:t>
      </w:r>
    </w:p>
    <w:p w:rsidR="00000000" w:rsidRDefault="00B51E11">
      <w:pPr>
        <w:pStyle w:val="a3"/>
        <w:spacing w:before="360" w:beforeAutospacing="0" w:after="0" w:afterAutospacing="0"/>
        <w:jc w:val="center"/>
        <w:divId w:val="1802528889"/>
        <w:rPr>
          <w:sz w:val="20"/>
          <w:szCs w:val="20"/>
        </w:rPr>
      </w:pPr>
      <w:r>
        <w:rPr>
          <w:sz w:val="20"/>
          <w:szCs w:val="20"/>
        </w:rPr>
        <w:t>6</w:t>
      </w:r>
    </w:p>
    <w:p w:rsidR="00000000" w:rsidRDefault="00B51E11">
      <w:pPr>
        <w:pStyle w:val="a3"/>
        <w:spacing w:before="0" w:beforeAutospacing="0" w:after="600" w:afterAutospacing="0"/>
        <w:divId w:val="1915627135"/>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jc w:val="center"/>
        <w:divId w:val="1578202722"/>
        <w:rPr>
          <w:sz w:val="20"/>
          <w:szCs w:val="20"/>
        </w:rPr>
      </w:pPr>
      <w:r>
        <w:rPr>
          <w:b/>
          <w:bCs/>
          <w:sz w:val="20"/>
          <w:szCs w:val="20"/>
        </w:rPr>
        <w:t>THERAVANCE BIOPHARMA, INC.</w:t>
      </w:r>
    </w:p>
    <w:p w:rsidR="00000000" w:rsidRDefault="00B51E11">
      <w:pPr>
        <w:pStyle w:val="a3"/>
        <w:spacing w:before="0" w:beforeAutospacing="0" w:after="0" w:afterAutospacing="0"/>
        <w:jc w:val="center"/>
        <w:divId w:val="1578202722"/>
        <w:rPr>
          <w:sz w:val="20"/>
          <w:szCs w:val="20"/>
        </w:rPr>
      </w:pPr>
      <w:r>
        <w:rPr>
          <w:b/>
          <w:bCs/>
          <w:sz w:val="20"/>
          <w:szCs w:val="20"/>
        </w:rPr>
        <w:t>NOTES TO CONDENSED CONSOLIDATED FINANCIAL STATEMENTS</w:t>
      </w:r>
    </w:p>
    <w:p w:rsidR="00000000" w:rsidRDefault="00B51E11">
      <w:pPr>
        <w:pStyle w:val="a3"/>
        <w:spacing w:before="0" w:beforeAutospacing="0" w:after="0" w:afterAutospacing="0"/>
        <w:jc w:val="center"/>
        <w:divId w:val="1578202722"/>
        <w:rPr>
          <w:sz w:val="20"/>
          <w:szCs w:val="20"/>
        </w:rPr>
      </w:pPr>
      <w:r>
        <w:rPr>
          <w:b/>
          <w:bCs/>
          <w:sz w:val="20"/>
          <w:szCs w:val="20"/>
        </w:rPr>
        <w:t>(Unaudited)</w:t>
      </w:r>
    </w:p>
    <w:p w:rsidR="00000000" w:rsidRDefault="00B51E11">
      <w:pPr>
        <w:pStyle w:val="a3"/>
        <w:spacing w:before="0" w:beforeAutospacing="0" w:after="0" w:afterAutospacing="0"/>
        <w:jc w:val="center"/>
        <w:divId w:val="1578202722"/>
        <w:rPr>
          <w:sz w:val="20"/>
          <w:szCs w:val="20"/>
        </w:rPr>
      </w:pPr>
      <w:r>
        <w:rPr>
          <w:sz w:val="20"/>
          <w:szCs w:val="20"/>
        </w:rPr>
        <w:t>​</w:t>
      </w:r>
    </w:p>
    <w:p w:rsidR="00000000" w:rsidRDefault="00B51E11">
      <w:pPr>
        <w:pStyle w:val="a3"/>
        <w:spacing w:before="0" w:beforeAutospacing="0" w:after="0" w:afterAutospacing="0"/>
        <w:divId w:val="1578202722"/>
        <w:rPr>
          <w:sz w:val="20"/>
          <w:szCs w:val="20"/>
        </w:rPr>
      </w:pPr>
      <w:r>
        <w:rPr>
          <w:sz w:val="20"/>
          <w:szCs w:val="20"/>
        </w:rPr>
        <w:t>​</w:t>
      </w:r>
    </w:p>
    <w:p w:rsidR="00000000" w:rsidRDefault="00B51E11">
      <w:pPr>
        <w:pStyle w:val="a3"/>
        <w:spacing w:before="0" w:beforeAutospacing="0" w:after="0" w:afterAutospacing="0"/>
        <w:divId w:val="1578202722"/>
        <w:rPr>
          <w:sz w:val="20"/>
          <w:szCs w:val="20"/>
        </w:rPr>
      </w:pPr>
      <w:r>
        <w:rPr>
          <w:b/>
          <w:bCs/>
          <w:sz w:val="20"/>
          <w:szCs w:val="20"/>
        </w:rPr>
        <w:t>1. Organization and Summary of Significant Accounting Policies</w:t>
      </w:r>
    </w:p>
    <w:p w:rsidR="00000000" w:rsidRDefault="00B51E11">
      <w:pPr>
        <w:pStyle w:val="a3"/>
        <w:spacing w:before="0" w:beforeAutospacing="0" w:after="0" w:afterAutospacing="0"/>
        <w:divId w:val="1578202722"/>
        <w:rPr>
          <w:sz w:val="20"/>
          <w:szCs w:val="20"/>
        </w:rPr>
      </w:pPr>
      <w:r>
        <w:rPr>
          <w:sz w:val="10"/>
          <w:szCs w:val="10"/>
        </w:rPr>
        <w:t>​</w:t>
      </w:r>
    </w:p>
    <w:p w:rsidR="00000000" w:rsidRDefault="00B51E11">
      <w:pPr>
        <w:pStyle w:val="a3"/>
        <w:spacing w:before="0" w:beforeAutospacing="0" w:after="0" w:afterAutospacing="0"/>
        <w:ind w:firstLine="720"/>
        <w:divId w:val="1578202722"/>
        <w:rPr>
          <w:sz w:val="20"/>
          <w:szCs w:val="20"/>
        </w:rPr>
      </w:pPr>
      <w:r>
        <w:rPr>
          <w:sz w:val="20"/>
          <w:szCs w:val="20"/>
        </w:rPr>
        <w:t>Theravance Biopharma, Inc. (“Theravance Biopharma” or the “Company”</w:t>
      </w:r>
      <w:r>
        <w:rPr>
          <w:sz w:val="20"/>
          <w:szCs w:val="20"/>
        </w:rPr>
        <w:t>) is a diversified biopharmaceutical company primarily focused on the discovery, development and commercialization of organ-selective medicines. The Company’s purpose is to create transformational medicines to improve the lives of patients suffering from s</w:t>
      </w:r>
      <w:r>
        <w:rPr>
          <w:sz w:val="20"/>
          <w:szCs w:val="20"/>
        </w:rPr>
        <w:t>erious illnesses. The Company’s research is focused in the areas of inflammation and immunology.</w:t>
      </w:r>
    </w:p>
    <w:p w:rsidR="00000000" w:rsidRDefault="00B51E11">
      <w:pPr>
        <w:pStyle w:val="a3"/>
        <w:spacing w:before="0" w:beforeAutospacing="0" w:after="0" w:afterAutospacing="0"/>
        <w:divId w:val="1578202722"/>
        <w:rPr>
          <w:sz w:val="20"/>
          <w:szCs w:val="20"/>
        </w:rPr>
      </w:pPr>
      <w:r>
        <w:rPr>
          <w:sz w:val="20"/>
          <w:szCs w:val="20"/>
        </w:rPr>
        <w:t>​</w:t>
      </w:r>
    </w:p>
    <w:p w:rsidR="00000000" w:rsidRDefault="00B51E11">
      <w:pPr>
        <w:pStyle w:val="a3"/>
        <w:spacing w:before="0" w:beforeAutospacing="0" w:after="0" w:afterAutospacing="0"/>
        <w:divId w:val="1578202722"/>
        <w:rPr>
          <w:sz w:val="20"/>
          <w:szCs w:val="20"/>
        </w:rPr>
      </w:pPr>
      <w:r>
        <w:rPr>
          <w:b/>
          <w:bCs/>
          <w:i/>
          <w:iCs/>
          <w:sz w:val="20"/>
          <w:szCs w:val="20"/>
        </w:rPr>
        <w:t>Basis of Presentation</w:t>
      </w:r>
    </w:p>
    <w:p w:rsidR="00000000" w:rsidRDefault="00B51E11">
      <w:pPr>
        <w:pStyle w:val="a3"/>
        <w:spacing w:before="0" w:beforeAutospacing="0" w:after="0" w:afterAutospacing="0"/>
        <w:divId w:val="1578202722"/>
        <w:rPr>
          <w:sz w:val="20"/>
          <w:szCs w:val="20"/>
        </w:rPr>
      </w:pPr>
      <w:r>
        <w:rPr>
          <w:sz w:val="10"/>
          <w:szCs w:val="10"/>
        </w:rPr>
        <w:t>​</w:t>
      </w:r>
    </w:p>
    <w:p w:rsidR="00000000" w:rsidRDefault="00B51E11">
      <w:pPr>
        <w:pStyle w:val="a3"/>
        <w:spacing w:before="0" w:beforeAutospacing="0" w:after="0" w:afterAutospacing="0"/>
        <w:ind w:firstLine="720"/>
        <w:divId w:val="1578202722"/>
        <w:rPr>
          <w:sz w:val="20"/>
          <w:szCs w:val="20"/>
        </w:rPr>
      </w:pPr>
      <w:r>
        <w:rPr>
          <w:sz w:val="20"/>
          <w:szCs w:val="20"/>
        </w:rPr>
        <w:t>The Company’s condensed consolidated financial information as of September 30, 2020, and the three and nine months ended September 30</w:t>
      </w:r>
      <w:r>
        <w:rPr>
          <w:sz w:val="20"/>
          <w:szCs w:val="20"/>
        </w:rPr>
        <w:t>, 2020 and 2019 is unaudited but includes all adjustments (consisting only of normal recurring adjustments), which are considered necessary for a fair presentation of the financial position at such date and of the operating results and cash flows for those</w:t>
      </w:r>
      <w:r>
        <w:rPr>
          <w:sz w:val="20"/>
          <w:szCs w:val="20"/>
        </w:rPr>
        <w:t xml:space="preserve"> periods, and have been prepared in accordance with United States (“US”) generally accepted accounting principles (“GAAP”) for interim financial information. Accordingly, they do not include all of the information and notes required by GAAP for complete fi</w:t>
      </w:r>
      <w:r>
        <w:rPr>
          <w:sz w:val="20"/>
          <w:szCs w:val="20"/>
        </w:rPr>
        <w:t xml:space="preserve">nancial statements. The accompanying unaudited condensed consolidated financial statements should be read in conjunction with the audited consolidated December 31, 2019 financial statements and notes thereto included in the Company’s Annual Report on Form </w:t>
      </w:r>
      <w:r>
        <w:rPr>
          <w:sz w:val="20"/>
          <w:szCs w:val="20"/>
        </w:rPr>
        <w:t>10-K for the year ended December 31, 2019, filed with the Securities and Exchange Commission (“SEC”) on February 27, 2020.</w:t>
      </w:r>
    </w:p>
    <w:p w:rsidR="00000000" w:rsidRDefault="00B51E11">
      <w:pPr>
        <w:pStyle w:val="a3"/>
        <w:spacing w:before="0" w:beforeAutospacing="0" w:after="0" w:afterAutospacing="0"/>
        <w:ind w:firstLine="720"/>
        <w:divId w:val="1578202722"/>
        <w:rPr>
          <w:sz w:val="20"/>
          <w:szCs w:val="20"/>
        </w:rPr>
      </w:pPr>
      <w:r>
        <w:rPr>
          <w:sz w:val="20"/>
          <w:szCs w:val="20"/>
        </w:rPr>
        <w:t>​</w:t>
      </w:r>
    </w:p>
    <w:p w:rsidR="00000000" w:rsidRDefault="00B51E11">
      <w:pPr>
        <w:pStyle w:val="a3"/>
        <w:spacing w:before="0" w:beforeAutospacing="0" w:after="0" w:afterAutospacing="0"/>
        <w:ind w:firstLine="720"/>
        <w:divId w:val="1578202722"/>
        <w:rPr>
          <w:sz w:val="20"/>
          <w:szCs w:val="20"/>
        </w:rPr>
      </w:pPr>
      <w:r>
        <w:rPr>
          <w:sz w:val="20"/>
          <w:szCs w:val="20"/>
        </w:rPr>
        <w:t>The results for the three and nine months ended September 30, 2020 are not necessarily indicative of the results to be expected for</w:t>
      </w:r>
      <w:r>
        <w:rPr>
          <w:sz w:val="20"/>
          <w:szCs w:val="20"/>
        </w:rPr>
        <w:t xml:space="preserve"> the year ending December 31, 2020, or for any other interim period or for any future period. These condensed consolidated financial statements include the accounts of the Company and its subsidiaries, and intercompany transactions and balances have been e</w:t>
      </w:r>
      <w:r>
        <w:rPr>
          <w:sz w:val="20"/>
          <w:szCs w:val="20"/>
        </w:rPr>
        <w:t>liminated.</w:t>
      </w:r>
    </w:p>
    <w:p w:rsidR="00000000" w:rsidRDefault="00B51E11">
      <w:pPr>
        <w:pStyle w:val="a3"/>
        <w:spacing w:before="0" w:beforeAutospacing="0" w:after="0" w:afterAutospacing="0"/>
        <w:ind w:firstLine="720"/>
        <w:divId w:val="1578202722"/>
        <w:rPr>
          <w:sz w:val="20"/>
          <w:szCs w:val="20"/>
        </w:rPr>
      </w:pPr>
      <w:r>
        <w:rPr>
          <w:sz w:val="20"/>
          <w:szCs w:val="20"/>
        </w:rPr>
        <w:t>​</w:t>
      </w:r>
    </w:p>
    <w:p w:rsidR="00000000" w:rsidRDefault="00B51E11">
      <w:pPr>
        <w:pStyle w:val="a3"/>
        <w:spacing w:before="0" w:beforeAutospacing="0" w:after="0" w:afterAutospacing="0"/>
        <w:divId w:val="1578202722"/>
        <w:rPr>
          <w:sz w:val="20"/>
          <w:szCs w:val="20"/>
        </w:rPr>
      </w:pPr>
      <w:r>
        <w:rPr>
          <w:b/>
          <w:bCs/>
          <w:i/>
          <w:iCs/>
          <w:sz w:val="20"/>
          <w:szCs w:val="20"/>
        </w:rPr>
        <w:t>Use of Estimates</w:t>
      </w:r>
    </w:p>
    <w:p w:rsidR="00000000" w:rsidRDefault="00B51E11">
      <w:pPr>
        <w:pStyle w:val="a3"/>
        <w:spacing w:before="0" w:beforeAutospacing="0" w:after="0" w:afterAutospacing="0"/>
        <w:divId w:val="1578202722"/>
        <w:rPr>
          <w:sz w:val="20"/>
          <w:szCs w:val="20"/>
        </w:rPr>
      </w:pPr>
      <w:r>
        <w:rPr>
          <w:sz w:val="10"/>
          <w:szCs w:val="10"/>
        </w:rPr>
        <w:t>​</w:t>
      </w:r>
    </w:p>
    <w:p w:rsidR="00000000" w:rsidRDefault="00B51E11">
      <w:pPr>
        <w:pStyle w:val="a3"/>
        <w:spacing w:before="0" w:beforeAutospacing="0" w:after="0" w:afterAutospacing="0"/>
        <w:ind w:firstLine="720"/>
        <w:divId w:val="1578202722"/>
        <w:rPr>
          <w:sz w:val="20"/>
          <w:szCs w:val="20"/>
        </w:rPr>
      </w:pPr>
      <w:r>
        <w:rPr>
          <w:sz w:val="20"/>
          <w:szCs w:val="20"/>
        </w:rPr>
        <w:t>The preparation of financial statements in conformity with GAAP requires management to make estimates and assumptions that affect the reported amounts of assets, liabilities, revenues and expenses, and related disclosures in</w:t>
      </w:r>
      <w:r>
        <w:rPr>
          <w:sz w:val="20"/>
          <w:szCs w:val="20"/>
        </w:rPr>
        <w:t xml:space="preserve"> the condensed consolidated financial statements and accompanying notes. Management bases its estimates on historical experience and on assumptions believed to be reasonable under the circumstances. Actual results could differ materially from those estimat</w:t>
      </w:r>
      <w:r>
        <w:rPr>
          <w:sz w:val="20"/>
          <w:szCs w:val="20"/>
        </w:rPr>
        <w:t>es.</w:t>
      </w:r>
    </w:p>
    <w:p w:rsidR="00000000" w:rsidRDefault="00B51E11">
      <w:pPr>
        <w:pStyle w:val="a3"/>
        <w:spacing w:before="0" w:beforeAutospacing="0" w:after="0" w:afterAutospacing="0"/>
        <w:divId w:val="1578202722"/>
        <w:rPr>
          <w:sz w:val="20"/>
          <w:szCs w:val="20"/>
        </w:rPr>
      </w:pPr>
      <w:r>
        <w:rPr>
          <w:b/>
          <w:bCs/>
          <w:color w:val="FF0000"/>
          <w:sz w:val="20"/>
          <w:szCs w:val="20"/>
        </w:rPr>
        <w:t>​</w:t>
      </w:r>
    </w:p>
    <w:p w:rsidR="00000000" w:rsidRDefault="00B51E11">
      <w:pPr>
        <w:pStyle w:val="a3"/>
        <w:spacing w:before="0" w:beforeAutospacing="0" w:after="0" w:afterAutospacing="0"/>
        <w:divId w:val="1578202722"/>
        <w:rPr>
          <w:sz w:val="20"/>
          <w:szCs w:val="20"/>
        </w:rPr>
      </w:pPr>
      <w:r>
        <w:rPr>
          <w:sz w:val="20"/>
          <w:szCs w:val="20"/>
        </w:rPr>
        <w:t>Furthermore, the estimates used in the preparation of the Company’s condensed consolidated financial statements may change due to the uncertainty and disruption in the global economy and financial markets related to the novel coronavirus (“COVID-19”)</w:t>
      </w:r>
      <w:r>
        <w:rPr>
          <w:sz w:val="20"/>
          <w:szCs w:val="20"/>
        </w:rPr>
        <w:t xml:space="preserve"> pandemic. The full extent to which the COVID-19 pandemic will directly or indirectly impact the Company’s business, results of operations and financial condition, including revenue, expenses, clinical trials, and research and development costs, will depen</w:t>
      </w:r>
      <w:r>
        <w:rPr>
          <w:sz w:val="20"/>
          <w:szCs w:val="20"/>
        </w:rPr>
        <w:t>d on future developments that are highly uncertain and may be impacted by the emergence of new information concerning the COVID-19 pandemic and the actions taken to contain or treat the disease.</w:t>
      </w:r>
    </w:p>
    <w:p w:rsidR="00000000" w:rsidRDefault="00B51E11">
      <w:pPr>
        <w:pStyle w:val="a3"/>
        <w:spacing w:before="0" w:beforeAutospacing="0" w:after="0" w:afterAutospacing="0"/>
        <w:divId w:val="1578202722"/>
        <w:rPr>
          <w:sz w:val="20"/>
          <w:szCs w:val="20"/>
        </w:rPr>
      </w:pPr>
      <w:r>
        <w:rPr>
          <w:sz w:val="20"/>
          <w:szCs w:val="20"/>
        </w:rPr>
        <w:t>​</w:t>
      </w:r>
    </w:p>
    <w:p w:rsidR="00000000" w:rsidRDefault="00B51E11">
      <w:pPr>
        <w:pStyle w:val="a3"/>
        <w:spacing w:before="0" w:beforeAutospacing="0" w:after="0" w:afterAutospacing="0"/>
        <w:divId w:val="1578202722"/>
        <w:rPr>
          <w:sz w:val="20"/>
          <w:szCs w:val="20"/>
        </w:rPr>
      </w:pPr>
      <w:r>
        <w:rPr>
          <w:b/>
          <w:bCs/>
          <w:i/>
          <w:iCs/>
          <w:sz w:val="20"/>
          <w:szCs w:val="20"/>
        </w:rPr>
        <w:t>Significant Accounting Policies</w:t>
      </w:r>
    </w:p>
    <w:p w:rsidR="00000000" w:rsidRDefault="00B51E11">
      <w:pPr>
        <w:pStyle w:val="a3"/>
        <w:spacing w:before="0" w:beforeAutospacing="0" w:after="0" w:afterAutospacing="0"/>
        <w:divId w:val="1578202722"/>
        <w:rPr>
          <w:sz w:val="20"/>
          <w:szCs w:val="20"/>
        </w:rPr>
      </w:pPr>
      <w:r>
        <w:rPr>
          <w:sz w:val="10"/>
          <w:szCs w:val="10"/>
        </w:rPr>
        <w:t>​</w:t>
      </w:r>
    </w:p>
    <w:p w:rsidR="00000000" w:rsidRDefault="00B51E11">
      <w:pPr>
        <w:pStyle w:val="a3"/>
        <w:spacing w:before="0" w:beforeAutospacing="0" w:after="0" w:afterAutospacing="0"/>
        <w:ind w:firstLine="720"/>
        <w:divId w:val="1578202722"/>
        <w:rPr>
          <w:sz w:val="20"/>
          <w:szCs w:val="20"/>
        </w:rPr>
      </w:pPr>
      <w:r>
        <w:rPr>
          <w:sz w:val="20"/>
          <w:szCs w:val="20"/>
        </w:rPr>
        <w:t xml:space="preserve">Other than the recently adopted accounting pronouncements below, there have been no material revisions in the Company’s significant accounting policies described in Note 1 to the consolidated financial statements included </w:t>
      </w:r>
      <w:r>
        <w:rPr>
          <w:sz w:val="20"/>
          <w:szCs w:val="20"/>
        </w:rPr>
        <w:t>in its Annual Report on Form 10-K for the year ended December 31, 2019.</w:t>
      </w:r>
    </w:p>
    <w:p w:rsidR="00000000" w:rsidRDefault="00B51E11">
      <w:pPr>
        <w:pStyle w:val="a3"/>
        <w:spacing w:before="0" w:beforeAutospacing="0" w:after="0" w:afterAutospacing="0"/>
        <w:divId w:val="1578202722"/>
        <w:rPr>
          <w:sz w:val="20"/>
          <w:szCs w:val="20"/>
        </w:rPr>
      </w:pPr>
      <w:r>
        <w:rPr>
          <w:sz w:val="20"/>
          <w:szCs w:val="20"/>
        </w:rPr>
        <w:t>​</w:t>
      </w:r>
    </w:p>
    <w:p w:rsidR="00000000" w:rsidRDefault="00B51E11">
      <w:pPr>
        <w:pStyle w:val="a3"/>
        <w:spacing w:before="0" w:beforeAutospacing="0" w:after="0" w:afterAutospacing="0"/>
        <w:divId w:val="1578202722"/>
        <w:rPr>
          <w:sz w:val="20"/>
          <w:szCs w:val="20"/>
        </w:rPr>
      </w:pPr>
      <w:r>
        <w:rPr>
          <w:b/>
          <w:bCs/>
          <w:i/>
          <w:iCs/>
          <w:sz w:val="20"/>
          <w:szCs w:val="20"/>
        </w:rPr>
        <w:t>Recently Adopted Accounting Pronouncements</w:t>
      </w:r>
    </w:p>
    <w:p w:rsidR="00000000" w:rsidRDefault="00B51E11">
      <w:pPr>
        <w:pStyle w:val="a3"/>
        <w:spacing w:before="0" w:beforeAutospacing="0" w:after="0" w:afterAutospacing="0"/>
        <w:divId w:val="1578202722"/>
        <w:rPr>
          <w:sz w:val="20"/>
          <w:szCs w:val="20"/>
        </w:rPr>
      </w:pPr>
      <w:r>
        <w:rPr>
          <w:b/>
          <w:bCs/>
          <w:i/>
          <w:iCs/>
          <w:sz w:val="10"/>
          <w:szCs w:val="10"/>
        </w:rPr>
        <w:t>​</w:t>
      </w:r>
    </w:p>
    <w:p w:rsidR="00000000" w:rsidRDefault="00B51E11">
      <w:pPr>
        <w:pStyle w:val="a3"/>
        <w:spacing w:before="0" w:beforeAutospacing="0" w:after="0" w:afterAutospacing="0"/>
        <w:ind w:firstLine="720"/>
        <w:divId w:val="1578202722"/>
        <w:rPr>
          <w:sz w:val="20"/>
          <w:szCs w:val="20"/>
        </w:rPr>
      </w:pPr>
      <w:r>
        <w:rPr>
          <w:sz w:val="20"/>
          <w:szCs w:val="20"/>
          <w:shd w:val="clear" w:color="auto" w:fill="FFFFFF"/>
        </w:rPr>
        <w:t>In June 2016, the Financial Accounting Standards Board (“FASB”) issued ASU 2016-13, </w:t>
      </w:r>
      <w:r>
        <w:rPr>
          <w:i/>
          <w:iCs/>
          <w:sz w:val="20"/>
          <w:szCs w:val="20"/>
          <w:shd w:val="clear" w:color="auto" w:fill="FFFFFF"/>
        </w:rPr>
        <w:t>Financial Instruments - Credit Losses (Topic 326): Me</w:t>
      </w:r>
      <w:r>
        <w:rPr>
          <w:i/>
          <w:iCs/>
          <w:sz w:val="20"/>
          <w:szCs w:val="20"/>
          <w:shd w:val="clear" w:color="auto" w:fill="FFFFFF"/>
        </w:rPr>
        <w:t>asurement of Credit Losses on Financial Instruments</w:t>
      </w:r>
      <w:r>
        <w:rPr>
          <w:sz w:val="20"/>
          <w:szCs w:val="20"/>
          <w:shd w:val="clear" w:color="auto" w:fill="FFFFFF"/>
        </w:rPr>
        <w:t> (“ASU 2016-13"). This guidance requires that financial assets measured at amortized cost be presented at the net amount expected to be collected. The measurement of expected credit losses is based on hist</w:t>
      </w:r>
      <w:r>
        <w:rPr>
          <w:sz w:val="20"/>
          <w:szCs w:val="20"/>
          <w:shd w:val="clear" w:color="auto" w:fill="FFFFFF"/>
        </w:rPr>
        <w:t xml:space="preserve">orical experience, current conditions, and reasonable and supportable </w:t>
      </w:r>
    </w:p>
    <w:p w:rsidR="00000000" w:rsidRDefault="00B51E11">
      <w:pPr>
        <w:pStyle w:val="a3"/>
        <w:spacing w:before="360" w:beforeAutospacing="0" w:after="0" w:afterAutospacing="0"/>
        <w:jc w:val="center"/>
        <w:divId w:val="687367572"/>
        <w:rPr>
          <w:sz w:val="20"/>
          <w:szCs w:val="20"/>
        </w:rPr>
      </w:pPr>
      <w:r>
        <w:rPr>
          <w:sz w:val="20"/>
          <w:szCs w:val="20"/>
        </w:rPr>
        <w:t>7</w:t>
      </w:r>
    </w:p>
    <w:p w:rsidR="00000000" w:rsidRDefault="00B51E11">
      <w:pPr>
        <w:pStyle w:val="a3"/>
        <w:spacing w:before="0" w:beforeAutospacing="0" w:after="600" w:afterAutospacing="0"/>
        <w:divId w:val="837118525"/>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212419113"/>
        <w:rPr>
          <w:sz w:val="20"/>
          <w:szCs w:val="20"/>
        </w:rPr>
      </w:pPr>
      <w:r>
        <w:rPr>
          <w:sz w:val="20"/>
          <w:szCs w:val="20"/>
          <w:shd w:val="clear" w:color="auto" w:fill="FFFFFF"/>
        </w:rPr>
        <w:t xml:space="preserve">forecasts that affect collectability. </w:t>
      </w:r>
      <w:r>
        <w:rPr>
          <w:sz w:val="20"/>
          <w:szCs w:val="20"/>
        </w:rPr>
        <w:t>ASU 2016-13 also eliminates the concept of “other-than-temporary” impairment when evaluating availabl</w:t>
      </w:r>
      <w:r>
        <w:rPr>
          <w:sz w:val="20"/>
          <w:szCs w:val="20"/>
        </w:rPr>
        <w:t>e-for-sale debt securities and instead focuses on determining whether any impairment is a result of a credit loss or other factors. An entity will recognize an allowance for credit losses on available-for-sale debt securities rather than an other-than-temp</w:t>
      </w:r>
      <w:r>
        <w:rPr>
          <w:sz w:val="20"/>
          <w:szCs w:val="20"/>
        </w:rPr>
        <w:t xml:space="preserve">orary impairment that reduces the cost basis of the investment. </w:t>
      </w:r>
      <w:r>
        <w:rPr>
          <w:sz w:val="20"/>
          <w:szCs w:val="20"/>
          <w:shd w:val="clear" w:color="auto" w:fill="FFFFFF"/>
        </w:rPr>
        <w:t xml:space="preserve">ASU 2016-13 became effective on January 1, 2020, and the adoption did not have a material impact on the Company’s condensed consolidated financial statements and related disclosures primarily </w:t>
      </w:r>
      <w:r>
        <w:rPr>
          <w:sz w:val="20"/>
          <w:szCs w:val="20"/>
          <w:shd w:val="clear" w:color="auto" w:fill="FFFFFF"/>
        </w:rPr>
        <w:t>due to the high credit quality and short-term maturities of the Company’s marketable securities.</w:t>
      </w:r>
    </w:p>
    <w:p w:rsidR="00000000" w:rsidRDefault="00B51E11">
      <w:pPr>
        <w:pStyle w:val="a3"/>
        <w:spacing w:before="0" w:beforeAutospacing="0" w:after="0" w:afterAutospacing="0"/>
        <w:ind w:firstLine="720"/>
        <w:divId w:val="1212419113"/>
        <w:rPr>
          <w:sz w:val="20"/>
          <w:szCs w:val="20"/>
        </w:rPr>
      </w:pPr>
      <w:r>
        <w:rPr>
          <w:sz w:val="20"/>
          <w:szCs w:val="20"/>
          <w:shd w:val="clear" w:color="auto" w:fill="FFFFFF"/>
        </w:rPr>
        <w:t>​</w:t>
      </w:r>
    </w:p>
    <w:p w:rsidR="00000000" w:rsidRDefault="00B51E11">
      <w:pPr>
        <w:pStyle w:val="a3"/>
        <w:spacing w:before="0" w:beforeAutospacing="0" w:after="0" w:afterAutospacing="0"/>
        <w:ind w:firstLine="720"/>
        <w:divId w:val="1212419113"/>
        <w:rPr>
          <w:sz w:val="20"/>
          <w:szCs w:val="20"/>
        </w:rPr>
      </w:pPr>
      <w:r>
        <w:rPr>
          <w:sz w:val="20"/>
          <w:szCs w:val="20"/>
          <w:shd w:val="clear" w:color="auto" w:fill="FFFFFF"/>
        </w:rPr>
        <w:t>In August 2018, the FASB issued ASU 2018-15, </w:t>
      </w:r>
      <w:r>
        <w:rPr>
          <w:i/>
          <w:iCs/>
          <w:sz w:val="20"/>
          <w:szCs w:val="20"/>
          <w:shd w:val="clear" w:color="auto" w:fill="FFFFFF"/>
        </w:rPr>
        <w:t>Intangibles-Goodwill and Other-Internal-Use Software (Subtopic 350-40): Customer's Accounting for Implementation</w:t>
      </w:r>
      <w:r>
        <w:rPr>
          <w:i/>
          <w:iCs/>
          <w:sz w:val="20"/>
          <w:szCs w:val="20"/>
          <w:shd w:val="clear" w:color="auto" w:fill="FFFFFF"/>
        </w:rPr>
        <w:t xml:space="preserve"> Costs Incurred in a Cloud Computing Arrangement That Is a Service Contract</w:t>
      </w:r>
      <w:r>
        <w:rPr>
          <w:sz w:val="20"/>
          <w:szCs w:val="20"/>
          <w:shd w:val="clear" w:color="auto" w:fill="FFFFFF"/>
        </w:rPr>
        <w:t xml:space="preserve"> (“ASU 2018-15”). ASU 2018-15 aligns the requirements for capitalizing implementation costs incurred in a hosting arrangement that is a service contract with the requirements for ca</w:t>
      </w:r>
      <w:r>
        <w:rPr>
          <w:sz w:val="20"/>
          <w:szCs w:val="20"/>
          <w:shd w:val="clear" w:color="auto" w:fill="FFFFFF"/>
        </w:rPr>
        <w:t>pitalizing implementation costs incurred to develop or obtain internal-use software. Accordingly, ASU 2018-15 requires a customer in a hosting arrangement that is a service contract to follow the guidance in Subtopic 350-40 to determine which implementatio</w:t>
      </w:r>
      <w:r>
        <w:rPr>
          <w:sz w:val="20"/>
          <w:szCs w:val="20"/>
          <w:shd w:val="clear" w:color="auto" w:fill="FFFFFF"/>
        </w:rPr>
        <w:t xml:space="preserve">n costs to capitalize as an asset related to the service contract and which costs to expense. ASU 2018-15 became effective on January 1, 2020, and the adoption did not have a material impact on the Company’s condensed consolidated financial statements and </w:t>
      </w:r>
      <w:r>
        <w:rPr>
          <w:sz w:val="20"/>
          <w:szCs w:val="20"/>
          <w:shd w:val="clear" w:color="auto" w:fill="FFFFFF"/>
        </w:rPr>
        <w:t>related disclosures. However, the adoption of ASU 2018-15 may result in an increase in capitalized assets related to qualifying cloud computing arrangement implementation costs in the future.</w:t>
      </w:r>
    </w:p>
    <w:p w:rsidR="00000000" w:rsidRDefault="00B51E11">
      <w:pPr>
        <w:pStyle w:val="a3"/>
        <w:spacing w:before="0" w:beforeAutospacing="0" w:after="0" w:afterAutospacing="0"/>
        <w:ind w:firstLine="720"/>
        <w:divId w:val="1212419113"/>
        <w:rPr>
          <w:sz w:val="20"/>
          <w:szCs w:val="20"/>
        </w:rPr>
      </w:pPr>
      <w:r>
        <w:rPr>
          <w:color w:val="FF0000"/>
          <w:sz w:val="20"/>
          <w:szCs w:val="20"/>
          <w:shd w:val="clear" w:color="auto" w:fill="FFFFFF"/>
        </w:rPr>
        <w:t>​</w:t>
      </w:r>
    </w:p>
    <w:p w:rsidR="00000000" w:rsidRDefault="00B51E11">
      <w:pPr>
        <w:pStyle w:val="a3"/>
        <w:spacing w:before="0" w:beforeAutospacing="0" w:after="0" w:afterAutospacing="0"/>
        <w:ind w:firstLine="720"/>
        <w:divId w:val="1212419113"/>
        <w:rPr>
          <w:sz w:val="20"/>
          <w:szCs w:val="20"/>
        </w:rPr>
      </w:pPr>
      <w:r>
        <w:rPr>
          <w:sz w:val="20"/>
          <w:szCs w:val="20"/>
          <w:shd w:val="clear" w:color="auto" w:fill="FFFFFF"/>
        </w:rPr>
        <w:t xml:space="preserve">In November 2018, the FASB issued ASU 2018-18, </w:t>
      </w:r>
      <w:r>
        <w:rPr>
          <w:i/>
          <w:iCs/>
          <w:sz w:val="20"/>
          <w:szCs w:val="20"/>
          <w:shd w:val="clear" w:color="auto" w:fill="FFFFFF"/>
        </w:rPr>
        <w:t>Collaboration A</w:t>
      </w:r>
      <w:r>
        <w:rPr>
          <w:i/>
          <w:iCs/>
          <w:sz w:val="20"/>
          <w:szCs w:val="20"/>
          <w:shd w:val="clear" w:color="auto" w:fill="FFFFFF"/>
        </w:rPr>
        <w:t xml:space="preserve">rrangements: Clarifying the Interaction between Topic 808 and Topic 606 </w:t>
      </w:r>
      <w:r>
        <w:rPr>
          <w:sz w:val="20"/>
          <w:szCs w:val="20"/>
          <w:shd w:val="clear" w:color="auto" w:fill="FFFFFF"/>
        </w:rPr>
        <w:t>(“ASU 2018-18”). The issuance of Topic 606 raised questions about the interaction between the guidance on collaborative arrangements and revenue recognition. </w:t>
      </w:r>
      <w:r>
        <w:rPr>
          <w:sz w:val="20"/>
          <w:szCs w:val="20"/>
        </w:rPr>
        <w:t>ASU 2018-18 </w:t>
      </w:r>
      <w:r>
        <w:rPr>
          <w:sz w:val="20"/>
          <w:szCs w:val="20"/>
          <w:shd w:val="clear" w:color="auto" w:fill="FFFFFF"/>
        </w:rPr>
        <w:t>addresses this</w:t>
      </w:r>
      <w:r>
        <w:rPr>
          <w:sz w:val="20"/>
          <w:szCs w:val="20"/>
          <w:shd w:val="clear" w:color="auto" w:fill="FFFFFF"/>
        </w:rPr>
        <w:t xml:space="preserve"> uncertainty by: (i) clarifying that certain transactions between collaborative arrangement participants should be accounted for as revenue under Topic 606 when the collaboration arrangement participant is a customer; (ii) adding unit of account guidance t</w:t>
      </w:r>
      <w:r>
        <w:rPr>
          <w:sz w:val="20"/>
          <w:szCs w:val="20"/>
          <w:shd w:val="clear" w:color="auto" w:fill="FFFFFF"/>
        </w:rPr>
        <w:t xml:space="preserve">o assess whether the collaboration arrangement or a part of the arrangement is with a customer; and (iii) precluding a company from presenting transactions with collaboration arrangement participants that are not directly related to sales to third parties </w:t>
      </w:r>
      <w:r>
        <w:rPr>
          <w:sz w:val="20"/>
          <w:szCs w:val="20"/>
          <w:shd w:val="clear" w:color="auto" w:fill="FFFFFF"/>
        </w:rPr>
        <w:t>together with revenue from contracts with customers. ASU 2018-18 became effective on January 1, 2020, and the Company elected to adopt ASU 2018-18, retrospectively, only for contracts that were not completed as of January 1, 2020. The adoption of ASU 2018-</w:t>
      </w:r>
      <w:r>
        <w:rPr>
          <w:sz w:val="20"/>
          <w:szCs w:val="20"/>
          <w:shd w:val="clear" w:color="auto" w:fill="FFFFFF"/>
        </w:rPr>
        <w:t>18 did not have a material impact on the Company’s condensed consolidated financial statements and related disclosures.</w:t>
      </w:r>
    </w:p>
    <w:p w:rsidR="00000000" w:rsidRDefault="00B51E11">
      <w:pPr>
        <w:pStyle w:val="a3"/>
        <w:spacing w:before="0" w:beforeAutospacing="0" w:after="0" w:afterAutospacing="0"/>
        <w:divId w:val="1212419113"/>
        <w:rPr>
          <w:sz w:val="20"/>
          <w:szCs w:val="20"/>
        </w:rPr>
      </w:pPr>
      <w:r>
        <w:rPr>
          <w:sz w:val="20"/>
          <w:szCs w:val="20"/>
        </w:rPr>
        <w:t>​</w:t>
      </w:r>
    </w:p>
    <w:p w:rsidR="00000000" w:rsidRDefault="00B51E11">
      <w:pPr>
        <w:pStyle w:val="a3"/>
        <w:spacing w:before="0" w:beforeAutospacing="0" w:after="0" w:afterAutospacing="0"/>
        <w:divId w:val="1212419113"/>
        <w:rPr>
          <w:sz w:val="20"/>
          <w:szCs w:val="20"/>
        </w:rPr>
      </w:pPr>
      <w:r>
        <w:rPr>
          <w:b/>
          <w:bCs/>
          <w:i/>
          <w:iCs/>
          <w:sz w:val="20"/>
          <w:szCs w:val="20"/>
        </w:rPr>
        <w:t xml:space="preserve">Recently Issued Accounting Pronouncements Not Yet Adopted </w:t>
      </w:r>
    </w:p>
    <w:p w:rsidR="00000000" w:rsidRDefault="00B51E11">
      <w:pPr>
        <w:pStyle w:val="a3"/>
        <w:spacing w:before="0" w:beforeAutospacing="0" w:after="0" w:afterAutospacing="0"/>
        <w:divId w:val="1212419113"/>
        <w:rPr>
          <w:sz w:val="20"/>
          <w:szCs w:val="20"/>
        </w:rPr>
      </w:pPr>
      <w:r>
        <w:rPr>
          <w:b/>
          <w:bCs/>
          <w:i/>
          <w:iCs/>
          <w:sz w:val="10"/>
          <w:szCs w:val="10"/>
        </w:rPr>
        <w:t>​</w:t>
      </w:r>
    </w:p>
    <w:p w:rsidR="00000000" w:rsidRDefault="00B51E11">
      <w:pPr>
        <w:pStyle w:val="a3"/>
        <w:spacing w:before="0" w:beforeAutospacing="0" w:after="0" w:afterAutospacing="0"/>
        <w:ind w:firstLine="720"/>
        <w:divId w:val="1212419113"/>
        <w:rPr>
          <w:sz w:val="20"/>
          <w:szCs w:val="20"/>
        </w:rPr>
      </w:pPr>
      <w:r>
        <w:rPr>
          <w:sz w:val="20"/>
          <w:szCs w:val="20"/>
        </w:rPr>
        <w:t xml:space="preserve">In December 2019, the FASB issued ASU 2019-12, </w:t>
      </w:r>
      <w:r>
        <w:rPr>
          <w:i/>
          <w:iCs/>
          <w:sz w:val="20"/>
          <w:szCs w:val="20"/>
        </w:rPr>
        <w:t xml:space="preserve">Income Taxes (Topic 740): </w:t>
      </w:r>
      <w:r>
        <w:rPr>
          <w:i/>
          <w:iCs/>
          <w:sz w:val="20"/>
          <w:szCs w:val="20"/>
        </w:rPr>
        <w:t>Simplifying the Accounting for Income Taxes</w:t>
      </w:r>
      <w:r>
        <w:rPr>
          <w:sz w:val="20"/>
          <w:szCs w:val="20"/>
        </w:rPr>
        <w:t xml:space="preserve"> (“ASU 2019-12”) as part of its overall simplification initiative to reduce costs and complexity of applying accounting standards. ASU 2019-12 removes certain exceptions from Topic 740, </w:t>
      </w:r>
      <w:r>
        <w:rPr>
          <w:i/>
          <w:iCs/>
          <w:sz w:val="20"/>
          <w:szCs w:val="20"/>
        </w:rPr>
        <w:t>Income Taxes</w:t>
      </w:r>
      <w:r>
        <w:rPr>
          <w:sz w:val="20"/>
          <w:szCs w:val="20"/>
        </w:rPr>
        <w:t>, including (i)</w:t>
      </w:r>
      <w:r>
        <w:rPr>
          <w:sz w:val="20"/>
          <w:szCs w:val="20"/>
        </w:rPr>
        <w:t xml:space="preserve"> the exception to the incremental approach for intra period tax allocation when there is a loss from continuing operations and income or a gain from other items such as discontinued operations or other comprehensive income; (ii) the exception to accounting</w:t>
      </w:r>
      <w:r>
        <w:rPr>
          <w:sz w:val="20"/>
          <w:szCs w:val="20"/>
        </w:rPr>
        <w:t xml:space="preserve"> for outside basis differences of equity method investments and foreign subsidiaries; and (iii) the exception to limit tax benefit recognized in interim periods in cases when the year-to-date losses exceed anticipated losses. ASU 2019-12 also simplifies GA</w:t>
      </w:r>
      <w:r>
        <w:rPr>
          <w:sz w:val="20"/>
          <w:szCs w:val="20"/>
        </w:rPr>
        <w:t>AP in several other areas of Topic 740 such as (i) franchise taxes and other taxes partially based on income; (ii) step-up in tax basis goodwill considered part of a business combination in which the book goodwill was originally recognized or should be con</w:t>
      </w:r>
      <w:r>
        <w:rPr>
          <w:sz w:val="20"/>
          <w:szCs w:val="20"/>
        </w:rPr>
        <w:t>sidered a separate transaction; (iii) separate financial statements of entities not subject to tax; and (iv) interim recognition of enactment of tax laws or rate changes. ASU 2019-12 is effective for annual reporting periods and interim periods within thos</w:t>
      </w:r>
      <w:r>
        <w:rPr>
          <w:sz w:val="20"/>
          <w:szCs w:val="20"/>
        </w:rPr>
        <w:t xml:space="preserve">e years beginning after December 15, 2020, and early adoption is permitted. The Company is currently evaluating the impact of adopting ASU 2019-12 on its condensed consolidated financial statements and related disclosures. </w:t>
      </w:r>
    </w:p>
    <w:p w:rsidR="00000000" w:rsidRDefault="00B51E11">
      <w:pPr>
        <w:pStyle w:val="a3"/>
        <w:spacing w:before="0" w:beforeAutospacing="0" w:after="0" w:afterAutospacing="0"/>
        <w:ind w:firstLine="720"/>
        <w:divId w:val="1212419113"/>
        <w:rPr>
          <w:sz w:val="20"/>
          <w:szCs w:val="20"/>
        </w:rPr>
      </w:pPr>
      <w:r>
        <w:rPr>
          <w:sz w:val="20"/>
          <w:szCs w:val="20"/>
        </w:rPr>
        <w:t>​</w:t>
      </w:r>
    </w:p>
    <w:p w:rsidR="00000000" w:rsidRDefault="00B51E11">
      <w:pPr>
        <w:pStyle w:val="a3"/>
        <w:spacing w:before="0" w:beforeAutospacing="0" w:after="0" w:afterAutospacing="0"/>
        <w:ind w:firstLine="720"/>
        <w:divId w:val="1212419113"/>
        <w:rPr>
          <w:sz w:val="20"/>
          <w:szCs w:val="20"/>
        </w:rPr>
      </w:pPr>
      <w:r>
        <w:rPr>
          <w:sz w:val="20"/>
          <w:szCs w:val="20"/>
        </w:rPr>
        <w:t>In August 2020, the FASB issue</w:t>
      </w:r>
      <w:r>
        <w:rPr>
          <w:sz w:val="20"/>
          <w:szCs w:val="20"/>
        </w:rPr>
        <w:t xml:space="preserve">d ASU 2020-06, </w:t>
      </w:r>
      <w:r>
        <w:rPr>
          <w:i/>
          <w:iCs/>
          <w:sz w:val="20"/>
          <w:szCs w:val="20"/>
        </w:rPr>
        <w:t>Debt - Debt with Conversion and other Options (Subtopic 470-20) and Derivatives and Hedging: Contracts in Entity’s Own Equity (Subtopic 815-10)</w:t>
      </w:r>
      <w:r>
        <w:rPr>
          <w:sz w:val="20"/>
          <w:szCs w:val="20"/>
        </w:rPr>
        <w:t xml:space="preserve"> (“ASU 2020-06”). ASU 2020-06</w:t>
      </w:r>
      <w:r>
        <w:rPr>
          <w:color w:val="333333"/>
          <w:sz w:val="20"/>
          <w:szCs w:val="20"/>
          <w:shd w:val="clear" w:color="auto" w:fill="FFFFFF"/>
        </w:rPr>
        <w:t> </w:t>
      </w:r>
      <w:r>
        <w:rPr>
          <w:color w:val="333333"/>
          <w:sz w:val="20"/>
          <w:szCs w:val="20"/>
          <w:shd w:val="clear" w:color="auto" w:fill="FFFFFF"/>
        </w:rPr>
        <w:t>simplifies the complexity associated with applying US GAAP for certain financial instruments with characteristics of liabilities and equity</w:t>
      </w:r>
      <w:r>
        <w:rPr>
          <w:sz w:val="20"/>
          <w:szCs w:val="20"/>
        </w:rPr>
        <w:t xml:space="preserve"> by </w:t>
      </w:r>
      <w:r>
        <w:rPr>
          <w:color w:val="333333"/>
          <w:sz w:val="20"/>
          <w:szCs w:val="20"/>
          <w:shd w:val="clear" w:color="auto" w:fill="FFFFFF"/>
        </w:rPr>
        <w:t>removing certain accounting models which separate the embedded conversion features from the host contract for con</w:t>
      </w:r>
      <w:r>
        <w:rPr>
          <w:color w:val="333333"/>
          <w:sz w:val="20"/>
          <w:szCs w:val="20"/>
          <w:shd w:val="clear" w:color="auto" w:fill="FFFFFF"/>
        </w:rPr>
        <w:t xml:space="preserve">vertible instruments. The standard also </w:t>
      </w:r>
      <w:r>
        <w:rPr>
          <w:sz w:val="20"/>
          <w:szCs w:val="20"/>
          <w:shd w:val="clear" w:color="auto" w:fill="FFFFFF"/>
        </w:rPr>
        <w:t>enhances the consistency of earnings-per-share calculations by requiring that an entity use the if-converted method and that the effect of potential share settlement be included in diluted earnings-per-share calculat</w:t>
      </w:r>
      <w:r>
        <w:rPr>
          <w:sz w:val="20"/>
          <w:szCs w:val="20"/>
          <w:shd w:val="clear" w:color="auto" w:fill="FFFFFF"/>
        </w:rPr>
        <w:t>ions</w:t>
      </w:r>
      <w:r>
        <w:rPr>
          <w:sz w:val="20"/>
          <w:szCs w:val="20"/>
          <w:shd w:val="clear" w:color="auto" w:fill="FFFFFF"/>
        </w:rPr>
        <w:t>.</w:t>
      </w:r>
      <w:r>
        <w:rPr>
          <w:sz w:val="20"/>
          <w:szCs w:val="20"/>
        </w:rPr>
        <w:t xml:space="preserve"> ASU 2020-06 is effective for fiscal years and interim periods within those fiscal years beginning after December 15, 2021, and early adoption is permitted. The Company is currently evaluating the impact of adopting ASU 2020-06 on its condensed consol</w:t>
      </w:r>
      <w:r>
        <w:rPr>
          <w:sz w:val="20"/>
          <w:szCs w:val="20"/>
        </w:rPr>
        <w:t>idated financial statements and related disclosures.</w:t>
      </w:r>
      <w:r>
        <w:rPr>
          <w:sz w:val="20"/>
          <w:szCs w:val="20"/>
        </w:rPr>
        <w:t xml:space="preserve"> </w:t>
      </w:r>
    </w:p>
    <w:p w:rsidR="00000000" w:rsidRDefault="00B51E11">
      <w:pPr>
        <w:pStyle w:val="a3"/>
        <w:spacing w:before="360" w:beforeAutospacing="0" w:after="0" w:afterAutospacing="0"/>
        <w:jc w:val="center"/>
        <w:divId w:val="142088775"/>
        <w:rPr>
          <w:sz w:val="20"/>
          <w:szCs w:val="20"/>
        </w:rPr>
      </w:pPr>
      <w:r>
        <w:rPr>
          <w:sz w:val="20"/>
          <w:szCs w:val="20"/>
        </w:rPr>
        <w:t>8</w:t>
      </w:r>
    </w:p>
    <w:p w:rsidR="00000000" w:rsidRDefault="00B51E11">
      <w:pPr>
        <w:pStyle w:val="a3"/>
        <w:spacing w:before="0" w:beforeAutospacing="0" w:after="600" w:afterAutospacing="0"/>
        <w:divId w:val="990134327"/>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595863553"/>
        <w:rPr>
          <w:sz w:val="20"/>
          <w:szCs w:val="20"/>
        </w:rPr>
      </w:pPr>
      <w:r>
        <w:rPr>
          <w:sz w:val="20"/>
          <w:szCs w:val="20"/>
        </w:rPr>
        <w:t>​</w:t>
      </w:r>
    </w:p>
    <w:p w:rsidR="00000000" w:rsidRDefault="00B51E11">
      <w:pPr>
        <w:pStyle w:val="a3"/>
        <w:spacing w:before="0" w:beforeAutospacing="0" w:after="0" w:afterAutospacing="0"/>
        <w:ind w:firstLine="720"/>
        <w:jc w:val="both"/>
        <w:divId w:val="595863553"/>
        <w:rPr>
          <w:sz w:val="20"/>
          <w:szCs w:val="20"/>
        </w:rPr>
      </w:pPr>
      <w:r>
        <w:rPr>
          <w:sz w:val="20"/>
          <w:szCs w:val="20"/>
        </w:rPr>
        <w:t>The Company has evaluated other recently issu</w:t>
      </w:r>
      <w:r>
        <w:rPr>
          <w:sz w:val="20"/>
          <w:szCs w:val="20"/>
        </w:rPr>
        <w:t>ed accounting pronouncements and does not currently believe that any of these pronouncements will have a material impact on its condensed consolidated financial statements and related disclosures.</w:t>
      </w:r>
    </w:p>
    <w:p w:rsidR="00000000" w:rsidRDefault="00B51E11">
      <w:pPr>
        <w:pStyle w:val="a3"/>
        <w:spacing w:before="0" w:beforeAutospacing="0" w:after="0" w:afterAutospacing="0"/>
        <w:ind w:firstLine="720"/>
        <w:jc w:val="both"/>
        <w:divId w:val="595863553"/>
        <w:rPr>
          <w:sz w:val="20"/>
          <w:szCs w:val="20"/>
        </w:rPr>
      </w:pPr>
      <w:r>
        <w:rPr>
          <w:sz w:val="20"/>
          <w:szCs w:val="20"/>
        </w:rPr>
        <w:t>​</w:t>
      </w:r>
    </w:p>
    <w:p w:rsidR="00000000" w:rsidRDefault="00B51E11">
      <w:pPr>
        <w:pStyle w:val="a3"/>
        <w:spacing w:before="0" w:beforeAutospacing="0" w:after="0" w:afterAutospacing="0"/>
        <w:divId w:val="595863553"/>
        <w:rPr>
          <w:sz w:val="20"/>
          <w:szCs w:val="20"/>
        </w:rPr>
      </w:pPr>
      <w:r>
        <w:rPr>
          <w:sz w:val="2"/>
          <w:szCs w:val="2"/>
        </w:rPr>
        <w:t>​</w:t>
      </w:r>
    </w:p>
    <w:p w:rsidR="00000000" w:rsidRDefault="00B51E11">
      <w:pPr>
        <w:pStyle w:val="a3"/>
        <w:spacing w:before="0" w:beforeAutospacing="0" w:after="0" w:afterAutospacing="0"/>
        <w:divId w:val="595863553"/>
        <w:rPr>
          <w:sz w:val="20"/>
          <w:szCs w:val="20"/>
        </w:rPr>
      </w:pPr>
      <w:r>
        <w:rPr>
          <w:b/>
          <w:bCs/>
          <w:sz w:val="20"/>
          <w:szCs w:val="20"/>
        </w:rPr>
        <w:t>2. Net Loss per Share</w:t>
      </w:r>
    </w:p>
    <w:p w:rsidR="00000000" w:rsidRDefault="00B51E11">
      <w:pPr>
        <w:pStyle w:val="a3"/>
        <w:spacing w:before="0" w:beforeAutospacing="0" w:after="0" w:afterAutospacing="0"/>
        <w:divId w:val="595863553"/>
        <w:rPr>
          <w:sz w:val="20"/>
          <w:szCs w:val="20"/>
        </w:rPr>
      </w:pPr>
      <w:r>
        <w:rPr>
          <w:sz w:val="10"/>
          <w:szCs w:val="10"/>
        </w:rPr>
        <w:t>​</w:t>
      </w:r>
    </w:p>
    <w:p w:rsidR="00000000" w:rsidRDefault="00B51E11">
      <w:pPr>
        <w:pStyle w:val="a3"/>
        <w:spacing w:before="0" w:beforeAutospacing="0" w:after="0" w:afterAutospacing="0"/>
        <w:ind w:firstLine="720"/>
        <w:divId w:val="595863553"/>
        <w:rPr>
          <w:sz w:val="20"/>
          <w:szCs w:val="20"/>
        </w:rPr>
      </w:pPr>
      <w:r>
        <w:rPr>
          <w:sz w:val="20"/>
          <w:szCs w:val="20"/>
        </w:rPr>
        <w:t>Basic net loss per share is com</w:t>
      </w:r>
      <w:r>
        <w:rPr>
          <w:sz w:val="20"/>
          <w:szCs w:val="20"/>
        </w:rPr>
        <w:t>puted by dividing net loss by the weighted-average number of shares outstanding, less ordinary shares subject to forfeiture. Diluted net loss per share is computed by dividing net loss by the weighted-average number of shares outstanding, less ordinary sha</w:t>
      </w:r>
      <w:r>
        <w:rPr>
          <w:sz w:val="20"/>
          <w:szCs w:val="20"/>
        </w:rPr>
        <w:t>res subject to forfeiture, plus all additional ordinary shares that would have been outstanding, assuming dilutive potential ordinary shares had been issued for other dilutive securities.</w:t>
      </w:r>
    </w:p>
    <w:p w:rsidR="00000000" w:rsidRDefault="00B51E11">
      <w:pPr>
        <w:pStyle w:val="a3"/>
        <w:spacing w:before="0" w:beforeAutospacing="0" w:after="0" w:afterAutospacing="0"/>
        <w:ind w:firstLine="720"/>
        <w:divId w:val="59586355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84"/>
        <w:gridCol w:w="160"/>
        <w:gridCol w:w="100"/>
        <w:gridCol w:w="684"/>
        <w:gridCol w:w="160"/>
        <w:gridCol w:w="100"/>
        <w:gridCol w:w="684"/>
        <w:gridCol w:w="6"/>
        <w:gridCol w:w="100"/>
        <w:gridCol w:w="784"/>
        <w:gridCol w:w="160"/>
        <w:gridCol w:w="100"/>
        <w:gridCol w:w="784"/>
      </w:tblGrid>
      <w:tr w:rsidR="00000000">
        <w:trPr>
          <w:divId w:val="595863553"/>
          <w:trHeight w:val="20"/>
        </w:trPr>
        <w:tc>
          <w:tcPr>
            <w:tcW w:w="2806" w:type="pct"/>
            <w:tcMar>
              <w:top w:w="0" w:type="dxa"/>
              <w:left w:w="0" w:type="dxa"/>
              <w:bottom w:w="0" w:type="dxa"/>
              <w:right w:w="0" w:type="dxa"/>
            </w:tcMar>
            <w:hideMark/>
          </w:tcPr>
          <w:p w:rsidR="00000000" w:rsidRDefault="00B51E11">
            <w:pPr>
              <w:pStyle w:val="a3"/>
              <w:spacing w:before="0" w:beforeAutospacing="0" w:after="0" w:afterAutospacing="0"/>
              <w:divId w:val="66146585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1877423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17955404"/>
              <w:rPr>
                <w:sz w:val="20"/>
                <w:szCs w:val="20"/>
              </w:rPr>
            </w:pPr>
            <w:r>
              <w:rPr>
                <w:sz w:val="2"/>
                <w:szCs w:val="2"/>
              </w:rPr>
              <w:t>​</w:t>
            </w:r>
          </w:p>
        </w:tc>
        <w:tc>
          <w:tcPr>
            <w:tcW w:w="37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4514463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74466098"/>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60714443"/>
              <w:rPr>
                <w:sz w:val="20"/>
                <w:szCs w:val="20"/>
              </w:rPr>
            </w:pPr>
            <w:r>
              <w:rPr>
                <w:sz w:val="2"/>
                <w:szCs w:val="2"/>
              </w:rPr>
              <w:t>​</w:t>
            </w:r>
          </w:p>
        </w:tc>
        <w:tc>
          <w:tcPr>
            <w:tcW w:w="37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12071100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55891496"/>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48615063"/>
              <w:rPr>
                <w:sz w:val="20"/>
                <w:szCs w:val="20"/>
              </w:rPr>
            </w:pPr>
            <w:r>
              <w:rPr>
                <w:sz w:val="2"/>
                <w:szCs w:val="2"/>
              </w:rPr>
              <w:t>​</w:t>
            </w:r>
          </w:p>
        </w:tc>
        <w:tc>
          <w:tcPr>
            <w:tcW w:w="41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7378258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7703368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82711281"/>
              <w:rPr>
                <w:sz w:val="20"/>
                <w:szCs w:val="20"/>
              </w:rPr>
            </w:pPr>
            <w:r>
              <w:rPr>
                <w:sz w:val="2"/>
                <w:szCs w:val="2"/>
              </w:rPr>
              <w:t>​</w:t>
            </w:r>
          </w:p>
        </w:tc>
        <w:tc>
          <w:tcPr>
            <w:tcW w:w="41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95449460"/>
              <w:rPr>
                <w:sz w:val="20"/>
                <w:szCs w:val="20"/>
              </w:rPr>
            </w:pPr>
            <w:r>
              <w:rPr>
                <w:sz w:val="2"/>
                <w:szCs w:val="2"/>
              </w:rPr>
              <w:t>​</w:t>
            </w:r>
          </w:p>
        </w:tc>
      </w:tr>
      <w:tr w:rsidR="00000000">
        <w:trPr>
          <w:divId w:val="595863553"/>
        </w:trPr>
        <w:tc>
          <w:tcPr>
            <w:tcW w:w="280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color w:val="FF0000"/>
                <w:sz w:val="20"/>
                <w:szCs w:val="20"/>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0"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7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1064" w:type="pct"/>
            <w:gridSpan w:val="5"/>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r>
      <w:tr w:rsidR="00000000">
        <w:trPr>
          <w:divId w:val="595863553"/>
        </w:trPr>
        <w:tc>
          <w:tcPr>
            <w:tcW w:w="280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0"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7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1064"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r>
      <w:tr w:rsidR="00000000">
        <w:trPr>
          <w:divId w:val="595863553"/>
        </w:trPr>
        <w:tc>
          <w:tcPr>
            <w:tcW w:w="2806"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7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r>
      <w:tr w:rsidR="00000000">
        <w:trPr>
          <w:divId w:val="595863553"/>
        </w:trPr>
        <w:tc>
          <w:tcPr>
            <w:tcW w:w="2806"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b/>
                <w:bCs/>
                <w:sz w:val="20"/>
                <w:szCs w:val="20"/>
              </w:rPr>
              <w:t>Numerator:</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7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r>
      <w:tr w:rsidR="00000000">
        <w:trPr>
          <w:divId w:val="595863553"/>
        </w:trPr>
        <w:tc>
          <w:tcPr>
            <w:tcW w:w="2806" w:type="pct"/>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Net loss</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71"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(73,643)</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76"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(58,431)</w:t>
            </w:r>
          </w:p>
        </w:tc>
        <w:tc>
          <w:tcPr>
            <w:tcW w:w="7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14"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(219,583)</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14"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(170,849)</w:t>
            </w:r>
          </w:p>
        </w:tc>
      </w:tr>
      <w:tr w:rsidR="00000000">
        <w:trPr>
          <w:divId w:val="595863553"/>
        </w:trPr>
        <w:tc>
          <w:tcPr>
            <w:tcW w:w="2806"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b/>
                <w:bCs/>
                <w:sz w:val="20"/>
                <w:szCs w:val="20"/>
              </w:rPr>
              <w:t>Denominator:</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7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41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r>
      <w:tr w:rsidR="00000000">
        <w:trPr>
          <w:divId w:val="595863553"/>
        </w:trPr>
        <w:tc>
          <w:tcPr>
            <w:tcW w:w="2806" w:type="pct"/>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Weighted-average common shares outstanding</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71"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63,717</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7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56,690</w:t>
            </w:r>
          </w:p>
        </w:tc>
        <w:tc>
          <w:tcPr>
            <w:tcW w:w="7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14"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62,361</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14"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56,308</w:t>
            </w:r>
          </w:p>
        </w:tc>
      </w:tr>
      <w:tr w:rsidR="00000000">
        <w:trPr>
          <w:divId w:val="595863553"/>
        </w:trPr>
        <w:tc>
          <w:tcPr>
            <w:tcW w:w="2806"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Less: weighted-average common shares subject to forfeiture</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(414)</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(832)</w:t>
            </w:r>
          </w:p>
        </w:tc>
        <w:tc>
          <w:tcPr>
            <w:tcW w:w="7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(480)</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(863)</w:t>
            </w:r>
          </w:p>
        </w:tc>
      </w:tr>
      <w:tr w:rsidR="00000000">
        <w:trPr>
          <w:divId w:val="595863553"/>
        </w:trPr>
        <w:tc>
          <w:tcPr>
            <w:tcW w:w="2806" w:type="pct"/>
            <w:tcMar>
              <w:top w:w="0" w:type="dxa"/>
              <w:left w:w="0" w:type="dxa"/>
              <w:bottom w:w="0" w:type="dxa"/>
              <w:right w:w="0" w:type="dxa"/>
            </w:tcMar>
            <w:vAlign w:val="center"/>
            <w:hideMark/>
          </w:tcPr>
          <w:p w:rsidR="00000000" w:rsidRDefault="00B51E11">
            <w:pPr>
              <w:pStyle w:val="a3"/>
              <w:spacing w:before="0" w:beforeAutospacing="0" w:after="0" w:afterAutospacing="0"/>
              <w:ind w:hanging="180"/>
              <w:rPr>
                <w:sz w:val="20"/>
                <w:szCs w:val="20"/>
              </w:rPr>
            </w:pPr>
            <w:r>
              <w:rPr>
                <w:sz w:val="20"/>
                <w:szCs w:val="20"/>
              </w:rPr>
              <w:t>Weighted-average common shares used to compute basic and diluted net loss per share</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71"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63,303</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76"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55,858</w:t>
            </w:r>
          </w:p>
        </w:tc>
        <w:tc>
          <w:tcPr>
            <w:tcW w:w="7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14"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61,881</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14"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55,445</w:t>
            </w:r>
          </w:p>
        </w:tc>
      </w:tr>
      <w:tr w:rsidR="00000000">
        <w:trPr>
          <w:divId w:val="595863553"/>
        </w:trPr>
        <w:tc>
          <w:tcPr>
            <w:tcW w:w="2806"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20"/>
                <w:szCs w:val="20"/>
              </w:rPr>
            </w:pPr>
            <w:r>
              <w:rPr>
                <w:sz w:val="20"/>
                <w:szCs w:val="20"/>
              </w:rPr>
              <w:t>Basic and diluted net loss per share</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(1.16)</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(1.05)</w:t>
            </w:r>
          </w:p>
        </w:tc>
        <w:tc>
          <w:tcPr>
            <w:tcW w:w="7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(3.55)</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(3.08)</w:t>
            </w:r>
          </w:p>
        </w:tc>
      </w:tr>
    </w:tbl>
    <w:p w:rsidR="00000000" w:rsidRDefault="00B51E11">
      <w:pPr>
        <w:pStyle w:val="a3"/>
        <w:spacing w:before="0" w:beforeAutospacing="0" w:after="0" w:afterAutospacing="0"/>
        <w:divId w:val="595863553"/>
        <w:rPr>
          <w:sz w:val="20"/>
          <w:szCs w:val="20"/>
        </w:rPr>
      </w:pPr>
      <w:r>
        <w:rPr>
          <w:sz w:val="20"/>
          <w:szCs w:val="20"/>
        </w:rPr>
        <w:t>​</w:t>
      </w:r>
    </w:p>
    <w:p w:rsidR="00000000" w:rsidRDefault="00B51E11">
      <w:pPr>
        <w:pStyle w:val="a3"/>
        <w:spacing w:before="0" w:beforeAutospacing="0" w:after="0" w:afterAutospacing="0"/>
        <w:ind w:firstLine="720"/>
        <w:divId w:val="595863553"/>
        <w:rPr>
          <w:sz w:val="20"/>
          <w:szCs w:val="20"/>
        </w:rPr>
      </w:pPr>
      <w:r>
        <w:rPr>
          <w:sz w:val="20"/>
          <w:szCs w:val="20"/>
        </w:rPr>
        <w:t xml:space="preserve">For the three and nine months ended September 30, 2020 and 2019, diluted and basic net loss per share was identical since potential ordinary shares were excluded from the calculation, as their effect was anti-dilutive. </w:t>
      </w:r>
    </w:p>
    <w:p w:rsidR="00000000" w:rsidRDefault="00B51E11">
      <w:pPr>
        <w:pStyle w:val="a3"/>
        <w:spacing w:before="0" w:beforeAutospacing="0" w:after="0" w:afterAutospacing="0"/>
        <w:ind w:firstLine="720"/>
        <w:divId w:val="595863553"/>
        <w:rPr>
          <w:sz w:val="20"/>
          <w:szCs w:val="20"/>
        </w:rPr>
      </w:pPr>
      <w:r>
        <w:rPr>
          <w:sz w:val="20"/>
          <w:szCs w:val="20"/>
        </w:rPr>
        <w:t>​</w:t>
      </w:r>
    </w:p>
    <w:p w:rsidR="00000000" w:rsidRDefault="00B51E11">
      <w:pPr>
        <w:pStyle w:val="a3"/>
        <w:spacing w:before="0" w:beforeAutospacing="0" w:after="0" w:afterAutospacing="0"/>
        <w:divId w:val="595863553"/>
        <w:rPr>
          <w:sz w:val="20"/>
          <w:szCs w:val="20"/>
        </w:rPr>
      </w:pPr>
      <w:r>
        <w:rPr>
          <w:b/>
          <w:bCs/>
          <w:i/>
          <w:iCs/>
          <w:sz w:val="20"/>
          <w:szCs w:val="20"/>
        </w:rPr>
        <w:t>Anti-dilutive Securities</w:t>
      </w:r>
    </w:p>
    <w:p w:rsidR="00000000" w:rsidRDefault="00B51E11">
      <w:pPr>
        <w:pStyle w:val="a3"/>
        <w:spacing w:before="0" w:beforeAutospacing="0" w:after="0" w:afterAutospacing="0"/>
        <w:divId w:val="595863553"/>
        <w:rPr>
          <w:sz w:val="20"/>
          <w:szCs w:val="20"/>
        </w:rPr>
      </w:pPr>
      <w:r>
        <w:rPr>
          <w:sz w:val="10"/>
          <w:szCs w:val="10"/>
        </w:rPr>
        <w:t>​</w:t>
      </w:r>
    </w:p>
    <w:p w:rsidR="00000000" w:rsidRDefault="00B51E11">
      <w:pPr>
        <w:pStyle w:val="a3"/>
        <w:spacing w:before="0" w:beforeAutospacing="0" w:after="0" w:afterAutospacing="0"/>
        <w:ind w:firstLine="720"/>
        <w:divId w:val="595863553"/>
        <w:rPr>
          <w:sz w:val="20"/>
          <w:szCs w:val="20"/>
        </w:rPr>
      </w:pPr>
      <w:r>
        <w:rPr>
          <w:sz w:val="20"/>
          <w:szCs w:val="20"/>
        </w:rPr>
        <w:t>The fol</w:t>
      </w:r>
      <w:r>
        <w:rPr>
          <w:sz w:val="20"/>
          <w:szCs w:val="20"/>
        </w:rPr>
        <w:t>lowing ordinary equivalent shares were not included in the computation of diluted net loss per share because their effect was anti-dilutive:</w:t>
      </w:r>
    </w:p>
    <w:p w:rsidR="00000000" w:rsidRDefault="00B51E11">
      <w:pPr>
        <w:pStyle w:val="a3"/>
        <w:spacing w:before="0" w:beforeAutospacing="0" w:after="0" w:afterAutospacing="0"/>
        <w:divId w:val="595863553"/>
        <w:rPr>
          <w:sz w:val="20"/>
          <w:szCs w:val="20"/>
        </w:rPr>
      </w:pPr>
      <w:r>
        <w:rPr>
          <w:sz w:val="10"/>
          <w:szCs w:val="10"/>
        </w:rPr>
        <w:t>​</w:t>
      </w:r>
    </w:p>
    <w:tbl>
      <w:tblPr>
        <w:tblW w:w="4997" w:type="pct"/>
        <w:tblCellMar>
          <w:top w:w="15" w:type="dxa"/>
          <w:left w:w="0" w:type="dxa"/>
          <w:bottom w:w="15" w:type="dxa"/>
          <w:right w:w="0" w:type="dxa"/>
        </w:tblCellMar>
        <w:tblLook w:val="04A0" w:firstRow="1" w:lastRow="0" w:firstColumn="1" w:lastColumn="0" w:noHBand="0" w:noVBand="1"/>
      </w:tblPr>
      <w:tblGrid>
        <w:gridCol w:w="5110"/>
        <w:gridCol w:w="160"/>
        <w:gridCol w:w="647"/>
        <w:gridCol w:w="163"/>
        <w:gridCol w:w="648"/>
        <w:gridCol w:w="160"/>
        <w:gridCol w:w="623"/>
        <w:gridCol w:w="160"/>
        <w:gridCol w:w="630"/>
      </w:tblGrid>
      <w:tr w:rsidR="00000000">
        <w:trPr>
          <w:divId w:val="595863553"/>
          <w:trHeight w:val="20"/>
        </w:trPr>
        <w:tc>
          <w:tcPr>
            <w:tcW w:w="3072" w:type="pct"/>
            <w:tcMar>
              <w:top w:w="0" w:type="dxa"/>
              <w:left w:w="0" w:type="dxa"/>
              <w:bottom w:w="0" w:type="dxa"/>
              <w:right w:w="0" w:type="dxa"/>
            </w:tcMar>
            <w:vAlign w:val="bottom"/>
            <w:hideMark/>
          </w:tcPr>
          <w:p w:rsidR="00000000" w:rsidRDefault="00B51E11">
            <w:pPr>
              <w:pStyle w:val="a3"/>
              <w:spacing w:before="0" w:beforeAutospacing="0" w:after="0" w:afterAutospacing="0"/>
              <w:divId w:val="8010431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87064169"/>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7910583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31297847"/>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10464375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28104053"/>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44746487"/>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67712289"/>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3717947"/>
              <w:rPr>
                <w:sz w:val="20"/>
                <w:szCs w:val="20"/>
              </w:rPr>
            </w:pPr>
            <w:r>
              <w:rPr>
                <w:sz w:val="2"/>
                <w:szCs w:val="2"/>
              </w:rPr>
              <w:t>​</w:t>
            </w:r>
          </w:p>
        </w:tc>
      </w:tr>
      <w:tr w:rsidR="00000000">
        <w:trPr>
          <w:divId w:val="595863553"/>
        </w:trPr>
        <w:tc>
          <w:tcPr>
            <w:tcW w:w="3072"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866" w:type="pct"/>
            <w:gridSpan w:val="3"/>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866" w:type="pct"/>
            <w:gridSpan w:val="3"/>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r>
      <w:tr w:rsidR="00000000">
        <w:trPr>
          <w:divId w:val="595863553"/>
        </w:trPr>
        <w:tc>
          <w:tcPr>
            <w:tcW w:w="3072"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866" w:type="pct"/>
            <w:gridSpan w:val="3"/>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866" w:type="pct"/>
            <w:gridSpan w:val="3"/>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r>
      <w:tr w:rsidR="00000000">
        <w:trPr>
          <w:divId w:val="595863553"/>
        </w:trPr>
        <w:tc>
          <w:tcPr>
            <w:tcW w:w="3072"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38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38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38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38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r>
      <w:tr w:rsidR="00000000">
        <w:trPr>
          <w:divId w:val="595863553"/>
        </w:trPr>
        <w:tc>
          <w:tcPr>
            <w:tcW w:w="307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Share issuances under equity incentive plans and ESPP </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8,063</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7,340</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6,566</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6,491</w:t>
            </w:r>
          </w:p>
        </w:tc>
      </w:tr>
      <w:tr w:rsidR="00000000">
        <w:trPr>
          <w:divId w:val="595863553"/>
        </w:trPr>
        <w:tc>
          <w:tcPr>
            <w:tcW w:w="3072" w:type="pct"/>
            <w:noWrap/>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 xml:space="preserve">Share issuances upon the conversion of convertible senior notes </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38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6,676</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8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6,676</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38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6,676</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8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6,676</w:t>
            </w:r>
          </w:p>
        </w:tc>
      </w:tr>
      <w:tr w:rsidR="00000000">
        <w:trPr>
          <w:divId w:val="595863553"/>
        </w:trPr>
        <w:tc>
          <w:tcPr>
            <w:tcW w:w="3072"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120"/>
              <w:rPr>
                <w:sz w:val="20"/>
                <w:szCs w:val="20"/>
              </w:rPr>
            </w:pPr>
            <w:r>
              <w:rPr>
                <w:sz w:val="20"/>
                <w:szCs w:val="20"/>
              </w:rPr>
              <w:t>Total</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 </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14,739</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14,016</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13,242</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13,167</w:t>
            </w:r>
          </w:p>
        </w:tc>
      </w:tr>
    </w:tbl>
    <w:p w:rsidR="00000000" w:rsidRDefault="00B51E11">
      <w:pPr>
        <w:pStyle w:val="a3"/>
        <w:spacing w:before="0" w:beforeAutospacing="0" w:after="0" w:afterAutospacing="0"/>
        <w:divId w:val="595863553"/>
        <w:rPr>
          <w:sz w:val="20"/>
          <w:szCs w:val="20"/>
        </w:rPr>
      </w:pPr>
      <w:r>
        <w:rPr>
          <w:sz w:val="20"/>
          <w:szCs w:val="20"/>
        </w:rPr>
        <w:t>​</w:t>
      </w:r>
    </w:p>
    <w:p w:rsidR="00000000" w:rsidRDefault="00B51E11">
      <w:pPr>
        <w:pStyle w:val="a3"/>
        <w:spacing w:before="0" w:beforeAutospacing="0" w:after="0" w:afterAutospacing="0"/>
        <w:ind w:firstLine="720"/>
        <w:divId w:val="595863553"/>
        <w:rPr>
          <w:sz w:val="20"/>
          <w:szCs w:val="20"/>
        </w:rPr>
      </w:pPr>
      <w:r>
        <w:rPr>
          <w:sz w:val="20"/>
          <w:szCs w:val="20"/>
        </w:rPr>
        <w:t xml:space="preserve">As of September 30, 2019, there were 414,000 </w:t>
      </w:r>
      <w:r>
        <w:rPr>
          <w:sz w:val="20"/>
          <w:szCs w:val="20"/>
        </w:rPr>
        <w:t>shares subject to performance-based vesting criteria which have been excluded from the ordinary equivalent shares table above, and there were no such shares excluded as of September 30, 2020.</w:t>
      </w:r>
    </w:p>
    <w:p w:rsidR="00000000" w:rsidRDefault="00B51E11">
      <w:pPr>
        <w:pStyle w:val="a3"/>
        <w:spacing w:before="0" w:beforeAutospacing="0" w:after="0" w:afterAutospacing="0"/>
        <w:ind w:firstLine="720"/>
        <w:divId w:val="595863553"/>
        <w:rPr>
          <w:sz w:val="20"/>
          <w:szCs w:val="20"/>
        </w:rPr>
      </w:pPr>
      <w:r>
        <w:rPr>
          <w:sz w:val="20"/>
          <w:szCs w:val="20"/>
        </w:rPr>
        <w:t>​</w:t>
      </w:r>
    </w:p>
    <w:p w:rsidR="00000000" w:rsidRDefault="00B51E11">
      <w:pPr>
        <w:pStyle w:val="a3"/>
        <w:spacing w:before="0" w:beforeAutospacing="0" w:after="0" w:afterAutospacing="0"/>
        <w:divId w:val="595863553"/>
        <w:rPr>
          <w:sz w:val="20"/>
          <w:szCs w:val="20"/>
        </w:rPr>
      </w:pPr>
      <w:r>
        <w:rPr>
          <w:b/>
          <w:bCs/>
          <w:i/>
          <w:iCs/>
          <w:sz w:val="20"/>
          <w:szCs w:val="20"/>
        </w:rPr>
        <w:t>GlaxoSmithKline plc Senior Notes Offering</w:t>
      </w:r>
    </w:p>
    <w:p w:rsidR="00000000" w:rsidRDefault="00B51E11">
      <w:pPr>
        <w:pStyle w:val="a3"/>
        <w:spacing w:before="0" w:beforeAutospacing="0" w:after="0" w:afterAutospacing="0"/>
        <w:divId w:val="595863553"/>
        <w:rPr>
          <w:sz w:val="20"/>
          <w:szCs w:val="20"/>
        </w:rPr>
      </w:pPr>
      <w:r>
        <w:rPr>
          <w:b/>
          <w:bCs/>
          <w:i/>
          <w:iCs/>
          <w:sz w:val="20"/>
          <w:szCs w:val="20"/>
        </w:rPr>
        <w:t>​</w:t>
      </w:r>
    </w:p>
    <w:p w:rsidR="00000000" w:rsidRDefault="00B51E11">
      <w:pPr>
        <w:pStyle w:val="a3"/>
        <w:spacing w:before="0" w:beforeAutospacing="0" w:after="0" w:afterAutospacing="0"/>
        <w:divId w:val="595863553"/>
        <w:rPr>
          <w:sz w:val="20"/>
          <w:szCs w:val="20"/>
        </w:rPr>
      </w:pPr>
      <w:r>
        <w:rPr>
          <w:sz w:val="20"/>
          <w:szCs w:val="20"/>
        </w:rPr>
        <w:t xml:space="preserve">On June 22, 2020, </w:t>
      </w:r>
      <w:r>
        <w:rPr>
          <w:sz w:val="20"/>
          <w:szCs w:val="20"/>
        </w:rPr>
        <w:t>GSK Finance (No.3) plc (“GSK Finance”), a wholly-owned subsidiary of GlaxoSmithKline plc (“GSK”), issued $280,336,000 of exchangeable senior notes due 2023 (“the GSK Notes”), initially exchangeable into 9,644,792 ordinary shares of Theravance Biopharma cur</w:t>
      </w:r>
      <w:r>
        <w:rPr>
          <w:sz w:val="20"/>
          <w:szCs w:val="20"/>
        </w:rPr>
        <w:t>rently held by GSK and its affiliates. The GSK Notes are guaranteed by GSK and will be exchangeable at the option of noteholders on any business day on or after September 1, 2020. The GSK Notes will mature on June 22, 2023 and do not bear interest. The GSK</w:t>
      </w:r>
      <w:r>
        <w:rPr>
          <w:sz w:val="20"/>
          <w:szCs w:val="20"/>
        </w:rPr>
        <w:t xml:space="preserve"> Notes were offered at an issue price 108.5% of their principal amount. The initial exchange rate is 34.4044 shares of Theravance Biopharma ordinary shares per $1,000 principal amount of GSK Notes, which is equivalent to an initial exchange price of approx</w:t>
      </w:r>
      <w:r>
        <w:rPr>
          <w:sz w:val="20"/>
          <w:szCs w:val="20"/>
        </w:rPr>
        <w:t>imately $29.066 per share, representing a premium of 3</w:t>
      </w:r>
      <w:r>
        <w:rPr>
          <w:sz w:val="20"/>
          <w:szCs w:val="20"/>
        </w:rPr>
        <w:t>5</w:t>
      </w:r>
      <w:r>
        <w:rPr>
          <w:sz w:val="20"/>
          <w:szCs w:val="20"/>
        </w:rPr>
        <w:t>% over the volume weighted average price of Theravance Biopharma’s ordinary shares on June 17, 2020.</w:t>
      </w:r>
      <w:r>
        <w:rPr>
          <w:sz w:val="20"/>
          <w:szCs w:val="20"/>
        </w:rPr>
        <w:t xml:space="preserve"> </w:t>
      </w:r>
    </w:p>
    <w:p w:rsidR="00000000" w:rsidRDefault="00B51E11">
      <w:pPr>
        <w:pStyle w:val="a3"/>
        <w:spacing w:before="0" w:beforeAutospacing="0" w:after="0" w:afterAutospacing="0"/>
        <w:divId w:val="595863553"/>
        <w:rPr>
          <w:sz w:val="20"/>
          <w:szCs w:val="20"/>
        </w:rPr>
      </w:pPr>
      <w:r>
        <w:rPr>
          <w:sz w:val="20"/>
          <w:szCs w:val="20"/>
        </w:rPr>
        <w:t>​</w:t>
      </w:r>
    </w:p>
    <w:p w:rsidR="00000000" w:rsidRDefault="00B51E11">
      <w:pPr>
        <w:pStyle w:val="a3"/>
        <w:spacing w:before="0" w:beforeAutospacing="0" w:after="0" w:afterAutospacing="0"/>
        <w:divId w:val="595863553"/>
        <w:rPr>
          <w:sz w:val="20"/>
          <w:szCs w:val="20"/>
        </w:rPr>
      </w:pPr>
      <w:r>
        <w:rPr>
          <w:sz w:val="20"/>
          <w:szCs w:val="20"/>
        </w:rPr>
        <w:t>Upon exchange of the GSK Notes, GSK Finance is expected to deliver its ordinary shares of Therava</w:t>
      </w:r>
      <w:r>
        <w:rPr>
          <w:sz w:val="20"/>
          <w:szCs w:val="20"/>
        </w:rPr>
        <w:t xml:space="preserve">nce Biopharma, but may at its option under certain circumstances, deliver cash or a combination of Theravance Biopharma ordinary shares and cash to noteholders. The GSK Offering involves the expected exchange of substantially all of the existing 9,644,807 </w:t>
      </w:r>
      <w:r>
        <w:rPr>
          <w:sz w:val="20"/>
          <w:szCs w:val="20"/>
        </w:rPr>
        <w:t xml:space="preserve">ordinary shares of Theravance Biopharma held by GSK and its affiliates. Theravance Biopharma will not be </w:t>
      </w:r>
    </w:p>
    <w:p w:rsidR="00000000" w:rsidRDefault="00B51E11">
      <w:pPr>
        <w:pStyle w:val="a3"/>
        <w:spacing w:before="360" w:beforeAutospacing="0" w:after="0" w:afterAutospacing="0"/>
        <w:jc w:val="center"/>
        <w:divId w:val="1191335920"/>
        <w:rPr>
          <w:sz w:val="20"/>
          <w:szCs w:val="20"/>
        </w:rPr>
      </w:pPr>
      <w:r>
        <w:rPr>
          <w:sz w:val="20"/>
          <w:szCs w:val="20"/>
        </w:rPr>
        <w:t>9</w:t>
      </w:r>
    </w:p>
    <w:p w:rsidR="00000000" w:rsidRDefault="00B51E11">
      <w:pPr>
        <w:pStyle w:val="a3"/>
        <w:spacing w:before="0" w:beforeAutospacing="0" w:after="600" w:afterAutospacing="0"/>
        <w:divId w:val="1720856176"/>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432822109"/>
        <w:rPr>
          <w:sz w:val="20"/>
          <w:szCs w:val="20"/>
        </w:rPr>
      </w:pPr>
      <w:r>
        <w:rPr>
          <w:sz w:val="20"/>
          <w:szCs w:val="20"/>
        </w:rPr>
        <w:t>issuing any new ordinary shares in connection with the GSK Offering, and Theravance Biopharma did not re</w:t>
      </w:r>
      <w:r>
        <w:rPr>
          <w:sz w:val="20"/>
          <w:szCs w:val="20"/>
        </w:rPr>
        <w:t>ceive any proceeds from the GSK Offering.</w:t>
      </w:r>
    </w:p>
    <w:p w:rsidR="00000000" w:rsidRDefault="00B51E11">
      <w:pPr>
        <w:pStyle w:val="a3"/>
        <w:spacing w:before="0" w:beforeAutospacing="0" w:after="0" w:afterAutospacing="0"/>
        <w:divId w:val="432822109"/>
        <w:rPr>
          <w:sz w:val="20"/>
          <w:szCs w:val="20"/>
        </w:rPr>
      </w:pPr>
      <w:r>
        <w:rPr>
          <w:sz w:val="20"/>
          <w:szCs w:val="20"/>
        </w:rPr>
        <w:t>​</w:t>
      </w:r>
    </w:p>
    <w:p w:rsidR="00000000" w:rsidRDefault="00B51E11">
      <w:pPr>
        <w:pStyle w:val="a3"/>
        <w:spacing w:before="0" w:beforeAutospacing="0" w:after="0" w:afterAutospacing="0"/>
        <w:divId w:val="432822109"/>
        <w:rPr>
          <w:sz w:val="20"/>
          <w:szCs w:val="20"/>
        </w:rPr>
      </w:pPr>
      <w:r>
        <w:rPr>
          <w:b/>
          <w:bCs/>
          <w:sz w:val="20"/>
          <w:szCs w:val="20"/>
        </w:rPr>
        <w:t>3. Revenue</w:t>
      </w:r>
    </w:p>
    <w:p w:rsidR="00000000" w:rsidRDefault="00B51E11">
      <w:pPr>
        <w:pStyle w:val="a3"/>
        <w:spacing w:before="0" w:beforeAutospacing="0" w:after="0" w:afterAutospacing="0"/>
        <w:divId w:val="432822109"/>
        <w:rPr>
          <w:sz w:val="20"/>
          <w:szCs w:val="20"/>
        </w:rPr>
      </w:pPr>
      <w:r>
        <w:rPr>
          <w:b/>
          <w:bCs/>
          <w:sz w:val="10"/>
          <w:szCs w:val="10"/>
        </w:rPr>
        <w:t>​</w:t>
      </w:r>
    </w:p>
    <w:p w:rsidR="00000000" w:rsidRDefault="00B51E11">
      <w:pPr>
        <w:pStyle w:val="a3"/>
        <w:spacing w:before="0" w:beforeAutospacing="0" w:after="0" w:afterAutospacing="0"/>
        <w:divId w:val="432822109"/>
        <w:rPr>
          <w:sz w:val="20"/>
          <w:szCs w:val="20"/>
        </w:rPr>
      </w:pPr>
      <w:r>
        <w:rPr>
          <w:b/>
          <w:bCs/>
          <w:i/>
          <w:iCs/>
          <w:sz w:val="20"/>
          <w:szCs w:val="20"/>
        </w:rPr>
        <w:t>Revenue from Collaborative Arrangements</w:t>
      </w:r>
    </w:p>
    <w:p w:rsidR="00000000" w:rsidRDefault="00B51E11">
      <w:pPr>
        <w:pStyle w:val="a3"/>
        <w:spacing w:before="0" w:beforeAutospacing="0" w:after="0" w:afterAutospacing="0"/>
        <w:divId w:val="432822109"/>
        <w:rPr>
          <w:sz w:val="20"/>
          <w:szCs w:val="20"/>
        </w:rPr>
      </w:pPr>
      <w:r>
        <w:rPr>
          <w:i/>
          <w:iCs/>
          <w:sz w:val="10"/>
          <w:szCs w:val="10"/>
        </w:rPr>
        <w:t>​</w:t>
      </w:r>
    </w:p>
    <w:p w:rsidR="00000000" w:rsidRDefault="00B51E11">
      <w:pPr>
        <w:pStyle w:val="a3"/>
        <w:spacing w:before="0" w:beforeAutospacing="0" w:after="0" w:afterAutospacing="0"/>
        <w:ind w:firstLine="720"/>
        <w:divId w:val="432822109"/>
        <w:rPr>
          <w:sz w:val="20"/>
          <w:szCs w:val="20"/>
        </w:rPr>
      </w:pPr>
      <w:r>
        <w:rPr>
          <w:sz w:val="20"/>
          <w:szCs w:val="20"/>
        </w:rPr>
        <w:t>The Company recognized revenues from its collaborative arrangements as follows:</w:t>
      </w:r>
    </w:p>
    <w:p w:rsidR="00000000" w:rsidRDefault="00B51E11">
      <w:pPr>
        <w:pStyle w:val="a3"/>
        <w:spacing w:before="0" w:beforeAutospacing="0" w:after="0" w:afterAutospacing="0"/>
        <w:ind w:firstLine="720"/>
        <w:divId w:val="43282210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41"/>
        <w:gridCol w:w="160"/>
        <w:gridCol w:w="137"/>
        <w:gridCol w:w="578"/>
        <w:gridCol w:w="160"/>
        <w:gridCol w:w="137"/>
        <w:gridCol w:w="582"/>
        <w:gridCol w:w="137"/>
        <w:gridCol w:w="137"/>
        <w:gridCol w:w="620"/>
        <w:gridCol w:w="160"/>
        <w:gridCol w:w="137"/>
        <w:gridCol w:w="620"/>
      </w:tblGrid>
      <w:tr w:rsidR="00000000">
        <w:trPr>
          <w:divId w:val="432822109"/>
          <w:trHeight w:val="20"/>
        </w:trPr>
        <w:tc>
          <w:tcPr>
            <w:tcW w:w="2860" w:type="pct"/>
            <w:tcMar>
              <w:top w:w="0" w:type="dxa"/>
              <w:left w:w="0" w:type="dxa"/>
              <w:bottom w:w="0" w:type="dxa"/>
              <w:right w:w="0" w:type="dxa"/>
            </w:tcMar>
            <w:hideMark/>
          </w:tcPr>
          <w:p w:rsidR="00000000" w:rsidRDefault="00B51E11">
            <w:pPr>
              <w:pStyle w:val="a3"/>
              <w:spacing w:before="0" w:beforeAutospacing="0" w:after="0" w:afterAutospacing="0"/>
              <w:divId w:val="24576665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5801837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32738894"/>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93597379"/>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43035761"/>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97052131"/>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0590778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7255038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66936866"/>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1437774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9635466"/>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50252618"/>
              <w:rPr>
                <w:sz w:val="20"/>
                <w:szCs w:val="20"/>
              </w:rPr>
            </w:pPr>
            <w:r>
              <w:rPr>
                <w:sz w:val="2"/>
                <w:szCs w:val="2"/>
              </w:rPr>
              <w:t>​</w:t>
            </w:r>
          </w:p>
        </w:tc>
        <w:tc>
          <w:tcPr>
            <w:tcW w:w="34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35227196"/>
              <w:rPr>
                <w:sz w:val="20"/>
                <w:szCs w:val="20"/>
              </w:rPr>
            </w:pPr>
            <w:r>
              <w:rPr>
                <w:sz w:val="2"/>
                <w:szCs w:val="2"/>
              </w:rPr>
              <w:t>​</w:t>
            </w:r>
          </w:p>
        </w:tc>
      </w:tr>
      <w:tr w:rsidR="00000000">
        <w:trPr>
          <w:divId w:val="432822109"/>
        </w:trPr>
        <w:tc>
          <w:tcPr>
            <w:tcW w:w="286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4" w:type="pct"/>
            <w:gridSpan w:val="5"/>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2" w:type="pct"/>
            <w:gridSpan w:val="5"/>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r>
      <w:tr w:rsidR="00000000">
        <w:trPr>
          <w:divId w:val="432822109"/>
        </w:trPr>
        <w:tc>
          <w:tcPr>
            <w:tcW w:w="286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2"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r>
      <w:tr w:rsidR="00000000">
        <w:trPr>
          <w:divId w:val="432822109"/>
        </w:trPr>
        <w:tc>
          <w:tcPr>
            <w:tcW w:w="2860"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r>
              <w:rPr>
                <w:b/>
                <w:bCs/>
                <w:sz w:val="16"/>
                <w:szCs w:val="16"/>
              </w:rPr>
              <w:t>  </w:t>
            </w:r>
          </w:p>
        </w:tc>
        <w:tc>
          <w:tcPr>
            <w:tcW w:w="435"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r>
      <w:tr w:rsidR="00000000">
        <w:trPr>
          <w:divId w:val="432822109"/>
        </w:trPr>
        <w:tc>
          <w:tcPr>
            <w:tcW w:w="2860"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Janssen</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7,252</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8,807</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19,353</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4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21,522</w:t>
            </w:r>
          </w:p>
        </w:tc>
      </w:tr>
      <w:tr w:rsidR="00000000">
        <w:trPr>
          <w:divId w:val="432822109"/>
        </w:trPr>
        <w:tc>
          <w:tcPr>
            <w:tcW w:w="286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Other</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9</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29</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28</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4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144</w:t>
            </w:r>
          </w:p>
        </w:tc>
      </w:tr>
      <w:tr w:rsidR="00000000">
        <w:trPr>
          <w:divId w:val="432822109"/>
        </w:trPr>
        <w:tc>
          <w:tcPr>
            <w:tcW w:w="2860"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ind w:left="240"/>
              <w:rPr>
                <w:sz w:val="20"/>
                <w:szCs w:val="20"/>
              </w:rPr>
            </w:pPr>
            <w:r>
              <w:rPr>
                <w:sz w:val="20"/>
                <w:szCs w:val="20"/>
              </w:rPr>
              <w:t>Total collaboration revenue</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7,261</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8,836</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19,381</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21,666</w:t>
            </w:r>
          </w:p>
        </w:tc>
      </w:tr>
    </w:tbl>
    <w:p w:rsidR="00000000" w:rsidRDefault="00B51E11">
      <w:pPr>
        <w:pStyle w:val="a3"/>
        <w:spacing w:before="0" w:beforeAutospacing="0" w:after="0" w:afterAutospacing="0"/>
        <w:divId w:val="432822109"/>
        <w:rPr>
          <w:sz w:val="20"/>
          <w:szCs w:val="20"/>
        </w:rPr>
      </w:pPr>
      <w:r>
        <w:rPr>
          <w:sz w:val="20"/>
          <w:szCs w:val="20"/>
        </w:rPr>
        <w:t>​</w:t>
      </w:r>
    </w:p>
    <w:p w:rsidR="00000000" w:rsidRDefault="00B51E11">
      <w:pPr>
        <w:pStyle w:val="a3"/>
        <w:spacing w:before="0" w:beforeAutospacing="0" w:after="0" w:afterAutospacing="0"/>
        <w:divId w:val="432822109"/>
        <w:rPr>
          <w:sz w:val="20"/>
          <w:szCs w:val="20"/>
        </w:rPr>
      </w:pPr>
      <w:r>
        <w:rPr>
          <w:b/>
          <w:bCs/>
          <w:i/>
          <w:iCs/>
          <w:sz w:val="20"/>
          <w:szCs w:val="20"/>
        </w:rPr>
        <w:t>Changes in Deferred Revenue Balances</w:t>
      </w:r>
    </w:p>
    <w:p w:rsidR="00000000" w:rsidRDefault="00B51E11">
      <w:pPr>
        <w:pStyle w:val="a3"/>
        <w:spacing w:before="0" w:beforeAutospacing="0" w:after="0" w:afterAutospacing="0"/>
        <w:divId w:val="432822109"/>
        <w:rPr>
          <w:sz w:val="20"/>
          <w:szCs w:val="20"/>
        </w:rPr>
      </w:pPr>
      <w:r>
        <w:rPr>
          <w:sz w:val="10"/>
          <w:szCs w:val="10"/>
        </w:rPr>
        <w:t>​</w:t>
      </w:r>
    </w:p>
    <w:p w:rsidR="00000000" w:rsidRDefault="00B51E11">
      <w:pPr>
        <w:pStyle w:val="a3"/>
        <w:spacing w:before="0" w:beforeAutospacing="0" w:after="0" w:afterAutospacing="0"/>
        <w:ind w:firstLine="720"/>
        <w:divId w:val="432822109"/>
        <w:rPr>
          <w:sz w:val="20"/>
          <w:szCs w:val="20"/>
        </w:rPr>
      </w:pPr>
      <w:r>
        <w:rPr>
          <w:sz w:val="20"/>
          <w:szCs w:val="20"/>
        </w:rPr>
        <w:t>Changes in the deferred revenue balances arose as a result of the Company recognizing the following revenue from collaborative arrangements during the periods below:</w:t>
      </w:r>
    </w:p>
    <w:p w:rsidR="00000000" w:rsidRDefault="00B51E11">
      <w:pPr>
        <w:pStyle w:val="a3"/>
        <w:spacing w:before="0" w:beforeAutospacing="0" w:after="0" w:afterAutospacing="0"/>
        <w:ind w:firstLine="720"/>
        <w:divId w:val="432822109"/>
        <w:rPr>
          <w:sz w:val="20"/>
          <w:szCs w:val="20"/>
        </w:rPr>
      </w:pPr>
      <w:r>
        <w:rPr>
          <w:sz w:val="20"/>
          <w:szCs w:val="20"/>
        </w:rPr>
        <w:t>​</w:t>
      </w:r>
    </w:p>
    <w:p w:rsidR="00000000" w:rsidRDefault="00B51E11">
      <w:pPr>
        <w:pStyle w:val="a3"/>
        <w:spacing w:before="0" w:beforeAutospacing="0" w:after="0" w:afterAutospacing="0"/>
        <w:divId w:val="43282210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747"/>
        <w:gridCol w:w="144"/>
        <w:gridCol w:w="143"/>
        <w:gridCol w:w="584"/>
        <w:gridCol w:w="143"/>
        <w:gridCol w:w="143"/>
        <w:gridCol w:w="588"/>
        <w:gridCol w:w="143"/>
        <w:gridCol w:w="143"/>
        <w:gridCol w:w="620"/>
        <w:gridCol w:w="144"/>
        <w:gridCol w:w="144"/>
        <w:gridCol w:w="620"/>
      </w:tblGrid>
      <w:tr w:rsidR="00000000">
        <w:trPr>
          <w:divId w:val="432822109"/>
          <w:trHeight w:val="20"/>
        </w:trPr>
        <w:tc>
          <w:tcPr>
            <w:tcW w:w="2860" w:type="pct"/>
            <w:tcMar>
              <w:top w:w="0" w:type="dxa"/>
              <w:left w:w="0" w:type="dxa"/>
              <w:bottom w:w="0" w:type="dxa"/>
              <w:right w:w="0" w:type="dxa"/>
            </w:tcMar>
            <w:hideMark/>
          </w:tcPr>
          <w:p w:rsidR="00000000" w:rsidRDefault="00B51E11">
            <w:pPr>
              <w:pStyle w:val="a3"/>
              <w:spacing w:before="0" w:beforeAutospacing="0" w:after="0" w:afterAutospacing="0"/>
              <w:divId w:val="169372952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76399420"/>
              <w:rPr>
                <w:sz w:val="20"/>
                <w:szCs w:val="20"/>
              </w:rPr>
            </w:pPr>
            <w:r>
              <w:rPr>
                <w:sz w:val="2"/>
                <w:szCs w:val="2"/>
              </w:rPr>
              <w:t>​</w:t>
            </w:r>
          </w:p>
        </w:tc>
        <w:tc>
          <w:tcPr>
            <w:tcW w:w="90" w:type="pct"/>
            <w:tcMar>
              <w:top w:w="0" w:type="dxa"/>
              <w:left w:w="0" w:type="dxa"/>
              <w:bottom w:w="0" w:type="dxa"/>
              <w:right w:w="0" w:type="dxa"/>
            </w:tcMar>
            <w:vAlign w:val="bottom"/>
            <w:hideMark/>
          </w:tcPr>
          <w:p w:rsidR="00000000" w:rsidRDefault="00B51E11">
            <w:pPr>
              <w:pStyle w:val="a3"/>
              <w:spacing w:before="0" w:beforeAutospacing="0" w:after="0" w:afterAutospacing="0"/>
              <w:divId w:val="1325863157"/>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31049132"/>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95279582"/>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98656375"/>
              <w:rPr>
                <w:sz w:val="20"/>
                <w:szCs w:val="20"/>
              </w:rPr>
            </w:pPr>
            <w:r>
              <w:rPr>
                <w:sz w:val="2"/>
                <w:szCs w:val="2"/>
              </w:rPr>
              <w:t>​</w:t>
            </w:r>
          </w:p>
        </w:tc>
        <w:tc>
          <w:tcPr>
            <w:tcW w:w="356" w:type="pct"/>
            <w:tcMar>
              <w:top w:w="0" w:type="dxa"/>
              <w:left w:w="0" w:type="dxa"/>
              <w:bottom w:w="0" w:type="dxa"/>
              <w:right w:w="0" w:type="dxa"/>
            </w:tcMar>
            <w:vAlign w:val="bottom"/>
            <w:hideMark/>
          </w:tcPr>
          <w:p w:rsidR="00000000" w:rsidRDefault="00B51E11">
            <w:pPr>
              <w:pStyle w:val="a3"/>
              <w:spacing w:before="0" w:beforeAutospacing="0" w:after="0" w:afterAutospacing="0"/>
              <w:divId w:val="28790133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06816788"/>
              <w:rPr>
                <w:sz w:val="20"/>
                <w:szCs w:val="20"/>
              </w:rPr>
            </w:pPr>
            <w:r>
              <w:rPr>
                <w:sz w:val="2"/>
                <w:szCs w:val="2"/>
              </w:rPr>
              <w:t>​</w:t>
            </w:r>
          </w:p>
        </w:tc>
        <w:tc>
          <w:tcPr>
            <w:tcW w:w="90" w:type="pct"/>
            <w:tcMar>
              <w:top w:w="0" w:type="dxa"/>
              <w:left w:w="0" w:type="dxa"/>
              <w:bottom w:w="0" w:type="dxa"/>
              <w:right w:w="0" w:type="dxa"/>
            </w:tcMar>
            <w:vAlign w:val="bottom"/>
            <w:hideMark/>
          </w:tcPr>
          <w:p w:rsidR="00000000" w:rsidRDefault="00B51E11">
            <w:pPr>
              <w:pStyle w:val="a3"/>
              <w:spacing w:before="0" w:beforeAutospacing="0" w:after="0" w:afterAutospacing="0"/>
              <w:divId w:val="32313723"/>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439946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2023120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39870406"/>
              <w:rPr>
                <w:sz w:val="20"/>
                <w:szCs w:val="20"/>
              </w:rPr>
            </w:pPr>
            <w:r>
              <w:rPr>
                <w:sz w:val="2"/>
                <w:szCs w:val="2"/>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divId w:val="849178872"/>
              <w:rPr>
                <w:sz w:val="20"/>
                <w:szCs w:val="20"/>
              </w:rPr>
            </w:pPr>
            <w:r>
              <w:rPr>
                <w:sz w:val="2"/>
                <w:szCs w:val="2"/>
              </w:rPr>
              <w:t>​</w:t>
            </w:r>
          </w:p>
        </w:tc>
      </w:tr>
      <w:tr w:rsidR="00000000">
        <w:trPr>
          <w:divId w:val="432822109"/>
        </w:trPr>
        <w:tc>
          <w:tcPr>
            <w:tcW w:w="286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4"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9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2"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r>
      <w:tr w:rsidR="00000000">
        <w:trPr>
          <w:divId w:val="432822109"/>
        </w:trPr>
        <w:tc>
          <w:tcPr>
            <w:tcW w:w="286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972"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r>
      <w:tr w:rsidR="00000000">
        <w:trPr>
          <w:divId w:val="432822109"/>
        </w:trPr>
        <w:tc>
          <w:tcPr>
            <w:tcW w:w="2860"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35"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r>
      <w:tr w:rsidR="00000000">
        <w:trPr>
          <w:divId w:val="432822109"/>
        </w:trPr>
        <w:tc>
          <w:tcPr>
            <w:tcW w:w="286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b/>
                <w:bCs/>
                <w:sz w:val="20"/>
                <w:szCs w:val="20"/>
              </w:rPr>
              <w:t>Collaboration revenue recognized in the period from:</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2"/>
                <w:szCs w:val="22"/>
              </w:rPr>
              <w:t>​</w:t>
            </w:r>
          </w:p>
        </w:tc>
        <w:tc>
          <w:tcPr>
            <w:tcW w:w="35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2"/>
                <w:szCs w:val="22"/>
              </w:rPr>
              <w:t>​</w:t>
            </w:r>
          </w:p>
        </w:tc>
        <w:tc>
          <w:tcPr>
            <w:tcW w:w="344"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r>
      <w:tr w:rsidR="00000000">
        <w:trPr>
          <w:divId w:val="432822109"/>
        </w:trPr>
        <w:tc>
          <w:tcPr>
            <w:tcW w:w="2860" w:type="pct"/>
            <w:shd w:val="clear" w:color="auto" w:fill="CCEEFF"/>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Amounts included in d</w:t>
            </w:r>
            <w:r>
              <w:rPr>
                <w:sz w:val="20"/>
                <w:szCs w:val="20"/>
              </w:rPr>
              <w:t>eferred revenue at the beginning of the period</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7,261</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8,836</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19,381</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4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21,661</w:t>
            </w:r>
          </w:p>
        </w:tc>
      </w:tr>
      <w:tr w:rsidR="00000000">
        <w:trPr>
          <w:divId w:val="432822109"/>
        </w:trPr>
        <w:tc>
          <w:tcPr>
            <w:tcW w:w="286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Performance obligations satisfied in previous period</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2"/>
                <w:szCs w:val="2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2"/>
                <w:szCs w:val="2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44"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r>
    </w:tbl>
    <w:p w:rsidR="00000000" w:rsidRDefault="00B51E11">
      <w:pPr>
        <w:pStyle w:val="a3"/>
        <w:spacing w:before="0" w:beforeAutospacing="0" w:after="0" w:afterAutospacing="0"/>
        <w:divId w:val="432822109"/>
        <w:rPr>
          <w:sz w:val="20"/>
          <w:szCs w:val="20"/>
        </w:rPr>
      </w:pPr>
      <w:r>
        <w:rPr>
          <w:sz w:val="2"/>
          <w:szCs w:val="2"/>
        </w:rPr>
        <w:t>​</w:t>
      </w:r>
    </w:p>
    <w:p w:rsidR="00000000" w:rsidRDefault="00B51E11">
      <w:pPr>
        <w:pStyle w:val="a3"/>
        <w:spacing w:before="240" w:beforeAutospacing="0" w:after="0" w:afterAutospacing="0"/>
        <w:divId w:val="432822109"/>
        <w:rPr>
          <w:sz w:val="20"/>
          <w:szCs w:val="20"/>
        </w:rPr>
      </w:pPr>
      <w:r>
        <w:rPr>
          <w:b/>
          <w:bCs/>
          <w:i/>
          <w:iCs/>
          <w:sz w:val="20"/>
          <w:szCs w:val="20"/>
        </w:rPr>
        <w:t>Janssen Biotech</w:t>
      </w:r>
    </w:p>
    <w:p w:rsidR="00000000" w:rsidRDefault="00B51E11">
      <w:pPr>
        <w:pStyle w:val="a3"/>
        <w:spacing w:before="0" w:beforeAutospacing="0" w:after="0" w:afterAutospacing="0"/>
        <w:divId w:val="432822109"/>
        <w:rPr>
          <w:sz w:val="20"/>
          <w:szCs w:val="20"/>
        </w:rPr>
      </w:pPr>
      <w:r>
        <w:rPr>
          <w:sz w:val="10"/>
          <w:szCs w:val="10"/>
        </w:rPr>
        <w:t>​</w:t>
      </w:r>
    </w:p>
    <w:p w:rsidR="00000000" w:rsidRDefault="00B51E11">
      <w:pPr>
        <w:pStyle w:val="a3"/>
        <w:spacing w:before="0" w:beforeAutospacing="0" w:after="0" w:afterAutospacing="0"/>
        <w:ind w:firstLine="720"/>
        <w:divId w:val="432822109"/>
        <w:rPr>
          <w:sz w:val="20"/>
          <w:szCs w:val="20"/>
        </w:rPr>
      </w:pPr>
      <w:r>
        <w:rPr>
          <w:sz w:val="20"/>
          <w:szCs w:val="20"/>
        </w:rPr>
        <w:t>In February 2018, the Company entered into a global co-development and commercialization agreement with Janssen Biotech, Inc. (“Janssen”) for TD-1473 and related back-up compounds for inflammatory intestinal diseases, including ulcerative colitis and Crohn</w:t>
      </w:r>
      <w:r>
        <w:rPr>
          <w:sz w:val="20"/>
          <w:szCs w:val="20"/>
        </w:rPr>
        <w:t>’s disease (the “Janssen Agreement”). Under the terms of the Janssen Agreement, the Company received an upfront payment of $100.0 million. The Company is conducting a Phase 2 (DIONE) study of TD-1473 in Crohn’s disease and a Phase 2b/3 (RHEA) induction and</w:t>
      </w:r>
      <w:r>
        <w:rPr>
          <w:sz w:val="20"/>
          <w:szCs w:val="20"/>
        </w:rPr>
        <w:t xml:space="preserve"> maintenance study of TD-1473 in ulcerative colitis.</w:t>
      </w:r>
      <w:r>
        <w:rPr>
          <w:i/>
          <w:iCs/>
          <w:sz w:val="20"/>
          <w:szCs w:val="20"/>
        </w:rPr>
        <w:t xml:space="preserve"> </w:t>
      </w:r>
      <w:r>
        <w:rPr>
          <w:sz w:val="20"/>
          <w:szCs w:val="20"/>
        </w:rPr>
        <w:t xml:space="preserve">Following the initial Phase 2 development period, including the completion of the Phase 2 Crohn’s study and the Phase 2b induction portion of the ulcerative colitis study, Janssen can elect to obtain an </w:t>
      </w:r>
      <w:r>
        <w:rPr>
          <w:sz w:val="20"/>
          <w:szCs w:val="20"/>
        </w:rPr>
        <w:t>exclusive license to develop and commercialize TD-1473 and certain related back-up compounds by paying the Company a fee of $200.0 million. Upon any such election, the Company and Janssen will jointly develop and commercialize TD-1473 in inflammatory intes</w:t>
      </w:r>
      <w:r>
        <w:rPr>
          <w:sz w:val="20"/>
          <w:szCs w:val="20"/>
        </w:rPr>
        <w:t>tinal diseases and share profits in the US and expenses related to Phase 3 development and registration activities (67% to Janssen; 33% to Theravance Biopharma). The Company would receive royalties on ex-US sales at double-digit tiered percentage royalty r</w:t>
      </w:r>
      <w:r>
        <w:rPr>
          <w:sz w:val="20"/>
          <w:szCs w:val="20"/>
        </w:rPr>
        <w:t>ates, and the Company would be eligible to receive up to an additional $700.0 million in development and commercialization milestone payments from Janssen.</w:t>
      </w:r>
    </w:p>
    <w:p w:rsidR="00000000" w:rsidRDefault="00B51E11">
      <w:pPr>
        <w:pStyle w:val="a3"/>
        <w:spacing w:before="0" w:beforeAutospacing="0" w:after="0" w:afterAutospacing="0"/>
        <w:ind w:firstLine="720"/>
        <w:divId w:val="432822109"/>
        <w:rPr>
          <w:sz w:val="20"/>
          <w:szCs w:val="20"/>
        </w:rPr>
      </w:pPr>
      <w:r>
        <w:rPr>
          <w:sz w:val="20"/>
          <w:szCs w:val="20"/>
        </w:rPr>
        <w:t>​</w:t>
      </w:r>
    </w:p>
    <w:p w:rsidR="00000000" w:rsidRDefault="00B51E11">
      <w:pPr>
        <w:pStyle w:val="a3"/>
        <w:spacing w:before="0" w:beforeAutospacing="0" w:after="0" w:afterAutospacing="0"/>
        <w:ind w:firstLine="720"/>
        <w:divId w:val="432822109"/>
        <w:rPr>
          <w:sz w:val="20"/>
          <w:szCs w:val="20"/>
        </w:rPr>
      </w:pPr>
      <w:r>
        <w:rPr>
          <w:sz w:val="20"/>
          <w:szCs w:val="20"/>
        </w:rPr>
        <w:t>The Janssen Agreement is considered to be within the scope of Accounting Standards Codification, T</w:t>
      </w:r>
      <w:r>
        <w:rPr>
          <w:sz w:val="20"/>
          <w:szCs w:val="20"/>
        </w:rPr>
        <w:t xml:space="preserve">opic 808, </w:t>
      </w:r>
      <w:r>
        <w:rPr>
          <w:i/>
          <w:iCs/>
          <w:sz w:val="20"/>
          <w:szCs w:val="20"/>
        </w:rPr>
        <w:t xml:space="preserve">Collaborative Arrangements </w:t>
      </w:r>
      <w:r>
        <w:rPr>
          <w:sz w:val="20"/>
          <w:szCs w:val="20"/>
        </w:rPr>
        <w:t xml:space="preserve">(“ASC 808”), as the parties are active participants and exposed to the risks and rewards of the collaborative activity. The Company evaluated the terms of the Janssen Agreement and determined it is partially within the </w:t>
      </w:r>
      <w:r>
        <w:rPr>
          <w:sz w:val="20"/>
          <w:szCs w:val="20"/>
        </w:rPr>
        <w:t xml:space="preserve">scope of Accounting Standards Codification, Topic 606, </w:t>
      </w:r>
      <w:r>
        <w:rPr>
          <w:i/>
          <w:iCs/>
          <w:sz w:val="20"/>
          <w:szCs w:val="20"/>
        </w:rPr>
        <w:t>Revenue from Contracts with Customers</w:t>
      </w:r>
      <w:r>
        <w:rPr>
          <w:sz w:val="20"/>
          <w:szCs w:val="20"/>
        </w:rPr>
        <w:t xml:space="preserve"> (“ASC 606”) as the research and development activities to be performed through the initial Phase 2 development period of the collaborative arrangement are consider</w:t>
      </w:r>
      <w:r>
        <w:rPr>
          <w:sz w:val="20"/>
          <w:szCs w:val="20"/>
        </w:rPr>
        <w:t>ed to be part of the Company’s ordinary activities. The Company has identified research and development activities as its only performance obligation. The Company further determined that the transaction price under the arrangement was the $100.0 million up</w:t>
      </w:r>
      <w:r>
        <w:rPr>
          <w:sz w:val="20"/>
          <w:szCs w:val="20"/>
        </w:rPr>
        <w:t>front payment which was allocated to the single performance obligation.</w:t>
      </w:r>
    </w:p>
    <w:p w:rsidR="00000000" w:rsidRDefault="00B51E11">
      <w:pPr>
        <w:pStyle w:val="a3"/>
        <w:spacing w:before="0" w:beforeAutospacing="0" w:after="0" w:afterAutospacing="0"/>
        <w:divId w:val="432822109"/>
        <w:rPr>
          <w:sz w:val="20"/>
          <w:szCs w:val="20"/>
        </w:rPr>
      </w:pPr>
      <w:r>
        <w:rPr>
          <w:sz w:val="20"/>
          <w:szCs w:val="20"/>
        </w:rPr>
        <w:t>​</w:t>
      </w:r>
    </w:p>
    <w:p w:rsidR="00000000" w:rsidRDefault="00B51E11">
      <w:pPr>
        <w:pStyle w:val="a3"/>
        <w:spacing w:before="0" w:beforeAutospacing="0" w:after="0" w:afterAutospacing="0"/>
        <w:ind w:firstLine="720"/>
        <w:divId w:val="432822109"/>
        <w:rPr>
          <w:sz w:val="20"/>
          <w:szCs w:val="20"/>
        </w:rPr>
      </w:pPr>
      <w:r>
        <w:rPr>
          <w:sz w:val="20"/>
          <w:szCs w:val="20"/>
        </w:rPr>
        <w:t>The $900.0 million in future potential payments, inclusive of the $200.0 million opt-in fee and $700.0 million future development and commercialization milestones, is considered vari</w:t>
      </w:r>
      <w:r>
        <w:rPr>
          <w:sz w:val="20"/>
          <w:szCs w:val="20"/>
        </w:rPr>
        <w:t>able consideration if Janssen elects to remain in the collaboration arrangement following completion of the initial Phase 2 development period, as described above and, as such, was not included in the transaction price, as the potential payments were all d</w:t>
      </w:r>
      <w:r>
        <w:rPr>
          <w:sz w:val="20"/>
          <w:szCs w:val="20"/>
        </w:rPr>
        <w:t xml:space="preserve">etermined to be fully constrained under ASC </w:t>
      </w:r>
    </w:p>
    <w:p w:rsidR="00000000" w:rsidRDefault="00B51E11">
      <w:pPr>
        <w:pStyle w:val="a3"/>
        <w:spacing w:before="360" w:beforeAutospacing="0" w:after="0" w:afterAutospacing="0"/>
        <w:jc w:val="center"/>
        <w:divId w:val="726491726"/>
        <w:rPr>
          <w:sz w:val="20"/>
          <w:szCs w:val="20"/>
        </w:rPr>
      </w:pPr>
      <w:r>
        <w:rPr>
          <w:sz w:val="20"/>
          <w:szCs w:val="20"/>
        </w:rPr>
        <w:t>10</w:t>
      </w:r>
    </w:p>
    <w:p w:rsidR="00000000" w:rsidRDefault="00B51E11">
      <w:pPr>
        <w:pStyle w:val="a3"/>
        <w:spacing w:before="0" w:beforeAutospacing="0" w:after="600" w:afterAutospacing="0"/>
        <w:divId w:val="1493443843"/>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61872546"/>
        <w:rPr>
          <w:sz w:val="20"/>
          <w:szCs w:val="20"/>
        </w:rPr>
      </w:pPr>
      <w:r>
        <w:rPr>
          <w:sz w:val="20"/>
          <w:szCs w:val="20"/>
        </w:rPr>
        <w:t>606. As part of the Company’</w:t>
      </w:r>
      <w:r>
        <w:rPr>
          <w:sz w:val="20"/>
          <w:szCs w:val="20"/>
        </w:rPr>
        <w:t>s evaluation of this variable consideration constraint, it determined that the potential payments are contingent upon developmental and regulatory milestones that are uncertain and are highly susceptible to factors outside of its control. The Company expec</w:t>
      </w:r>
      <w:r>
        <w:rPr>
          <w:sz w:val="20"/>
          <w:szCs w:val="20"/>
        </w:rPr>
        <w:t>ts that any consideration related to royalties and sales-based milestones will be recognized when the subsequent sales occur.</w:t>
      </w:r>
      <w:r>
        <w:rPr>
          <w:sz w:val="20"/>
          <w:szCs w:val="20"/>
        </w:rPr>
        <w:t xml:space="preserve"> </w:t>
      </w:r>
    </w:p>
    <w:p w:rsidR="00000000" w:rsidRDefault="00B51E11">
      <w:pPr>
        <w:pStyle w:val="a3"/>
        <w:spacing w:before="0" w:beforeAutospacing="0" w:after="0" w:afterAutospacing="0"/>
        <w:divId w:val="61872546"/>
        <w:rPr>
          <w:sz w:val="20"/>
          <w:szCs w:val="20"/>
        </w:rPr>
      </w:pPr>
      <w:r>
        <w:rPr>
          <w:sz w:val="20"/>
          <w:szCs w:val="20"/>
        </w:rPr>
        <w:t>​</w:t>
      </w:r>
    </w:p>
    <w:p w:rsidR="00000000" w:rsidRDefault="00B51E11">
      <w:pPr>
        <w:pStyle w:val="a3"/>
        <w:spacing w:before="0" w:beforeAutospacing="0" w:after="0" w:afterAutospacing="0"/>
        <w:ind w:firstLine="720"/>
        <w:divId w:val="61872546"/>
        <w:rPr>
          <w:sz w:val="20"/>
          <w:szCs w:val="20"/>
        </w:rPr>
      </w:pPr>
      <w:r>
        <w:rPr>
          <w:sz w:val="20"/>
          <w:szCs w:val="20"/>
        </w:rPr>
        <w:t>For the three and nine months ended September 30, 2020, the Company recognized $7.3 million and $19.4 million, respectively, as</w:t>
      </w:r>
      <w:r>
        <w:rPr>
          <w:sz w:val="20"/>
          <w:szCs w:val="20"/>
        </w:rPr>
        <w:t xml:space="preserve"> revenue from collaboration arrangements related to the Janssen Agreement. The remaining transaction price of $18.5 million, related to the $100.0 million upfront payment, was recorded in deferred revenue on the condensed consolidated balance sheets and is</w:t>
      </w:r>
      <w:r>
        <w:rPr>
          <w:sz w:val="20"/>
          <w:szCs w:val="20"/>
        </w:rPr>
        <w:t xml:space="preserve"> expected to be recognized as collaboration revenue as the research and development services are delivered over the initial Phase 2 development period. Collaboration revenue is recognized for the research and development services based on a measure of the </w:t>
      </w:r>
      <w:r>
        <w:rPr>
          <w:sz w:val="20"/>
          <w:szCs w:val="20"/>
        </w:rPr>
        <w:t xml:space="preserve">Company’s efforts toward satisfying the performance obligation relative to the total expected efforts or inputs to satisfy the performance obligation (e.g., costs incurred compared to total budget). Consequently, delays in trial activity and/or changes to </w:t>
      </w:r>
      <w:r>
        <w:rPr>
          <w:sz w:val="20"/>
          <w:szCs w:val="20"/>
        </w:rPr>
        <w:t>the total budget will impact the timing and amount of revenue recognized in any given reporting period. For the three and nine months ended September 30, 2020, the Company incurred $9.8 million and $29.0 million, respectively, in research and development c</w:t>
      </w:r>
      <w:r>
        <w:rPr>
          <w:sz w:val="20"/>
          <w:szCs w:val="20"/>
        </w:rPr>
        <w:t>osts related to the Janssen Agreement. For the three and nine months ended September 30, 2019, the Company incurred $11.5 million and $29.1 million, respectively, in research and development costs related to the Janssen Agreement. In future reporting perio</w:t>
      </w:r>
      <w:r>
        <w:rPr>
          <w:sz w:val="20"/>
          <w:szCs w:val="20"/>
        </w:rPr>
        <w:t>ds, the Company will reevaluate the estimates related to its efforts towards satisfying the performance obligation and may record a change in estimate if deemed necessary.</w:t>
      </w:r>
    </w:p>
    <w:p w:rsidR="00000000" w:rsidRDefault="00B51E11">
      <w:pPr>
        <w:pStyle w:val="a3"/>
        <w:spacing w:before="0" w:beforeAutospacing="0" w:after="0" w:afterAutospacing="0"/>
        <w:divId w:val="61872546"/>
        <w:rPr>
          <w:sz w:val="20"/>
          <w:szCs w:val="20"/>
        </w:rPr>
      </w:pPr>
      <w:r>
        <w:rPr>
          <w:sz w:val="20"/>
          <w:szCs w:val="20"/>
        </w:rPr>
        <w:t>​</w:t>
      </w:r>
    </w:p>
    <w:p w:rsidR="00000000" w:rsidRDefault="00B51E11">
      <w:pPr>
        <w:pStyle w:val="a3"/>
        <w:shd w:val="clear" w:color="auto" w:fill="FFFFFF"/>
        <w:spacing w:before="0" w:beforeAutospacing="0" w:after="0" w:afterAutospacing="0"/>
        <w:divId w:val="61872546"/>
        <w:rPr>
          <w:sz w:val="20"/>
          <w:szCs w:val="20"/>
        </w:rPr>
      </w:pPr>
      <w:r>
        <w:rPr>
          <w:b/>
          <w:bCs/>
          <w:i/>
          <w:iCs/>
          <w:sz w:val="20"/>
          <w:szCs w:val="20"/>
        </w:rPr>
        <w:t>Mylan</w:t>
      </w:r>
    </w:p>
    <w:p w:rsidR="00000000" w:rsidRDefault="00B51E11">
      <w:pPr>
        <w:pStyle w:val="a3"/>
        <w:shd w:val="clear" w:color="auto" w:fill="FFFFFF"/>
        <w:spacing w:before="0" w:beforeAutospacing="0" w:after="0" w:afterAutospacing="0"/>
        <w:divId w:val="61872546"/>
        <w:rPr>
          <w:sz w:val="20"/>
          <w:szCs w:val="20"/>
        </w:rPr>
      </w:pPr>
      <w:r>
        <w:rPr>
          <w:rFonts w:ascii="Times" w:hAnsi="Times"/>
          <w:b/>
          <w:bCs/>
          <w:i/>
          <w:iCs/>
          <w:sz w:val="10"/>
          <w:szCs w:val="10"/>
        </w:rPr>
        <w:t>​</w:t>
      </w:r>
    </w:p>
    <w:p w:rsidR="00000000" w:rsidRDefault="00B51E11">
      <w:pPr>
        <w:pStyle w:val="a3"/>
        <w:spacing w:before="0" w:beforeAutospacing="0" w:after="0" w:afterAutospacing="0"/>
        <w:ind w:firstLine="720"/>
        <w:divId w:val="61872546"/>
        <w:rPr>
          <w:sz w:val="20"/>
          <w:szCs w:val="20"/>
        </w:rPr>
      </w:pPr>
      <w:r>
        <w:rPr>
          <w:sz w:val="20"/>
          <w:szCs w:val="20"/>
        </w:rPr>
        <w:t>In January 2015, the Company and Mylan Ireland Limited (“Mylan”) establish</w:t>
      </w:r>
      <w:r>
        <w:rPr>
          <w:sz w:val="20"/>
          <w:szCs w:val="20"/>
        </w:rPr>
        <w:t>ed a strategic collaboration (the “Mylan Agreement”) for the development and commercialization of revefenacin, including YUPELR</w:t>
      </w:r>
      <w:r>
        <w:rPr>
          <w:sz w:val="20"/>
          <w:szCs w:val="20"/>
        </w:rPr>
        <w:t>I</w:t>
      </w:r>
      <w:r>
        <w:rPr>
          <w:sz w:val="15"/>
          <w:szCs w:val="15"/>
          <w:vertAlign w:val="superscript"/>
        </w:rPr>
        <w:t>®</w:t>
      </w:r>
      <w:r>
        <w:rPr>
          <w:sz w:val="20"/>
          <w:szCs w:val="20"/>
        </w:rPr>
        <w:t xml:space="preserve"> (revefenacin) inhalation solution. The Company entered into the collaboration to expand the breadth of its revefenacin develop</w:t>
      </w:r>
      <w:r>
        <w:rPr>
          <w:sz w:val="20"/>
          <w:szCs w:val="20"/>
        </w:rPr>
        <w:t>ment program and extend its commercial reach beyond the hospital setting.</w:t>
      </w:r>
    </w:p>
    <w:p w:rsidR="00000000" w:rsidRDefault="00B51E11">
      <w:pPr>
        <w:pStyle w:val="a3"/>
        <w:spacing w:before="0" w:beforeAutospacing="0" w:after="0" w:afterAutospacing="0"/>
        <w:divId w:val="61872546"/>
        <w:rPr>
          <w:sz w:val="20"/>
          <w:szCs w:val="20"/>
        </w:rPr>
      </w:pPr>
      <w:r>
        <w:rPr>
          <w:sz w:val="20"/>
          <w:szCs w:val="20"/>
        </w:rPr>
        <w:t>​</w:t>
      </w:r>
    </w:p>
    <w:p w:rsidR="00000000" w:rsidRDefault="00B51E11">
      <w:pPr>
        <w:pStyle w:val="a3"/>
        <w:spacing w:before="0" w:beforeAutospacing="0" w:after="0" w:afterAutospacing="0"/>
        <w:ind w:firstLine="720"/>
        <w:divId w:val="61872546"/>
        <w:rPr>
          <w:sz w:val="20"/>
          <w:szCs w:val="20"/>
        </w:rPr>
      </w:pPr>
      <w:r>
        <w:rPr>
          <w:sz w:val="20"/>
          <w:szCs w:val="20"/>
        </w:rPr>
        <w:t>Under the Mylan Agreement, Mylan paid the Company an upfront fee of $15.0 million for the delivery of the revefenacin license in 2015 and, in 2016, Mylan paid the Company a milesto</w:t>
      </w:r>
      <w:r>
        <w:rPr>
          <w:sz w:val="20"/>
          <w:szCs w:val="20"/>
        </w:rPr>
        <w:t xml:space="preserve">ne payment of $15.0 million for the achievement of 50% enrollment in the related Phase 3 twelve-month safety study. </w:t>
      </w:r>
    </w:p>
    <w:p w:rsidR="00000000" w:rsidRDefault="00B51E11">
      <w:pPr>
        <w:pStyle w:val="a3"/>
        <w:spacing w:before="0" w:beforeAutospacing="0" w:after="0" w:afterAutospacing="0"/>
        <w:divId w:val="61872546"/>
        <w:rPr>
          <w:sz w:val="20"/>
          <w:szCs w:val="20"/>
        </w:rPr>
      </w:pPr>
      <w:r>
        <w:rPr>
          <w:sz w:val="20"/>
          <w:szCs w:val="20"/>
        </w:rPr>
        <w:t>​</w:t>
      </w:r>
    </w:p>
    <w:p w:rsidR="00000000" w:rsidRDefault="00B51E11">
      <w:pPr>
        <w:pStyle w:val="a3"/>
        <w:spacing w:before="0" w:beforeAutospacing="0" w:after="0" w:afterAutospacing="0"/>
        <w:ind w:firstLine="720"/>
        <w:divId w:val="61872546"/>
        <w:rPr>
          <w:sz w:val="20"/>
          <w:szCs w:val="20"/>
        </w:rPr>
      </w:pPr>
      <w:r>
        <w:rPr>
          <w:sz w:val="20"/>
          <w:szCs w:val="20"/>
        </w:rPr>
        <w:t>As of September 30, 2020, excluding the aggregate $30.0 million payment noted above, the Company is eligible to receive from Mylan potent</w:t>
      </w:r>
      <w:r>
        <w:rPr>
          <w:sz w:val="20"/>
          <w:szCs w:val="20"/>
        </w:rPr>
        <w:t xml:space="preserve">ial global (ex-China and </w:t>
      </w:r>
      <w:r>
        <w:rPr>
          <w:sz w:val="20"/>
          <w:szCs w:val="20"/>
          <w:shd w:val="clear" w:color="auto" w:fill="FFFFFF"/>
        </w:rPr>
        <w:t>adjacent territories)</w:t>
      </w:r>
      <w:r>
        <w:rPr>
          <w:sz w:val="20"/>
          <w:szCs w:val="20"/>
        </w:rPr>
        <w:t xml:space="preserve"> development, regulatory and sales milestone payments totaling up to $205.0 million in the aggregate, with $160.0 million associated with YUPELRI monotherapy, and $45.0 million associated with future potential </w:t>
      </w:r>
      <w:r>
        <w:rPr>
          <w:sz w:val="20"/>
          <w:szCs w:val="20"/>
        </w:rPr>
        <w:t>combination products. Of the $160.0 million associated with monotherapy, $150.0 million relates to sales milestones based on achieving certain levels of net sales and $10.0 million relates to regulatory actions in the European Union (“EU”). The $45.0 milli</w:t>
      </w:r>
      <w:r>
        <w:rPr>
          <w:sz w:val="20"/>
          <w:szCs w:val="20"/>
        </w:rPr>
        <w:t>on associated with future potential combination products relates solely to development and regulatory actions.</w:t>
      </w:r>
    </w:p>
    <w:p w:rsidR="00000000" w:rsidRDefault="00B51E11">
      <w:pPr>
        <w:pStyle w:val="a3"/>
        <w:spacing w:before="0" w:beforeAutospacing="0" w:after="0" w:afterAutospacing="0"/>
        <w:ind w:firstLine="720"/>
        <w:divId w:val="61872546"/>
        <w:rPr>
          <w:sz w:val="20"/>
          <w:szCs w:val="20"/>
        </w:rPr>
      </w:pPr>
      <w:r>
        <w:rPr>
          <w:sz w:val="20"/>
          <w:szCs w:val="20"/>
        </w:rPr>
        <w:t>​</w:t>
      </w:r>
    </w:p>
    <w:p w:rsidR="00000000" w:rsidRDefault="00B51E11">
      <w:pPr>
        <w:pStyle w:val="a3"/>
        <w:spacing w:before="0" w:beforeAutospacing="0" w:after="0" w:afterAutospacing="0"/>
        <w:ind w:firstLine="720"/>
        <w:divId w:val="61872546"/>
        <w:rPr>
          <w:sz w:val="20"/>
          <w:szCs w:val="20"/>
        </w:rPr>
      </w:pPr>
      <w:r>
        <w:rPr>
          <w:sz w:val="20"/>
          <w:szCs w:val="20"/>
        </w:rPr>
        <w:t>The Mylan Agreement is considered to be within the scope of ASC 808 and partially within the scope of ASC 606, as the parties are active partic</w:t>
      </w:r>
      <w:r>
        <w:rPr>
          <w:sz w:val="20"/>
          <w:szCs w:val="20"/>
        </w:rPr>
        <w:t>ipants and exposed to the risks and rewards of the collaborative activity with a unit of account provided to Mylan as a customer. Under the terms of the Mylan Agreement, Mylan was responsible for reimbursement of the Company’s costs related to the registra</w:t>
      </w:r>
      <w:r>
        <w:rPr>
          <w:sz w:val="20"/>
          <w:szCs w:val="20"/>
        </w:rPr>
        <w:t>tional program up until the approval of the first new drug application in November 2018, thereafter, R&amp;D expenses are shared. Performing R&amp;D services for reimbursement is considered to be a collaborative activity under the scope of ASC 808. Reimbursable pr</w:t>
      </w:r>
      <w:r>
        <w:rPr>
          <w:sz w:val="20"/>
          <w:szCs w:val="20"/>
        </w:rPr>
        <w:t>ogram costs are recognized proportionately with the performance of the underlying services and accounted for as reductions to R&amp;D expense. For this unit of account, the Company did not recognize revenue or analogize to ASC 606 and, as such, the reimbursabl</w:t>
      </w:r>
      <w:r>
        <w:rPr>
          <w:sz w:val="20"/>
          <w:szCs w:val="20"/>
        </w:rPr>
        <w:t>e program costs are excluded from the transaction price.</w:t>
      </w:r>
    </w:p>
    <w:p w:rsidR="00000000" w:rsidRDefault="00B51E11">
      <w:pPr>
        <w:pStyle w:val="a3"/>
        <w:spacing w:before="0" w:beforeAutospacing="0" w:after="0" w:afterAutospacing="0"/>
        <w:divId w:val="61872546"/>
        <w:rPr>
          <w:sz w:val="20"/>
          <w:szCs w:val="20"/>
        </w:rPr>
      </w:pPr>
      <w:r>
        <w:rPr>
          <w:sz w:val="20"/>
          <w:szCs w:val="20"/>
        </w:rPr>
        <w:t>​</w:t>
      </w:r>
    </w:p>
    <w:p w:rsidR="00000000" w:rsidRDefault="00B51E11">
      <w:pPr>
        <w:pStyle w:val="a3"/>
        <w:spacing w:before="0" w:beforeAutospacing="0" w:after="0" w:afterAutospacing="0"/>
        <w:ind w:firstLine="720"/>
        <w:divId w:val="61872546"/>
        <w:rPr>
          <w:sz w:val="20"/>
          <w:szCs w:val="20"/>
        </w:rPr>
      </w:pPr>
      <w:r>
        <w:rPr>
          <w:sz w:val="20"/>
          <w:szCs w:val="20"/>
        </w:rPr>
        <w:t>The Company determined the license to develop and commercialize revefenacin to be a unit of account for which Mylan is a customer and a separate performance obligation. The joint steering committee</w:t>
      </w:r>
      <w:r>
        <w:rPr>
          <w:sz w:val="20"/>
          <w:szCs w:val="20"/>
        </w:rPr>
        <w:t xml:space="preserve"> participation was also determined to be a performance obligation for which the Company analogized to ASC 606 to recognize revenue. Using the concepts from ASC 606, the Company further determined that the transaction price under the arrangement was compris</w:t>
      </w:r>
      <w:r>
        <w:rPr>
          <w:sz w:val="20"/>
          <w:szCs w:val="20"/>
        </w:rPr>
        <w:t>ed of the following: (1) $15.0 million upfront license fee received in 2015; (2) $4.2 million premium received in 2015 related to an ordinary share purchase agreement with Mylan; and (3) $15.0 million milestone for 50% enrollment in the Phase 3 twelve</w:t>
      </w:r>
      <w:r>
        <w:rPr>
          <w:sz w:val="20"/>
          <w:szCs w:val="20"/>
        </w:rPr>
        <w:t>-</w:t>
      </w:r>
    </w:p>
    <w:p w:rsidR="00000000" w:rsidRDefault="00B51E11">
      <w:pPr>
        <w:pStyle w:val="a3"/>
        <w:spacing w:before="360" w:beforeAutospacing="0" w:after="0" w:afterAutospacing="0"/>
        <w:jc w:val="center"/>
        <w:divId w:val="2049721849"/>
        <w:rPr>
          <w:sz w:val="20"/>
          <w:szCs w:val="20"/>
        </w:rPr>
      </w:pPr>
      <w:r>
        <w:rPr>
          <w:sz w:val="20"/>
          <w:szCs w:val="20"/>
        </w:rPr>
        <w:t>11</w:t>
      </w:r>
    </w:p>
    <w:p w:rsidR="00000000" w:rsidRDefault="00B51E11">
      <w:pPr>
        <w:pStyle w:val="a3"/>
        <w:spacing w:before="0" w:beforeAutospacing="0" w:after="600" w:afterAutospacing="0"/>
        <w:divId w:val="928974361"/>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2089033437"/>
        <w:rPr>
          <w:sz w:val="20"/>
          <w:szCs w:val="20"/>
        </w:rPr>
      </w:pPr>
      <w:r>
        <w:rPr>
          <w:sz w:val="20"/>
          <w:szCs w:val="20"/>
        </w:rPr>
        <w:t xml:space="preserve">month safety study received in 2016. The total transaction price of $34.2 million was allocated to the two performance obligations based on the Company’s best estimate of the relative stand-alone selling prices. </w:t>
      </w:r>
      <w:r>
        <w:rPr>
          <w:sz w:val="20"/>
          <w:szCs w:val="20"/>
        </w:rPr>
        <w:t>For the delivery of the license, the Company based the stand-alone selling price on a discounted cash flow approach and considered several factors including, but not limited to: discount rate, development timeline, regulatory risks, estimated market demand</w:t>
      </w:r>
      <w:r>
        <w:rPr>
          <w:sz w:val="20"/>
          <w:szCs w:val="20"/>
        </w:rPr>
        <w:t xml:space="preserve"> and future revenue potential. For the committee participation, the Company based the stand-alone selling price on the average compensation of its committee members estimated to be incurred over the performance period. The Company expects to recognize coll</w:t>
      </w:r>
      <w:r>
        <w:rPr>
          <w:sz w:val="20"/>
          <w:szCs w:val="20"/>
        </w:rPr>
        <w:t>aboration revenue from the committee participation ratably over the performance period of approximately</w:t>
      </w:r>
      <w:r>
        <w:rPr>
          <w:sz w:val="20"/>
          <w:szCs w:val="20"/>
        </w:rPr>
        <w:t xml:space="preserve"> </w:t>
      </w:r>
      <w:r>
        <w:rPr>
          <w:sz w:val="20"/>
          <w:szCs w:val="20"/>
        </w:rPr>
        <w:t>seventeen year</w:t>
      </w:r>
      <w:r>
        <w:rPr>
          <w:sz w:val="20"/>
          <w:szCs w:val="20"/>
        </w:rPr>
        <w:t>s</w:t>
      </w:r>
      <w:r>
        <w:rPr>
          <w:sz w:val="20"/>
          <w:szCs w:val="20"/>
        </w:rPr>
        <w:t>.</w:t>
      </w:r>
    </w:p>
    <w:p w:rsidR="00000000" w:rsidRDefault="00B51E11">
      <w:pPr>
        <w:pStyle w:val="a3"/>
        <w:spacing w:before="0" w:beforeAutospacing="0" w:after="0" w:afterAutospacing="0"/>
        <w:divId w:val="2089033437"/>
        <w:rPr>
          <w:sz w:val="20"/>
          <w:szCs w:val="20"/>
        </w:rPr>
      </w:pPr>
      <w:r>
        <w:rPr>
          <w:sz w:val="20"/>
          <w:szCs w:val="20"/>
        </w:rPr>
        <w:t>​</w:t>
      </w:r>
    </w:p>
    <w:p w:rsidR="00000000" w:rsidRDefault="00B51E11">
      <w:pPr>
        <w:pStyle w:val="a3"/>
        <w:spacing w:before="0" w:beforeAutospacing="0" w:after="0" w:afterAutospacing="0"/>
        <w:ind w:firstLine="720"/>
        <w:divId w:val="2089033437"/>
        <w:rPr>
          <w:sz w:val="20"/>
          <w:szCs w:val="20"/>
        </w:rPr>
      </w:pPr>
      <w:r>
        <w:rPr>
          <w:sz w:val="20"/>
          <w:szCs w:val="20"/>
        </w:rPr>
        <w:t>The future potential milestone amounts for</w:t>
      </w:r>
      <w:r>
        <w:rPr>
          <w:color w:val="FF0000"/>
          <w:sz w:val="20"/>
          <w:szCs w:val="20"/>
        </w:rPr>
        <w:t xml:space="preserve"> </w:t>
      </w:r>
      <w:r>
        <w:rPr>
          <w:sz w:val="20"/>
          <w:szCs w:val="20"/>
        </w:rPr>
        <w:t>the Mylan Agreement were not included in the transaction price, as they were all determine</w:t>
      </w:r>
      <w:r>
        <w:rPr>
          <w:sz w:val="20"/>
          <w:szCs w:val="20"/>
        </w:rPr>
        <w:t>d to be fully constrained following the concepts of ASC 606. As part of the Company’s evaluation of the development and regulatory milestones constraint, the Company determined that the achievement of such milestones is contingent upon success in future cl</w:t>
      </w:r>
      <w:r>
        <w:rPr>
          <w:sz w:val="20"/>
          <w:szCs w:val="20"/>
        </w:rPr>
        <w:t xml:space="preserve">inical trials and regulatory approvals which are not within its control and uncertain at this stage. The Company expects that the sales-based milestone payments and royalty arrangements will be recognized when the sales occur or the milestone is achieved. </w:t>
      </w:r>
      <w:r>
        <w:rPr>
          <w:sz w:val="20"/>
          <w:szCs w:val="20"/>
        </w:rPr>
        <w:t xml:space="preserve">The Company will re-evaluate the transaction price each quarter and as uncertain events are resolved or other changes in circumstances occur. </w:t>
      </w:r>
    </w:p>
    <w:p w:rsidR="00000000" w:rsidRDefault="00B51E11">
      <w:pPr>
        <w:pStyle w:val="a3"/>
        <w:spacing w:before="0" w:beforeAutospacing="0" w:after="0" w:afterAutospacing="0"/>
        <w:ind w:firstLine="720"/>
        <w:divId w:val="2089033437"/>
        <w:rPr>
          <w:sz w:val="20"/>
          <w:szCs w:val="20"/>
        </w:rPr>
      </w:pPr>
      <w:r>
        <w:rPr>
          <w:sz w:val="20"/>
          <w:szCs w:val="20"/>
        </w:rPr>
        <w:t>​</w:t>
      </w:r>
    </w:p>
    <w:p w:rsidR="00000000" w:rsidRDefault="00B51E11">
      <w:pPr>
        <w:pStyle w:val="a3"/>
        <w:spacing w:before="0" w:beforeAutospacing="0" w:after="0" w:afterAutospacing="0"/>
        <w:ind w:firstLine="720"/>
        <w:divId w:val="2089033437"/>
        <w:rPr>
          <w:sz w:val="20"/>
          <w:szCs w:val="20"/>
        </w:rPr>
      </w:pPr>
      <w:r>
        <w:rPr>
          <w:sz w:val="20"/>
          <w:szCs w:val="20"/>
        </w:rPr>
        <w:t xml:space="preserve">As of September 30, 2020, $0.3 </w:t>
      </w:r>
      <w:r>
        <w:rPr>
          <w:sz w:val="20"/>
          <w:szCs w:val="20"/>
        </w:rPr>
        <w:t>million was recorded in deferred revenue on the condensed consolidated balance sheets under the Mylan Agreement. This amount reflects revenue allocated to joint steering committee participation which will be recognized as collaboration revenue over the cou</w:t>
      </w:r>
      <w:r>
        <w:rPr>
          <w:sz w:val="20"/>
          <w:szCs w:val="20"/>
        </w:rPr>
        <w:t xml:space="preserve">rse of the remaining performance period of approximately eleven years. </w:t>
      </w:r>
    </w:p>
    <w:p w:rsidR="00000000" w:rsidRDefault="00B51E11">
      <w:pPr>
        <w:pStyle w:val="a3"/>
        <w:spacing w:before="0" w:beforeAutospacing="0" w:after="0" w:afterAutospacing="0"/>
        <w:divId w:val="2089033437"/>
        <w:rPr>
          <w:sz w:val="20"/>
          <w:szCs w:val="20"/>
        </w:rPr>
      </w:pPr>
      <w:r>
        <w:rPr>
          <w:sz w:val="20"/>
          <w:szCs w:val="20"/>
        </w:rPr>
        <w:t>​</w:t>
      </w:r>
    </w:p>
    <w:p w:rsidR="00000000" w:rsidRDefault="00B51E11">
      <w:pPr>
        <w:pStyle w:val="a3"/>
        <w:spacing w:before="0" w:beforeAutospacing="0" w:after="0" w:afterAutospacing="0"/>
        <w:ind w:firstLine="720"/>
        <w:divId w:val="2089033437"/>
        <w:rPr>
          <w:sz w:val="20"/>
          <w:szCs w:val="20"/>
        </w:rPr>
      </w:pPr>
      <w:r>
        <w:rPr>
          <w:sz w:val="20"/>
          <w:szCs w:val="20"/>
        </w:rPr>
        <w:t>The Company is also entitled to a share of US profits and losses (65% to Mylan; 35% to Theravance Biopharma) received in connection with commercialization of YUPELRI, and the Company</w:t>
      </w:r>
      <w:r>
        <w:rPr>
          <w:sz w:val="20"/>
          <w:szCs w:val="20"/>
        </w:rPr>
        <w:t xml:space="preserve"> is entitled to low double-digit tiered royalties on ex-US net sales. Mylan is the principal in the sales transactions, and as a result, the Company does not reflect the product sales in its financial statements. </w:t>
      </w:r>
    </w:p>
    <w:p w:rsidR="00000000" w:rsidRDefault="00B51E11">
      <w:pPr>
        <w:pStyle w:val="a3"/>
        <w:spacing w:before="0" w:beforeAutospacing="0" w:after="0" w:afterAutospacing="0"/>
        <w:ind w:firstLine="720"/>
        <w:divId w:val="2089033437"/>
        <w:rPr>
          <w:sz w:val="20"/>
          <w:szCs w:val="20"/>
        </w:rPr>
      </w:pPr>
      <w:r>
        <w:rPr>
          <w:sz w:val="20"/>
          <w:szCs w:val="20"/>
        </w:rPr>
        <w:t>​</w:t>
      </w:r>
    </w:p>
    <w:p w:rsidR="00000000" w:rsidRDefault="00B51E11">
      <w:pPr>
        <w:pStyle w:val="a3"/>
        <w:spacing w:before="0" w:beforeAutospacing="0" w:after="0" w:afterAutospacing="0"/>
        <w:ind w:firstLine="720"/>
        <w:divId w:val="2089033437"/>
        <w:rPr>
          <w:sz w:val="20"/>
          <w:szCs w:val="20"/>
        </w:rPr>
      </w:pPr>
      <w:r>
        <w:rPr>
          <w:sz w:val="20"/>
          <w:szCs w:val="20"/>
        </w:rPr>
        <w:t>Following the US Food and Drug Administr</w:t>
      </w:r>
      <w:r>
        <w:rPr>
          <w:sz w:val="20"/>
          <w:szCs w:val="20"/>
        </w:rPr>
        <w:t xml:space="preserve">ation (“FDA”) approval of YUPELRI in November 2018, net amounts payable to or receivable from Mylan each quarter under the profit-sharing structure are disaggregated according to their individual components. </w:t>
      </w:r>
      <w:r>
        <w:rPr>
          <w:sz w:val="20"/>
          <w:szCs w:val="20"/>
          <w:shd w:val="clear" w:color="auto" w:fill="FFFFFF"/>
        </w:rPr>
        <w:t>In accordance with the applicable accounting gui</w:t>
      </w:r>
      <w:r>
        <w:rPr>
          <w:sz w:val="20"/>
          <w:szCs w:val="20"/>
          <w:shd w:val="clear" w:color="auto" w:fill="FFFFFF"/>
        </w:rPr>
        <w:t>dance, amounts receivable</w:t>
      </w:r>
      <w:r>
        <w:rPr>
          <w:sz w:val="20"/>
          <w:szCs w:val="20"/>
        </w:rPr>
        <w:t xml:space="preserve"> from Mylan in connection with the commercialization of YUPELRI are recorded within the condensed consolidated statements of operations as revenue from “Mylan collaboration agreement” irrespective of whether the overall collaborati</w:t>
      </w:r>
      <w:r>
        <w:rPr>
          <w:sz w:val="20"/>
          <w:szCs w:val="20"/>
        </w:rPr>
        <w:t>on is profitable. A</w:t>
      </w:r>
      <w:r>
        <w:rPr>
          <w:sz w:val="20"/>
          <w:szCs w:val="20"/>
          <w:shd w:val="clear" w:color="auto" w:fill="FFFFFF"/>
        </w:rPr>
        <w:t>mounts payable to Mylan in connection with the commercialization of YUPELRI are recorded within the condensed consolidated statements of operations as a collaboration loss within selling, general and administrative expenses. Any reimburs</w:t>
      </w:r>
      <w:r>
        <w:rPr>
          <w:sz w:val="20"/>
          <w:szCs w:val="20"/>
          <w:shd w:val="clear" w:color="auto" w:fill="FFFFFF"/>
        </w:rPr>
        <w:t>ement from Mylan attributed to the 65% cost-sharing of the Company’s R&amp;D expenses is characterized as a reduction of R&amp;D expense, as the Company does not consider performing research and development services for reimbursement to be a part of its ordinary a</w:t>
      </w:r>
      <w:r>
        <w:rPr>
          <w:sz w:val="20"/>
          <w:szCs w:val="20"/>
          <w:shd w:val="clear" w:color="auto" w:fill="FFFFFF"/>
        </w:rPr>
        <w:t xml:space="preserve">ctivities. </w:t>
      </w:r>
    </w:p>
    <w:p w:rsidR="00000000" w:rsidRDefault="00B51E11">
      <w:pPr>
        <w:pStyle w:val="a3"/>
        <w:spacing w:before="0" w:beforeAutospacing="0" w:after="0" w:afterAutospacing="0"/>
        <w:ind w:firstLine="720"/>
        <w:divId w:val="2089033437"/>
        <w:rPr>
          <w:sz w:val="20"/>
          <w:szCs w:val="20"/>
        </w:rPr>
      </w:pPr>
      <w:r>
        <w:rPr>
          <w:sz w:val="20"/>
          <w:szCs w:val="20"/>
          <w:shd w:val="clear" w:color="auto" w:fill="FFFFFF"/>
        </w:rPr>
        <w:t>​</w:t>
      </w:r>
    </w:p>
    <w:p w:rsidR="00000000" w:rsidRDefault="00B51E11">
      <w:pPr>
        <w:pStyle w:val="a3"/>
        <w:spacing w:before="0" w:beforeAutospacing="0" w:after="0" w:afterAutospacing="0"/>
        <w:ind w:firstLine="720"/>
        <w:divId w:val="2089033437"/>
        <w:rPr>
          <w:sz w:val="20"/>
          <w:szCs w:val="20"/>
        </w:rPr>
      </w:pPr>
      <w:r>
        <w:rPr>
          <w:sz w:val="20"/>
          <w:szCs w:val="20"/>
        </w:rPr>
        <w:t>The following YUPELRI-related amounts were recognized within revenue in the Company’s condensed consolidated statements of operations:</w:t>
      </w:r>
    </w:p>
    <w:p w:rsidR="00000000" w:rsidRDefault="00B51E11">
      <w:pPr>
        <w:pStyle w:val="a3"/>
        <w:spacing w:before="0" w:beforeAutospacing="0" w:after="0" w:afterAutospacing="0"/>
        <w:ind w:firstLine="720"/>
        <w:divId w:val="208903343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48"/>
        <w:gridCol w:w="145"/>
        <w:gridCol w:w="144"/>
        <w:gridCol w:w="620"/>
        <w:gridCol w:w="144"/>
        <w:gridCol w:w="145"/>
        <w:gridCol w:w="590"/>
        <w:gridCol w:w="145"/>
        <w:gridCol w:w="145"/>
        <w:gridCol w:w="620"/>
        <w:gridCol w:w="145"/>
        <w:gridCol w:w="145"/>
        <w:gridCol w:w="570"/>
      </w:tblGrid>
      <w:tr w:rsidR="00000000">
        <w:trPr>
          <w:divId w:val="2089033437"/>
          <w:trHeight w:val="20"/>
        </w:trPr>
        <w:tc>
          <w:tcPr>
            <w:tcW w:w="2860" w:type="pct"/>
            <w:tcMar>
              <w:top w:w="0" w:type="dxa"/>
              <w:left w:w="0" w:type="dxa"/>
              <w:bottom w:w="0" w:type="dxa"/>
              <w:right w:w="0" w:type="dxa"/>
            </w:tcMar>
            <w:vAlign w:val="center"/>
            <w:hideMark/>
          </w:tcPr>
          <w:p w:rsidR="00000000" w:rsidRDefault="00B51E11">
            <w:pPr>
              <w:pStyle w:val="a3"/>
              <w:spacing w:before="0" w:beforeAutospacing="0" w:after="0" w:afterAutospacing="0"/>
              <w:divId w:val="102768412"/>
              <w:rPr>
                <w:sz w:val="20"/>
                <w:szCs w:val="20"/>
              </w:rPr>
            </w:pPr>
            <w:r>
              <w:rPr>
                <w:sz w:val="2"/>
                <w:szCs w:val="2"/>
              </w:rPr>
              <w:t>​</w:t>
            </w:r>
          </w:p>
        </w:tc>
        <w:tc>
          <w:tcPr>
            <w:tcW w:w="91" w:type="pct"/>
            <w:tcMar>
              <w:top w:w="0" w:type="dxa"/>
              <w:left w:w="0" w:type="dxa"/>
              <w:bottom w:w="0" w:type="dxa"/>
              <w:right w:w="0" w:type="dxa"/>
            </w:tcMar>
            <w:vAlign w:val="bottom"/>
            <w:hideMark/>
          </w:tcPr>
          <w:p w:rsidR="00000000" w:rsidRDefault="00B51E11">
            <w:pPr>
              <w:pStyle w:val="a3"/>
              <w:spacing w:before="0" w:beforeAutospacing="0" w:after="0" w:afterAutospacing="0"/>
              <w:divId w:val="450246792"/>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5996287"/>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4673751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1739053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123914101"/>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97363638"/>
              <w:rPr>
                <w:sz w:val="20"/>
                <w:szCs w:val="20"/>
              </w:rPr>
            </w:pPr>
            <w:r>
              <w:rPr>
                <w:sz w:val="2"/>
                <w:szCs w:val="2"/>
              </w:rPr>
              <w:t>​</w:t>
            </w:r>
          </w:p>
        </w:tc>
        <w:tc>
          <w:tcPr>
            <w:tcW w:w="90" w:type="pct"/>
            <w:tcMar>
              <w:top w:w="0" w:type="dxa"/>
              <w:left w:w="0" w:type="dxa"/>
              <w:bottom w:w="0" w:type="dxa"/>
              <w:right w:w="0" w:type="dxa"/>
            </w:tcMar>
            <w:vAlign w:val="bottom"/>
            <w:hideMark/>
          </w:tcPr>
          <w:p w:rsidR="00000000" w:rsidRDefault="00B51E11">
            <w:pPr>
              <w:pStyle w:val="a3"/>
              <w:spacing w:before="0" w:beforeAutospacing="0" w:after="0" w:afterAutospacing="0"/>
              <w:divId w:val="136436081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50714349"/>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2778274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70314909"/>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09023777"/>
              <w:rPr>
                <w:sz w:val="20"/>
                <w:szCs w:val="20"/>
              </w:rPr>
            </w:pPr>
            <w:r>
              <w:rPr>
                <w:sz w:val="2"/>
                <w:szCs w:val="2"/>
              </w:rPr>
              <w:t>​</w:t>
            </w:r>
          </w:p>
        </w:tc>
        <w:tc>
          <w:tcPr>
            <w:tcW w:w="34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15111606"/>
              <w:rPr>
                <w:sz w:val="20"/>
                <w:szCs w:val="20"/>
              </w:rPr>
            </w:pPr>
            <w:r>
              <w:rPr>
                <w:sz w:val="2"/>
                <w:szCs w:val="2"/>
              </w:rPr>
              <w:t>​</w:t>
            </w:r>
          </w:p>
        </w:tc>
      </w:tr>
      <w:tr w:rsidR="00000000">
        <w:trPr>
          <w:divId w:val="2089033437"/>
        </w:trPr>
        <w:tc>
          <w:tcPr>
            <w:tcW w:w="286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4" w:type="pct"/>
            <w:gridSpan w:val="5"/>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9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2" w:type="pct"/>
            <w:gridSpan w:val="5"/>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r>
      <w:tr w:rsidR="00000000">
        <w:trPr>
          <w:divId w:val="2089033437"/>
        </w:trPr>
        <w:tc>
          <w:tcPr>
            <w:tcW w:w="286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2"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r>
      <w:tr w:rsidR="00000000">
        <w:trPr>
          <w:divId w:val="2089033437"/>
        </w:trPr>
        <w:tc>
          <w:tcPr>
            <w:tcW w:w="2860"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16"/>
                <w:szCs w:val="16"/>
              </w:rPr>
              <w:t>​</w:t>
            </w:r>
          </w:p>
        </w:tc>
        <w:tc>
          <w:tcPr>
            <w:tcW w:w="435"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r>
      <w:tr w:rsidR="00000000">
        <w:trPr>
          <w:divId w:val="2089033437"/>
        </w:trPr>
        <w:tc>
          <w:tcPr>
            <w:tcW w:w="2860"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 xml:space="preserve">Mylan collaboration agreement - </w:t>
            </w:r>
            <w:r>
              <w:rPr>
                <w:i/>
                <w:iCs/>
                <w:sz w:val="20"/>
                <w:szCs w:val="20"/>
              </w:rPr>
              <w:t>Amounts receivable from Mylan</w:t>
            </w:r>
          </w:p>
        </w:tc>
        <w:tc>
          <w:tcPr>
            <w:tcW w:w="9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10,996</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3,591</w:t>
            </w:r>
          </w:p>
        </w:tc>
        <w:tc>
          <w:tcPr>
            <w:tcW w:w="9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32,246</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3,749</w:t>
            </w:r>
          </w:p>
        </w:tc>
      </w:tr>
      <w:tr w:rsidR="00000000">
        <w:trPr>
          <w:divId w:val="2089033437"/>
        </w:trPr>
        <w:tc>
          <w:tcPr>
            <w:tcW w:w="2860" w:type="pct"/>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 xml:space="preserve">Collaboration loss - </w:t>
            </w:r>
            <w:r>
              <w:rPr>
                <w:i/>
                <w:iCs/>
                <w:sz w:val="20"/>
                <w:szCs w:val="20"/>
              </w:rPr>
              <w:t>Amounts payable to Mylan</w:t>
            </w:r>
          </w:p>
        </w:tc>
        <w:tc>
          <w:tcPr>
            <w:tcW w:w="9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44"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1,582</w:t>
            </w:r>
          </w:p>
        </w:tc>
      </w:tr>
    </w:tbl>
    <w:p w:rsidR="00000000" w:rsidRDefault="00B51E11">
      <w:pPr>
        <w:pStyle w:val="a3"/>
        <w:spacing w:before="0" w:beforeAutospacing="0" w:after="0" w:afterAutospacing="0"/>
        <w:divId w:val="2089033437"/>
        <w:rPr>
          <w:sz w:val="20"/>
          <w:szCs w:val="20"/>
        </w:rPr>
      </w:pPr>
      <w:r>
        <w:rPr>
          <w:color w:val="FF0000"/>
          <w:sz w:val="20"/>
          <w:szCs w:val="20"/>
        </w:rPr>
        <w:t>​</w:t>
      </w:r>
    </w:p>
    <w:p w:rsidR="00000000" w:rsidRDefault="00B51E11">
      <w:pPr>
        <w:pStyle w:val="a3"/>
        <w:spacing w:before="0" w:beforeAutospacing="0" w:after="0" w:afterAutospacing="0"/>
        <w:divId w:val="2089033437"/>
        <w:rPr>
          <w:sz w:val="20"/>
          <w:szCs w:val="20"/>
        </w:rPr>
      </w:pPr>
      <w:r>
        <w:rPr>
          <w:sz w:val="20"/>
          <w:szCs w:val="20"/>
        </w:rPr>
        <w:t>While Mylan records the total net sales of YUPELRI within its financial statements, Mylan collaboration agreement revenue includes the Company’s implied 35% share of net sales of YUPELRI for the three and nine months ended September 30, 2020 of $13.0 milli</w:t>
      </w:r>
      <w:r>
        <w:rPr>
          <w:sz w:val="20"/>
          <w:szCs w:val="20"/>
        </w:rPr>
        <w:t>on and $36.4 million, respectively. The Company’s implied 35% share of net sales of YUPELRI for the three and nine months ended September 30, 2019 was $5.8 million and $8.9 million, respectively.</w:t>
      </w:r>
    </w:p>
    <w:p w:rsidR="00000000" w:rsidRDefault="00B51E11">
      <w:pPr>
        <w:pStyle w:val="a3"/>
        <w:spacing w:before="0" w:beforeAutospacing="0" w:after="0" w:afterAutospacing="0"/>
        <w:divId w:val="2089033437"/>
        <w:rPr>
          <w:sz w:val="20"/>
          <w:szCs w:val="20"/>
        </w:rPr>
      </w:pPr>
      <w:r>
        <w:rPr>
          <w:color w:val="FF0000"/>
          <w:sz w:val="20"/>
          <w:szCs w:val="20"/>
        </w:rPr>
        <w:t>​</w:t>
      </w:r>
    </w:p>
    <w:p w:rsidR="00000000" w:rsidRDefault="00B51E11">
      <w:pPr>
        <w:pStyle w:val="a3"/>
        <w:spacing w:before="360" w:beforeAutospacing="0" w:after="0" w:afterAutospacing="0"/>
        <w:jc w:val="center"/>
        <w:divId w:val="530807164"/>
        <w:rPr>
          <w:sz w:val="20"/>
          <w:szCs w:val="20"/>
        </w:rPr>
      </w:pPr>
      <w:r>
        <w:rPr>
          <w:sz w:val="20"/>
          <w:szCs w:val="20"/>
        </w:rPr>
        <w:t>12</w:t>
      </w:r>
    </w:p>
    <w:p w:rsidR="00000000" w:rsidRDefault="00B51E11">
      <w:pPr>
        <w:pStyle w:val="a3"/>
        <w:spacing w:before="0" w:beforeAutospacing="0" w:after="600" w:afterAutospacing="0"/>
        <w:divId w:val="1630697942"/>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700355158"/>
        <w:rPr>
          <w:sz w:val="20"/>
          <w:szCs w:val="20"/>
        </w:rPr>
      </w:pPr>
      <w:r>
        <w:rPr>
          <w:b/>
          <w:bCs/>
          <w:i/>
          <w:iCs/>
          <w:sz w:val="20"/>
          <w:szCs w:val="20"/>
        </w:rPr>
        <w:t>Reimburseme</w:t>
      </w:r>
      <w:r>
        <w:rPr>
          <w:b/>
          <w:bCs/>
          <w:i/>
          <w:iCs/>
          <w:sz w:val="20"/>
          <w:szCs w:val="20"/>
        </w:rPr>
        <w:t>nt of R&amp;D Expense</w:t>
      </w:r>
    </w:p>
    <w:p w:rsidR="00000000" w:rsidRDefault="00B51E11">
      <w:pPr>
        <w:pStyle w:val="a3"/>
        <w:spacing w:before="0" w:beforeAutospacing="0" w:after="0" w:afterAutospacing="0"/>
        <w:divId w:val="1700355158"/>
        <w:rPr>
          <w:sz w:val="20"/>
          <w:szCs w:val="20"/>
        </w:rPr>
      </w:pPr>
      <w:r>
        <w:rPr>
          <w:sz w:val="10"/>
          <w:szCs w:val="10"/>
        </w:rPr>
        <w:t>​</w:t>
      </w:r>
    </w:p>
    <w:p w:rsidR="00000000" w:rsidRDefault="00B51E11">
      <w:pPr>
        <w:pStyle w:val="a3"/>
        <w:spacing w:before="0" w:beforeAutospacing="0" w:after="0" w:afterAutospacing="0"/>
        <w:ind w:firstLine="720"/>
        <w:divId w:val="1700355158"/>
        <w:rPr>
          <w:sz w:val="20"/>
          <w:szCs w:val="20"/>
        </w:rPr>
      </w:pPr>
      <w:r>
        <w:rPr>
          <w:sz w:val="20"/>
          <w:szCs w:val="20"/>
        </w:rPr>
        <w:t xml:space="preserve">As noted above, under certain collaborative arrangements the Company is entitled to reimbursement of certain R&amp;D expenses. Activities under collaborative arrangements for which the Company is entitled to reimbursement are considered to </w:t>
      </w:r>
      <w:r>
        <w:rPr>
          <w:sz w:val="20"/>
          <w:szCs w:val="20"/>
        </w:rPr>
        <w:t>be collaborative activities under the scope of ASC 808. For these units of account, the Company does not analogize to ASC 606 or recognize revenue. The Company records reimbursement payments received from its collaboration partners as reductions to R&amp;D exp</w:t>
      </w:r>
      <w:r>
        <w:rPr>
          <w:sz w:val="20"/>
          <w:szCs w:val="20"/>
        </w:rPr>
        <w:t>ense.</w:t>
      </w:r>
    </w:p>
    <w:p w:rsidR="00000000" w:rsidRDefault="00B51E11">
      <w:pPr>
        <w:pStyle w:val="a3"/>
        <w:spacing w:before="0" w:beforeAutospacing="0" w:after="0" w:afterAutospacing="0"/>
        <w:divId w:val="1700355158"/>
        <w:rPr>
          <w:sz w:val="20"/>
          <w:szCs w:val="20"/>
        </w:rPr>
      </w:pPr>
      <w:r>
        <w:rPr>
          <w:sz w:val="20"/>
          <w:szCs w:val="20"/>
        </w:rPr>
        <w:t>​</w:t>
      </w:r>
    </w:p>
    <w:p w:rsidR="00000000" w:rsidRDefault="00B51E11">
      <w:pPr>
        <w:pStyle w:val="a3"/>
        <w:spacing w:before="0" w:beforeAutospacing="0" w:after="0" w:afterAutospacing="0"/>
        <w:ind w:firstLine="720"/>
        <w:divId w:val="1700355158"/>
        <w:rPr>
          <w:sz w:val="20"/>
          <w:szCs w:val="20"/>
        </w:rPr>
      </w:pPr>
      <w:r>
        <w:rPr>
          <w:sz w:val="20"/>
          <w:szCs w:val="20"/>
        </w:rPr>
        <w:t>The following table summarizes the reductions to R&amp;D expense related to the reimbursement payments:</w:t>
      </w:r>
    </w:p>
    <w:p w:rsidR="00000000" w:rsidRDefault="00B51E11">
      <w:pPr>
        <w:pStyle w:val="a3"/>
        <w:spacing w:before="0" w:beforeAutospacing="0" w:after="0" w:afterAutospacing="0"/>
        <w:ind w:firstLine="720"/>
        <w:divId w:val="1700355158"/>
        <w:rPr>
          <w:sz w:val="20"/>
          <w:szCs w:val="20"/>
        </w:rPr>
      </w:pPr>
      <w:r>
        <w:rPr>
          <w:sz w:val="20"/>
          <w:szCs w:val="20"/>
        </w:rPr>
        <w:t>​</w:t>
      </w:r>
    </w:p>
    <w:p w:rsidR="00000000" w:rsidRDefault="00B51E11">
      <w:pPr>
        <w:pStyle w:val="a3"/>
        <w:spacing w:before="0" w:beforeAutospacing="0" w:after="0" w:afterAutospacing="0"/>
        <w:ind w:firstLine="720"/>
        <w:divId w:val="170035515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751"/>
        <w:gridCol w:w="160"/>
        <w:gridCol w:w="147"/>
        <w:gridCol w:w="588"/>
        <w:gridCol w:w="160"/>
        <w:gridCol w:w="147"/>
        <w:gridCol w:w="592"/>
        <w:gridCol w:w="147"/>
        <w:gridCol w:w="147"/>
        <w:gridCol w:w="588"/>
        <w:gridCol w:w="160"/>
        <w:gridCol w:w="147"/>
        <w:gridCol w:w="572"/>
      </w:tblGrid>
      <w:tr w:rsidR="00000000">
        <w:trPr>
          <w:divId w:val="1700355158"/>
          <w:trHeight w:val="20"/>
        </w:trPr>
        <w:tc>
          <w:tcPr>
            <w:tcW w:w="2860" w:type="pct"/>
            <w:tcMar>
              <w:top w:w="0" w:type="dxa"/>
              <w:left w:w="0" w:type="dxa"/>
              <w:bottom w:w="0" w:type="dxa"/>
              <w:right w:w="0" w:type="dxa"/>
            </w:tcMar>
            <w:vAlign w:val="bottom"/>
            <w:hideMark/>
          </w:tcPr>
          <w:p w:rsidR="00000000" w:rsidRDefault="00B51E11">
            <w:pPr>
              <w:pStyle w:val="a3"/>
              <w:spacing w:before="0" w:beforeAutospacing="0" w:after="0" w:afterAutospacing="0"/>
              <w:divId w:val="72969305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45658879"/>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10450775"/>
              <w:rPr>
                <w:sz w:val="20"/>
                <w:szCs w:val="20"/>
              </w:rPr>
            </w:pPr>
            <w:r>
              <w:rPr>
                <w:sz w:val="2"/>
                <w:szCs w:val="2"/>
              </w:rPr>
              <w:t>​</w:t>
            </w:r>
          </w:p>
        </w:tc>
        <w:tc>
          <w:tcPr>
            <w:tcW w:w="356"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65819799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65403556"/>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28678296"/>
              <w:rPr>
                <w:sz w:val="20"/>
                <w:szCs w:val="20"/>
              </w:rPr>
            </w:pPr>
            <w:r>
              <w:rPr>
                <w:sz w:val="2"/>
                <w:szCs w:val="2"/>
              </w:rPr>
              <w:t>​</w:t>
            </w:r>
          </w:p>
        </w:tc>
        <w:tc>
          <w:tcPr>
            <w:tcW w:w="356"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786464281"/>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14114321"/>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78787312"/>
              <w:rPr>
                <w:sz w:val="20"/>
                <w:szCs w:val="20"/>
              </w:rPr>
            </w:pPr>
            <w:r>
              <w:rPr>
                <w:sz w:val="2"/>
                <w:szCs w:val="2"/>
              </w:rPr>
              <w:t>​</w:t>
            </w:r>
          </w:p>
        </w:tc>
        <w:tc>
          <w:tcPr>
            <w:tcW w:w="356"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214665302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7885881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45788795"/>
              <w:rPr>
                <w:sz w:val="20"/>
                <w:szCs w:val="20"/>
              </w:rPr>
            </w:pPr>
            <w:r>
              <w:rPr>
                <w:sz w:val="2"/>
                <w:szCs w:val="2"/>
              </w:rPr>
              <w:t>​</w:t>
            </w:r>
          </w:p>
        </w:tc>
        <w:tc>
          <w:tcPr>
            <w:tcW w:w="344"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348097812"/>
              <w:rPr>
                <w:sz w:val="20"/>
                <w:szCs w:val="20"/>
              </w:rPr>
            </w:pPr>
            <w:r>
              <w:rPr>
                <w:sz w:val="2"/>
                <w:szCs w:val="2"/>
              </w:rPr>
              <w:t>​</w:t>
            </w:r>
          </w:p>
        </w:tc>
      </w:tr>
      <w:tr w:rsidR="00000000">
        <w:trPr>
          <w:divId w:val="1700355158"/>
        </w:trPr>
        <w:tc>
          <w:tcPr>
            <w:tcW w:w="286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4"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2"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r>
      <w:tr w:rsidR="00000000">
        <w:trPr>
          <w:divId w:val="1700355158"/>
        </w:trPr>
        <w:tc>
          <w:tcPr>
            <w:tcW w:w="286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2"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r>
      <w:tr w:rsidR="00000000">
        <w:trPr>
          <w:divId w:val="1700355158"/>
        </w:trPr>
        <w:tc>
          <w:tcPr>
            <w:tcW w:w="2860"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w:t>
            </w:r>
            <w:r>
              <w:rPr>
                <w:b/>
                <w:bCs/>
                <w:sz w:val="16"/>
                <w:szCs w:val="16"/>
              </w:rPr>
              <w:t>thousands)</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35"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r>
      <w:tr w:rsidR="00000000">
        <w:trPr>
          <w:divId w:val="1700355158"/>
        </w:trPr>
        <w:tc>
          <w:tcPr>
            <w:tcW w:w="286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Janssen</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1,461</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930</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4,231</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44"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3,125</w:t>
            </w:r>
          </w:p>
        </w:tc>
      </w:tr>
      <w:tr w:rsidR="00000000">
        <w:trPr>
          <w:divId w:val="1700355158"/>
        </w:trPr>
        <w:tc>
          <w:tcPr>
            <w:tcW w:w="286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Mylan</w:t>
            </w:r>
          </w:p>
        </w:tc>
        <w:tc>
          <w:tcPr>
            <w:tcW w:w="91"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(57)</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53</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1,565</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44"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287</w:t>
            </w:r>
          </w:p>
        </w:tc>
      </w:tr>
      <w:tr w:rsidR="00000000">
        <w:trPr>
          <w:divId w:val="1700355158"/>
        </w:trPr>
        <w:tc>
          <w:tcPr>
            <w:tcW w:w="286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20"/>
                <w:szCs w:val="20"/>
              </w:rPr>
            </w:pPr>
            <w:r>
              <w:rPr>
                <w:sz w:val="20"/>
                <w:szCs w:val="20"/>
              </w:rPr>
              <w:t>Total reduction to R&amp;D expense, net</w:t>
            </w:r>
          </w:p>
        </w:tc>
        <w:tc>
          <w:tcPr>
            <w:tcW w:w="9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1,404</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983</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5,796</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4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3,412</w:t>
            </w:r>
          </w:p>
        </w:tc>
      </w:tr>
    </w:tbl>
    <w:p w:rsidR="00000000" w:rsidRDefault="00B51E11">
      <w:pPr>
        <w:pStyle w:val="a3"/>
        <w:spacing w:before="0" w:beforeAutospacing="0" w:after="0" w:afterAutospacing="0"/>
        <w:divId w:val="1700355158"/>
        <w:rPr>
          <w:sz w:val="20"/>
          <w:szCs w:val="20"/>
        </w:rPr>
      </w:pPr>
      <w:r>
        <w:rPr>
          <w:sz w:val="20"/>
          <w:szCs w:val="20"/>
        </w:rPr>
        <w:t>​</w:t>
      </w:r>
    </w:p>
    <w:p w:rsidR="00000000" w:rsidRDefault="00B51E11">
      <w:pPr>
        <w:pStyle w:val="a3"/>
        <w:spacing w:before="0" w:beforeAutospacing="0" w:after="0" w:afterAutospacing="0"/>
        <w:divId w:val="1700355158"/>
        <w:rPr>
          <w:sz w:val="20"/>
          <w:szCs w:val="20"/>
        </w:rPr>
      </w:pPr>
      <w:r>
        <w:rPr>
          <w:b/>
          <w:bCs/>
          <w:i/>
          <w:iCs/>
          <w:sz w:val="20"/>
          <w:szCs w:val="20"/>
        </w:rPr>
        <w:t>Revenue from Licensing Arrangements</w:t>
      </w:r>
    </w:p>
    <w:p w:rsidR="00000000" w:rsidRDefault="00B51E11">
      <w:pPr>
        <w:pStyle w:val="a3"/>
        <w:spacing w:before="0" w:beforeAutospacing="0" w:after="0" w:afterAutospacing="0"/>
        <w:divId w:val="1700355158"/>
        <w:rPr>
          <w:sz w:val="20"/>
          <w:szCs w:val="20"/>
        </w:rPr>
      </w:pPr>
      <w:r>
        <w:rPr>
          <w:b/>
          <w:bCs/>
          <w:i/>
          <w:iCs/>
          <w:sz w:val="20"/>
          <w:szCs w:val="20"/>
        </w:rPr>
        <w:t>​</w:t>
      </w:r>
    </w:p>
    <w:p w:rsidR="00000000" w:rsidRDefault="00B51E11">
      <w:pPr>
        <w:pStyle w:val="a3"/>
        <w:shd w:val="clear" w:color="auto" w:fill="FFFFFF"/>
        <w:spacing w:before="0" w:beforeAutospacing="0" w:after="0" w:afterAutospacing="0"/>
        <w:divId w:val="1700355158"/>
        <w:rPr>
          <w:sz w:val="20"/>
          <w:szCs w:val="20"/>
        </w:rPr>
      </w:pPr>
      <w:r>
        <w:rPr>
          <w:b/>
          <w:bCs/>
          <w:i/>
          <w:iCs/>
          <w:sz w:val="20"/>
          <w:szCs w:val="20"/>
        </w:rPr>
        <w:t>Mylan</w:t>
      </w:r>
    </w:p>
    <w:p w:rsidR="00000000" w:rsidRDefault="00B51E11">
      <w:pPr>
        <w:pStyle w:val="a3"/>
        <w:spacing w:before="0" w:beforeAutospacing="0" w:after="0" w:afterAutospacing="0"/>
        <w:divId w:val="1700355158"/>
        <w:rPr>
          <w:sz w:val="20"/>
          <w:szCs w:val="20"/>
        </w:rPr>
      </w:pPr>
      <w:r>
        <w:rPr>
          <w:b/>
          <w:bCs/>
          <w:i/>
          <w:iCs/>
          <w:sz w:val="10"/>
          <w:szCs w:val="10"/>
        </w:rPr>
        <w:t>​</w:t>
      </w:r>
    </w:p>
    <w:p w:rsidR="00000000" w:rsidRDefault="00B51E11">
      <w:pPr>
        <w:pStyle w:val="a3"/>
        <w:spacing w:before="0" w:beforeAutospacing="0" w:after="0" w:afterAutospacing="0"/>
        <w:ind w:firstLine="720"/>
        <w:divId w:val="1700355158"/>
        <w:rPr>
          <w:sz w:val="20"/>
          <w:szCs w:val="20"/>
        </w:rPr>
      </w:pPr>
      <w:r>
        <w:rPr>
          <w:sz w:val="20"/>
          <w:szCs w:val="20"/>
          <w:shd w:val="clear" w:color="auto" w:fill="FFFFFF"/>
        </w:rPr>
        <w:t xml:space="preserve">In June 2019, the Company announced the expansion of the Mylan Agreement (the “Mylan Amendment”) to grant Mylan exclusive development and commercialization rights to nebulized revefenacin in China and adjacent </w:t>
      </w:r>
      <w:r>
        <w:rPr>
          <w:sz w:val="20"/>
          <w:szCs w:val="20"/>
          <w:shd w:val="clear" w:color="auto" w:fill="FFFFFF"/>
        </w:rPr>
        <w:t>territories. In exchange, the Company received an upfront payment of $18.5 million (before a required tax withholding) and will be eligible to receive potential development and sales milestones totaling $54.0 million and low double-digit tiered royalties o</w:t>
      </w:r>
      <w:r>
        <w:rPr>
          <w:sz w:val="20"/>
          <w:szCs w:val="20"/>
          <w:shd w:val="clear" w:color="auto" w:fill="FFFFFF"/>
        </w:rPr>
        <w:t xml:space="preserve">n net sales of nebulized revefenacin, if approved. Of the $54.0 million in potential milestones, $9.0 million is associated with the development of </w:t>
      </w:r>
      <w:r>
        <w:rPr>
          <w:sz w:val="20"/>
          <w:szCs w:val="20"/>
        </w:rPr>
        <w:t xml:space="preserve">YUPELRI monotherapy, $7.5 million associated with the development of future potential combination products, </w:t>
      </w:r>
      <w:r>
        <w:rPr>
          <w:sz w:val="20"/>
          <w:szCs w:val="20"/>
        </w:rPr>
        <w:t xml:space="preserve">and </w:t>
      </w:r>
      <w:r>
        <w:rPr>
          <w:sz w:val="20"/>
          <w:szCs w:val="20"/>
          <w:shd w:val="clear" w:color="auto" w:fill="FFFFFF"/>
        </w:rPr>
        <w:t xml:space="preserve">$37.5 million is associated with sales milestones. Mylan is responsible for all aspects of development and commercialization in the partnered regions, including pre- and post-launch activities and product registration and all associated costs. </w:t>
      </w:r>
    </w:p>
    <w:p w:rsidR="00000000" w:rsidRDefault="00B51E11">
      <w:pPr>
        <w:pStyle w:val="a3"/>
        <w:spacing w:before="0" w:beforeAutospacing="0" w:after="0" w:afterAutospacing="0"/>
        <w:divId w:val="1700355158"/>
        <w:rPr>
          <w:sz w:val="20"/>
          <w:szCs w:val="20"/>
        </w:rPr>
      </w:pPr>
      <w:r>
        <w:rPr>
          <w:sz w:val="20"/>
          <w:szCs w:val="20"/>
        </w:rPr>
        <w:t>​</w:t>
      </w:r>
    </w:p>
    <w:p w:rsidR="00000000" w:rsidRDefault="00B51E11">
      <w:pPr>
        <w:pStyle w:val="a3"/>
        <w:spacing w:before="0" w:beforeAutospacing="0" w:after="0" w:afterAutospacing="0"/>
        <w:ind w:firstLine="720"/>
        <w:divId w:val="1700355158"/>
        <w:rPr>
          <w:sz w:val="20"/>
          <w:szCs w:val="20"/>
        </w:rPr>
      </w:pPr>
      <w:r>
        <w:rPr>
          <w:sz w:val="20"/>
          <w:szCs w:val="20"/>
          <w:shd w:val="clear" w:color="auto" w:fill="FFFFFF"/>
        </w:rPr>
        <w:t>The M</w:t>
      </w:r>
      <w:r>
        <w:rPr>
          <w:sz w:val="20"/>
          <w:szCs w:val="20"/>
          <w:shd w:val="clear" w:color="auto" w:fill="FFFFFF"/>
        </w:rPr>
        <w:t>ylan Amendment is accounted for under ASC 606 as a separate contract from the original Mylan Agreement that was entered into in January 2015. The Company identified a</w:t>
      </w:r>
      <w:r>
        <w:rPr>
          <w:sz w:val="20"/>
          <w:szCs w:val="20"/>
        </w:rPr>
        <w:t xml:space="preserve"> single performance obligation comprising of the delivery of the license to develop and co</w:t>
      </w:r>
      <w:r>
        <w:rPr>
          <w:sz w:val="20"/>
          <w:szCs w:val="20"/>
        </w:rPr>
        <w:t>mmercialize revefenacin in China and adjacent territories. The transaction price was determined to be the upfront payment of $18.5 million</w:t>
      </w:r>
      <w:r>
        <w:rPr>
          <w:sz w:val="20"/>
          <w:szCs w:val="20"/>
          <w:shd w:val="clear" w:color="auto" w:fill="FFFFFF"/>
        </w:rPr>
        <w:t xml:space="preserve"> </w:t>
      </w:r>
      <w:r>
        <w:rPr>
          <w:sz w:val="20"/>
          <w:szCs w:val="20"/>
        </w:rPr>
        <w:t>which the Company recognized as licensing revenue following the completion of the performance obligation in June 2019</w:t>
      </w:r>
      <w:r>
        <w:rPr>
          <w:sz w:val="20"/>
          <w:szCs w:val="20"/>
        </w:rPr>
        <w:t xml:space="preserve">. </w:t>
      </w:r>
    </w:p>
    <w:p w:rsidR="00000000" w:rsidRDefault="00B51E11">
      <w:pPr>
        <w:pStyle w:val="a3"/>
        <w:spacing w:before="0" w:beforeAutospacing="0" w:after="0" w:afterAutospacing="0"/>
        <w:ind w:firstLine="720"/>
        <w:divId w:val="1700355158"/>
        <w:rPr>
          <w:sz w:val="20"/>
          <w:szCs w:val="20"/>
        </w:rPr>
      </w:pPr>
      <w:r>
        <w:rPr>
          <w:sz w:val="20"/>
          <w:szCs w:val="20"/>
        </w:rPr>
        <w:t>​</w:t>
      </w:r>
    </w:p>
    <w:p w:rsidR="00000000" w:rsidRDefault="00B51E11">
      <w:pPr>
        <w:pStyle w:val="a3"/>
        <w:spacing w:before="0" w:beforeAutospacing="0" w:after="0" w:afterAutospacing="0"/>
        <w:ind w:firstLine="720"/>
        <w:divId w:val="1700355158"/>
        <w:rPr>
          <w:sz w:val="20"/>
          <w:szCs w:val="20"/>
        </w:rPr>
      </w:pPr>
      <w:r>
        <w:rPr>
          <w:sz w:val="20"/>
          <w:szCs w:val="20"/>
        </w:rPr>
        <w:t>The future potential milestone amounts for</w:t>
      </w:r>
      <w:r>
        <w:rPr>
          <w:color w:val="FF0000"/>
          <w:sz w:val="20"/>
          <w:szCs w:val="20"/>
        </w:rPr>
        <w:t xml:space="preserve"> </w:t>
      </w:r>
      <w:r>
        <w:rPr>
          <w:sz w:val="20"/>
          <w:szCs w:val="20"/>
        </w:rPr>
        <w:t>the Mylan Amendment were not included in the transaction price, as they were all determined to be fully constrained following the concepts of ASC 606. As part of the Company’s evaluation of the development milestones constraint, the Company determined that</w:t>
      </w:r>
      <w:r>
        <w:rPr>
          <w:sz w:val="20"/>
          <w:szCs w:val="20"/>
        </w:rPr>
        <w:t xml:space="preserve"> the achievement of such milestones is contingent upon success in future clinical trials and regulatory approvals which are not within its control and uncertain at this stage. The Company expects that the sales-based milestone payments and royalty arrangem</w:t>
      </w:r>
      <w:r>
        <w:rPr>
          <w:sz w:val="20"/>
          <w:szCs w:val="20"/>
        </w:rPr>
        <w:t xml:space="preserve">ents will be recognized when the sales occur or the milestone is achieved. The Company will re-evaluate the transaction price each quarter and as uncertain events are resolved or other changes in circumstances occur. </w:t>
      </w:r>
    </w:p>
    <w:p w:rsidR="00000000" w:rsidRDefault="00B51E11">
      <w:pPr>
        <w:pStyle w:val="a3"/>
        <w:spacing w:before="0" w:beforeAutospacing="0" w:after="0" w:afterAutospacing="0"/>
        <w:ind w:firstLine="720"/>
        <w:divId w:val="1700355158"/>
        <w:rPr>
          <w:sz w:val="20"/>
          <w:szCs w:val="20"/>
        </w:rPr>
      </w:pPr>
      <w:r>
        <w:rPr>
          <w:sz w:val="20"/>
          <w:szCs w:val="20"/>
        </w:rPr>
        <w:t>​</w:t>
      </w:r>
    </w:p>
    <w:p w:rsidR="00000000" w:rsidRDefault="00B51E11">
      <w:pPr>
        <w:pStyle w:val="a3"/>
        <w:spacing w:before="0" w:beforeAutospacing="0" w:after="0" w:afterAutospacing="0"/>
        <w:ind w:firstLine="720"/>
        <w:divId w:val="1700355158"/>
        <w:rPr>
          <w:sz w:val="20"/>
          <w:szCs w:val="20"/>
        </w:rPr>
      </w:pPr>
      <w:r>
        <w:rPr>
          <w:sz w:val="20"/>
          <w:szCs w:val="20"/>
          <w:shd w:val="clear" w:color="auto" w:fill="FFFFFF"/>
        </w:rPr>
        <w:t xml:space="preserve">In March 2020, the Company earned a </w:t>
      </w:r>
      <w:r>
        <w:rPr>
          <w:sz w:val="20"/>
          <w:szCs w:val="20"/>
          <w:shd w:val="clear" w:color="auto" w:fill="FFFFFF"/>
        </w:rPr>
        <w:t>$1.5 million development milestone payment for the acceptance of a clinical trial application associated with the use of YUPELRI monotherapy in China and adjacent territories.</w:t>
      </w:r>
    </w:p>
    <w:p w:rsidR="00000000" w:rsidRDefault="00B51E11">
      <w:pPr>
        <w:pStyle w:val="a3"/>
        <w:spacing w:before="0" w:beforeAutospacing="0" w:after="0" w:afterAutospacing="0"/>
        <w:ind w:firstLine="720"/>
        <w:divId w:val="1700355158"/>
        <w:rPr>
          <w:sz w:val="20"/>
          <w:szCs w:val="20"/>
        </w:rPr>
      </w:pPr>
      <w:r>
        <w:rPr>
          <w:sz w:val="20"/>
          <w:szCs w:val="20"/>
        </w:rPr>
        <w:t>​</w:t>
      </w:r>
    </w:p>
    <w:p w:rsidR="00000000" w:rsidRDefault="00B51E11">
      <w:pPr>
        <w:pStyle w:val="a3"/>
        <w:spacing w:before="0" w:beforeAutospacing="0" w:after="120" w:afterAutospacing="0"/>
        <w:divId w:val="1700355158"/>
        <w:rPr>
          <w:sz w:val="20"/>
          <w:szCs w:val="20"/>
        </w:rPr>
      </w:pPr>
      <w:r>
        <w:rPr>
          <w:b/>
          <w:bCs/>
          <w:i/>
          <w:iCs/>
          <w:sz w:val="20"/>
          <w:szCs w:val="20"/>
        </w:rPr>
        <w:t>Pfizer</w:t>
      </w:r>
    </w:p>
    <w:p w:rsidR="00000000" w:rsidRDefault="00B51E11">
      <w:pPr>
        <w:pStyle w:val="a3"/>
        <w:spacing w:before="0" w:beforeAutospacing="0" w:after="0" w:afterAutospacing="0"/>
        <w:divId w:val="1700355158"/>
        <w:rPr>
          <w:sz w:val="20"/>
          <w:szCs w:val="20"/>
        </w:rPr>
      </w:pPr>
      <w:r>
        <w:rPr>
          <w:sz w:val="20"/>
          <w:szCs w:val="20"/>
        </w:rPr>
        <w:t>In December 2019, the Company entered into a global license agreement w</w:t>
      </w:r>
      <w:r>
        <w:rPr>
          <w:sz w:val="20"/>
          <w:szCs w:val="20"/>
        </w:rPr>
        <w:t>ith Pfizer Inc. for its preclinical skin-selective, locally-acting pan-JAK inhibitor program (the “Pfizer Agreement”). The compounds in this program are designed to target validated pro-inflammatory pathways and are specifically designed to possess skin-se</w:t>
      </w:r>
      <w:r>
        <w:rPr>
          <w:sz w:val="20"/>
          <w:szCs w:val="20"/>
        </w:rPr>
        <w:t>lective activity with minimal systemic exposure.</w:t>
      </w:r>
    </w:p>
    <w:p w:rsidR="00000000" w:rsidRDefault="00B51E11">
      <w:pPr>
        <w:pStyle w:val="a3"/>
        <w:spacing w:before="0" w:beforeAutospacing="0" w:after="0" w:afterAutospacing="0"/>
        <w:divId w:val="1700355158"/>
        <w:rPr>
          <w:sz w:val="20"/>
          <w:szCs w:val="20"/>
        </w:rPr>
      </w:pPr>
      <w:r>
        <w:rPr>
          <w:sz w:val="20"/>
          <w:szCs w:val="20"/>
        </w:rPr>
        <w:t>​</w:t>
      </w:r>
    </w:p>
    <w:p w:rsidR="00000000" w:rsidRDefault="00B51E11">
      <w:pPr>
        <w:pStyle w:val="a3"/>
        <w:spacing w:before="360" w:beforeAutospacing="0" w:after="0" w:afterAutospacing="0"/>
        <w:jc w:val="center"/>
        <w:divId w:val="2556442"/>
        <w:rPr>
          <w:sz w:val="20"/>
          <w:szCs w:val="20"/>
        </w:rPr>
      </w:pPr>
      <w:r>
        <w:rPr>
          <w:sz w:val="20"/>
          <w:szCs w:val="20"/>
        </w:rPr>
        <w:t>13</w:t>
      </w:r>
    </w:p>
    <w:p w:rsidR="00000000" w:rsidRDefault="00B51E11">
      <w:pPr>
        <w:pStyle w:val="a3"/>
        <w:spacing w:before="0" w:beforeAutospacing="0" w:after="600" w:afterAutospacing="0"/>
        <w:divId w:val="957294478"/>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ind w:firstLine="720"/>
        <w:divId w:val="1182160677"/>
        <w:rPr>
          <w:sz w:val="20"/>
          <w:szCs w:val="20"/>
        </w:rPr>
      </w:pPr>
      <w:r>
        <w:rPr>
          <w:sz w:val="20"/>
          <w:szCs w:val="20"/>
        </w:rPr>
        <w:t xml:space="preserve">Under the Pfizer Agreement, Pfizer has an exclusive license to develop, manufacture and commercialize certain compounds for all uses other than gastrointestinal, ophthalmic and respiratory applications. Under the terms of the Pfizer Agreement, the Company </w:t>
      </w:r>
      <w:r>
        <w:rPr>
          <w:sz w:val="20"/>
          <w:szCs w:val="20"/>
        </w:rPr>
        <w:t xml:space="preserve">received an upfront cash payment of $10.0 million and is eligible to receive up to an additional $240.0 million in development and sales milestone payments from Pfizer. In addition, the Company will be eligible to receive a tiered royalty on worldwide net </w:t>
      </w:r>
      <w:r>
        <w:rPr>
          <w:sz w:val="20"/>
          <w:szCs w:val="20"/>
        </w:rPr>
        <w:t>sales of any potential products under the license at percentage royalty rates ranging from middle single-digits to low double-digits.</w:t>
      </w:r>
    </w:p>
    <w:p w:rsidR="00000000" w:rsidRDefault="00B51E11">
      <w:pPr>
        <w:pStyle w:val="a3"/>
        <w:spacing w:before="0" w:beforeAutospacing="0" w:after="0" w:afterAutospacing="0"/>
        <w:divId w:val="1182160677"/>
        <w:rPr>
          <w:sz w:val="20"/>
          <w:szCs w:val="20"/>
        </w:rPr>
      </w:pPr>
      <w:r>
        <w:rPr>
          <w:b/>
          <w:bCs/>
          <w:color w:val="FF0000"/>
          <w:sz w:val="20"/>
          <w:szCs w:val="20"/>
        </w:rPr>
        <w:t>​</w:t>
      </w:r>
    </w:p>
    <w:p w:rsidR="00000000" w:rsidRDefault="00B51E11">
      <w:pPr>
        <w:pStyle w:val="a3"/>
        <w:spacing w:before="0" w:beforeAutospacing="0" w:after="0" w:afterAutospacing="0"/>
        <w:divId w:val="1182160677"/>
        <w:rPr>
          <w:sz w:val="20"/>
          <w:szCs w:val="20"/>
        </w:rPr>
      </w:pPr>
      <w:r>
        <w:rPr>
          <w:sz w:val="20"/>
          <w:szCs w:val="20"/>
        </w:rPr>
        <w:t>The Pfizer Agreement is accounted for under ASC 606. The Company identified two performance obligations primarily compri</w:t>
      </w:r>
      <w:r>
        <w:rPr>
          <w:sz w:val="20"/>
          <w:szCs w:val="20"/>
        </w:rPr>
        <w:t xml:space="preserve">sed of the delivery of the license and samples of tangible materials which was completed in December 2019. The transaction price was determined to be the upfront payment of $10.0 million which the Company recognized as licensing revenue in December 2019. </w:t>
      </w:r>
    </w:p>
    <w:p w:rsidR="00000000" w:rsidRDefault="00B51E11">
      <w:pPr>
        <w:pStyle w:val="a3"/>
        <w:spacing w:before="0" w:beforeAutospacing="0" w:after="0" w:afterAutospacing="0"/>
        <w:divId w:val="1182160677"/>
        <w:rPr>
          <w:sz w:val="20"/>
          <w:szCs w:val="20"/>
        </w:rPr>
      </w:pPr>
      <w:r>
        <w:rPr>
          <w:sz w:val="20"/>
          <w:szCs w:val="20"/>
        </w:rPr>
        <w:t>​</w:t>
      </w:r>
    </w:p>
    <w:p w:rsidR="00000000" w:rsidRDefault="00B51E11">
      <w:pPr>
        <w:pStyle w:val="a3"/>
        <w:spacing w:before="0" w:beforeAutospacing="0" w:after="0" w:afterAutospacing="0"/>
        <w:ind w:firstLine="720"/>
        <w:divId w:val="1182160677"/>
        <w:rPr>
          <w:sz w:val="20"/>
          <w:szCs w:val="20"/>
        </w:rPr>
      </w:pPr>
      <w:r>
        <w:rPr>
          <w:sz w:val="20"/>
          <w:szCs w:val="20"/>
        </w:rPr>
        <w:t>The future potential milestones payable under the Pfizer Amendment were not included in the transaction price, as they were all determined to be fully constrained following the concepts of ASC 606. As part of the Company’s evaluation of the development m</w:t>
      </w:r>
      <w:r>
        <w:rPr>
          <w:sz w:val="20"/>
          <w:szCs w:val="20"/>
        </w:rPr>
        <w:t>ilestones constraint, the Company determined that the achievement of such milestones is contingent upon success in future clinical trials and regulatory approvals which are not within its control and uncertain at this stage. The Company expects that the sa</w:t>
      </w:r>
      <w:r>
        <w:rPr>
          <w:sz w:val="20"/>
          <w:szCs w:val="20"/>
        </w:rPr>
        <w:t>les-based milestone payments will be recognized when the sales occur or the milestone is achieved. The Company will re-evaluate the transaction price each quarter and as uncertain events are resolved or other changes in circumstances occur.</w:t>
      </w:r>
    </w:p>
    <w:p w:rsidR="00000000" w:rsidRDefault="00B51E11">
      <w:pPr>
        <w:pStyle w:val="a3"/>
        <w:spacing w:before="0" w:beforeAutospacing="0" w:after="0" w:afterAutospacing="0"/>
        <w:divId w:val="1182160677"/>
        <w:rPr>
          <w:sz w:val="20"/>
          <w:szCs w:val="20"/>
        </w:rPr>
      </w:pPr>
      <w:r>
        <w:rPr>
          <w:sz w:val="20"/>
          <w:szCs w:val="20"/>
        </w:rPr>
        <w:t>​</w:t>
      </w:r>
    </w:p>
    <w:p w:rsidR="00000000" w:rsidRDefault="00B51E11">
      <w:pPr>
        <w:pStyle w:val="a3"/>
        <w:spacing w:before="0" w:beforeAutospacing="0" w:after="0" w:afterAutospacing="0"/>
        <w:divId w:val="1182160677"/>
        <w:rPr>
          <w:sz w:val="20"/>
          <w:szCs w:val="20"/>
        </w:rPr>
      </w:pPr>
      <w:r>
        <w:rPr>
          <w:b/>
          <w:bCs/>
          <w:sz w:val="20"/>
          <w:szCs w:val="20"/>
        </w:rPr>
        <w:t>4. Cash, Cash</w:t>
      </w:r>
      <w:r>
        <w:rPr>
          <w:b/>
          <w:bCs/>
          <w:sz w:val="20"/>
          <w:szCs w:val="20"/>
        </w:rPr>
        <w:t xml:space="preserve"> Equivalents, and Restricted Cash</w:t>
      </w:r>
    </w:p>
    <w:p w:rsidR="00000000" w:rsidRDefault="00B51E11">
      <w:pPr>
        <w:pStyle w:val="a3"/>
        <w:spacing w:before="0" w:beforeAutospacing="0" w:after="0" w:afterAutospacing="0"/>
        <w:divId w:val="1182160677"/>
        <w:rPr>
          <w:sz w:val="20"/>
          <w:szCs w:val="20"/>
        </w:rPr>
      </w:pPr>
      <w:r>
        <w:rPr>
          <w:b/>
          <w:bCs/>
          <w:sz w:val="10"/>
          <w:szCs w:val="10"/>
        </w:rPr>
        <w:t>​</w:t>
      </w:r>
    </w:p>
    <w:p w:rsidR="00000000" w:rsidRDefault="00B51E11">
      <w:pPr>
        <w:pStyle w:val="a3"/>
        <w:spacing w:before="0" w:beforeAutospacing="0" w:after="0" w:afterAutospacing="0"/>
        <w:ind w:firstLine="720"/>
        <w:divId w:val="1182160677"/>
        <w:rPr>
          <w:sz w:val="20"/>
          <w:szCs w:val="20"/>
        </w:rPr>
      </w:pPr>
      <w:r>
        <w:rPr>
          <w:sz w:val="20"/>
          <w:szCs w:val="20"/>
        </w:rPr>
        <w:t>The following table provides a reconciliation of cash, cash equivalents, and restricted cash reported within the current period and comparable prior year period condensed consolidated balance sheets that sum to the total</w:t>
      </w:r>
      <w:r>
        <w:rPr>
          <w:sz w:val="20"/>
          <w:szCs w:val="20"/>
        </w:rPr>
        <w:t xml:space="preserve"> of the same such amount shown on the condensed consolidated statements of cash flows.</w:t>
      </w:r>
    </w:p>
    <w:p w:rsidR="00000000" w:rsidRDefault="00B51E11">
      <w:pPr>
        <w:pStyle w:val="a3"/>
        <w:spacing w:before="0" w:beforeAutospacing="0" w:after="0" w:afterAutospacing="0"/>
        <w:ind w:firstLine="720"/>
        <w:divId w:val="118216067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31"/>
        <w:gridCol w:w="192"/>
        <w:gridCol w:w="191"/>
        <w:gridCol w:w="754"/>
        <w:gridCol w:w="191"/>
        <w:gridCol w:w="191"/>
        <w:gridCol w:w="756"/>
      </w:tblGrid>
      <w:tr w:rsidR="00000000">
        <w:trPr>
          <w:divId w:val="1182160677"/>
          <w:trHeight w:val="20"/>
        </w:trPr>
        <w:tc>
          <w:tcPr>
            <w:tcW w:w="3629" w:type="pct"/>
            <w:tcMar>
              <w:top w:w="0" w:type="dxa"/>
              <w:left w:w="0" w:type="dxa"/>
              <w:bottom w:w="0" w:type="dxa"/>
              <w:right w:w="0" w:type="dxa"/>
            </w:tcMar>
            <w:vAlign w:val="center"/>
            <w:hideMark/>
          </w:tcPr>
          <w:p w:rsidR="00000000" w:rsidRDefault="00B51E11">
            <w:pPr>
              <w:pStyle w:val="a3"/>
              <w:spacing w:before="0" w:beforeAutospacing="0" w:after="0" w:afterAutospacing="0"/>
              <w:divId w:val="323440207"/>
              <w:rPr>
                <w:sz w:val="20"/>
                <w:szCs w:val="20"/>
              </w:rPr>
            </w:pPr>
            <w:r>
              <w:rPr>
                <w:sz w:val="2"/>
                <w:szCs w:val="2"/>
              </w:rPr>
              <w:t>​</w:t>
            </w:r>
          </w:p>
        </w:tc>
        <w:tc>
          <w:tcPr>
            <w:tcW w:w="115" w:type="pct"/>
            <w:tcMar>
              <w:top w:w="0" w:type="dxa"/>
              <w:left w:w="0" w:type="dxa"/>
              <w:bottom w:w="0" w:type="dxa"/>
              <w:right w:w="0" w:type="dxa"/>
            </w:tcMar>
            <w:vAlign w:val="center"/>
            <w:hideMark/>
          </w:tcPr>
          <w:p w:rsidR="00000000" w:rsidRDefault="00B51E11">
            <w:pPr>
              <w:pStyle w:val="a3"/>
              <w:spacing w:before="0" w:beforeAutospacing="0" w:after="0" w:afterAutospacing="0"/>
              <w:divId w:val="1432161188"/>
              <w:rPr>
                <w:sz w:val="20"/>
                <w:szCs w:val="20"/>
              </w:rPr>
            </w:pPr>
            <w:r>
              <w:rPr>
                <w:sz w:val="2"/>
                <w:szCs w:val="2"/>
              </w:rPr>
              <w:t>​</w:t>
            </w:r>
          </w:p>
        </w:tc>
        <w:tc>
          <w:tcPr>
            <w:tcW w:w="115" w:type="pct"/>
            <w:tcMar>
              <w:top w:w="0" w:type="dxa"/>
              <w:left w:w="0" w:type="dxa"/>
              <w:bottom w:w="0" w:type="dxa"/>
              <w:right w:w="0" w:type="dxa"/>
            </w:tcMar>
            <w:vAlign w:val="center"/>
            <w:hideMark/>
          </w:tcPr>
          <w:p w:rsidR="00000000" w:rsidRDefault="00B51E11">
            <w:pPr>
              <w:pStyle w:val="a3"/>
              <w:spacing w:before="0" w:beforeAutospacing="0" w:after="0" w:afterAutospacing="0"/>
              <w:divId w:val="1071542434"/>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79063178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180580767"/>
              <w:rPr>
                <w:sz w:val="20"/>
                <w:szCs w:val="20"/>
              </w:rPr>
            </w:pPr>
            <w:r>
              <w:rPr>
                <w:sz w:val="2"/>
                <w:szCs w:val="2"/>
              </w:rPr>
              <w:t>​</w:t>
            </w:r>
          </w:p>
        </w:tc>
        <w:tc>
          <w:tcPr>
            <w:tcW w:w="115" w:type="pct"/>
            <w:tcMar>
              <w:top w:w="0" w:type="dxa"/>
              <w:left w:w="0" w:type="dxa"/>
              <w:bottom w:w="0" w:type="dxa"/>
              <w:right w:w="0" w:type="dxa"/>
            </w:tcMar>
            <w:vAlign w:val="center"/>
            <w:hideMark/>
          </w:tcPr>
          <w:p w:rsidR="00000000" w:rsidRDefault="00B51E11">
            <w:pPr>
              <w:pStyle w:val="a3"/>
              <w:spacing w:before="0" w:beforeAutospacing="0" w:after="0" w:afterAutospacing="0"/>
              <w:divId w:val="314770856"/>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875583231"/>
              <w:rPr>
                <w:sz w:val="20"/>
                <w:szCs w:val="20"/>
              </w:rPr>
            </w:pPr>
            <w:r>
              <w:rPr>
                <w:sz w:val="2"/>
                <w:szCs w:val="2"/>
              </w:rPr>
              <w:t>​</w:t>
            </w:r>
          </w:p>
        </w:tc>
      </w:tr>
      <w:tr w:rsidR="00000000">
        <w:trPr>
          <w:divId w:val="1182160677"/>
        </w:trPr>
        <w:tc>
          <w:tcPr>
            <w:tcW w:w="3629" w:type="pct"/>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b/>
                <w:bCs/>
                <w:sz w:val="16"/>
                <w:szCs w:val="16"/>
              </w:rPr>
              <w:t>​</w:t>
            </w:r>
          </w:p>
        </w:tc>
        <w:tc>
          <w:tcPr>
            <w:tcW w:w="115" w:type="pct"/>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b/>
                <w:bCs/>
                <w:sz w:val="16"/>
                <w:szCs w:val="16"/>
              </w:rPr>
              <w:t>​</w:t>
            </w:r>
          </w:p>
        </w:tc>
        <w:tc>
          <w:tcPr>
            <w:tcW w:w="1254" w:type="pct"/>
            <w:gridSpan w:val="5"/>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r>
      <w:tr w:rsidR="00000000">
        <w:trPr>
          <w:divId w:val="1182160677"/>
        </w:trPr>
        <w:tc>
          <w:tcPr>
            <w:tcW w:w="3629" w:type="pct"/>
            <w:tcBorders>
              <w:bottom w:val="single" w:sz="6" w:space="0" w:color="000000"/>
            </w:tcBorders>
            <w:tcMar>
              <w:top w:w="0" w:type="dxa"/>
              <w:left w:w="0" w:type="dxa"/>
              <w:bottom w:w="0" w:type="dxa"/>
              <w:right w:w="0" w:type="dxa"/>
            </w:tcMar>
            <w:vAlign w:val="center"/>
            <w:hideMark/>
          </w:tcPr>
          <w:p w:rsidR="00000000" w:rsidRDefault="00B51E11">
            <w:pPr>
              <w:pStyle w:val="a3"/>
              <w:spacing w:before="0" w:beforeAutospacing="0" w:after="0" w:afterAutospacing="0"/>
              <w:rPr>
                <w:sz w:val="16"/>
                <w:szCs w:val="16"/>
              </w:rPr>
            </w:pPr>
            <w:r>
              <w:rPr>
                <w:b/>
                <w:bCs/>
                <w:sz w:val="16"/>
                <w:szCs w:val="16"/>
              </w:rPr>
              <w:t>(In thousands)</w:t>
            </w:r>
          </w:p>
        </w:tc>
        <w:tc>
          <w:tcPr>
            <w:tcW w:w="115" w:type="pct"/>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115" w:type="pct"/>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r>
      <w:tr w:rsidR="00000000">
        <w:trPr>
          <w:divId w:val="1182160677"/>
        </w:trPr>
        <w:tc>
          <w:tcPr>
            <w:tcW w:w="3629"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Cash and cash equivalents</w:t>
            </w:r>
          </w:p>
        </w:tc>
        <w:tc>
          <w:tcPr>
            <w:tcW w:w="115"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w:t>
            </w:r>
          </w:p>
        </w:tc>
        <w:tc>
          <w:tcPr>
            <w:tcW w:w="115"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93,282</w:t>
            </w:r>
          </w:p>
        </w:tc>
        <w:tc>
          <w:tcPr>
            <w:tcW w:w="11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15"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102,403</w:t>
            </w:r>
          </w:p>
        </w:tc>
      </w:tr>
      <w:tr w:rsidR="00000000">
        <w:trPr>
          <w:divId w:val="1182160677"/>
        </w:trPr>
        <w:tc>
          <w:tcPr>
            <w:tcW w:w="3629" w:type="pct"/>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Restricted cash</w:t>
            </w:r>
          </w:p>
        </w:tc>
        <w:tc>
          <w:tcPr>
            <w:tcW w:w="115" w:type="pct"/>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w:t>
            </w:r>
          </w:p>
        </w:tc>
        <w:tc>
          <w:tcPr>
            <w:tcW w:w="115" w:type="pct"/>
            <w:tcBorders>
              <w:bottom w:val="single" w:sz="6" w:space="0" w:color="000000"/>
            </w:tcBorders>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833</w:t>
            </w:r>
          </w:p>
        </w:tc>
        <w:tc>
          <w:tcPr>
            <w:tcW w:w="11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15" w:type="pct"/>
            <w:tcBorders>
              <w:bottom w:val="single" w:sz="6" w:space="0" w:color="000000"/>
            </w:tcBorders>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8,329</w:t>
            </w:r>
          </w:p>
        </w:tc>
      </w:tr>
      <w:tr w:rsidR="00000000">
        <w:trPr>
          <w:divId w:val="1182160677"/>
        </w:trPr>
        <w:tc>
          <w:tcPr>
            <w:tcW w:w="3629"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ind w:left="240" w:hanging="120"/>
              <w:rPr>
                <w:sz w:val="20"/>
                <w:szCs w:val="20"/>
              </w:rPr>
            </w:pPr>
            <w:r>
              <w:rPr>
                <w:sz w:val="20"/>
                <w:szCs w:val="20"/>
              </w:rPr>
              <w:t>Total cash, cash equivalents, and restricted cash shown on the condensed</w:t>
            </w:r>
            <w:r>
              <w:rPr>
                <w:sz w:val="20"/>
                <w:szCs w:val="20"/>
              </w:rPr>
              <w:br/>
              <w:t>consolidated statements of cash flows</w:t>
            </w:r>
          </w:p>
        </w:tc>
        <w:tc>
          <w:tcPr>
            <w:tcW w:w="115"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94,115</w:t>
            </w:r>
          </w:p>
        </w:tc>
        <w:tc>
          <w:tcPr>
            <w:tcW w:w="11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110,732</w:t>
            </w:r>
          </w:p>
        </w:tc>
      </w:tr>
    </w:tbl>
    <w:p w:rsidR="00000000" w:rsidRDefault="00B51E11">
      <w:pPr>
        <w:pStyle w:val="a3"/>
        <w:spacing w:before="0" w:beforeAutospacing="0" w:after="0" w:afterAutospacing="0"/>
        <w:ind w:firstLine="720"/>
        <w:divId w:val="1182160677"/>
        <w:rPr>
          <w:sz w:val="20"/>
          <w:szCs w:val="20"/>
        </w:rPr>
      </w:pPr>
      <w:r>
        <w:rPr>
          <w:sz w:val="20"/>
          <w:szCs w:val="20"/>
        </w:rPr>
        <w:t>​</w:t>
      </w:r>
    </w:p>
    <w:p w:rsidR="00000000" w:rsidRDefault="00B51E11">
      <w:pPr>
        <w:pStyle w:val="a3"/>
        <w:spacing w:before="0" w:beforeAutospacing="0" w:after="0" w:afterAutospacing="0"/>
        <w:ind w:firstLine="720"/>
        <w:divId w:val="1182160677"/>
        <w:rPr>
          <w:sz w:val="20"/>
          <w:szCs w:val="20"/>
        </w:rPr>
      </w:pPr>
      <w:r>
        <w:rPr>
          <w:sz w:val="20"/>
          <w:szCs w:val="20"/>
        </w:rPr>
        <w:t>Restricted cash pertains to certain lease agreements and letters of credit by which the Company has pledged cash and cash equivalents as collateral. As of September 30, 2019, the Company also maintained restricted cash for debt servicing of its 9.0% non-re</w:t>
      </w:r>
      <w:r>
        <w:rPr>
          <w:sz w:val="20"/>
          <w:szCs w:val="20"/>
        </w:rPr>
        <w:t>course notes, previously due on or before 2033. The cash-related amounts reported in the table above exclude the Company’s investments in short and long-term marketable securities that are reported separately on the condensed consolidated balance sheets.</w:t>
      </w:r>
    </w:p>
    <w:p w:rsidR="00000000" w:rsidRDefault="00B51E11">
      <w:pPr>
        <w:pStyle w:val="a3"/>
        <w:spacing w:before="0" w:beforeAutospacing="0" w:after="0" w:afterAutospacing="0"/>
        <w:divId w:val="1182160677"/>
        <w:rPr>
          <w:sz w:val="20"/>
          <w:szCs w:val="20"/>
        </w:rPr>
      </w:pPr>
      <w:r>
        <w:rPr>
          <w:sz w:val="20"/>
          <w:szCs w:val="20"/>
        </w:rPr>
        <w:t>​</w:t>
      </w:r>
    </w:p>
    <w:p w:rsidR="00000000" w:rsidRDefault="00B51E11">
      <w:pPr>
        <w:pStyle w:val="a3"/>
        <w:spacing w:before="0" w:beforeAutospacing="0" w:after="0" w:afterAutospacing="0"/>
        <w:divId w:val="1182160677"/>
        <w:rPr>
          <w:sz w:val="20"/>
          <w:szCs w:val="20"/>
        </w:rPr>
      </w:pPr>
      <w:r>
        <w:rPr>
          <w:b/>
          <w:bCs/>
          <w:sz w:val="20"/>
          <w:szCs w:val="20"/>
        </w:rPr>
        <w:t>5.</w:t>
      </w:r>
      <w:r>
        <w:rPr>
          <w:sz w:val="20"/>
          <w:szCs w:val="20"/>
        </w:rPr>
        <w:t xml:space="preserve"> </w:t>
      </w:r>
      <w:r>
        <w:rPr>
          <w:b/>
          <w:bCs/>
          <w:sz w:val="20"/>
          <w:szCs w:val="20"/>
        </w:rPr>
        <w:t>Investments and Fair Value Measurements</w:t>
      </w:r>
    </w:p>
    <w:p w:rsidR="00000000" w:rsidRDefault="00B51E11">
      <w:pPr>
        <w:pStyle w:val="a3"/>
        <w:spacing w:before="0" w:beforeAutospacing="0" w:after="0" w:afterAutospacing="0"/>
        <w:divId w:val="1182160677"/>
        <w:rPr>
          <w:sz w:val="20"/>
          <w:szCs w:val="20"/>
        </w:rPr>
      </w:pPr>
      <w:r>
        <w:rPr>
          <w:sz w:val="10"/>
          <w:szCs w:val="10"/>
        </w:rPr>
        <w:t>​</w:t>
      </w:r>
    </w:p>
    <w:p w:rsidR="00000000" w:rsidRDefault="00B51E11">
      <w:pPr>
        <w:pStyle w:val="a3"/>
        <w:spacing w:before="0" w:beforeAutospacing="0" w:after="0" w:afterAutospacing="0"/>
        <w:divId w:val="1182160677"/>
        <w:rPr>
          <w:sz w:val="20"/>
          <w:szCs w:val="20"/>
        </w:rPr>
      </w:pPr>
      <w:r>
        <w:rPr>
          <w:b/>
          <w:bCs/>
          <w:i/>
          <w:iCs/>
          <w:sz w:val="20"/>
          <w:szCs w:val="20"/>
        </w:rPr>
        <w:t>Available-for-Sale Securities</w:t>
      </w:r>
    </w:p>
    <w:p w:rsidR="00000000" w:rsidRDefault="00B51E11">
      <w:pPr>
        <w:pStyle w:val="a3"/>
        <w:spacing w:before="0" w:beforeAutospacing="0" w:after="0" w:afterAutospacing="0"/>
        <w:divId w:val="1182160677"/>
        <w:rPr>
          <w:sz w:val="20"/>
          <w:szCs w:val="20"/>
        </w:rPr>
      </w:pPr>
      <w:r>
        <w:rPr>
          <w:sz w:val="10"/>
          <w:szCs w:val="10"/>
        </w:rPr>
        <w:t>​</w:t>
      </w:r>
    </w:p>
    <w:p w:rsidR="00000000" w:rsidRDefault="00B51E11">
      <w:pPr>
        <w:pStyle w:val="a3"/>
        <w:spacing w:before="0" w:beforeAutospacing="0" w:after="0" w:afterAutospacing="0"/>
        <w:ind w:firstLine="720"/>
        <w:divId w:val="1182160677"/>
        <w:rPr>
          <w:sz w:val="20"/>
          <w:szCs w:val="20"/>
        </w:rPr>
      </w:pPr>
      <w:r>
        <w:rPr>
          <w:sz w:val="20"/>
          <w:szCs w:val="20"/>
        </w:rPr>
        <w:t>The estimated fair value of marketable securities is based on quoted market prices for these or similar investments obtained from a commercial pricing service. The fair market va</w:t>
      </w:r>
      <w:r>
        <w:rPr>
          <w:sz w:val="20"/>
          <w:szCs w:val="20"/>
        </w:rPr>
        <w:t>lue of marketable securities classified within Level 1 is based on quoted prices for identical instruments in active markets. The fair value of marketable securities classified within Level 2 is based on quoted prices for similar instruments in active mark</w:t>
      </w:r>
      <w:r>
        <w:rPr>
          <w:sz w:val="20"/>
          <w:szCs w:val="20"/>
        </w:rPr>
        <w:t>ets; quoted prices for identical or similar instruments in markets that are not active; or model-driven valuations whose inputs are observable or whose significant value drivers are observable. Observable inputs may include benchmark yields, reported trade</w:t>
      </w:r>
      <w:r>
        <w:rPr>
          <w:sz w:val="20"/>
          <w:szCs w:val="20"/>
        </w:rPr>
        <w:t xml:space="preserve">s, broker/dealer quotes, issuer spreads, two-sided markets, benchmark securities, bids, offers and reference data including market research publications. </w:t>
      </w:r>
    </w:p>
    <w:p w:rsidR="00000000" w:rsidRDefault="00B51E11">
      <w:pPr>
        <w:pStyle w:val="a3"/>
        <w:spacing w:before="0" w:beforeAutospacing="0" w:after="0" w:afterAutospacing="0"/>
        <w:divId w:val="1182160677"/>
        <w:rPr>
          <w:sz w:val="20"/>
          <w:szCs w:val="20"/>
        </w:rPr>
      </w:pPr>
      <w:r>
        <w:rPr>
          <w:sz w:val="20"/>
          <w:szCs w:val="20"/>
        </w:rPr>
        <w:t>​</w:t>
      </w:r>
    </w:p>
    <w:p w:rsidR="00000000" w:rsidRDefault="00B51E11">
      <w:pPr>
        <w:pStyle w:val="a3"/>
        <w:spacing w:before="360" w:beforeAutospacing="0" w:after="0" w:afterAutospacing="0"/>
        <w:jc w:val="center"/>
        <w:divId w:val="968824070"/>
        <w:rPr>
          <w:sz w:val="20"/>
          <w:szCs w:val="20"/>
        </w:rPr>
      </w:pPr>
      <w:r>
        <w:rPr>
          <w:sz w:val="20"/>
          <w:szCs w:val="20"/>
        </w:rPr>
        <w:t>14</w:t>
      </w:r>
    </w:p>
    <w:p w:rsidR="00000000" w:rsidRDefault="00B51E11">
      <w:pPr>
        <w:pStyle w:val="a3"/>
        <w:spacing w:before="0" w:beforeAutospacing="0" w:after="600" w:afterAutospacing="0"/>
        <w:divId w:val="1109810283"/>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61743633"/>
        <w:rPr>
          <w:sz w:val="20"/>
          <w:szCs w:val="20"/>
        </w:rPr>
      </w:pPr>
      <w:r>
        <w:rPr>
          <w:sz w:val="20"/>
          <w:szCs w:val="20"/>
        </w:rPr>
        <w:t>Available-for-sale securities are summarized below:</w:t>
      </w:r>
    </w:p>
    <w:p w:rsidR="00000000" w:rsidRDefault="00B51E11">
      <w:pPr>
        <w:pStyle w:val="a3"/>
        <w:spacing w:before="0" w:beforeAutospacing="0" w:after="0" w:afterAutospacing="0"/>
        <w:ind w:firstLine="720"/>
        <w:divId w:val="16174363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620"/>
        <w:gridCol w:w="160"/>
        <w:gridCol w:w="606"/>
        <w:gridCol w:w="160"/>
        <w:gridCol w:w="140"/>
        <w:gridCol w:w="720"/>
        <w:gridCol w:w="160"/>
        <w:gridCol w:w="152"/>
        <w:gridCol w:w="625"/>
        <w:gridCol w:w="160"/>
        <w:gridCol w:w="152"/>
        <w:gridCol w:w="625"/>
        <w:gridCol w:w="160"/>
        <w:gridCol w:w="146"/>
        <w:gridCol w:w="720"/>
      </w:tblGrid>
      <w:tr w:rsidR="00000000">
        <w:trPr>
          <w:divId w:val="161743633"/>
          <w:trHeight w:val="20"/>
        </w:trPr>
        <w:tc>
          <w:tcPr>
            <w:tcW w:w="2185" w:type="pct"/>
            <w:tcMar>
              <w:top w:w="0" w:type="dxa"/>
              <w:left w:w="0" w:type="dxa"/>
              <w:bottom w:w="0" w:type="dxa"/>
              <w:right w:w="0" w:type="dxa"/>
            </w:tcMar>
            <w:vAlign w:val="center"/>
            <w:hideMark/>
          </w:tcPr>
          <w:p w:rsidR="00000000" w:rsidRDefault="00B51E11">
            <w:pPr>
              <w:pStyle w:val="a3"/>
              <w:spacing w:before="0" w:beforeAutospacing="0" w:after="0" w:afterAutospacing="0"/>
              <w:divId w:val="240264121"/>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98267348"/>
              <w:rPr>
                <w:sz w:val="20"/>
                <w:szCs w:val="20"/>
              </w:rPr>
            </w:pPr>
            <w:r>
              <w:rPr>
                <w:sz w:val="2"/>
                <w:szCs w:val="2"/>
              </w:rPr>
              <w:t>​</w:t>
            </w:r>
          </w:p>
        </w:tc>
        <w:tc>
          <w:tcPr>
            <w:tcW w:w="374"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30746765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2312230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53461129"/>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22310636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61815097"/>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8067382"/>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6031785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5503506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72206351"/>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46816245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01962952"/>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36718116"/>
              <w:rPr>
                <w:sz w:val="20"/>
                <w:szCs w:val="20"/>
              </w:rPr>
            </w:pPr>
            <w:r>
              <w:rPr>
                <w:sz w:val="2"/>
                <w:szCs w:val="2"/>
              </w:rPr>
              <w:t>​</w:t>
            </w:r>
          </w:p>
        </w:tc>
        <w:tc>
          <w:tcPr>
            <w:tcW w:w="398"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816098921"/>
              <w:rPr>
                <w:sz w:val="20"/>
                <w:szCs w:val="20"/>
              </w:rPr>
            </w:pPr>
            <w:r>
              <w:rPr>
                <w:sz w:val="2"/>
                <w:szCs w:val="2"/>
              </w:rPr>
              <w:t>​</w:t>
            </w:r>
          </w:p>
        </w:tc>
      </w:tr>
      <w:tr w:rsidR="00000000">
        <w:trPr>
          <w:divId w:val="161743633"/>
        </w:trPr>
        <w:tc>
          <w:tcPr>
            <w:tcW w:w="218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374"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2244" w:type="pct"/>
            <w:gridSpan w:val="11"/>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2020</w:t>
            </w:r>
          </w:p>
        </w:tc>
      </w:tr>
      <w:tr w:rsidR="00000000">
        <w:trPr>
          <w:divId w:val="161743633"/>
        </w:trPr>
        <w:tc>
          <w:tcPr>
            <w:tcW w:w="218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374"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r>
      <w:tr w:rsidR="00000000">
        <w:trPr>
          <w:divId w:val="161743633"/>
        </w:trPr>
        <w:tc>
          <w:tcPr>
            <w:tcW w:w="218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374"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Amortized</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Estimated</w:t>
            </w:r>
          </w:p>
        </w:tc>
      </w:tr>
      <w:tr w:rsidR="00000000">
        <w:trPr>
          <w:divId w:val="161743633"/>
        </w:trPr>
        <w:tc>
          <w:tcPr>
            <w:tcW w:w="2185"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w:t>
            </w:r>
            <w:r>
              <w:rPr>
                <w:b/>
                <w:bCs/>
                <w:sz w:val="16"/>
                <w:szCs w:val="16"/>
              </w:rPr>
              <w:t>thousands)</w:t>
            </w:r>
          </w:p>
        </w:tc>
        <w:tc>
          <w:tcPr>
            <w:tcW w:w="9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374"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Cost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Gains</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Losses</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Fair Value</w:t>
            </w:r>
          </w:p>
        </w:tc>
      </w:tr>
      <w:tr w:rsidR="00000000">
        <w:trPr>
          <w:divId w:val="161743633"/>
        </w:trPr>
        <w:tc>
          <w:tcPr>
            <w:tcW w:w="2185"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130,024</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81</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(1)</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130,104</w:t>
            </w:r>
          </w:p>
        </w:tc>
      </w:tr>
      <w:tr w:rsidR="00000000">
        <w:trPr>
          <w:divId w:val="161743633"/>
        </w:trPr>
        <w:tc>
          <w:tcPr>
            <w:tcW w:w="2185" w:type="pct"/>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99,928</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41</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98" w:type="pct"/>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99,969</w:t>
            </w:r>
          </w:p>
        </w:tc>
      </w:tr>
      <w:tr w:rsidR="00000000">
        <w:trPr>
          <w:divId w:val="161743633"/>
        </w:trPr>
        <w:tc>
          <w:tcPr>
            <w:tcW w:w="2185"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Corporate notes</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98"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r>
      <w:tr w:rsidR="00000000">
        <w:trPr>
          <w:divId w:val="161743633"/>
        </w:trPr>
        <w:tc>
          <w:tcPr>
            <w:tcW w:w="218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Commercial paper</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41,986</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4</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41,990</w:t>
            </w:r>
          </w:p>
        </w:tc>
      </w:tr>
      <w:tr w:rsidR="00000000">
        <w:trPr>
          <w:divId w:val="161743633"/>
        </w:trPr>
        <w:tc>
          <w:tcPr>
            <w:tcW w:w="218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120"/>
              <w:rPr>
                <w:sz w:val="20"/>
                <w:szCs w:val="20"/>
              </w:rPr>
            </w:pPr>
            <w:r>
              <w:rPr>
                <w:sz w:val="20"/>
                <w:szCs w:val="20"/>
              </w:rPr>
              <w:t>Marketable securities</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271,938</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126</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(1)</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272,063</w:t>
            </w:r>
          </w:p>
        </w:tc>
      </w:tr>
      <w:tr w:rsidR="00000000">
        <w:trPr>
          <w:divId w:val="161743633"/>
        </w:trPr>
        <w:tc>
          <w:tcPr>
            <w:tcW w:w="218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 xml:space="preserve">Money market funds </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Level 1</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35,615</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35,615</w:t>
            </w:r>
          </w:p>
        </w:tc>
      </w:tr>
      <w:tr w:rsidR="00000000">
        <w:trPr>
          <w:divId w:val="161743633"/>
        </w:trPr>
        <w:tc>
          <w:tcPr>
            <w:tcW w:w="2185"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ind w:left="240"/>
              <w:rPr>
                <w:sz w:val="20"/>
                <w:szCs w:val="20"/>
              </w:rPr>
            </w:pPr>
            <w:r>
              <w:rPr>
                <w:sz w:val="20"/>
                <w:szCs w:val="20"/>
              </w:rPr>
              <w:t xml:space="preserve">Total </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307,553</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126</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(1)</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307,678</w:t>
            </w:r>
          </w:p>
        </w:tc>
      </w:tr>
    </w:tbl>
    <w:p w:rsidR="00000000" w:rsidRDefault="00B51E11">
      <w:pPr>
        <w:pStyle w:val="a3"/>
        <w:spacing w:before="0" w:beforeAutospacing="0" w:after="0" w:afterAutospacing="0"/>
        <w:divId w:val="161743633"/>
        <w:rPr>
          <w:sz w:val="20"/>
          <w:szCs w:val="20"/>
        </w:rPr>
      </w:pPr>
      <w:r>
        <w:rPr>
          <w:sz w:val="10"/>
          <w:szCs w:val="10"/>
        </w:rPr>
        <w:t>​</w:t>
      </w:r>
    </w:p>
    <w:p w:rsidR="00000000" w:rsidRDefault="00B51E11">
      <w:pPr>
        <w:pStyle w:val="a3"/>
        <w:spacing w:before="0" w:beforeAutospacing="0" w:after="0" w:afterAutospacing="0"/>
        <w:divId w:val="16174363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620"/>
        <w:gridCol w:w="160"/>
        <w:gridCol w:w="606"/>
        <w:gridCol w:w="160"/>
        <w:gridCol w:w="140"/>
        <w:gridCol w:w="720"/>
        <w:gridCol w:w="160"/>
        <w:gridCol w:w="152"/>
        <w:gridCol w:w="625"/>
        <w:gridCol w:w="160"/>
        <w:gridCol w:w="152"/>
        <w:gridCol w:w="625"/>
        <w:gridCol w:w="160"/>
        <w:gridCol w:w="146"/>
        <w:gridCol w:w="720"/>
      </w:tblGrid>
      <w:tr w:rsidR="00000000">
        <w:trPr>
          <w:divId w:val="161743633"/>
          <w:trHeight w:val="20"/>
        </w:trPr>
        <w:tc>
          <w:tcPr>
            <w:tcW w:w="2185" w:type="pct"/>
            <w:tcMar>
              <w:top w:w="0" w:type="dxa"/>
              <w:left w:w="0" w:type="dxa"/>
              <w:bottom w:w="0" w:type="dxa"/>
              <w:right w:w="0" w:type="dxa"/>
            </w:tcMar>
            <w:vAlign w:val="center"/>
            <w:hideMark/>
          </w:tcPr>
          <w:p w:rsidR="00000000" w:rsidRDefault="00B51E11">
            <w:pPr>
              <w:pStyle w:val="a3"/>
              <w:spacing w:before="0" w:beforeAutospacing="0" w:after="0" w:afterAutospacing="0"/>
              <w:divId w:val="167617860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69028105"/>
              <w:rPr>
                <w:sz w:val="20"/>
                <w:szCs w:val="20"/>
              </w:rPr>
            </w:pPr>
            <w:r>
              <w:rPr>
                <w:sz w:val="2"/>
                <w:szCs w:val="2"/>
              </w:rPr>
              <w:t>​</w:t>
            </w:r>
          </w:p>
        </w:tc>
        <w:tc>
          <w:tcPr>
            <w:tcW w:w="374"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43143480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334286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61833565"/>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68756033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5107522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67785972"/>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13980373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11675086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13754008"/>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74726623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6457540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27857063"/>
              <w:rPr>
                <w:sz w:val="20"/>
                <w:szCs w:val="20"/>
              </w:rPr>
            </w:pPr>
            <w:r>
              <w:rPr>
                <w:sz w:val="2"/>
                <w:szCs w:val="2"/>
              </w:rPr>
              <w:t>​</w:t>
            </w:r>
          </w:p>
        </w:tc>
        <w:tc>
          <w:tcPr>
            <w:tcW w:w="398"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2043289269"/>
              <w:rPr>
                <w:sz w:val="20"/>
                <w:szCs w:val="20"/>
              </w:rPr>
            </w:pPr>
            <w:r>
              <w:rPr>
                <w:sz w:val="2"/>
                <w:szCs w:val="2"/>
              </w:rPr>
              <w:t>​</w:t>
            </w:r>
          </w:p>
        </w:tc>
      </w:tr>
      <w:tr w:rsidR="00000000">
        <w:trPr>
          <w:divId w:val="161743633"/>
        </w:trPr>
        <w:tc>
          <w:tcPr>
            <w:tcW w:w="218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374"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2244" w:type="pct"/>
            <w:gridSpan w:val="11"/>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December 31, 2019</w:t>
            </w:r>
          </w:p>
        </w:tc>
      </w:tr>
      <w:tr w:rsidR="00000000">
        <w:trPr>
          <w:divId w:val="161743633"/>
        </w:trPr>
        <w:tc>
          <w:tcPr>
            <w:tcW w:w="218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374"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r>
      <w:tr w:rsidR="00000000">
        <w:trPr>
          <w:divId w:val="161743633"/>
        </w:trPr>
        <w:tc>
          <w:tcPr>
            <w:tcW w:w="218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374"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Amortized</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Estimated</w:t>
            </w:r>
          </w:p>
        </w:tc>
      </w:tr>
      <w:tr w:rsidR="00000000">
        <w:trPr>
          <w:divId w:val="161743633"/>
        </w:trPr>
        <w:tc>
          <w:tcPr>
            <w:tcW w:w="2185"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97"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374"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Cost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Gains</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Losses</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Fair </w:t>
            </w:r>
            <w:r>
              <w:rPr>
                <w:b/>
                <w:bCs/>
                <w:sz w:val="16"/>
                <w:szCs w:val="16"/>
              </w:rPr>
              <w:t>Value</w:t>
            </w:r>
          </w:p>
        </w:tc>
      </w:tr>
      <w:tr w:rsidR="00000000">
        <w:trPr>
          <w:divId w:val="161743633"/>
        </w:trPr>
        <w:tc>
          <w:tcPr>
            <w:tcW w:w="2185"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100,746</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108</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100,854</w:t>
            </w:r>
          </w:p>
        </w:tc>
      </w:tr>
      <w:tr w:rsidR="00000000">
        <w:trPr>
          <w:divId w:val="161743633"/>
        </w:trPr>
        <w:tc>
          <w:tcPr>
            <w:tcW w:w="2185" w:type="pct"/>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Corporate notes</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25,466</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9</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(1)</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98" w:type="pct"/>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25,474</w:t>
            </w:r>
          </w:p>
        </w:tc>
      </w:tr>
      <w:tr w:rsidR="00000000">
        <w:trPr>
          <w:divId w:val="161743633"/>
        </w:trPr>
        <w:tc>
          <w:tcPr>
            <w:tcW w:w="218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Commercial paper</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112,066</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31</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112,095</w:t>
            </w:r>
          </w:p>
        </w:tc>
      </w:tr>
      <w:tr w:rsidR="00000000">
        <w:trPr>
          <w:divId w:val="161743633"/>
        </w:trPr>
        <w:tc>
          <w:tcPr>
            <w:tcW w:w="2185" w:type="pct"/>
            <w:tcMar>
              <w:top w:w="0" w:type="dxa"/>
              <w:left w:w="0" w:type="dxa"/>
              <w:bottom w:w="0" w:type="dxa"/>
              <w:right w:w="0" w:type="dxa"/>
            </w:tcMar>
            <w:vAlign w:val="bottom"/>
            <w:hideMark/>
          </w:tcPr>
          <w:p w:rsidR="00000000" w:rsidRDefault="00B51E11">
            <w:pPr>
              <w:pStyle w:val="a3"/>
              <w:spacing w:before="0" w:beforeAutospacing="0" w:after="0" w:afterAutospacing="0"/>
              <w:ind w:left="120"/>
              <w:rPr>
                <w:sz w:val="20"/>
                <w:szCs w:val="20"/>
              </w:rPr>
            </w:pPr>
            <w:r>
              <w:rPr>
                <w:sz w:val="20"/>
                <w:szCs w:val="20"/>
              </w:rPr>
              <w:t>Marketable securities</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238,278</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148</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(3)</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238,423</w:t>
            </w:r>
          </w:p>
        </w:tc>
      </w:tr>
      <w:tr w:rsidR="00000000">
        <w:trPr>
          <w:divId w:val="161743633"/>
        </w:trPr>
        <w:tc>
          <w:tcPr>
            <w:tcW w:w="218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 xml:space="preserve">Money market funds </w:t>
            </w:r>
          </w:p>
        </w:tc>
        <w:tc>
          <w:tcPr>
            <w:tcW w:w="9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35,736</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35,736</w:t>
            </w:r>
          </w:p>
        </w:tc>
      </w:tr>
      <w:tr w:rsidR="00000000">
        <w:trPr>
          <w:divId w:val="161743633"/>
        </w:trPr>
        <w:tc>
          <w:tcPr>
            <w:tcW w:w="2185" w:type="pct"/>
            <w:tcMar>
              <w:top w:w="0" w:type="dxa"/>
              <w:left w:w="0" w:type="dxa"/>
              <w:bottom w:w="0" w:type="dxa"/>
              <w:right w:w="0" w:type="dxa"/>
            </w:tcMar>
            <w:vAlign w:val="center"/>
            <w:hideMark/>
          </w:tcPr>
          <w:p w:rsidR="00000000" w:rsidRDefault="00B51E11">
            <w:pPr>
              <w:pStyle w:val="a3"/>
              <w:spacing w:before="0" w:beforeAutospacing="0" w:after="0" w:afterAutospacing="0"/>
              <w:ind w:left="240"/>
              <w:rPr>
                <w:sz w:val="20"/>
                <w:szCs w:val="20"/>
              </w:rPr>
            </w:pPr>
            <w:r>
              <w:rPr>
                <w:sz w:val="20"/>
                <w:szCs w:val="20"/>
              </w:rPr>
              <w:t xml:space="preserve">Total </w:t>
            </w:r>
          </w:p>
        </w:tc>
        <w:tc>
          <w:tcPr>
            <w:tcW w:w="9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274,014</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148</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(3)</w:t>
            </w:r>
          </w:p>
        </w:tc>
        <w:tc>
          <w:tcPr>
            <w:tcW w:w="9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274,159</w:t>
            </w:r>
          </w:p>
        </w:tc>
      </w:tr>
    </w:tbl>
    <w:p w:rsidR="00000000" w:rsidRDefault="00B51E11">
      <w:pPr>
        <w:pStyle w:val="a3"/>
        <w:spacing w:before="0" w:beforeAutospacing="0" w:after="0" w:afterAutospacing="0"/>
        <w:divId w:val="161743633"/>
        <w:rPr>
          <w:sz w:val="20"/>
          <w:szCs w:val="20"/>
        </w:rPr>
      </w:pPr>
      <w:r>
        <w:rPr>
          <w:sz w:val="20"/>
          <w:szCs w:val="20"/>
        </w:rPr>
        <w:t>​</w:t>
      </w:r>
    </w:p>
    <w:p w:rsidR="00000000" w:rsidRDefault="00B51E11">
      <w:pPr>
        <w:pStyle w:val="a3"/>
        <w:spacing w:before="0" w:beforeAutospacing="0" w:after="0" w:afterAutospacing="0"/>
        <w:ind w:firstLine="720"/>
        <w:divId w:val="161743633"/>
        <w:rPr>
          <w:sz w:val="20"/>
          <w:szCs w:val="20"/>
        </w:rPr>
      </w:pPr>
      <w:r>
        <w:rPr>
          <w:sz w:val="20"/>
          <w:szCs w:val="20"/>
        </w:rPr>
        <w:t>As of September 30, 2020, all of the available-for-sale securities had contractual maturities within 11 months and the weighted-average maturity of marketable securities was approximately 3 months. There have been no material changes to the Company’s valua</w:t>
      </w:r>
      <w:r>
        <w:rPr>
          <w:sz w:val="20"/>
          <w:szCs w:val="20"/>
        </w:rPr>
        <w:t xml:space="preserve">tion techniques during the three and nine months ended September 30, 2020. </w:t>
      </w:r>
    </w:p>
    <w:p w:rsidR="00000000" w:rsidRDefault="00B51E11">
      <w:pPr>
        <w:pStyle w:val="a3"/>
        <w:spacing w:before="0" w:beforeAutospacing="0" w:after="0" w:afterAutospacing="0"/>
        <w:divId w:val="161743633"/>
        <w:rPr>
          <w:sz w:val="20"/>
          <w:szCs w:val="20"/>
        </w:rPr>
      </w:pPr>
      <w:r>
        <w:rPr>
          <w:sz w:val="20"/>
          <w:szCs w:val="20"/>
        </w:rPr>
        <w:t>​</w:t>
      </w:r>
    </w:p>
    <w:p w:rsidR="00000000" w:rsidRDefault="00B51E11">
      <w:pPr>
        <w:pStyle w:val="a3"/>
        <w:spacing w:before="0" w:beforeAutospacing="0" w:after="0" w:afterAutospacing="0"/>
        <w:ind w:firstLine="720"/>
        <w:divId w:val="161743633"/>
        <w:rPr>
          <w:sz w:val="20"/>
          <w:szCs w:val="20"/>
        </w:rPr>
      </w:pPr>
      <w:r>
        <w:rPr>
          <w:sz w:val="20"/>
          <w:szCs w:val="20"/>
        </w:rPr>
        <w:t>Available-for-sale debt securities with unrealized losses are summarized below:</w:t>
      </w:r>
    </w:p>
    <w:p w:rsidR="00000000" w:rsidRDefault="00B51E11">
      <w:pPr>
        <w:pStyle w:val="a3"/>
        <w:spacing w:before="0" w:beforeAutospacing="0" w:after="0" w:afterAutospacing="0"/>
        <w:ind w:firstLine="720"/>
        <w:divId w:val="16174363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29"/>
        <w:gridCol w:w="160"/>
        <w:gridCol w:w="128"/>
        <w:gridCol w:w="621"/>
        <w:gridCol w:w="160"/>
        <w:gridCol w:w="147"/>
        <w:gridCol w:w="600"/>
        <w:gridCol w:w="6"/>
        <w:gridCol w:w="151"/>
        <w:gridCol w:w="601"/>
        <w:gridCol w:w="150"/>
        <w:gridCol w:w="150"/>
        <w:gridCol w:w="606"/>
        <w:gridCol w:w="160"/>
        <w:gridCol w:w="147"/>
        <w:gridCol w:w="620"/>
        <w:gridCol w:w="23"/>
        <w:gridCol w:w="160"/>
        <w:gridCol w:w="587"/>
      </w:tblGrid>
      <w:tr w:rsidR="00000000">
        <w:trPr>
          <w:divId w:val="161743633"/>
          <w:trHeight w:val="20"/>
        </w:trPr>
        <w:tc>
          <w:tcPr>
            <w:tcW w:w="1938" w:type="pct"/>
            <w:tcMar>
              <w:top w:w="0" w:type="dxa"/>
              <w:left w:w="0" w:type="dxa"/>
              <w:bottom w:w="0" w:type="dxa"/>
              <w:right w:w="0" w:type="dxa"/>
            </w:tcMar>
            <w:vAlign w:val="center"/>
            <w:hideMark/>
          </w:tcPr>
          <w:p w:rsidR="00000000" w:rsidRDefault="00B51E11">
            <w:pPr>
              <w:pStyle w:val="a3"/>
              <w:spacing w:before="0" w:beforeAutospacing="0" w:after="0" w:afterAutospacing="0"/>
              <w:divId w:val="188397770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5108448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59777503"/>
              <w:rPr>
                <w:sz w:val="20"/>
                <w:szCs w:val="20"/>
              </w:rPr>
            </w:pPr>
            <w:r>
              <w:rPr>
                <w:sz w:val="2"/>
                <w:szCs w:val="2"/>
              </w:rPr>
              <w:t>​</w:t>
            </w:r>
          </w:p>
        </w:tc>
        <w:tc>
          <w:tcPr>
            <w:tcW w:w="356"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443302727"/>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6794628"/>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39627724"/>
              <w:rPr>
                <w:sz w:val="20"/>
                <w:szCs w:val="20"/>
              </w:rPr>
            </w:pPr>
            <w:r>
              <w:rPr>
                <w:sz w:val="2"/>
                <w:szCs w:val="2"/>
              </w:rPr>
              <w:t>​</w:t>
            </w:r>
          </w:p>
        </w:tc>
        <w:tc>
          <w:tcPr>
            <w:tcW w:w="34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416482833"/>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841700986"/>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95747279"/>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19034592"/>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905991631"/>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50350705"/>
              <w:rPr>
                <w:sz w:val="20"/>
                <w:szCs w:val="20"/>
              </w:rPr>
            </w:pPr>
            <w:r>
              <w:rPr>
                <w:sz w:val="2"/>
                <w:szCs w:val="2"/>
              </w:rPr>
              <w:t>​</w:t>
            </w:r>
          </w:p>
        </w:tc>
        <w:tc>
          <w:tcPr>
            <w:tcW w:w="340"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758865608"/>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7936794"/>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77514029"/>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543247329"/>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567372276"/>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838527"/>
              <w:rPr>
                <w:sz w:val="20"/>
                <w:szCs w:val="20"/>
              </w:rPr>
            </w:pPr>
            <w:r>
              <w:rPr>
                <w:sz w:val="2"/>
                <w:szCs w:val="2"/>
              </w:rPr>
              <w:t>​</w:t>
            </w:r>
          </w:p>
        </w:tc>
        <w:tc>
          <w:tcPr>
            <w:tcW w:w="308"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587229365"/>
              <w:rPr>
                <w:sz w:val="20"/>
                <w:szCs w:val="20"/>
              </w:rPr>
            </w:pPr>
            <w:r>
              <w:rPr>
                <w:sz w:val="2"/>
                <w:szCs w:val="2"/>
              </w:rPr>
              <w:t>​</w:t>
            </w:r>
          </w:p>
        </w:tc>
      </w:tr>
      <w:tr w:rsidR="00000000">
        <w:trPr>
          <w:divId w:val="161743633"/>
        </w:trPr>
        <w:tc>
          <w:tcPr>
            <w:tcW w:w="193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color w:val="0563C1"/>
                <w:sz w:val="28"/>
                <w:szCs w:val="28"/>
                <w:u w:val="single"/>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2"/>
                <w:szCs w:val="22"/>
              </w:rPr>
              <w:t>​</w:t>
            </w:r>
          </w:p>
        </w:tc>
        <w:tc>
          <w:tcPr>
            <w:tcW w:w="2975" w:type="pct"/>
            <w:gridSpan w:val="17"/>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2020</w:t>
            </w:r>
          </w:p>
        </w:tc>
      </w:tr>
      <w:tr w:rsidR="00000000">
        <w:trPr>
          <w:divId w:val="161743633"/>
        </w:trPr>
        <w:tc>
          <w:tcPr>
            <w:tcW w:w="1938"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60"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Less than 12 Months</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38"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Greater than 12 Months</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05"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Total</w:t>
            </w:r>
          </w:p>
        </w:tc>
      </w:tr>
      <w:tr w:rsidR="00000000">
        <w:trPr>
          <w:divId w:val="161743633"/>
        </w:trPr>
        <w:tc>
          <w:tcPr>
            <w:tcW w:w="1938"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5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Gross</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Gross</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93"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Gross</w:t>
            </w:r>
          </w:p>
        </w:tc>
      </w:tr>
      <w:tr w:rsidR="00000000">
        <w:trPr>
          <w:divId w:val="161743633"/>
        </w:trPr>
        <w:tc>
          <w:tcPr>
            <w:tcW w:w="193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Estimated</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Unrealized</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Estimated</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Unrealized</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Estimated</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93"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Unrealized</w:t>
            </w:r>
          </w:p>
        </w:tc>
      </w:tr>
      <w:tr w:rsidR="00000000">
        <w:trPr>
          <w:divId w:val="161743633"/>
        </w:trPr>
        <w:tc>
          <w:tcPr>
            <w:tcW w:w="1938"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8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Fair Value</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30"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Losses</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Fair Value</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Losses</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Fair Value</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93"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Losses</w:t>
            </w:r>
          </w:p>
        </w:tc>
      </w:tr>
      <w:tr w:rsidR="00000000">
        <w:trPr>
          <w:divId w:val="161743633"/>
        </w:trPr>
        <w:tc>
          <w:tcPr>
            <w:tcW w:w="1938"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US government securities</w:t>
            </w:r>
          </w:p>
        </w:tc>
        <w:tc>
          <w:tcPr>
            <w:tcW w:w="8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10,090</w:t>
            </w:r>
          </w:p>
        </w:tc>
        <w:tc>
          <w:tcPr>
            <w:tcW w:w="8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(1)</w:t>
            </w:r>
          </w:p>
        </w:tc>
        <w:tc>
          <w:tcPr>
            <w:tcW w:w="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10,090</w:t>
            </w:r>
          </w:p>
        </w:tc>
        <w:tc>
          <w:tcPr>
            <w:tcW w:w="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08"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(1)</w:t>
            </w:r>
          </w:p>
        </w:tc>
      </w:tr>
      <w:tr w:rsidR="00000000">
        <w:trPr>
          <w:divId w:val="161743633"/>
        </w:trPr>
        <w:tc>
          <w:tcPr>
            <w:tcW w:w="1938"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Commercial paper</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56"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4,998</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45"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40"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4,998</w:t>
            </w:r>
          </w:p>
        </w:tc>
        <w:tc>
          <w:tcPr>
            <w:tcW w:w="85" w:type="pct"/>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08"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r>
      <w:tr w:rsidR="00000000">
        <w:trPr>
          <w:divId w:val="161743633"/>
        </w:trPr>
        <w:tc>
          <w:tcPr>
            <w:tcW w:w="1938"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ind w:left="240"/>
              <w:rPr>
                <w:sz w:val="20"/>
                <w:szCs w:val="20"/>
              </w:rPr>
            </w:pPr>
            <w:r>
              <w:rPr>
                <w:sz w:val="20"/>
                <w:szCs w:val="20"/>
              </w:rPr>
              <w:t xml:space="preserve">Total </w:t>
            </w:r>
          </w:p>
        </w:tc>
        <w:tc>
          <w:tcPr>
            <w:tcW w:w="8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15,088</w:t>
            </w:r>
          </w:p>
        </w:tc>
        <w:tc>
          <w:tcPr>
            <w:tcW w:w="8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4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(1)</w:t>
            </w:r>
          </w:p>
        </w:tc>
        <w:tc>
          <w:tcPr>
            <w:tcW w:w="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15,088</w:t>
            </w:r>
          </w:p>
        </w:tc>
        <w:tc>
          <w:tcPr>
            <w:tcW w:w="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08"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(1)</w:t>
            </w:r>
          </w:p>
        </w:tc>
      </w:tr>
    </w:tbl>
    <w:p w:rsidR="00000000" w:rsidRDefault="00B51E11">
      <w:pPr>
        <w:pStyle w:val="a3"/>
        <w:spacing w:before="0" w:beforeAutospacing="0" w:after="0" w:afterAutospacing="0"/>
        <w:divId w:val="16174363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29"/>
        <w:gridCol w:w="160"/>
        <w:gridCol w:w="127"/>
        <w:gridCol w:w="621"/>
        <w:gridCol w:w="161"/>
        <w:gridCol w:w="147"/>
        <w:gridCol w:w="600"/>
        <w:gridCol w:w="6"/>
        <w:gridCol w:w="151"/>
        <w:gridCol w:w="601"/>
        <w:gridCol w:w="150"/>
        <w:gridCol w:w="150"/>
        <w:gridCol w:w="606"/>
        <w:gridCol w:w="160"/>
        <w:gridCol w:w="147"/>
        <w:gridCol w:w="620"/>
        <w:gridCol w:w="23"/>
        <w:gridCol w:w="162"/>
        <w:gridCol w:w="585"/>
      </w:tblGrid>
      <w:tr w:rsidR="00000000">
        <w:trPr>
          <w:divId w:val="161743633"/>
          <w:trHeight w:val="20"/>
        </w:trPr>
        <w:tc>
          <w:tcPr>
            <w:tcW w:w="1938" w:type="pct"/>
            <w:tcMar>
              <w:top w:w="0" w:type="dxa"/>
              <w:left w:w="0" w:type="dxa"/>
              <w:bottom w:w="0" w:type="dxa"/>
              <w:right w:w="0" w:type="dxa"/>
            </w:tcMar>
            <w:vAlign w:val="center"/>
            <w:hideMark/>
          </w:tcPr>
          <w:p w:rsidR="00000000" w:rsidRDefault="00B51E11">
            <w:pPr>
              <w:pStyle w:val="a3"/>
              <w:spacing w:before="0" w:beforeAutospacing="0" w:after="0" w:afterAutospacing="0"/>
              <w:divId w:val="168959733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9759571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56506050"/>
              <w:rPr>
                <w:sz w:val="20"/>
                <w:szCs w:val="20"/>
              </w:rPr>
            </w:pPr>
            <w:r>
              <w:rPr>
                <w:sz w:val="2"/>
                <w:szCs w:val="2"/>
              </w:rPr>
              <w:t>​</w:t>
            </w:r>
          </w:p>
        </w:tc>
        <w:tc>
          <w:tcPr>
            <w:tcW w:w="360"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867912432"/>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07514548"/>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03999446"/>
              <w:rPr>
                <w:sz w:val="20"/>
                <w:szCs w:val="20"/>
              </w:rPr>
            </w:pPr>
            <w:r>
              <w:rPr>
                <w:sz w:val="2"/>
                <w:szCs w:val="2"/>
              </w:rPr>
              <w:t>​</w:t>
            </w:r>
          </w:p>
        </w:tc>
        <w:tc>
          <w:tcPr>
            <w:tcW w:w="34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316694118"/>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88948839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8716997"/>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882058440"/>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875704928"/>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26157880"/>
              <w:rPr>
                <w:sz w:val="20"/>
                <w:szCs w:val="20"/>
              </w:rPr>
            </w:pPr>
            <w:r>
              <w:rPr>
                <w:sz w:val="2"/>
                <w:szCs w:val="2"/>
              </w:rPr>
              <w:t>​</w:t>
            </w:r>
          </w:p>
        </w:tc>
        <w:tc>
          <w:tcPr>
            <w:tcW w:w="340"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076706172"/>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10794456"/>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31196332"/>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670020376"/>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634402351"/>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80632815"/>
              <w:rPr>
                <w:sz w:val="20"/>
                <w:szCs w:val="20"/>
              </w:rPr>
            </w:pPr>
            <w:r>
              <w:rPr>
                <w:sz w:val="2"/>
                <w:szCs w:val="2"/>
              </w:rPr>
              <w:t>​</w:t>
            </w:r>
          </w:p>
        </w:tc>
        <w:tc>
          <w:tcPr>
            <w:tcW w:w="304"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051534725"/>
              <w:rPr>
                <w:sz w:val="20"/>
                <w:szCs w:val="20"/>
              </w:rPr>
            </w:pPr>
            <w:r>
              <w:rPr>
                <w:sz w:val="2"/>
                <w:szCs w:val="2"/>
              </w:rPr>
              <w:t>​</w:t>
            </w:r>
          </w:p>
        </w:tc>
      </w:tr>
      <w:tr w:rsidR="00000000">
        <w:trPr>
          <w:divId w:val="161743633"/>
        </w:trPr>
        <w:tc>
          <w:tcPr>
            <w:tcW w:w="193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2"/>
                <w:szCs w:val="22"/>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2"/>
                <w:szCs w:val="22"/>
              </w:rPr>
              <w:t>​</w:t>
            </w:r>
          </w:p>
        </w:tc>
        <w:tc>
          <w:tcPr>
            <w:tcW w:w="2975" w:type="pct"/>
            <w:gridSpan w:val="17"/>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December 31, 2019</w:t>
            </w:r>
          </w:p>
        </w:tc>
      </w:tr>
      <w:tr w:rsidR="00000000">
        <w:trPr>
          <w:divId w:val="161743633"/>
        </w:trPr>
        <w:tc>
          <w:tcPr>
            <w:tcW w:w="1938"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2"/>
                <w:szCs w:val="22"/>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64"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Less than 12 Months</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38"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Greater than 12 Months</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01"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Total</w:t>
            </w:r>
          </w:p>
        </w:tc>
      </w:tr>
      <w:tr w:rsidR="00000000">
        <w:trPr>
          <w:divId w:val="161743633"/>
        </w:trPr>
        <w:tc>
          <w:tcPr>
            <w:tcW w:w="1938"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6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Gross</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Gross</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Gross</w:t>
            </w:r>
          </w:p>
        </w:tc>
      </w:tr>
      <w:tr w:rsidR="00000000">
        <w:trPr>
          <w:divId w:val="161743633"/>
        </w:trPr>
        <w:tc>
          <w:tcPr>
            <w:tcW w:w="193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Estimated</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30"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Unrealized</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Estimated</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Unrealized</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Estimated</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Unrealized</w:t>
            </w:r>
          </w:p>
        </w:tc>
      </w:tr>
      <w:tr w:rsidR="00000000">
        <w:trPr>
          <w:divId w:val="161743633"/>
        </w:trPr>
        <w:tc>
          <w:tcPr>
            <w:tcW w:w="1938"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8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Fair Value</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30"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Losses</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Fair Value</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Losses</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Fair Value</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389"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Losses</w:t>
            </w:r>
          </w:p>
        </w:tc>
      </w:tr>
      <w:tr w:rsidR="00000000">
        <w:trPr>
          <w:divId w:val="161743633"/>
        </w:trPr>
        <w:tc>
          <w:tcPr>
            <w:tcW w:w="1938"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Corporate notes</w:t>
            </w:r>
          </w:p>
        </w:tc>
        <w:tc>
          <w:tcPr>
            <w:tcW w:w="8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60"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5,507</w:t>
            </w:r>
          </w:p>
        </w:tc>
        <w:tc>
          <w:tcPr>
            <w:tcW w:w="8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(1)</w:t>
            </w:r>
          </w:p>
        </w:tc>
        <w:tc>
          <w:tcPr>
            <w:tcW w:w="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5,507</w:t>
            </w:r>
          </w:p>
        </w:tc>
        <w:tc>
          <w:tcPr>
            <w:tcW w:w="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04"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(1)</w:t>
            </w:r>
          </w:p>
        </w:tc>
      </w:tr>
      <w:tr w:rsidR="00000000">
        <w:trPr>
          <w:divId w:val="161743633"/>
        </w:trPr>
        <w:tc>
          <w:tcPr>
            <w:tcW w:w="1938"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Commercial paper</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60"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28,137</w:t>
            </w:r>
          </w:p>
        </w:tc>
        <w:tc>
          <w:tcPr>
            <w:tcW w:w="8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45"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(2)</w:t>
            </w:r>
          </w:p>
        </w:tc>
        <w:tc>
          <w:tcPr>
            <w:tcW w:w="85" w:type="pct"/>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40"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28,137</w:t>
            </w:r>
          </w:p>
        </w:tc>
        <w:tc>
          <w:tcPr>
            <w:tcW w:w="85" w:type="pct"/>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04"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(2)</w:t>
            </w:r>
          </w:p>
        </w:tc>
      </w:tr>
      <w:tr w:rsidR="00000000">
        <w:trPr>
          <w:divId w:val="161743633"/>
        </w:trPr>
        <w:tc>
          <w:tcPr>
            <w:tcW w:w="1938" w:type="pct"/>
            <w:shd w:val="clear" w:color="auto" w:fill="CCEEFF"/>
            <w:tcMar>
              <w:top w:w="0" w:type="dxa"/>
              <w:left w:w="0" w:type="dxa"/>
              <w:bottom w:w="0" w:type="dxa"/>
              <w:right w:w="0" w:type="dxa"/>
            </w:tcMar>
            <w:vAlign w:val="center"/>
            <w:hideMark/>
          </w:tcPr>
          <w:p w:rsidR="00000000" w:rsidRDefault="00B51E11">
            <w:pPr>
              <w:pStyle w:val="a3"/>
              <w:spacing w:before="0" w:beforeAutospacing="0" w:after="0" w:afterAutospacing="0"/>
              <w:ind w:left="240"/>
              <w:rPr>
                <w:sz w:val="20"/>
                <w:szCs w:val="20"/>
              </w:rPr>
            </w:pPr>
            <w:r>
              <w:rPr>
                <w:sz w:val="20"/>
                <w:szCs w:val="20"/>
              </w:rPr>
              <w:t>Total</w:t>
            </w:r>
          </w:p>
        </w:tc>
        <w:tc>
          <w:tcPr>
            <w:tcW w:w="8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6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33,644</w:t>
            </w:r>
          </w:p>
        </w:tc>
        <w:tc>
          <w:tcPr>
            <w:tcW w:w="8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4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(3)</w:t>
            </w:r>
          </w:p>
        </w:tc>
        <w:tc>
          <w:tcPr>
            <w:tcW w:w="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w:t>
            </w:r>
          </w:p>
        </w:tc>
        <w:tc>
          <w:tcPr>
            <w:tcW w:w="85"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33,644</w:t>
            </w:r>
          </w:p>
        </w:tc>
        <w:tc>
          <w:tcPr>
            <w:tcW w:w="85"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30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jc w:val="right"/>
              <w:rPr>
                <w:sz w:val="20"/>
                <w:szCs w:val="20"/>
              </w:rPr>
            </w:pPr>
            <w:r>
              <w:rPr>
                <w:sz w:val="20"/>
                <w:szCs w:val="20"/>
              </w:rPr>
              <w:t>(3)</w:t>
            </w:r>
          </w:p>
        </w:tc>
      </w:tr>
    </w:tbl>
    <w:p w:rsidR="00000000" w:rsidRDefault="00B51E11">
      <w:pPr>
        <w:pStyle w:val="a3"/>
        <w:spacing w:before="0" w:beforeAutospacing="0" w:after="0" w:afterAutospacing="0"/>
        <w:divId w:val="161743633"/>
        <w:rPr>
          <w:sz w:val="20"/>
          <w:szCs w:val="20"/>
        </w:rPr>
      </w:pPr>
      <w:r>
        <w:rPr>
          <w:sz w:val="20"/>
          <w:szCs w:val="20"/>
        </w:rPr>
        <w:t>​</w:t>
      </w:r>
    </w:p>
    <w:p w:rsidR="00000000" w:rsidRDefault="00B51E11">
      <w:pPr>
        <w:pStyle w:val="a3"/>
        <w:spacing w:before="0" w:beforeAutospacing="0" w:after="0" w:afterAutospacing="0"/>
        <w:ind w:firstLine="720"/>
        <w:divId w:val="161743633"/>
        <w:rPr>
          <w:sz w:val="20"/>
          <w:szCs w:val="20"/>
        </w:rPr>
      </w:pPr>
      <w:r>
        <w:rPr>
          <w:sz w:val="20"/>
          <w:szCs w:val="20"/>
        </w:rPr>
        <w:t xml:space="preserve">The Company invests primarily in </w:t>
      </w:r>
      <w:r>
        <w:rPr>
          <w:sz w:val="20"/>
          <w:szCs w:val="20"/>
          <w:shd w:val="clear" w:color="auto" w:fill="FFFFFF"/>
        </w:rPr>
        <w:t xml:space="preserve">high credit quality and short-term maturity </w:t>
      </w:r>
      <w:r>
        <w:rPr>
          <w:sz w:val="20"/>
          <w:szCs w:val="20"/>
        </w:rPr>
        <w:t xml:space="preserve">debt securities with the intent to hold such securities until maturity at par value. The Company does not intend to sell the investments that are currently in an unrealized loss position, and it is unlikely that it will be required to sell the investments </w:t>
      </w:r>
      <w:r>
        <w:rPr>
          <w:sz w:val="20"/>
          <w:szCs w:val="20"/>
        </w:rPr>
        <w:t xml:space="preserve">before recovery of their amortized cost basis, which may be maturity. </w:t>
      </w:r>
      <w:r>
        <w:rPr>
          <w:sz w:val="20"/>
          <w:szCs w:val="20"/>
          <w:shd w:val="clear" w:color="auto" w:fill="FFFFFF"/>
        </w:rPr>
        <w:t>T</w:t>
      </w:r>
      <w:r>
        <w:rPr>
          <w:sz w:val="20"/>
          <w:szCs w:val="20"/>
        </w:rPr>
        <w:t>he Company reviewed its available-for-sale debt securities and determined that there were no credit-related losses to be recognized as of September 30, 2020.</w:t>
      </w:r>
      <w:r>
        <w:rPr>
          <w:sz w:val="20"/>
          <w:szCs w:val="20"/>
        </w:rPr>
        <w:t xml:space="preserve"> </w:t>
      </w:r>
    </w:p>
    <w:p w:rsidR="00000000" w:rsidRDefault="00B51E11">
      <w:pPr>
        <w:pStyle w:val="a3"/>
        <w:spacing w:before="0" w:beforeAutospacing="0" w:after="0" w:afterAutospacing="0"/>
        <w:divId w:val="161743633"/>
        <w:rPr>
          <w:sz w:val="20"/>
          <w:szCs w:val="20"/>
        </w:rPr>
      </w:pPr>
      <w:r>
        <w:rPr>
          <w:sz w:val="20"/>
          <w:szCs w:val="20"/>
        </w:rPr>
        <w:t>​</w:t>
      </w:r>
    </w:p>
    <w:p w:rsidR="00000000" w:rsidRDefault="00B51E11">
      <w:pPr>
        <w:pStyle w:val="a3"/>
        <w:spacing w:before="360" w:beforeAutospacing="0" w:after="0" w:afterAutospacing="0"/>
        <w:jc w:val="center"/>
        <w:divId w:val="553780028"/>
        <w:rPr>
          <w:sz w:val="20"/>
          <w:szCs w:val="20"/>
        </w:rPr>
      </w:pPr>
      <w:r>
        <w:rPr>
          <w:sz w:val="20"/>
          <w:szCs w:val="20"/>
        </w:rPr>
        <w:t>15</w:t>
      </w:r>
    </w:p>
    <w:p w:rsidR="00000000" w:rsidRDefault="00B51E11">
      <w:pPr>
        <w:pStyle w:val="a3"/>
        <w:spacing w:before="0" w:beforeAutospacing="0" w:after="600" w:afterAutospacing="0"/>
        <w:divId w:val="1543520148"/>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ind w:firstLine="720"/>
        <w:divId w:val="754478723"/>
        <w:rPr>
          <w:sz w:val="20"/>
          <w:szCs w:val="20"/>
        </w:rPr>
      </w:pPr>
      <w:r>
        <w:rPr>
          <w:sz w:val="20"/>
          <w:szCs w:val="20"/>
        </w:rPr>
        <w:t>As of September 30, 2020, the Company’s accumulated other comprehensive income on its condensed consolidated balance sheets consisted of net unrealized gains or losses on available-for-sale investments. For the n</w:t>
      </w:r>
      <w:r>
        <w:rPr>
          <w:sz w:val="20"/>
          <w:szCs w:val="20"/>
        </w:rPr>
        <w:t>ine months ended September 30, 2020, the Company sold marketable securities for total proceeds of $19.9 million and recognized minimal net realized gains from the sales based on the specific identification method. The Company did not sell any of its market</w:t>
      </w:r>
      <w:r>
        <w:rPr>
          <w:sz w:val="20"/>
          <w:szCs w:val="20"/>
        </w:rPr>
        <w:t>able securities for the three months ended September 30, 2020 and the comparable three and nine months periods in 2019.</w:t>
      </w:r>
    </w:p>
    <w:p w:rsidR="00000000" w:rsidRDefault="00B51E11">
      <w:pPr>
        <w:pStyle w:val="a3"/>
        <w:spacing w:before="0" w:beforeAutospacing="0" w:after="0" w:afterAutospacing="0"/>
        <w:ind w:firstLine="720"/>
        <w:divId w:val="754478723"/>
        <w:rPr>
          <w:sz w:val="20"/>
          <w:szCs w:val="20"/>
        </w:rPr>
      </w:pPr>
      <w:r>
        <w:rPr>
          <w:sz w:val="20"/>
          <w:szCs w:val="20"/>
        </w:rPr>
        <w:t>​</w:t>
      </w:r>
    </w:p>
    <w:p w:rsidR="00000000" w:rsidRDefault="00B51E11">
      <w:pPr>
        <w:pStyle w:val="a3"/>
        <w:spacing w:before="0" w:beforeAutospacing="0" w:after="0" w:afterAutospacing="0"/>
        <w:divId w:val="754478723"/>
        <w:rPr>
          <w:sz w:val="20"/>
          <w:szCs w:val="20"/>
        </w:rPr>
      </w:pPr>
      <w:r>
        <w:rPr>
          <w:b/>
          <w:bCs/>
          <w:sz w:val="20"/>
          <w:szCs w:val="20"/>
        </w:rPr>
        <w:t xml:space="preserve">6. Long-Term Debt </w:t>
      </w:r>
    </w:p>
    <w:p w:rsidR="00000000" w:rsidRDefault="00B51E11">
      <w:pPr>
        <w:pStyle w:val="a3"/>
        <w:spacing w:before="0" w:beforeAutospacing="0" w:after="0" w:afterAutospacing="0"/>
        <w:divId w:val="754478723"/>
        <w:rPr>
          <w:sz w:val="20"/>
          <w:szCs w:val="20"/>
        </w:rPr>
      </w:pPr>
      <w:r>
        <w:rPr>
          <w:b/>
          <w:bCs/>
          <w:sz w:val="10"/>
          <w:szCs w:val="10"/>
        </w:rPr>
        <w:t>​</w:t>
      </w:r>
    </w:p>
    <w:p w:rsidR="00000000" w:rsidRDefault="00B51E11">
      <w:pPr>
        <w:pStyle w:val="a3"/>
        <w:shd w:val="clear" w:color="auto" w:fill="FFFFFF"/>
        <w:spacing w:before="0" w:beforeAutospacing="0" w:after="0" w:afterAutospacing="0"/>
        <w:divId w:val="754478723"/>
        <w:rPr>
          <w:sz w:val="20"/>
          <w:szCs w:val="20"/>
        </w:rPr>
      </w:pPr>
      <w:r>
        <w:rPr>
          <w:b/>
          <w:bCs/>
          <w:i/>
          <w:iCs/>
          <w:sz w:val="20"/>
          <w:szCs w:val="20"/>
        </w:rPr>
        <w:t>9.5% Non-Recourse Notes Due 2035</w:t>
      </w:r>
    </w:p>
    <w:p w:rsidR="00000000" w:rsidRDefault="00B51E11">
      <w:pPr>
        <w:pStyle w:val="a3"/>
        <w:shd w:val="clear" w:color="auto" w:fill="FFFFFF"/>
        <w:spacing w:before="0" w:beforeAutospacing="0" w:after="0" w:afterAutospacing="0"/>
        <w:divId w:val="754478723"/>
        <w:rPr>
          <w:sz w:val="20"/>
          <w:szCs w:val="20"/>
        </w:rPr>
      </w:pPr>
      <w:r>
        <w:rPr>
          <w:sz w:val="10"/>
          <w:szCs w:val="10"/>
        </w:rPr>
        <w:t>​</w:t>
      </w:r>
    </w:p>
    <w:p w:rsidR="00000000" w:rsidRDefault="00B51E11">
      <w:pPr>
        <w:pStyle w:val="a3"/>
        <w:shd w:val="clear" w:color="auto" w:fill="FFFFFF"/>
        <w:spacing w:before="0" w:beforeAutospacing="0" w:after="0" w:afterAutospacing="0"/>
        <w:ind w:firstLine="720"/>
        <w:divId w:val="754478723"/>
        <w:rPr>
          <w:sz w:val="20"/>
          <w:szCs w:val="20"/>
        </w:rPr>
      </w:pPr>
      <w:r>
        <w:rPr>
          <w:sz w:val="20"/>
          <w:szCs w:val="20"/>
        </w:rPr>
        <w:t>On February 21, 2020, Theravance Biopharma R&amp;D, Inc. (“Theravance R&amp;D”), a who</w:t>
      </w:r>
      <w:r>
        <w:rPr>
          <w:sz w:val="20"/>
          <w:szCs w:val="20"/>
        </w:rPr>
        <w:t>lly-owned subsidiary of the Company, and Triple Royalty Sub II LLC (the “Issuer II” or “Triple II”), a wholly-owned subsidiary of Theravance Biopharma R&amp;D, entered into certain note purchase agreements (“Note Purchase Agreements”) with certain note purchas</w:t>
      </w:r>
      <w:r>
        <w:rPr>
          <w:sz w:val="20"/>
          <w:szCs w:val="20"/>
        </w:rPr>
        <w:t xml:space="preserve">ers (“Note Purchasers”), relating to the private placement by Issuer II of $400.0 million 9.5% Fixed Rate Term Notes due on or before 2035 (the “Non-Recourse 2035 Notes”). Ninety-five percent of the Non-Recourse 2035 Notes were sold to the Note Purchasers </w:t>
      </w:r>
      <w:r>
        <w:rPr>
          <w:sz w:val="20"/>
          <w:szCs w:val="20"/>
        </w:rPr>
        <w:t>pursuant to the Note Purchase Agreements. The remaining 5% of the Non-Recourse 2035 Notes (the “Retained Notes”) were retained by the Company to comply with Regulation RR — Credit Risk Retention (17 C.F.R. Part 246). The Retained Notes are eliminated in th</w:t>
      </w:r>
      <w:r>
        <w:rPr>
          <w:sz w:val="20"/>
          <w:szCs w:val="20"/>
        </w:rPr>
        <w:t>e Company’s condensed consolidated financial statements. The transaction closed on February 28, 2020.</w:t>
      </w:r>
    </w:p>
    <w:p w:rsidR="00000000" w:rsidRDefault="00B51E11">
      <w:pPr>
        <w:pStyle w:val="a3"/>
        <w:shd w:val="clear" w:color="auto" w:fill="FFFFFF"/>
        <w:spacing w:before="0" w:beforeAutospacing="0" w:after="0" w:afterAutospacing="0"/>
        <w:ind w:firstLine="720"/>
        <w:divId w:val="754478723"/>
        <w:rPr>
          <w:sz w:val="20"/>
          <w:szCs w:val="20"/>
        </w:rPr>
      </w:pPr>
      <w:r>
        <w:rPr>
          <w:sz w:val="20"/>
          <w:szCs w:val="20"/>
        </w:rPr>
        <w:t>​</w:t>
      </w:r>
    </w:p>
    <w:p w:rsidR="00000000" w:rsidRDefault="00B51E11">
      <w:pPr>
        <w:pStyle w:val="a3"/>
        <w:shd w:val="clear" w:color="auto" w:fill="FFFFFF"/>
        <w:spacing w:before="0" w:beforeAutospacing="0" w:after="0" w:afterAutospacing="0"/>
        <w:ind w:firstLine="720"/>
        <w:divId w:val="754478723"/>
        <w:rPr>
          <w:sz w:val="20"/>
          <w:szCs w:val="20"/>
        </w:rPr>
      </w:pPr>
      <w:r>
        <w:rPr>
          <w:sz w:val="20"/>
          <w:szCs w:val="20"/>
        </w:rPr>
        <w:t>The Non-Recourse 2035 Notes are secured by all of Issuer II’s right, title and interest as a holder of certain membership interests (the “Issuer II Clas</w:t>
      </w:r>
      <w:r>
        <w:rPr>
          <w:sz w:val="20"/>
          <w:szCs w:val="20"/>
        </w:rPr>
        <w:t>s C Units”) in Theravance Respiratory Company, LLC (“TRC”). TRC holds the right to receive upward-tiering royalties ranging from 6.5% to 10% on worldwide net sales of TRELEGY, and the Company holds an 85% economic interest in TRC. The Issuer II Class C Uni</w:t>
      </w:r>
      <w:r>
        <w:rPr>
          <w:sz w:val="20"/>
          <w:szCs w:val="20"/>
        </w:rPr>
        <w:t xml:space="preserve">ts represent 75% of the Company's 85% economic interest, which equates to 63.75% of the economic interests in TRC. </w:t>
      </w:r>
    </w:p>
    <w:p w:rsidR="00000000" w:rsidRDefault="00B51E11">
      <w:pPr>
        <w:pStyle w:val="a3"/>
        <w:spacing w:before="0" w:beforeAutospacing="0" w:after="0" w:afterAutospacing="0"/>
        <w:ind w:firstLine="720"/>
        <w:divId w:val="754478723"/>
        <w:rPr>
          <w:sz w:val="20"/>
          <w:szCs w:val="20"/>
        </w:rPr>
      </w:pPr>
      <w:r>
        <w:rPr>
          <w:sz w:val="20"/>
          <w:szCs w:val="20"/>
        </w:rPr>
        <w:t>​</w:t>
      </w:r>
    </w:p>
    <w:p w:rsidR="00000000" w:rsidRDefault="00B51E11">
      <w:pPr>
        <w:pStyle w:val="a3"/>
        <w:spacing w:before="0" w:beforeAutospacing="0" w:after="0" w:afterAutospacing="0"/>
        <w:ind w:firstLine="720"/>
        <w:divId w:val="754478723"/>
        <w:rPr>
          <w:sz w:val="20"/>
          <w:szCs w:val="20"/>
        </w:rPr>
      </w:pPr>
      <w:r>
        <w:rPr>
          <w:sz w:val="20"/>
          <w:szCs w:val="20"/>
        </w:rPr>
        <w:t>The source of principal and interest payments for the Non-Recourse 2035 Notes are the future royalty payments generated from the TRELEGY p</w:t>
      </w:r>
      <w:r>
        <w:rPr>
          <w:sz w:val="20"/>
          <w:szCs w:val="20"/>
        </w:rPr>
        <w:t>rogram, and as a result, the holders of the Non-Recourse 2035 Notes have no recourse against the Company even if the TRELEGY payments are insufficient to cover the principal and interest payments for the Non-Recourse 2035 Notes. Prior to and including the </w:t>
      </w:r>
      <w:r>
        <w:rPr>
          <w:sz w:val="20"/>
          <w:szCs w:val="20"/>
        </w:rPr>
        <w:t>December 5, 2024 payment date, in the event that the distributions received by the Issuer II from TRC in a quarter is less than the interest accrued for that quarter, the principal amount of the Non-Recourse 2035 Notes will increase by the interest shortfa</w:t>
      </w:r>
      <w:r>
        <w:rPr>
          <w:sz w:val="20"/>
          <w:szCs w:val="20"/>
        </w:rPr>
        <w:t>ll amount for that quarter. The principal amount of the Non-Recourse 2035 Notes increased by $9.0 million and $10.1 million which represented the shortfall between the distributions received from TRC and the total interest payments due during the three and</w:t>
      </w:r>
      <w:r>
        <w:rPr>
          <w:sz w:val="20"/>
          <w:szCs w:val="20"/>
        </w:rPr>
        <w:t xml:space="preserve"> nine months ended September 30, 2020, respectively. While the holders of the Non-Recourse 2035 Notes have no recourse against the Company, the terms of the Non-Recourse 2035 Notes also provide that the Company, at its option, may satisfy the quarterly int</w:t>
      </w:r>
      <w:r>
        <w:rPr>
          <w:sz w:val="20"/>
          <w:szCs w:val="20"/>
        </w:rPr>
        <w:t>erest payment obligations by making a capital contribution to the Issuer II.</w:t>
      </w:r>
    </w:p>
    <w:p w:rsidR="00000000" w:rsidRDefault="00B51E11">
      <w:pPr>
        <w:pStyle w:val="a3"/>
        <w:spacing w:before="0" w:beforeAutospacing="0" w:after="0" w:afterAutospacing="0"/>
        <w:ind w:firstLine="720"/>
        <w:divId w:val="754478723"/>
        <w:rPr>
          <w:sz w:val="20"/>
          <w:szCs w:val="20"/>
        </w:rPr>
      </w:pPr>
      <w:r>
        <w:rPr>
          <w:i/>
          <w:iCs/>
          <w:color w:val="FF0000"/>
          <w:sz w:val="20"/>
          <w:szCs w:val="20"/>
        </w:rPr>
        <w:t>​</w:t>
      </w:r>
    </w:p>
    <w:p w:rsidR="00000000" w:rsidRDefault="00B51E11">
      <w:pPr>
        <w:pStyle w:val="a3"/>
        <w:spacing w:before="0" w:beforeAutospacing="0" w:after="0" w:afterAutospacing="0"/>
        <w:ind w:firstLine="720"/>
        <w:divId w:val="754478723"/>
        <w:rPr>
          <w:sz w:val="20"/>
          <w:szCs w:val="20"/>
        </w:rPr>
      </w:pPr>
      <w:r>
        <w:rPr>
          <w:sz w:val="20"/>
          <w:szCs w:val="20"/>
        </w:rPr>
        <w:t>The Non-Recourse 2035 Notes are not convertible into Company equity and have no security interest in nor rights under any agreement with Glaxo Group Limited or one of its affili</w:t>
      </w:r>
      <w:r>
        <w:rPr>
          <w:sz w:val="20"/>
          <w:szCs w:val="20"/>
        </w:rPr>
        <w:t xml:space="preserve">ates (“GSK”). See </w:t>
      </w:r>
      <w:r>
        <w:rPr>
          <w:i/>
          <w:iCs/>
          <w:sz w:val="20"/>
          <w:szCs w:val="20"/>
        </w:rPr>
        <w:t>“Note 7. Theravance Respiratory Company, LLC”</w:t>
      </w:r>
      <w:r>
        <w:rPr>
          <w:sz w:val="20"/>
          <w:szCs w:val="20"/>
        </w:rPr>
        <w:t xml:space="preserve"> for further information regarding GSK. The Non-Recourse 2035 Notes may be redeemed by Issuer II on and after February 28, 2022, in whole or in part, at specified redemption premiums. The Non-R</w:t>
      </w:r>
      <w:r>
        <w:rPr>
          <w:sz w:val="20"/>
          <w:szCs w:val="20"/>
        </w:rPr>
        <w:t>ecourse 2035 Notes bear an annual interest rate of 9.5%, with interest and principal paid quarterly beginning June 5, 2020. Since the principal and interest payments on the Non-Recourse 2035 Notes are ultimately based on royalties from </w:t>
      </w:r>
      <w:r>
        <w:rPr>
          <w:caps/>
          <w:sz w:val="20"/>
          <w:szCs w:val="20"/>
        </w:rPr>
        <w:t>TRELEGY</w:t>
      </w:r>
      <w:r>
        <w:rPr>
          <w:sz w:val="20"/>
          <w:szCs w:val="20"/>
        </w:rPr>
        <w:t xml:space="preserve"> product sale</w:t>
      </w:r>
      <w:r>
        <w:rPr>
          <w:sz w:val="20"/>
          <w:szCs w:val="20"/>
        </w:rPr>
        <w:t xml:space="preserve">s, which will vary from quarter to quarter, the Non-Recourse 2035 Notes may be repaid prior to the final maturity date in 2035. Following the redemption or repayment of the Non-Recourse 2035 Notes, all </w:t>
      </w:r>
      <w:r>
        <w:rPr>
          <w:caps/>
          <w:sz w:val="20"/>
          <w:szCs w:val="20"/>
        </w:rPr>
        <w:t>TRELEGY</w:t>
      </w:r>
      <w:r>
        <w:rPr>
          <w:sz w:val="20"/>
          <w:szCs w:val="20"/>
        </w:rPr>
        <w:t>-related pledged cash flows will revert back to</w:t>
      </w:r>
      <w:r>
        <w:rPr>
          <w:sz w:val="20"/>
          <w:szCs w:val="20"/>
        </w:rPr>
        <w:t xml:space="preserve"> the Company.</w:t>
      </w:r>
    </w:p>
    <w:p w:rsidR="00000000" w:rsidRDefault="00B51E11">
      <w:pPr>
        <w:pStyle w:val="a3"/>
        <w:spacing w:before="0" w:beforeAutospacing="0" w:after="0" w:afterAutospacing="0"/>
        <w:ind w:firstLine="720"/>
        <w:divId w:val="754478723"/>
        <w:rPr>
          <w:sz w:val="20"/>
          <w:szCs w:val="20"/>
        </w:rPr>
      </w:pPr>
      <w:r>
        <w:rPr>
          <w:sz w:val="20"/>
          <w:szCs w:val="20"/>
        </w:rPr>
        <w:t>​</w:t>
      </w:r>
    </w:p>
    <w:p w:rsidR="00000000" w:rsidRDefault="00B51E11">
      <w:pPr>
        <w:pStyle w:val="a3"/>
        <w:spacing w:before="0" w:beforeAutospacing="0" w:after="0" w:afterAutospacing="0"/>
        <w:ind w:firstLine="720"/>
        <w:divId w:val="754478723"/>
        <w:rPr>
          <w:sz w:val="20"/>
          <w:szCs w:val="20"/>
        </w:rPr>
      </w:pPr>
      <w:r>
        <w:rPr>
          <w:sz w:val="20"/>
          <w:szCs w:val="20"/>
        </w:rPr>
        <w:t>The portion of the Non-Recourse 2035 Notes classified as a current liability, if any, is based on the amount of royalties received, or receivable, as of September 30, 2020, that are expected to be used to make a principal repayment on the N</w:t>
      </w:r>
      <w:r>
        <w:rPr>
          <w:sz w:val="20"/>
          <w:szCs w:val="20"/>
        </w:rPr>
        <w:t xml:space="preserve">on-Recourse 2035 Notes within the next 12 months. </w:t>
      </w:r>
    </w:p>
    <w:p w:rsidR="00000000" w:rsidRDefault="00B51E11">
      <w:pPr>
        <w:pStyle w:val="a3"/>
        <w:spacing w:before="0" w:beforeAutospacing="0" w:after="0" w:afterAutospacing="0"/>
        <w:ind w:firstLine="720"/>
        <w:divId w:val="754478723"/>
        <w:rPr>
          <w:sz w:val="20"/>
          <w:szCs w:val="20"/>
        </w:rPr>
      </w:pPr>
      <w:r>
        <w:rPr>
          <w:sz w:val="20"/>
          <w:szCs w:val="20"/>
        </w:rPr>
        <w:t>​</w:t>
      </w:r>
    </w:p>
    <w:p w:rsidR="00000000" w:rsidRDefault="00B51E11">
      <w:pPr>
        <w:pStyle w:val="a3"/>
        <w:spacing w:before="0" w:beforeAutospacing="0" w:after="0" w:afterAutospacing="0"/>
        <w:divId w:val="754478723"/>
        <w:rPr>
          <w:sz w:val="20"/>
          <w:szCs w:val="20"/>
        </w:rPr>
      </w:pPr>
      <w:r>
        <w:rPr>
          <w:sz w:val="20"/>
          <w:szCs w:val="20"/>
        </w:rPr>
        <w:t>​</w:t>
      </w:r>
    </w:p>
    <w:p w:rsidR="00000000" w:rsidRDefault="00B51E11">
      <w:pPr>
        <w:pStyle w:val="a3"/>
        <w:spacing w:before="360" w:beforeAutospacing="0" w:after="0" w:afterAutospacing="0"/>
        <w:jc w:val="center"/>
        <w:divId w:val="1189415394"/>
        <w:rPr>
          <w:sz w:val="20"/>
          <w:szCs w:val="20"/>
        </w:rPr>
      </w:pPr>
      <w:r>
        <w:rPr>
          <w:sz w:val="20"/>
          <w:szCs w:val="20"/>
        </w:rPr>
        <w:t>16</w:t>
      </w:r>
    </w:p>
    <w:p w:rsidR="00000000" w:rsidRDefault="00B51E11">
      <w:pPr>
        <w:pStyle w:val="a3"/>
        <w:spacing w:before="0" w:beforeAutospacing="0" w:after="600" w:afterAutospacing="0"/>
        <w:divId w:val="1541357389"/>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ind w:firstLine="720"/>
        <w:divId w:val="450514668"/>
        <w:rPr>
          <w:sz w:val="20"/>
          <w:szCs w:val="20"/>
        </w:rPr>
      </w:pPr>
      <w:r>
        <w:rPr>
          <w:sz w:val="20"/>
          <w:szCs w:val="20"/>
        </w:rPr>
        <w:t>The following is a summary of the carrying value of the Non-Recourse 2035 Notes as of September 30, 2020:</w:t>
      </w:r>
    </w:p>
    <w:p w:rsidR="00000000" w:rsidRDefault="00B51E11">
      <w:pPr>
        <w:pStyle w:val="a3"/>
        <w:spacing w:before="0" w:beforeAutospacing="0" w:after="0" w:afterAutospacing="0"/>
        <w:ind w:firstLine="720"/>
        <w:divId w:val="450514668"/>
        <w:rPr>
          <w:sz w:val="20"/>
          <w:szCs w:val="20"/>
        </w:rPr>
      </w:pPr>
      <w:r>
        <w:rPr>
          <w:color w:val="FF0000"/>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90"/>
        <w:gridCol w:w="221"/>
        <w:gridCol w:w="221"/>
        <w:gridCol w:w="874"/>
      </w:tblGrid>
      <w:tr w:rsidR="00000000">
        <w:trPr>
          <w:divId w:val="450514668"/>
          <w:trHeight w:val="20"/>
        </w:trPr>
        <w:tc>
          <w:tcPr>
            <w:tcW w:w="4206" w:type="pct"/>
            <w:tcMar>
              <w:top w:w="0" w:type="dxa"/>
              <w:left w:w="0" w:type="dxa"/>
              <w:bottom w:w="0" w:type="dxa"/>
              <w:right w:w="0" w:type="dxa"/>
            </w:tcMar>
            <w:vAlign w:val="bottom"/>
            <w:hideMark/>
          </w:tcPr>
          <w:p w:rsidR="00000000" w:rsidRDefault="00B51E11">
            <w:pPr>
              <w:pStyle w:val="a3"/>
              <w:spacing w:before="0" w:beforeAutospacing="0" w:after="0" w:afterAutospacing="0"/>
              <w:divId w:val="120080788"/>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16240694"/>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21730409"/>
              <w:rPr>
                <w:sz w:val="20"/>
                <w:szCs w:val="20"/>
              </w:rPr>
            </w:pPr>
            <w:r>
              <w:rPr>
                <w:sz w:val="2"/>
                <w:szCs w:val="2"/>
              </w:rPr>
              <w:t>​</w:t>
            </w:r>
          </w:p>
        </w:tc>
        <w:tc>
          <w:tcPr>
            <w:tcW w:w="52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92016532"/>
              <w:rPr>
                <w:sz w:val="20"/>
                <w:szCs w:val="20"/>
              </w:rPr>
            </w:pPr>
            <w:r>
              <w:rPr>
                <w:sz w:val="2"/>
                <w:szCs w:val="2"/>
              </w:rPr>
              <w:t>​</w:t>
            </w:r>
          </w:p>
        </w:tc>
      </w:tr>
      <w:tr w:rsidR="00000000">
        <w:trPr>
          <w:divId w:val="450514668"/>
        </w:trPr>
        <w:tc>
          <w:tcPr>
            <w:tcW w:w="420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133"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659"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r>
      <w:tr w:rsidR="00000000">
        <w:trPr>
          <w:divId w:val="450514668"/>
        </w:trPr>
        <w:tc>
          <w:tcPr>
            <w:tcW w:w="4206" w:type="pct"/>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u w:val="single"/>
              </w:rPr>
              <w:t>(In thousands)</w:t>
            </w:r>
          </w:p>
        </w:tc>
        <w:tc>
          <w:tcPr>
            <w:tcW w:w="133"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659"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r>
      <w:tr w:rsidR="00000000">
        <w:trPr>
          <w:divId w:val="450514668"/>
        </w:trPr>
        <w:tc>
          <w:tcPr>
            <w:tcW w:w="4206"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9.5% Non-Recourse 2035 Notes</w:t>
            </w:r>
          </w:p>
        </w:tc>
        <w:tc>
          <w:tcPr>
            <w:tcW w:w="133"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r>
      <w:tr w:rsidR="00000000">
        <w:trPr>
          <w:divId w:val="450514668"/>
        </w:trPr>
        <w:tc>
          <w:tcPr>
            <w:tcW w:w="420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Principal amoun</w:t>
            </w:r>
            <w:r>
              <w:rPr>
                <w:sz w:val="20"/>
                <w:szCs w:val="20"/>
              </w:rPr>
              <w:t>t</w:t>
            </w:r>
          </w:p>
        </w:tc>
        <w:tc>
          <w:tcPr>
            <w:tcW w:w="133"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525"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410,677</w:t>
            </w:r>
          </w:p>
        </w:tc>
      </w:tr>
      <w:tr w:rsidR="00000000">
        <w:trPr>
          <w:divId w:val="450514668"/>
        </w:trPr>
        <w:tc>
          <w:tcPr>
            <w:tcW w:w="4206"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Less:</w:t>
            </w:r>
            <w:r>
              <w:rPr>
                <w:sz w:val="20"/>
                <w:szCs w:val="20"/>
              </w:rPr>
              <w:t xml:space="preserve"> </w:t>
            </w:r>
            <w:r>
              <w:rPr>
                <w:sz w:val="20"/>
                <w:szCs w:val="20"/>
              </w:rPr>
              <w:t>5</w:t>
            </w:r>
            <w:r>
              <w:rPr>
                <w:sz w:val="20"/>
                <w:szCs w:val="20"/>
              </w:rPr>
              <w:t>% retention by the Company</w:t>
            </w:r>
          </w:p>
        </w:tc>
        <w:tc>
          <w:tcPr>
            <w:tcW w:w="133"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(20,534)</w:t>
            </w:r>
          </w:p>
        </w:tc>
      </w:tr>
      <w:tr w:rsidR="00000000">
        <w:trPr>
          <w:divId w:val="450514668"/>
        </w:trPr>
        <w:tc>
          <w:tcPr>
            <w:tcW w:w="420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Unamortized debt issuance costs -</w:t>
            </w:r>
            <w:r>
              <w:rPr>
                <w:sz w:val="20"/>
                <w:szCs w:val="20"/>
              </w:rPr>
              <w:t xml:space="preserve"> </w:t>
            </w:r>
            <w:r>
              <w:rPr>
                <w:sz w:val="20"/>
                <w:szCs w:val="20"/>
              </w:rPr>
              <w:t>9.5% Non-Recourse 2035 Notes</w:t>
            </w:r>
          </w:p>
        </w:tc>
        <w:tc>
          <w:tcPr>
            <w:tcW w:w="133"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525"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(4,006)</w:t>
            </w:r>
          </w:p>
        </w:tc>
      </w:tr>
      <w:tr w:rsidR="00000000">
        <w:trPr>
          <w:divId w:val="450514668"/>
        </w:trPr>
        <w:tc>
          <w:tcPr>
            <w:tcW w:w="4206"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Unamortized debt issuance costs - Modified</w:t>
            </w:r>
            <w:r>
              <w:rPr>
                <w:sz w:val="20"/>
                <w:szCs w:val="20"/>
              </w:rPr>
              <w:t xml:space="preserve"> </w:t>
            </w:r>
            <w:r>
              <w:rPr>
                <w:sz w:val="20"/>
                <w:szCs w:val="20"/>
              </w:rPr>
              <w:t>9.0% Non-Recourse 2033 Notes</w:t>
            </w:r>
          </w:p>
        </w:tc>
        <w:tc>
          <w:tcPr>
            <w:tcW w:w="133"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(1,655)</w:t>
            </w:r>
          </w:p>
        </w:tc>
      </w:tr>
      <w:tr w:rsidR="00000000">
        <w:trPr>
          <w:divId w:val="450514668"/>
        </w:trPr>
        <w:tc>
          <w:tcPr>
            <w:tcW w:w="4206" w:type="pct"/>
            <w:noWrap/>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20"/>
                <w:szCs w:val="20"/>
              </w:rPr>
            </w:pPr>
            <w:r>
              <w:rPr>
                <w:sz w:val="20"/>
                <w:szCs w:val="20"/>
              </w:rPr>
              <w:t>Total</w:t>
            </w:r>
          </w:p>
        </w:tc>
        <w:tc>
          <w:tcPr>
            <w:tcW w:w="133"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33"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525" w:type="pct"/>
            <w:tcBorders>
              <w:bottom w:val="doub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384,482</w:t>
            </w:r>
          </w:p>
        </w:tc>
      </w:tr>
    </w:tbl>
    <w:p w:rsidR="00000000" w:rsidRDefault="00B51E11">
      <w:pPr>
        <w:pStyle w:val="a3"/>
        <w:spacing w:before="0" w:beforeAutospacing="0" w:after="0" w:afterAutospacing="0"/>
        <w:divId w:val="450514668"/>
        <w:rPr>
          <w:sz w:val="20"/>
          <w:szCs w:val="20"/>
        </w:rPr>
      </w:pPr>
      <w:r>
        <w:rPr>
          <w:sz w:val="20"/>
          <w:szCs w:val="20"/>
        </w:rPr>
        <w:t>​</w:t>
      </w:r>
    </w:p>
    <w:p w:rsidR="00000000" w:rsidRDefault="00B51E11">
      <w:pPr>
        <w:pStyle w:val="a3"/>
        <w:spacing w:before="0" w:beforeAutospacing="0" w:after="0" w:afterAutospacing="0"/>
        <w:ind w:firstLine="720"/>
        <w:divId w:val="450514668"/>
        <w:rPr>
          <w:sz w:val="20"/>
          <w:szCs w:val="20"/>
        </w:rPr>
      </w:pPr>
      <w:r>
        <w:rPr>
          <w:sz w:val="20"/>
          <w:szCs w:val="20"/>
        </w:rPr>
        <w:t>As of September 30, 2020, the net principal and estimated fair value of the Non-Recourse 2035 Notes were $390.1 million and $388.2 million, respectively. The inputs to determine fair value of the Non-Recourse 2035 Notes are categorized as Level 2 inputs. L</w:t>
      </w:r>
      <w:r>
        <w:rPr>
          <w:sz w:val="20"/>
          <w:szCs w:val="20"/>
        </w:rPr>
        <w:t>evel 2 inputs include quoted prices for similar instruments in active markets; quoted prices for identical or similar instruments in markets that are not active; and model-derived valuations whose inputs are observable or whose significant value drivers ar</w:t>
      </w:r>
      <w:r>
        <w:rPr>
          <w:sz w:val="20"/>
          <w:szCs w:val="20"/>
        </w:rPr>
        <w:t>e observable.</w:t>
      </w:r>
    </w:p>
    <w:p w:rsidR="00000000" w:rsidRDefault="00B51E11">
      <w:pPr>
        <w:pStyle w:val="a3"/>
        <w:spacing w:before="0" w:beforeAutospacing="0" w:after="0" w:afterAutospacing="0"/>
        <w:ind w:firstLine="720"/>
        <w:divId w:val="450514668"/>
        <w:rPr>
          <w:sz w:val="20"/>
          <w:szCs w:val="20"/>
        </w:rPr>
      </w:pPr>
      <w:r>
        <w:rPr>
          <w:sz w:val="20"/>
          <w:szCs w:val="20"/>
        </w:rPr>
        <w:t>​</w:t>
      </w:r>
    </w:p>
    <w:p w:rsidR="00000000" w:rsidRDefault="00B51E11">
      <w:pPr>
        <w:pStyle w:val="a3"/>
        <w:spacing w:before="0" w:beforeAutospacing="0" w:after="0" w:afterAutospacing="0"/>
        <w:divId w:val="450514668"/>
        <w:rPr>
          <w:sz w:val="20"/>
          <w:szCs w:val="20"/>
        </w:rPr>
      </w:pPr>
      <w:r>
        <w:rPr>
          <w:b/>
          <w:bCs/>
          <w:i/>
          <w:iCs/>
          <w:color w:val="212529"/>
          <w:sz w:val="20"/>
          <w:szCs w:val="20"/>
          <w:shd w:val="clear" w:color="auto" w:fill="FFFFFF"/>
        </w:rPr>
        <w:t>9.0% Non-Recourse Notes Due 2033</w:t>
      </w:r>
    </w:p>
    <w:p w:rsidR="00000000" w:rsidRDefault="00B51E11">
      <w:pPr>
        <w:pStyle w:val="a3"/>
        <w:spacing w:before="0" w:beforeAutospacing="0" w:after="0" w:afterAutospacing="0"/>
        <w:ind w:firstLine="720"/>
        <w:divId w:val="450514668"/>
        <w:rPr>
          <w:sz w:val="20"/>
          <w:szCs w:val="20"/>
        </w:rPr>
      </w:pPr>
      <w:r>
        <w:rPr>
          <w:sz w:val="10"/>
          <w:szCs w:val="10"/>
        </w:rPr>
        <w:t>​</w:t>
      </w:r>
    </w:p>
    <w:p w:rsidR="00000000" w:rsidRDefault="00B51E11">
      <w:pPr>
        <w:pStyle w:val="a3"/>
        <w:spacing w:before="0" w:beforeAutospacing="0" w:after="0" w:afterAutospacing="0"/>
        <w:ind w:firstLine="720"/>
        <w:divId w:val="450514668"/>
        <w:rPr>
          <w:sz w:val="20"/>
          <w:szCs w:val="20"/>
        </w:rPr>
      </w:pPr>
      <w:r>
        <w:rPr>
          <w:sz w:val="20"/>
          <w:szCs w:val="20"/>
        </w:rPr>
        <w:t>In November 2018, the Company entered into note purchase agreements relating to the private placement of $250.0 million aggregate principal amount of 9.0% non-recourse notes, due on or before 2033 (the “No</w:t>
      </w:r>
      <w:r>
        <w:rPr>
          <w:sz w:val="20"/>
          <w:szCs w:val="20"/>
        </w:rPr>
        <w:t xml:space="preserve">n-Recourse 2033 Notes”) issued by the Company’s wholly-owned subsidiary, Triple Royalty Sub LLC (the “Issuer”). On February 28, 2020, the Company refinanced the Non-Recourse 2033 Notes by issuing the Non-Recourse 2035 Notes and a portion of those proceeds </w:t>
      </w:r>
      <w:r>
        <w:rPr>
          <w:sz w:val="20"/>
          <w:szCs w:val="20"/>
        </w:rPr>
        <w:t>were used to repay, in full, the remaining outstanding balance of the Company’s Non-Recourse 2033 Notes. Pursuant to the terms of the Non-Recourse 2033 Notes, the Company paid a debt redemption premium of 5% of the outstanding principal as of the refinanci</w:t>
      </w:r>
      <w:r>
        <w:rPr>
          <w:sz w:val="20"/>
          <w:szCs w:val="20"/>
        </w:rPr>
        <w:t>ng date.</w:t>
      </w:r>
    </w:p>
    <w:p w:rsidR="00000000" w:rsidRDefault="00B51E11">
      <w:pPr>
        <w:pStyle w:val="a3"/>
        <w:spacing w:before="0" w:beforeAutospacing="0" w:after="0" w:afterAutospacing="0"/>
        <w:ind w:firstLine="720"/>
        <w:divId w:val="450514668"/>
        <w:rPr>
          <w:sz w:val="20"/>
          <w:szCs w:val="20"/>
        </w:rPr>
      </w:pPr>
      <w:r>
        <w:rPr>
          <w:sz w:val="20"/>
          <w:szCs w:val="20"/>
        </w:rPr>
        <w:t>​</w:t>
      </w:r>
    </w:p>
    <w:p w:rsidR="00000000" w:rsidRDefault="00B51E11">
      <w:pPr>
        <w:pStyle w:val="a3"/>
        <w:spacing w:before="0" w:beforeAutospacing="0" w:after="0" w:afterAutospacing="0"/>
        <w:ind w:firstLine="720"/>
        <w:divId w:val="450514668"/>
        <w:rPr>
          <w:sz w:val="20"/>
          <w:szCs w:val="20"/>
        </w:rPr>
      </w:pPr>
      <w:r>
        <w:rPr>
          <w:sz w:val="20"/>
          <w:szCs w:val="20"/>
        </w:rPr>
        <w:t>The refinancing of the Non-Recourse 2033 Notes involved multiple lenders who were considered members of a loan syndicate. To determine whether the refinancing was to be accounted for as a debt extinguishment or modification, the Company consider</w:t>
      </w:r>
      <w:r>
        <w:rPr>
          <w:sz w:val="20"/>
          <w:szCs w:val="20"/>
        </w:rPr>
        <w:t xml:space="preserve">ed whether the lenders involved in the Non-Recourse 2033 Notes and the Non-Recourse 2035 Notes remained the same or changed and whether the change in debt terms was substantial. The debt terms are considered substantially different if the present value of </w:t>
      </w:r>
      <w:r>
        <w:rPr>
          <w:sz w:val="20"/>
          <w:szCs w:val="20"/>
        </w:rPr>
        <w:t>the cash inflows and outflows of the Non-Recourse 2035 Notes, including all principal increases and lender fees on the refinancing date, was at least 10% different from the present value of the remaining cash inflows and outflows of the Non-Recourse 2033 N</w:t>
      </w:r>
      <w:r>
        <w:rPr>
          <w:sz w:val="20"/>
          <w:szCs w:val="20"/>
        </w:rPr>
        <w:t>otes (the “10% Test”). The Company performed the 10% Test for each individual lender participating in the loan syndication by assuming the exercise and non-exercise of the prepayment option. The cash flow assumption generating the smaller change was used a</w:t>
      </w:r>
      <w:r>
        <w:rPr>
          <w:sz w:val="20"/>
          <w:szCs w:val="20"/>
        </w:rPr>
        <w:t>s the basis for determining whether the 10% threshold was met. For existing lenders who participated in the Non-Recourse 2035 Notes as part of the new loan syndicate, the refinancing was accounted for as an extinguishment or a modification depending upon w</w:t>
      </w:r>
      <w:r>
        <w:rPr>
          <w:sz w:val="20"/>
          <w:szCs w:val="20"/>
        </w:rPr>
        <w:t>hether the change in the cash flows was more or less than 10%, respectively. The lenders from the Non-Recourse 2033 Note offering who did not participate in the Non-Recourse 2035 Notes were accounted for as a debt extinguishment.</w:t>
      </w:r>
    </w:p>
    <w:p w:rsidR="00000000" w:rsidRDefault="00B51E11">
      <w:pPr>
        <w:pStyle w:val="a3"/>
        <w:spacing w:before="0" w:beforeAutospacing="0" w:after="0" w:afterAutospacing="0"/>
        <w:ind w:firstLine="720"/>
        <w:divId w:val="450514668"/>
        <w:rPr>
          <w:sz w:val="20"/>
          <w:szCs w:val="20"/>
        </w:rPr>
      </w:pPr>
      <w:r>
        <w:rPr>
          <w:sz w:val="20"/>
          <w:szCs w:val="20"/>
        </w:rPr>
        <w:t>​</w:t>
      </w:r>
    </w:p>
    <w:p w:rsidR="00000000" w:rsidRDefault="00B51E11">
      <w:pPr>
        <w:pStyle w:val="a3"/>
        <w:spacing w:before="0" w:beforeAutospacing="0" w:after="0" w:afterAutospacing="0"/>
        <w:ind w:firstLine="720"/>
        <w:divId w:val="450514668"/>
        <w:rPr>
          <w:sz w:val="20"/>
          <w:szCs w:val="20"/>
        </w:rPr>
      </w:pPr>
      <w:r>
        <w:rPr>
          <w:sz w:val="20"/>
          <w:szCs w:val="20"/>
        </w:rPr>
        <w:t>For debt determined to b</w:t>
      </w:r>
      <w:r>
        <w:rPr>
          <w:sz w:val="20"/>
          <w:szCs w:val="20"/>
        </w:rPr>
        <w:t>e extinguished, the total unamortized deferred financing costs and the associated redemption premium of $15.5 million were expensed as “Loss on extinguishment of debt” within the condensed consolidated financial statements of operations for the nine months</w:t>
      </w:r>
      <w:r>
        <w:rPr>
          <w:sz w:val="20"/>
          <w:szCs w:val="20"/>
        </w:rPr>
        <w:t xml:space="preserve"> ended September 30, 2020. In addition, $0.3 million of new third-party costs were expensed, and $4.4 million of new creditor fees were capitalized as debt discount. For debt determined to be modified, the related unamortized deferred financing costs of $1</w:t>
      </w:r>
      <w:r>
        <w:rPr>
          <w:sz w:val="20"/>
          <w:szCs w:val="20"/>
        </w:rPr>
        <w:t>.8 million, as of February 28, 2020, will continue to be amortized through the remaining term of the Non-Recourse 2035 Notes, and $0.5 million of new creditor fees were expensed for the nine months ended September 30, 2020.</w:t>
      </w:r>
    </w:p>
    <w:p w:rsidR="00000000" w:rsidRDefault="00B51E11">
      <w:pPr>
        <w:pStyle w:val="a3"/>
        <w:spacing w:before="0" w:beforeAutospacing="0" w:after="0" w:afterAutospacing="0"/>
        <w:divId w:val="450514668"/>
        <w:rPr>
          <w:sz w:val="20"/>
          <w:szCs w:val="20"/>
        </w:rPr>
      </w:pPr>
      <w:r>
        <w:rPr>
          <w:sz w:val="20"/>
          <w:szCs w:val="20"/>
        </w:rPr>
        <w:t>​</w:t>
      </w:r>
    </w:p>
    <w:p w:rsidR="00000000" w:rsidRDefault="00B51E11">
      <w:pPr>
        <w:pStyle w:val="a3"/>
        <w:spacing w:before="0" w:beforeAutospacing="0" w:after="120" w:afterAutospacing="0"/>
        <w:divId w:val="450514668"/>
        <w:rPr>
          <w:sz w:val="20"/>
          <w:szCs w:val="20"/>
        </w:rPr>
      </w:pPr>
      <w:r>
        <w:rPr>
          <w:b/>
          <w:bCs/>
          <w:i/>
          <w:iCs/>
          <w:sz w:val="20"/>
          <w:szCs w:val="20"/>
        </w:rPr>
        <w:t>3.25% Convertible Senior Notes</w:t>
      </w:r>
      <w:r>
        <w:rPr>
          <w:b/>
          <w:bCs/>
          <w:i/>
          <w:iCs/>
          <w:sz w:val="20"/>
          <w:szCs w:val="20"/>
        </w:rPr>
        <w:t xml:space="preserve"> Due 2023</w:t>
      </w:r>
    </w:p>
    <w:p w:rsidR="00000000" w:rsidRDefault="00B51E11">
      <w:pPr>
        <w:pStyle w:val="a3"/>
        <w:spacing w:before="0" w:beforeAutospacing="0" w:after="0" w:afterAutospacing="0"/>
        <w:ind w:firstLine="720"/>
        <w:divId w:val="450514668"/>
        <w:rPr>
          <w:sz w:val="20"/>
          <w:szCs w:val="20"/>
        </w:rPr>
      </w:pPr>
      <w:r>
        <w:rPr>
          <w:sz w:val="20"/>
          <w:szCs w:val="20"/>
        </w:rPr>
        <w:t xml:space="preserve">The Company has $230.0 million of 3.25% convertible senior notes due in 2023 (“Convertible Senior 2023 Notes”) outstanding as of September 30, 2020 with an estimated fair value of $201.5 million. The estimated fair value was primarily based upon </w:t>
      </w:r>
      <w:r>
        <w:rPr>
          <w:sz w:val="20"/>
          <w:szCs w:val="20"/>
        </w:rPr>
        <w:t xml:space="preserve">the underlying price of Theravance Biopharma’s publicly traded shares and other observable inputs as of September 30, 2020. The inputs to determine fair value of the Convertible Senior 2023 Notes are categorized as Level 2 </w:t>
      </w:r>
    </w:p>
    <w:p w:rsidR="00000000" w:rsidRDefault="00B51E11">
      <w:pPr>
        <w:pStyle w:val="a3"/>
        <w:spacing w:before="360" w:beforeAutospacing="0" w:after="0" w:afterAutospacing="0"/>
        <w:jc w:val="center"/>
        <w:divId w:val="1678268124"/>
        <w:rPr>
          <w:sz w:val="20"/>
          <w:szCs w:val="20"/>
        </w:rPr>
      </w:pPr>
      <w:r>
        <w:rPr>
          <w:sz w:val="20"/>
          <w:szCs w:val="20"/>
        </w:rPr>
        <w:t>17</w:t>
      </w:r>
    </w:p>
    <w:p w:rsidR="00000000" w:rsidRDefault="00B51E11">
      <w:pPr>
        <w:pStyle w:val="a3"/>
        <w:spacing w:before="0" w:beforeAutospacing="0" w:after="600" w:afterAutospacing="0"/>
        <w:divId w:val="580943181"/>
        <w:rPr>
          <w:sz w:val="20"/>
          <w:szCs w:val="20"/>
        </w:rPr>
      </w:pPr>
      <w:hyperlink w:anchor="TOC" w:history="1">
        <w:r>
          <w:rPr>
            <w:rStyle w:val="a4"/>
            <w:sz w:val="20"/>
            <w:szCs w:val="20"/>
          </w:rPr>
          <w:t>Tab</w:t>
        </w:r>
        <w:r>
          <w:rPr>
            <w:rStyle w:val="a4"/>
            <w:sz w:val="20"/>
            <w:szCs w:val="20"/>
          </w:rPr>
          <w:t>le of Contents</w:t>
        </w:r>
      </w:hyperlink>
    </w:p>
    <w:p w:rsidR="00000000" w:rsidRDefault="00B51E11">
      <w:pPr>
        <w:pStyle w:val="a3"/>
        <w:spacing w:before="0" w:beforeAutospacing="0" w:after="0" w:afterAutospacing="0"/>
        <w:divId w:val="308482495"/>
        <w:rPr>
          <w:sz w:val="20"/>
          <w:szCs w:val="20"/>
        </w:rPr>
      </w:pPr>
      <w:r>
        <w:rPr>
          <w:sz w:val="20"/>
          <w:szCs w:val="20"/>
        </w:rPr>
        <w:t>inputs. Level 2 inputs include quoted prices for similar instruments in active markets; quoted prices for identical or similar instruments in markets that are not active; and model-derived valuations whose inputs are observable or whose significant value d</w:t>
      </w:r>
      <w:r>
        <w:rPr>
          <w:sz w:val="20"/>
          <w:szCs w:val="20"/>
        </w:rPr>
        <w:t>rivers are observable</w:t>
      </w:r>
      <w:r>
        <w:rPr>
          <w:sz w:val="20"/>
          <w:szCs w:val="20"/>
        </w:rPr>
        <w:t>.</w:t>
      </w:r>
    </w:p>
    <w:p w:rsidR="00000000" w:rsidRDefault="00B51E11">
      <w:pPr>
        <w:pStyle w:val="a3"/>
        <w:spacing w:before="0" w:beforeAutospacing="0" w:after="0" w:afterAutospacing="0"/>
        <w:ind w:firstLine="720"/>
        <w:divId w:val="308482495"/>
        <w:rPr>
          <w:sz w:val="20"/>
          <w:szCs w:val="20"/>
        </w:rPr>
      </w:pPr>
      <w:r>
        <w:rPr>
          <w:sz w:val="20"/>
          <w:szCs w:val="20"/>
        </w:rPr>
        <w:t>​</w:t>
      </w:r>
    </w:p>
    <w:p w:rsidR="00000000" w:rsidRDefault="00B51E11">
      <w:pPr>
        <w:pStyle w:val="a3"/>
        <w:spacing w:before="0" w:beforeAutospacing="0" w:after="0" w:afterAutospacing="0"/>
        <w:divId w:val="308482495"/>
        <w:rPr>
          <w:sz w:val="20"/>
          <w:szCs w:val="20"/>
        </w:rPr>
      </w:pPr>
      <w:r>
        <w:rPr>
          <w:b/>
          <w:bCs/>
          <w:sz w:val="20"/>
          <w:szCs w:val="20"/>
        </w:rPr>
        <w:t xml:space="preserve">7. Theravance Respiratory Company, LLC </w:t>
      </w:r>
    </w:p>
    <w:p w:rsidR="00000000" w:rsidRDefault="00B51E11">
      <w:pPr>
        <w:pStyle w:val="a3"/>
        <w:spacing w:before="0" w:beforeAutospacing="0" w:after="0" w:afterAutospacing="0"/>
        <w:divId w:val="308482495"/>
        <w:rPr>
          <w:sz w:val="20"/>
          <w:szCs w:val="20"/>
        </w:rPr>
      </w:pPr>
      <w:r>
        <w:rPr>
          <w:sz w:val="10"/>
          <w:szCs w:val="10"/>
        </w:rPr>
        <w:t>​</w:t>
      </w:r>
    </w:p>
    <w:p w:rsidR="00000000" w:rsidRDefault="00B51E11">
      <w:pPr>
        <w:pStyle w:val="a3"/>
        <w:spacing w:before="0" w:beforeAutospacing="0" w:after="0" w:afterAutospacing="0"/>
        <w:ind w:firstLine="720"/>
        <w:divId w:val="308482495"/>
        <w:rPr>
          <w:sz w:val="20"/>
          <w:szCs w:val="20"/>
        </w:rPr>
      </w:pPr>
      <w:r>
        <w:rPr>
          <w:sz w:val="20"/>
          <w:szCs w:val="20"/>
        </w:rPr>
        <w:t>Through the Company’s 85% equity interest in TRC, the Company is entitled to receive an 85% economic interest in any future payments made by GSK under the strategic alliance agreement and u</w:t>
      </w:r>
      <w:r>
        <w:rPr>
          <w:sz w:val="20"/>
          <w:szCs w:val="20"/>
        </w:rPr>
        <w:t>nder the portion of the collaboration agreement assigned to TRC (net of TRC expenses paid and the amount of cash, if any, expected to be used by TRC pursuant to the TRC LLC Agreement over the next four fiscal quarters). The primary drug program assigned to</w:t>
      </w:r>
      <w:r>
        <w:rPr>
          <w:sz w:val="20"/>
          <w:szCs w:val="20"/>
        </w:rPr>
        <w:t xml:space="preserve"> TRC is </w:t>
      </w:r>
      <w:r>
        <w:rPr>
          <w:caps/>
          <w:sz w:val="20"/>
          <w:szCs w:val="20"/>
        </w:rPr>
        <w:t>Trelegy</w:t>
      </w:r>
      <w:r>
        <w:rPr>
          <w:sz w:val="20"/>
          <w:szCs w:val="20"/>
        </w:rPr>
        <w:t xml:space="preserve">. </w:t>
      </w:r>
    </w:p>
    <w:p w:rsidR="00000000" w:rsidRDefault="00B51E11">
      <w:pPr>
        <w:pStyle w:val="a3"/>
        <w:spacing w:before="0" w:beforeAutospacing="0" w:after="0" w:afterAutospacing="0"/>
        <w:divId w:val="308482495"/>
        <w:rPr>
          <w:sz w:val="20"/>
          <w:szCs w:val="20"/>
        </w:rPr>
      </w:pPr>
      <w:r>
        <w:rPr>
          <w:sz w:val="20"/>
          <w:szCs w:val="20"/>
        </w:rPr>
        <w:t>​</w:t>
      </w:r>
    </w:p>
    <w:p w:rsidR="00000000" w:rsidRDefault="00B51E11">
      <w:pPr>
        <w:pStyle w:val="a3"/>
        <w:spacing w:before="0" w:beforeAutospacing="0" w:after="0" w:afterAutospacing="0"/>
        <w:ind w:firstLine="720"/>
        <w:divId w:val="308482495"/>
        <w:rPr>
          <w:sz w:val="20"/>
          <w:szCs w:val="20"/>
        </w:rPr>
      </w:pPr>
      <w:r>
        <w:rPr>
          <w:sz w:val="20"/>
          <w:szCs w:val="20"/>
        </w:rPr>
        <w:t>In May 2014, the Company entered into the TRC LLC Agreement with Innoviva, Inc. (“Innoviva”) that governs the operation of TRC. Under the TRC LLC Agreement, Innoviva is the manager of TRC, and the business and affairs of TRC are managed</w:t>
      </w:r>
      <w:r>
        <w:rPr>
          <w:sz w:val="20"/>
          <w:szCs w:val="20"/>
        </w:rPr>
        <w:t xml:space="preserve"> exclusively by the manager, including (i) day to day management of the drug programs in accordance with the existing GSK agreements; (ii) preparing an annual operating plan for TRC; and (iii) taking all actions necessary to ensure that the formation, stru</w:t>
      </w:r>
      <w:r>
        <w:rPr>
          <w:sz w:val="20"/>
          <w:szCs w:val="20"/>
        </w:rPr>
        <w:t>cture and operation of TRC complies with applicable law and partner agreements. The Company is responsible for its proportionate share of TRC’s administrative expenses incurred, and communicated to the Company, by Innoviva.</w:t>
      </w:r>
    </w:p>
    <w:p w:rsidR="00000000" w:rsidRDefault="00B51E11">
      <w:pPr>
        <w:pStyle w:val="a3"/>
        <w:spacing w:before="0" w:beforeAutospacing="0" w:after="0" w:afterAutospacing="0"/>
        <w:divId w:val="308482495"/>
        <w:rPr>
          <w:sz w:val="20"/>
          <w:szCs w:val="20"/>
        </w:rPr>
      </w:pPr>
      <w:r>
        <w:rPr>
          <w:sz w:val="20"/>
          <w:szCs w:val="20"/>
        </w:rPr>
        <w:t>​</w:t>
      </w:r>
    </w:p>
    <w:p w:rsidR="00000000" w:rsidRDefault="00B51E11">
      <w:pPr>
        <w:pStyle w:val="a3"/>
        <w:spacing w:before="0" w:beforeAutospacing="0" w:after="0" w:afterAutospacing="0"/>
        <w:ind w:firstLine="720"/>
        <w:divId w:val="308482495"/>
        <w:rPr>
          <w:sz w:val="20"/>
          <w:szCs w:val="20"/>
        </w:rPr>
      </w:pPr>
      <w:r>
        <w:rPr>
          <w:sz w:val="20"/>
          <w:szCs w:val="20"/>
        </w:rPr>
        <w:t>The Company analyzed its owner</w:t>
      </w:r>
      <w:r>
        <w:rPr>
          <w:sz w:val="20"/>
          <w:szCs w:val="20"/>
        </w:rPr>
        <w:t>ship, contractual and other interests in TRC to determine if it is a variable-interest entity (“VIE”), whether the Company has a variable interest in TRC and the nature and extent of that interest. The Company determined that TRC is a VIE. The party with t</w:t>
      </w:r>
      <w:r>
        <w:rPr>
          <w:sz w:val="20"/>
          <w:szCs w:val="20"/>
        </w:rPr>
        <w:t>he controlling financial interest, the primary beneficiary, is required to consolidate the entity determined to be a VIE. Therefore, the Company also assessed whether it is the primary beneficiary of TRC based on the power to direct TRC’s activities that m</w:t>
      </w:r>
      <w:r>
        <w:rPr>
          <w:sz w:val="20"/>
          <w:szCs w:val="20"/>
        </w:rPr>
        <w:t>ost significantly impact TRC’s economic performance and its obligation to absorb TRC’s losses or the right to receive benefits from TRC that could potentially be significant to TRC. Based on the Company’s assessment, the Company determined that it is not t</w:t>
      </w:r>
      <w:r>
        <w:rPr>
          <w:sz w:val="20"/>
          <w:szCs w:val="20"/>
        </w:rPr>
        <w:t xml:space="preserve">he primary beneficiary of TRC, and, as a result, the Company does not consolidate TRC in its condensed consolidated financial statements. TRC is recognized in the Company’s condensed consolidated financial statements under the equity method of accounting, </w:t>
      </w:r>
      <w:r>
        <w:rPr>
          <w:sz w:val="20"/>
          <w:szCs w:val="20"/>
        </w:rPr>
        <w:t>and the value of the Company’s equity investment in TRC was $48.9 million and $28.6 million as of September 30, 2020 and December 31, 2019, respectively. This amount includes undistributed earnings from the Company’s investment in TRC which are recorded on</w:t>
      </w:r>
      <w:r>
        <w:rPr>
          <w:sz w:val="20"/>
          <w:szCs w:val="20"/>
        </w:rPr>
        <w:t xml:space="preserve"> the condensed consolidated balance sheets as “Amounts due from TRC, LLC” and are net of the Company’s proportionate share of TRC’s administrative expenses incurred, and communicated to the Company, by Innoviva. Pursuant to the TRC operating agreement, the</w:t>
      </w:r>
      <w:r>
        <w:rPr>
          <w:sz w:val="20"/>
          <w:szCs w:val="20"/>
        </w:rPr>
        <w:t xml:space="preserve"> cash from the TRELEGY royalties, net of any expenses, is</w:t>
      </w:r>
      <w:r>
        <w:rPr>
          <w:color w:val="FF0000"/>
          <w:sz w:val="20"/>
          <w:szCs w:val="20"/>
        </w:rPr>
        <w:t xml:space="preserve"> </w:t>
      </w:r>
      <w:r>
        <w:rPr>
          <w:sz w:val="20"/>
          <w:szCs w:val="20"/>
        </w:rPr>
        <w:t xml:space="preserve">distributed to the equity holders quarterly. </w:t>
      </w:r>
    </w:p>
    <w:p w:rsidR="00000000" w:rsidRDefault="00B51E11">
      <w:pPr>
        <w:pStyle w:val="a3"/>
        <w:spacing w:before="0" w:beforeAutospacing="0" w:after="0" w:afterAutospacing="0"/>
        <w:ind w:firstLine="720"/>
        <w:divId w:val="308482495"/>
        <w:rPr>
          <w:sz w:val="20"/>
          <w:szCs w:val="20"/>
        </w:rPr>
      </w:pPr>
      <w:r>
        <w:rPr>
          <w:sz w:val="20"/>
          <w:szCs w:val="20"/>
        </w:rPr>
        <w:t>​</w:t>
      </w:r>
    </w:p>
    <w:p w:rsidR="00000000" w:rsidRDefault="00B51E11">
      <w:pPr>
        <w:pStyle w:val="a3"/>
        <w:spacing w:before="0" w:beforeAutospacing="0" w:after="0" w:afterAutospacing="0"/>
        <w:ind w:firstLine="720"/>
        <w:divId w:val="308482495"/>
        <w:rPr>
          <w:sz w:val="20"/>
          <w:szCs w:val="20"/>
        </w:rPr>
      </w:pPr>
      <w:r>
        <w:rPr>
          <w:sz w:val="20"/>
          <w:szCs w:val="20"/>
        </w:rPr>
        <w:t>For the three and nine months ended September 30, 2020, the Company recognized net royalty income of $13.4 million and $48.3 million, respectively, wi</w:t>
      </w:r>
      <w:r>
        <w:rPr>
          <w:sz w:val="20"/>
          <w:szCs w:val="20"/>
        </w:rPr>
        <w:t>thin the condensed consolidated statements of operations within “Income from investment in TRC, LLC”. These amounts were recorded net of the Company’s share of TRC’s expenses of $0.5 million and $1.2 million for the three and nine months ended September 30</w:t>
      </w:r>
      <w:r>
        <w:rPr>
          <w:sz w:val="20"/>
          <w:szCs w:val="20"/>
        </w:rPr>
        <w:t>, 2020, respectively. For the three and nine months ended September 30, 2019, the Company recognized net royalty income of $7.2 million and $21.8 million, respectively. For the three and nine months ended September 30, 2019, the Company’s share of TRC expe</w:t>
      </w:r>
      <w:r>
        <w:rPr>
          <w:sz w:val="20"/>
          <w:szCs w:val="20"/>
        </w:rPr>
        <w:t>nses was $2.3 million and was primarily comprised of TRC legal and related fees associated with the 2019 arbitration between Innoviva and TRC and the Company.</w:t>
      </w:r>
    </w:p>
    <w:p w:rsidR="00000000" w:rsidRDefault="00B51E11">
      <w:pPr>
        <w:pStyle w:val="a3"/>
        <w:spacing w:before="0" w:beforeAutospacing="0" w:after="0" w:afterAutospacing="0"/>
        <w:divId w:val="308482495"/>
        <w:rPr>
          <w:sz w:val="20"/>
          <w:szCs w:val="20"/>
        </w:rPr>
      </w:pPr>
      <w:r>
        <w:rPr>
          <w:sz w:val="20"/>
          <w:szCs w:val="20"/>
        </w:rPr>
        <w:t>​</w:t>
      </w:r>
    </w:p>
    <w:p w:rsidR="00000000" w:rsidRDefault="00B51E11">
      <w:pPr>
        <w:pStyle w:val="a3"/>
        <w:spacing w:before="0" w:beforeAutospacing="0" w:after="0" w:afterAutospacing="0"/>
        <w:ind w:firstLine="720"/>
        <w:divId w:val="308482495"/>
        <w:rPr>
          <w:sz w:val="20"/>
          <w:szCs w:val="20"/>
        </w:rPr>
      </w:pPr>
      <w:r>
        <w:rPr>
          <w:sz w:val="20"/>
          <w:szCs w:val="20"/>
        </w:rPr>
        <w:t>As of September 30, 2020, the amounts due from TRC, LLC were $48.9 million which were primarily</w:t>
      </w:r>
      <w:r>
        <w:rPr>
          <w:sz w:val="20"/>
          <w:szCs w:val="20"/>
        </w:rPr>
        <w:t xml:space="preserve"> comprised of (i) net royalty income payments for the period from the first quarter of 2020 through the third quarter of 2020 and (ii) $8.5 million representing the Company’s share of the one-time fee that GSK paid to TRC upon termination of the MABA progr</w:t>
      </w:r>
      <w:r>
        <w:rPr>
          <w:sz w:val="20"/>
          <w:szCs w:val="20"/>
        </w:rPr>
        <w:t>am in June 2020.</w:t>
      </w:r>
      <w:r>
        <w:rPr>
          <w:color w:val="FF0000"/>
          <w:sz w:val="20"/>
          <w:szCs w:val="20"/>
        </w:rPr>
        <w:t xml:space="preserve"> </w:t>
      </w:r>
      <w:r>
        <w:rPr>
          <w:sz w:val="20"/>
          <w:szCs w:val="20"/>
        </w:rPr>
        <w:t xml:space="preserve">On June 10, 2020, the Company disclosed in a Form 8-K that it had formally objected to TRC and Innoviva, as the manager of TRC, regarding their proposed plan to use of TRELEGY royalties to invest in certain privately-held companies, funds </w:t>
      </w:r>
      <w:r>
        <w:rPr>
          <w:sz w:val="20"/>
          <w:szCs w:val="20"/>
        </w:rPr>
        <w:t>that would otherwise be available for distribution to the Company under the terms of the TRC LLC Agreement. The Company intends to continue to seek to protect its interests in this matter consistent with the dispute resolution procedures of the TRC LLC Agr</w:t>
      </w:r>
      <w:r>
        <w:rPr>
          <w:sz w:val="20"/>
          <w:szCs w:val="20"/>
        </w:rPr>
        <w:t>eement. In this regard, the Company initiated an arbitration proceeding against Innoviva and TRC in October 2020 challenging the authority of Innoviva and TRC to pursue such a business plan rather than distribute such funds to the Company in a manner consi</w:t>
      </w:r>
      <w:r>
        <w:rPr>
          <w:sz w:val="20"/>
          <w:szCs w:val="20"/>
        </w:rPr>
        <w:t xml:space="preserve">stent with the TRC LLC Agreement and the Company’s 85% economic interest in TRC. An arbitration hearing is scheduled for the first quarter of 2021. </w:t>
      </w:r>
    </w:p>
    <w:p w:rsidR="00000000" w:rsidRDefault="00B51E11">
      <w:pPr>
        <w:pStyle w:val="a3"/>
        <w:spacing w:before="0" w:beforeAutospacing="0" w:after="0" w:afterAutospacing="0"/>
        <w:ind w:firstLine="720"/>
        <w:divId w:val="308482495"/>
        <w:rPr>
          <w:sz w:val="20"/>
          <w:szCs w:val="20"/>
        </w:rPr>
      </w:pPr>
      <w:r>
        <w:rPr>
          <w:sz w:val="20"/>
          <w:szCs w:val="20"/>
        </w:rPr>
        <w:t>​</w:t>
      </w:r>
    </w:p>
    <w:p w:rsidR="00000000" w:rsidRDefault="00B51E11">
      <w:pPr>
        <w:pStyle w:val="a3"/>
        <w:spacing w:before="360" w:beforeAutospacing="0" w:after="0" w:afterAutospacing="0"/>
        <w:jc w:val="center"/>
        <w:divId w:val="1190728526"/>
        <w:rPr>
          <w:sz w:val="20"/>
          <w:szCs w:val="20"/>
        </w:rPr>
      </w:pPr>
      <w:r>
        <w:rPr>
          <w:sz w:val="20"/>
          <w:szCs w:val="20"/>
        </w:rPr>
        <w:t>18</w:t>
      </w:r>
    </w:p>
    <w:p w:rsidR="00000000" w:rsidRDefault="00B51E11">
      <w:pPr>
        <w:pStyle w:val="a3"/>
        <w:spacing w:before="0" w:beforeAutospacing="0" w:after="600" w:afterAutospacing="0"/>
        <w:divId w:val="1397319415"/>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825517371"/>
        <w:rPr>
          <w:sz w:val="20"/>
          <w:szCs w:val="20"/>
        </w:rPr>
      </w:pPr>
      <w:r>
        <w:rPr>
          <w:b/>
          <w:bCs/>
          <w:sz w:val="20"/>
          <w:szCs w:val="20"/>
        </w:rPr>
        <w:t>8</w:t>
      </w:r>
      <w:r>
        <w:rPr>
          <w:b/>
          <w:bCs/>
          <w:i/>
          <w:iCs/>
          <w:sz w:val="20"/>
          <w:szCs w:val="20"/>
        </w:rPr>
        <w:t xml:space="preserve">. </w:t>
      </w:r>
      <w:r>
        <w:rPr>
          <w:b/>
          <w:bCs/>
          <w:sz w:val="20"/>
          <w:szCs w:val="20"/>
        </w:rPr>
        <w:t>Share-Based Compensation</w:t>
      </w:r>
    </w:p>
    <w:p w:rsidR="00000000" w:rsidRDefault="00B51E11">
      <w:pPr>
        <w:pStyle w:val="a3"/>
        <w:spacing w:before="0" w:beforeAutospacing="0" w:after="0" w:afterAutospacing="0"/>
        <w:divId w:val="825517371"/>
        <w:rPr>
          <w:sz w:val="20"/>
          <w:szCs w:val="20"/>
        </w:rPr>
      </w:pPr>
      <w:r>
        <w:rPr>
          <w:sz w:val="10"/>
          <w:szCs w:val="10"/>
        </w:rPr>
        <w:t>​</w:t>
      </w:r>
    </w:p>
    <w:p w:rsidR="00000000" w:rsidRDefault="00B51E11">
      <w:pPr>
        <w:pStyle w:val="a3"/>
        <w:spacing w:before="0" w:beforeAutospacing="0" w:after="0" w:afterAutospacing="0"/>
        <w:divId w:val="825517371"/>
        <w:rPr>
          <w:sz w:val="20"/>
          <w:szCs w:val="20"/>
        </w:rPr>
      </w:pPr>
      <w:r>
        <w:rPr>
          <w:b/>
          <w:bCs/>
          <w:i/>
          <w:iCs/>
          <w:sz w:val="20"/>
          <w:szCs w:val="20"/>
        </w:rPr>
        <w:t>Share-Based Compensation Exp</w:t>
      </w:r>
      <w:r>
        <w:rPr>
          <w:b/>
          <w:bCs/>
          <w:i/>
          <w:iCs/>
          <w:sz w:val="20"/>
          <w:szCs w:val="20"/>
        </w:rPr>
        <w:t>ense Allocation</w:t>
      </w:r>
    </w:p>
    <w:p w:rsidR="00000000" w:rsidRDefault="00B51E11">
      <w:pPr>
        <w:pStyle w:val="a3"/>
        <w:spacing w:before="0" w:beforeAutospacing="0" w:after="0" w:afterAutospacing="0"/>
        <w:ind w:firstLine="720"/>
        <w:divId w:val="825517371"/>
        <w:rPr>
          <w:sz w:val="20"/>
          <w:szCs w:val="20"/>
        </w:rPr>
      </w:pPr>
      <w:r>
        <w:rPr>
          <w:sz w:val="10"/>
          <w:szCs w:val="10"/>
        </w:rPr>
        <w:t>​</w:t>
      </w:r>
    </w:p>
    <w:p w:rsidR="00000000" w:rsidRDefault="00B51E11">
      <w:pPr>
        <w:pStyle w:val="a3"/>
        <w:spacing w:before="0" w:beforeAutospacing="0" w:after="0" w:afterAutospacing="0"/>
        <w:ind w:firstLine="720"/>
        <w:divId w:val="825517371"/>
        <w:rPr>
          <w:sz w:val="20"/>
          <w:szCs w:val="20"/>
        </w:rPr>
      </w:pPr>
      <w:r>
        <w:rPr>
          <w:sz w:val="20"/>
          <w:szCs w:val="20"/>
        </w:rPr>
        <w:t>The allocation of share-based compensation expense included in the condensed consolidated statements of operations was as follows:</w:t>
      </w:r>
    </w:p>
    <w:p w:rsidR="00000000" w:rsidRDefault="00B51E11">
      <w:pPr>
        <w:pStyle w:val="a3"/>
        <w:spacing w:before="0" w:beforeAutospacing="0" w:after="0" w:afterAutospacing="0"/>
        <w:ind w:firstLine="720"/>
        <w:divId w:val="82551737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46"/>
        <w:gridCol w:w="160"/>
        <w:gridCol w:w="120"/>
        <w:gridCol w:w="620"/>
        <w:gridCol w:w="160"/>
        <w:gridCol w:w="120"/>
        <w:gridCol w:w="620"/>
        <w:gridCol w:w="120"/>
        <w:gridCol w:w="120"/>
        <w:gridCol w:w="620"/>
        <w:gridCol w:w="160"/>
        <w:gridCol w:w="120"/>
        <w:gridCol w:w="620"/>
      </w:tblGrid>
      <w:tr w:rsidR="00000000">
        <w:trPr>
          <w:divId w:val="825517371"/>
          <w:trHeight w:val="20"/>
        </w:trPr>
        <w:tc>
          <w:tcPr>
            <w:tcW w:w="2873" w:type="pct"/>
            <w:tcMar>
              <w:top w:w="0" w:type="dxa"/>
              <w:left w:w="0" w:type="dxa"/>
              <w:bottom w:w="0" w:type="dxa"/>
              <w:right w:w="0" w:type="dxa"/>
            </w:tcMar>
            <w:vAlign w:val="bottom"/>
            <w:hideMark/>
          </w:tcPr>
          <w:p w:rsidR="00000000" w:rsidRDefault="00B51E11">
            <w:pPr>
              <w:pStyle w:val="a3"/>
              <w:spacing w:before="0" w:beforeAutospacing="0" w:after="0" w:afterAutospacing="0"/>
              <w:divId w:val="64658773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0602620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7304368"/>
              <w:rPr>
                <w:sz w:val="20"/>
                <w:szCs w:val="20"/>
              </w:rPr>
            </w:pPr>
            <w:r>
              <w:rPr>
                <w:sz w:val="2"/>
                <w:szCs w:val="2"/>
              </w:rPr>
              <w:t>​</w:t>
            </w:r>
          </w:p>
        </w:tc>
        <w:tc>
          <w:tcPr>
            <w:tcW w:w="356"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13340501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4788302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56240979"/>
              <w:rPr>
                <w:sz w:val="20"/>
                <w:szCs w:val="20"/>
              </w:rPr>
            </w:pPr>
            <w:r>
              <w:rPr>
                <w:sz w:val="2"/>
                <w:szCs w:val="2"/>
              </w:rPr>
              <w:t>​</w:t>
            </w:r>
          </w:p>
        </w:tc>
        <w:tc>
          <w:tcPr>
            <w:tcW w:w="356"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8612228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4322686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166939852"/>
              <w:rPr>
                <w:sz w:val="20"/>
                <w:szCs w:val="20"/>
              </w:rPr>
            </w:pPr>
            <w:r>
              <w:rPr>
                <w:sz w:val="2"/>
                <w:szCs w:val="2"/>
              </w:rPr>
              <w:t>​</w:t>
            </w:r>
          </w:p>
        </w:tc>
        <w:tc>
          <w:tcPr>
            <w:tcW w:w="356"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820847946"/>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8992562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30482010"/>
              <w:rPr>
                <w:sz w:val="20"/>
                <w:szCs w:val="20"/>
              </w:rPr>
            </w:pPr>
            <w:r>
              <w:rPr>
                <w:sz w:val="2"/>
                <w:szCs w:val="2"/>
              </w:rPr>
              <w:t>​</w:t>
            </w:r>
          </w:p>
        </w:tc>
        <w:tc>
          <w:tcPr>
            <w:tcW w:w="332" w:type="pct"/>
            <w:noWrap/>
            <w:tcMar>
              <w:top w:w="0" w:type="dxa"/>
              <w:left w:w="0" w:type="dxa"/>
              <w:bottom w:w="0" w:type="dxa"/>
              <w:right w:w="0" w:type="dxa"/>
            </w:tcMar>
            <w:vAlign w:val="center"/>
            <w:hideMark/>
          </w:tcPr>
          <w:p w:rsidR="00000000" w:rsidRDefault="00B51E11">
            <w:pPr>
              <w:pStyle w:val="a3"/>
              <w:spacing w:before="0" w:beforeAutospacing="0" w:after="0" w:afterAutospacing="0"/>
              <w:divId w:val="1152408069"/>
              <w:rPr>
                <w:sz w:val="20"/>
                <w:szCs w:val="20"/>
              </w:rPr>
            </w:pPr>
            <w:r>
              <w:rPr>
                <w:sz w:val="2"/>
                <w:szCs w:val="2"/>
              </w:rPr>
              <w:t>​</w:t>
            </w:r>
          </w:p>
        </w:tc>
      </w:tr>
      <w:tr w:rsidR="00000000">
        <w:trPr>
          <w:divId w:val="825517371"/>
        </w:trPr>
        <w:tc>
          <w:tcPr>
            <w:tcW w:w="287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4"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60"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r>
      <w:tr w:rsidR="00000000">
        <w:trPr>
          <w:divId w:val="825517371"/>
        </w:trPr>
        <w:tc>
          <w:tcPr>
            <w:tcW w:w="287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60"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r>
      <w:tr w:rsidR="00000000">
        <w:trPr>
          <w:divId w:val="825517371"/>
        </w:trPr>
        <w:tc>
          <w:tcPr>
            <w:tcW w:w="2873"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423"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r>
      <w:tr w:rsidR="00000000">
        <w:trPr>
          <w:divId w:val="825517371"/>
        </w:trPr>
        <w:tc>
          <w:tcPr>
            <w:tcW w:w="2873"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 xml:space="preserve">Research and development </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7,761</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6,458</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23,724</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18,338</w:t>
            </w:r>
          </w:p>
        </w:tc>
      </w:tr>
      <w:tr w:rsidR="00000000">
        <w:trPr>
          <w:divId w:val="825517371"/>
        </w:trPr>
        <w:tc>
          <w:tcPr>
            <w:tcW w:w="287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 xml:space="preserve">Selling, general and administrative </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56"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7,803</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56"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6,561</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56"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23,701</w:t>
            </w:r>
          </w:p>
        </w:tc>
        <w:tc>
          <w:tcPr>
            <w:tcW w:w="90"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18,200</w:t>
            </w:r>
          </w:p>
        </w:tc>
      </w:tr>
      <w:tr w:rsidR="00000000">
        <w:trPr>
          <w:divId w:val="825517371"/>
        </w:trPr>
        <w:tc>
          <w:tcPr>
            <w:tcW w:w="2873"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240"/>
              <w:rPr>
                <w:sz w:val="20"/>
                <w:szCs w:val="20"/>
              </w:rPr>
            </w:pPr>
            <w:r>
              <w:rPr>
                <w:sz w:val="20"/>
                <w:szCs w:val="20"/>
              </w:rPr>
              <w:t xml:space="preserve">Total share-based compensation expense </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15,564</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13,019</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47,425</w:t>
            </w:r>
          </w:p>
        </w:tc>
        <w:tc>
          <w:tcPr>
            <w:tcW w:w="9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51E11">
            <w:pPr>
              <w:pStyle w:val="a3"/>
              <w:spacing w:before="0" w:beforeAutospacing="0" w:after="0" w:afterAutospacing="0"/>
              <w:ind w:right="70"/>
              <w:jc w:val="right"/>
              <w:rPr>
                <w:sz w:val="20"/>
                <w:szCs w:val="20"/>
              </w:rPr>
            </w:pPr>
            <w:r>
              <w:rPr>
                <w:sz w:val="20"/>
                <w:szCs w:val="20"/>
              </w:rPr>
              <w:t>36,538</w:t>
            </w:r>
          </w:p>
        </w:tc>
      </w:tr>
    </w:tbl>
    <w:p w:rsidR="00000000" w:rsidRDefault="00B51E11">
      <w:pPr>
        <w:pStyle w:val="a3"/>
        <w:spacing w:before="0" w:beforeAutospacing="0" w:after="0" w:afterAutospacing="0"/>
        <w:divId w:val="825517371"/>
        <w:rPr>
          <w:sz w:val="20"/>
          <w:szCs w:val="20"/>
        </w:rPr>
      </w:pPr>
      <w:r>
        <w:rPr>
          <w:sz w:val="2"/>
          <w:szCs w:val="2"/>
        </w:rPr>
        <w:t>​</w:t>
      </w:r>
    </w:p>
    <w:p w:rsidR="00000000" w:rsidRDefault="00B51E11">
      <w:pPr>
        <w:pStyle w:val="a3"/>
        <w:spacing w:before="240" w:beforeAutospacing="0" w:after="120" w:afterAutospacing="0"/>
        <w:divId w:val="825517371"/>
        <w:rPr>
          <w:sz w:val="20"/>
          <w:szCs w:val="20"/>
        </w:rPr>
      </w:pPr>
      <w:r>
        <w:rPr>
          <w:b/>
          <w:bCs/>
          <w:i/>
          <w:iCs/>
          <w:sz w:val="20"/>
          <w:szCs w:val="20"/>
        </w:rPr>
        <w:t>Performance-Contingent Awards</w:t>
      </w:r>
    </w:p>
    <w:p w:rsidR="00000000" w:rsidRDefault="00B51E11">
      <w:pPr>
        <w:pStyle w:val="a3"/>
        <w:spacing w:before="0" w:beforeAutospacing="0" w:after="0" w:afterAutospacing="0"/>
        <w:ind w:firstLine="720"/>
        <w:divId w:val="825517371"/>
        <w:rPr>
          <w:sz w:val="20"/>
          <w:szCs w:val="20"/>
        </w:rPr>
      </w:pPr>
      <w:r>
        <w:rPr>
          <w:sz w:val="20"/>
          <w:szCs w:val="20"/>
        </w:rPr>
        <w:t>In 2016, the Compensation Committee of the Company’s board of directors (“Compensation Committee”</w:t>
      </w:r>
      <w:r>
        <w:rPr>
          <w:sz w:val="20"/>
          <w:szCs w:val="20"/>
        </w:rPr>
        <w:t>) approved the grant of 1,575,000 performance-contingent restricted share awards (“RSAs”) and 135,000 performance-contingent restricted share units (“RSUs”) to senior management. The vesting of such awards is dependent on the Company meeting its critical o</w:t>
      </w:r>
      <w:r>
        <w:rPr>
          <w:sz w:val="20"/>
          <w:szCs w:val="20"/>
        </w:rPr>
        <w:t>perating goals and objectives during the</w:t>
      </w:r>
      <w:r>
        <w:rPr>
          <w:sz w:val="20"/>
          <w:szCs w:val="20"/>
        </w:rPr>
        <w:t xml:space="preserve"> </w:t>
      </w:r>
      <w:r>
        <w:rPr>
          <w:sz w:val="20"/>
          <w:szCs w:val="20"/>
        </w:rPr>
        <w:t>five-yea</w:t>
      </w:r>
      <w:r>
        <w:rPr>
          <w:sz w:val="20"/>
          <w:szCs w:val="20"/>
        </w:rPr>
        <w:t>r</w:t>
      </w:r>
      <w:r>
        <w:rPr>
          <w:sz w:val="20"/>
          <w:szCs w:val="20"/>
        </w:rPr>
        <w:t xml:space="preserve"> period from 2016 to December 31, 2020, as well as, continued employment. The goals that must be met in order for the performance-contingent RSAs and RSUs to vest are strategically important for the Company</w:t>
      </w:r>
      <w:r>
        <w:rPr>
          <w:sz w:val="20"/>
          <w:szCs w:val="20"/>
        </w:rPr>
        <w:t>, and the Compensation Committee believes the goals should increase shareholder value. The awards have dual triggers of vesting based upon the achievement of these goals and continued employment.</w:t>
      </w:r>
      <w:r>
        <w:rPr>
          <w:sz w:val="20"/>
          <w:szCs w:val="20"/>
        </w:rPr>
        <w:t xml:space="preserve"> </w:t>
      </w:r>
    </w:p>
    <w:p w:rsidR="00000000" w:rsidRDefault="00B51E11">
      <w:pPr>
        <w:pStyle w:val="a3"/>
        <w:spacing w:before="0" w:beforeAutospacing="0" w:after="0" w:afterAutospacing="0"/>
        <w:ind w:firstLine="720"/>
        <w:divId w:val="825517371"/>
        <w:rPr>
          <w:sz w:val="20"/>
          <w:szCs w:val="20"/>
        </w:rPr>
      </w:pPr>
      <w:r>
        <w:rPr>
          <w:sz w:val="20"/>
          <w:szCs w:val="20"/>
        </w:rPr>
        <w:t>​</w:t>
      </w:r>
    </w:p>
    <w:p w:rsidR="00000000" w:rsidRDefault="00B51E11">
      <w:pPr>
        <w:pStyle w:val="a3"/>
        <w:spacing w:before="0" w:beforeAutospacing="0" w:after="0" w:afterAutospacing="0"/>
        <w:ind w:firstLine="720"/>
        <w:divId w:val="825517371"/>
        <w:rPr>
          <w:sz w:val="20"/>
          <w:szCs w:val="20"/>
        </w:rPr>
      </w:pPr>
      <w:r>
        <w:rPr>
          <w:sz w:val="20"/>
          <w:szCs w:val="20"/>
        </w:rPr>
        <w:t>Expense associated with these awards may be recognized du</w:t>
      </w:r>
      <w:r>
        <w:rPr>
          <w:sz w:val="20"/>
          <w:szCs w:val="20"/>
        </w:rPr>
        <w:t>ring the years 2016 to 2020 depending on the probability of meeting certain performance conditions. Compensation expense relating to awards subject to performance conditions is recognized if it is considered probable that the performance goals will be achi</w:t>
      </w:r>
      <w:r>
        <w:rPr>
          <w:sz w:val="20"/>
          <w:szCs w:val="20"/>
        </w:rPr>
        <w:t>eved. The probability of achievement is reassessed at each quarter-end reporting period. Previously recognized expense is reversed in the period in which it becomes probable that the requisite service period will not be rendered. The awards are broken into</w:t>
      </w:r>
      <w:r>
        <w:rPr>
          <w:sz w:val="20"/>
          <w:szCs w:val="20"/>
        </w:rPr>
        <w:t xml:space="preserve"> three separate tranches.</w:t>
      </w:r>
    </w:p>
    <w:p w:rsidR="00000000" w:rsidRDefault="00B51E11">
      <w:pPr>
        <w:pStyle w:val="a3"/>
        <w:spacing w:before="0" w:beforeAutospacing="0" w:after="0" w:afterAutospacing="0"/>
        <w:ind w:firstLine="720"/>
        <w:divId w:val="825517371"/>
        <w:rPr>
          <w:sz w:val="20"/>
          <w:szCs w:val="20"/>
        </w:rPr>
      </w:pPr>
      <w:r>
        <w:rPr>
          <w:color w:val="FF0000"/>
          <w:sz w:val="20"/>
          <w:szCs w:val="20"/>
        </w:rPr>
        <w:t>​</w:t>
      </w:r>
    </w:p>
    <w:p w:rsidR="00000000" w:rsidRDefault="00B51E11">
      <w:pPr>
        <w:pStyle w:val="a3"/>
        <w:spacing w:before="0" w:beforeAutospacing="0" w:after="0" w:afterAutospacing="0"/>
        <w:ind w:firstLine="720"/>
        <w:divId w:val="825517371"/>
        <w:rPr>
          <w:sz w:val="20"/>
          <w:szCs w:val="20"/>
        </w:rPr>
      </w:pPr>
      <w:r>
        <w:rPr>
          <w:sz w:val="20"/>
          <w:szCs w:val="20"/>
        </w:rPr>
        <w:t>As of September 30, 2020, there were 414,000 of these performance-contingent RSAs and 54,000</w:t>
      </w:r>
      <w:r>
        <w:rPr>
          <w:color w:val="FF0000"/>
          <w:sz w:val="20"/>
          <w:szCs w:val="20"/>
        </w:rPr>
        <w:t xml:space="preserve"> </w:t>
      </w:r>
      <w:r>
        <w:rPr>
          <w:sz w:val="20"/>
          <w:szCs w:val="20"/>
        </w:rPr>
        <w:t>of these performance-contingent RSUs outstanding, and as of September 30, 2019, there were 776,250 of these performance-contingent RSAs and 101,250 of these performance-contingent RSUs outstanding. The performance conditions associated with the first tranc</w:t>
      </w:r>
      <w:r>
        <w:rPr>
          <w:sz w:val="20"/>
          <w:szCs w:val="20"/>
        </w:rPr>
        <w:t>he of these awards were completed in the second quarter of 2018, and the expense associated with the first tranche was fully recognized in 2018.</w:t>
      </w:r>
    </w:p>
    <w:p w:rsidR="00000000" w:rsidRDefault="00B51E11">
      <w:pPr>
        <w:pStyle w:val="a3"/>
        <w:spacing w:before="0" w:beforeAutospacing="0" w:after="0" w:afterAutospacing="0"/>
        <w:ind w:firstLine="720"/>
        <w:divId w:val="825517371"/>
        <w:rPr>
          <w:sz w:val="20"/>
          <w:szCs w:val="20"/>
        </w:rPr>
      </w:pPr>
      <w:r>
        <w:rPr>
          <w:color w:val="FF0000"/>
          <w:sz w:val="20"/>
          <w:szCs w:val="20"/>
        </w:rPr>
        <w:t>​</w:t>
      </w:r>
    </w:p>
    <w:p w:rsidR="00000000" w:rsidRDefault="00B51E11">
      <w:pPr>
        <w:pStyle w:val="a3"/>
        <w:spacing w:before="0" w:beforeAutospacing="0" w:after="0" w:afterAutospacing="0"/>
        <w:ind w:firstLine="720"/>
        <w:divId w:val="825517371"/>
        <w:rPr>
          <w:sz w:val="20"/>
          <w:szCs w:val="20"/>
        </w:rPr>
      </w:pPr>
      <w:r>
        <w:rPr>
          <w:sz w:val="20"/>
          <w:szCs w:val="20"/>
        </w:rPr>
        <w:t>The performance conditions associated with the second tranche of these awards were completed in the first qua</w:t>
      </w:r>
      <w:r>
        <w:rPr>
          <w:sz w:val="20"/>
          <w:szCs w:val="20"/>
        </w:rPr>
        <w:t>rter of 2019, and as of March 31, 2020, the expense associated with this second tranche was fully recognized. For the nine months ended September 30, 2020, the Company recognized $0.4 million of share-based compensation expense related to the second tranch</w:t>
      </w:r>
      <w:r>
        <w:rPr>
          <w:sz w:val="20"/>
          <w:szCs w:val="20"/>
        </w:rPr>
        <w:t>e of these awards. For three and nine months ended September 30, 2019, the Company recognized $0.7 million and $1.2 million, respectively, of share-based compensation expense related to the second tranche of these awards.</w:t>
      </w:r>
    </w:p>
    <w:p w:rsidR="00000000" w:rsidRDefault="00B51E11">
      <w:pPr>
        <w:pStyle w:val="a3"/>
        <w:spacing w:before="0" w:beforeAutospacing="0" w:after="0" w:afterAutospacing="0"/>
        <w:ind w:firstLine="720"/>
        <w:divId w:val="825517371"/>
        <w:rPr>
          <w:sz w:val="20"/>
          <w:szCs w:val="20"/>
        </w:rPr>
      </w:pPr>
      <w:r>
        <w:rPr>
          <w:sz w:val="20"/>
          <w:szCs w:val="20"/>
        </w:rPr>
        <w:t>​</w:t>
      </w:r>
    </w:p>
    <w:p w:rsidR="00000000" w:rsidRDefault="00B51E11">
      <w:pPr>
        <w:pStyle w:val="a3"/>
        <w:spacing w:before="0" w:beforeAutospacing="0" w:after="0" w:afterAutospacing="0"/>
        <w:ind w:firstLine="720"/>
        <w:divId w:val="825517371"/>
        <w:rPr>
          <w:sz w:val="20"/>
          <w:szCs w:val="20"/>
        </w:rPr>
      </w:pPr>
      <w:r>
        <w:rPr>
          <w:sz w:val="20"/>
          <w:szCs w:val="20"/>
        </w:rPr>
        <w:t>In the first quarter of 2020, the performance conditions associated with the remaining third tranche were completed and, as a result, the Company recognized $0.6 million and $1.9 million of share-based compensation expense related to these awards for the t</w:t>
      </w:r>
      <w:r>
        <w:rPr>
          <w:sz w:val="20"/>
          <w:szCs w:val="20"/>
        </w:rPr>
        <w:t>hree and nine months ended September 30, 2020, respectively. As of September 30, 2020, the maximum remaining expense associated with the third tranche is $1.0 million (allocated as $0.3 million for research and development expense and $0.7 million for sell</w:t>
      </w:r>
      <w:r>
        <w:rPr>
          <w:sz w:val="20"/>
          <w:szCs w:val="20"/>
        </w:rPr>
        <w:t>ing, general and administrative expense) and will be amortized through the first quarter of 2021.</w:t>
      </w:r>
    </w:p>
    <w:p w:rsidR="00000000" w:rsidRDefault="00B51E11">
      <w:pPr>
        <w:pStyle w:val="a3"/>
        <w:spacing w:before="0" w:beforeAutospacing="0" w:after="0" w:afterAutospacing="0"/>
        <w:ind w:firstLine="720"/>
        <w:divId w:val="825517371"/>
        <w:rPr>
          <w:sz w:val="20"/>
          <w:szCs w:val="20"/>
        </w:rPr>
      </w:pPr>
      <w:r>
        <w:rPr>
          <w:sz w:val="20"/>
          <w:szCs w:val="20"/>
        </w:rPr>
        <w:t>​</w:t>
      </w:r>
    </w:p>
    <w:p w:rsidR="00000000" w:rsidRDefault="00B51E11">
      <w:pPr>
        <w:pStyle w:val="a3"/>
        <w:spacing w:before="0" w:beforeAutospacing="0" w:after="0" w:afterAutospacing="0"/>
        <w:ind w:firstLine="720"/>
        <w:divId w:val="825517371"/>
        <w:rPr>
          <w:sz w:val="20"/>
          <w:szCs w:val="20"/>
        </w:rPr>
      </w:pPr>
      <w:r>
        <w:rPr>
          <w:sz w:val="20"/>
          <w:szCs w:val="20"/>
        </w:rPr>
        <w:t>Separate from the performance-contingent awards described above, the Company periodically grants performance-contingent RSUs to individual employees. For th</w:t>
      </w:r>
      <w:r>
        <w:rPr>
          <w:sz w:val="20"/>
          <w:szCs w:val="20"/>
        </w:rPr>
        <w:t>e three and nine months ended September 30, 2020, the Company recognized $0.1</w:t>
      </w:r>
      <w:r>
        <w:rPr>
          <w:b/>
          <w:bCs/>
          <w:sz w:val="20"/>
          <w:szCs w:val="20"/>
        </w:rPr>
        <w:t xml:space="preserve"> </w:t>
      </w:r>
      <w:r>
        <w:rPr>
          <w:sz w:val="20"/>
          <w:szCs w:val="20"/>
        </w:rPr>
        <w:t>million and $0.8 million, respectively, of share-based compensation expense related to such awards. As of September 30, 2020, there were 120,000 shares of these performance-conti</w:t>
      </w:r>
      <w:r>
        <w:rPr>
          <w:sz w:val="20"/>
          <w:szCs w:val="20"/>
        </w:rPr>
        <w:t>ngent RSUs outstanding that have a maximum remaining share-based compensation expense of $1.7 million with performance expiration dates ranging from December 2020 to June 2022.</w:t>
      </w:r>
    </w:p>
    <w:p w:rsidR="00000000" w:rsidRDefault="00B51E11">
      <w:pPr>
        <w:pStyle w:val="a3"/>
        <w:spacing w:before="360" w:beforeAutospacing="0" w:after="0" w:afterAutospacing="0"/>
        <w:jc w:val="center"/>
        <w:divId w:val="820927889"/>
        <w:rPr>
          <w:sz w:val="20"/>
          <w:szCs w:val="20"/>
        </w:rPr>
      </w:pPr>
      <w:r>
        <w:rPr>
          <w:sz w:val="20"/>
          <w:szCs w:val="20"/>
        </w:rPr>
        <w:t>19</w:t>
      </w:r>
    </w:p>
    <w:p w:rsidR="00000000" w:rsidRDefault="00B51E11">
      <w:pPr>
        <w:pStyle w:val="a3"/>
        <w:spacing w:before="0" w:beforeAutospacing="0" w:after="600" w:afterAutospacing="0"/>
        <w:divId w:val="378629342"/>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ind w:firstLine="720"/>
        <w:divId w:val="770010386"/>
        <w:rPr>
          <w:sz w:val="20"/>
          <w:szCs w:val="20"/>
        </w:rPr>
      </w:pPr>
      <w:r>
        <w:rPr>
          <w:sz w:val="20"/>
          <w:szCs w:val="20"/>
        </w:rPr>
        <w:t>​</w:t>
      </w:r>
    </w:p>
    <w:p w:rsidR="00000000" w:rsidRDefault="00B51E11">
      <w:pPr>
        <w:pStyle w:val="a3"/>
        <w:spacing w:before="0" w:beforeAutospacing="0" w:after="0" w:afterAutospacing="0"/>
        <w:divId w:val="770010386"/>
        <w:rPr>
          <w:sz w:val="20"/>
          <w:szCs w:val="20"/>
        </w:rPr>
      </w:pPr>
      <w:r>
        <w:rPr>
          <w:b/>
          <w:bCs/>
          <w:sz w:val="20"/>
          <w:szCs w:val="20"/>
        </w:rPr>
        <w:t xml:space="preserve">9. Income Taxes </w:t>
      </w:r>
    </w:p>
    <w:p w:rsidR="00000000" w:rsidRDefault="00B51E11">
      <w:pPr>
        <w:pStyle w:val="a3"/>
        <w:spacing w:before="0" w:beforeAutospacing="0" w:after="0" w:afterAutospacing="0"/>
        <w:divId w:val="770010386"/>
        <w:rPr>
          <w:sz w:val="20"/>
          <w:szCs w:val="20"/>
        </w:rPr>
      </w:pPr>
      <w:r>
        <w:rPr>
          <w:sz w:val="10"/>
          <w:szCs w:val="10"/>
        </w:rPr>
        <w:t>​</w:t>
      </w:r>
    </w:p>
    <w:p w:rsidR="00000000" w:rsidRDefault="00B51E11">
      <w:pPr>
        <w:pStyle w:val="a3"/>
        <w:spacing w:before="0" w:beforeAutospacing="0" w:after="0" w:afterAutospacing="0"/>
        <w:ind w:firstLine="720"/>
        <w:divId w:val="770010386"/>
        <w:rPr>
          <w:sz w:val="20"/>
          <w:szCs w:val="20"/>
        </w:rPr>
      </w:pPr>
      <w:r>
        <w:rPr>
          <w:sz w:val="20"/>
          <w:szCs w:val="20"/>
        </w:rPr>
        <w:t xml:space="preserve">The income </w:t>
      </w:r>
      <w:r>
        <w:rPr>
          <w:sz w:val="20"/>
          <w:szCs w:val="20"/>
        </w:rPr>
        <w:t xml:space="preserve">tax expense was $0.1 million and $0.3 million for the three and nine months ended September 30, 2020, respectively. The expense was primarily attributed to recording contingent liabilities for uncertain tax positions taken with respect to transfer pricing </w:t>
      </w:r>
      <w:r>
        <w:rPr>
          <w:sz w:val="20"/>
          <w:szCs w:val="20"/>
        </w:rPr>
        <w:t xml:space="preserve">and tax credits. No provision for income taxes has been recognized on undistributed earnings of the Company’s foreign subsidiaries because it considers such earnings to be indefinitely reinvested. </w:t>
      </w:r>
    </w:p>
    <w:p w:rsidR="00000000" w:rsidRDefault="00B51E11">
      <w:pPr>
        <w:pStyle w:val="a3"/>
        <w:spacing w:before="0" w:beforeAutospacing="0" w:after="0" w:afterAutospacing="0"/>
        <w:divId w:val="770010386"/>
        <w:rPr>
          <w:sz w:val="20"/>
          <w:szCs w:val="20"/>
        </w:rPr>
      </w:pPr>
      <w:r>
        <w:rPr>
          <w:sz w:val="20"/>
          <w:szCs w:val="20"/>
        </w:rPr>
        <w:t>​</w:t>
      </w:r>
    </w:p>
    <w:p w:rsidR="00000000" w:rsidRDefault="00B51E11">
      <w:pPr>
        <w:pStyle w:val="a3"/>
        <w:spacing w:before="0" w:beforeAutospacing="0" w:after="0" w:afterAutospacing="0"/>
        <w:ind w:firstLine="720"/>
        <w:divId w:val="770010386"/>
        <w:rPr>
          <w:sz w:val="20"/>
          <w:szCs w:val="20"/>
        </w:rPr>
      </w:pPr>
      <w:r>
        <w:rPr>
          <w:sz w:val="20"/>
          <w:szCs w:val="20"/>
        </w:rPr>
        <w:t>The Company follows the accounting guidance related to a</w:t>
      </w:r>
      <w:r>
        <w:rPr>
          <w:sz w:val="20"/>
          <w:szCs w:val="20"/>
        </w:rPr>
        <w:t>ccounting for income taxes which requires that a company reduce its deferred tax assets by a valuation allowance if, based on the weight of available evidence, it is more likely than not that some portion or all of its deferred tax assets will not be reali</w:t>
      </w:r>
      <w:r>
        <w:rPr>
          <w:sz w:val="20"/>
          <w:szCs w:val="20"/>
        </w:rPr>
        <w:t>zed. As of September 30, 2020, the Company’s deferred tax assets were offset in full by a valuation allowance.</w:t>
      </w:r>
    </w:p>
    <w:p w:rsidR="00000000" w:rsidRDefault="00B51E11">
      <w:pPr>
        <w:pStyle w:val="a3"/>
        <w:spacing w:before="0" w:beforeAutospacing="0" w:after="0" w:afterAutospacing="0"/>
        <w:ind w:firstLine="720"/>
        <w:divId w:val="770010386"/>
        <w:rPr>
          <w:sz w:val="20"/>
          <w:szCs w:val="20"/>
        </w:rPr>
      </w:pPr>
      <w:r>
        <w:rPr>
          <w:sz w:val="20"/>
          <w:szCs w:val="20"/>
        </w:rPr>
        <w:t>​</w:t>
      </w:r>
    </w:p>
    <w:p w:rsidR="00000000" w:rsidRDefault="00B51E11">
      <w:pPr>
        <w:pStyle w:val="a3"/>
        <w:spacing w:before="0" w:beforeAutospacing="0" w:after="0" w:afterAutospacing="0"/>
        <w:ind w:firstLine="720"/>
        <w:divId w:val="770010386"/>
        <w:rPr>
          <w:sz w:val="20"/>
          <w:szCs w:val="20"/>
        </w:rPr>
      </w:pPr>
      <w:r>
        <w:rPr>
          <w:sz w:val="20"/>
          <w:szCs w:val="20"/>
        </w:rPr>
        <w:t>The Company records liabilities related to uncertain tax positions in accordance with the income tax guidance which clarifies the accounting fo</w:t>
      </w:r>
      <w:r>
        <w:rPr>
          <w:sz w:val="20"/>
          <w:szCs w:val="20"/>
        </w:rPr>
        <w:t>r uncertainty in income taxes recognized in an enterprise’s financial statements by prescribing a minimum recognition threshold and measurement attribute for the financial statement recognition and measurement of a tax position taken or expected to be take</w:t>
      </w:r>
      <w:r>
        <w:rPr>
          <w:sz w:val="20"/>
          <w:szCs w:val="20"/>
        </w:rPr>
        <w:t xml:space="preserve">n in a tax return. Resolution of one or more of these uncertain tax positions in any period may have a material impact on the results of operations for that period. The Company includes any applicable interest and penalties within the provision for income </w:t>
      </w:r>
      <w:r>
        <w:rPr>
          <w:sz w:val="20"/>
          <w:szCs w:val="20"/>
        </w:rPr>
        <w:t>taxes in the condensed consolidated statements of operations</w:t>
      </w:r>
      <w:r>
        <w:rPr>
          <w:sz w:val="20"/>
          <w:szCs w:val="20"/>
        </w:rPr>
        <w:t>.</w:t>
      </w:r>
    </w:p>
    <w:p w:rsidR="00000000" w:rsidRDefault="00B51E11">
      <w:pPr>
        <w:pStyle w:val="a3"/>
        <w:spacing w:before="0" w:beforeAutospacing="0" w:after="0" w:afterAutospacing="0"/>
        <w:ind w:firstLine="720"/>
        <w:divId w:val="770010386"/>
        <w:rPr>
          <w:sz w:val="20"/>
          <w:szCs w:val="20"/>
        </w:rPr>
      </w:pPr>
      <w:r>
        <w:rPr>
          <w:sz w:val="20"/>
          <w:szCs w:val="20"/>
        </w:rPr>
        <w:t>​</w:t>
      </w:r>
    </w:p>
    <w:p w:rsidR="00000000" w:rsidRDefault="00B51E11">
      <w:pPr>
        <w:pStyle w:val="a3"/>
        <w:spacing w:before="0" w:beforeAutospacing="0" w:after="0" w:afterAutospacing="0"/>
        <w:ind w:firstLine="720"/>
        <w:divId w:val="770010386"/>
        <w:rPr>
          <w:sz w:val="20"/>
          <w:szCs w:val="20"/>
        </w:rPr>
      </w:pPr>
      <w:r>
        <w:rPr>
          <w:sz w:val="20"/>
          <w:szCs w:val="20"/>
        </w:rPr>
        <w:t>The Company is currently under Internal Revenue Service (“IRS”) examination for the tax year ended December 31, 2017. The Company believes that an adequate provision has been made for any adju</w:t>
      </w:r>
      <w:r>
        <w:rPr>
          <w:sz w:val="20"/>
          <w:szCs w:val="20"/>
        </w:rPr>
        <w:t>stments that may result from the tax examination.</w:t>
      </w:r>
    </w:p>
    <w:p w:rsidR="00000000" w:rsidRDefault="00B51E11">
      <w:pPr>
        <w:pStyle w:val="a3"/>
        <w:spacing w:before="0" w:beforeAutospacing="0" w:after="0" w:afterAutospacing="0"/>
        <w:ind w:firstLine="720"/>
        <w:divId w:val="770010386"/>
        <w:rPr>
          <w:sz w:val="20"/>
          <w:szCs w:val="20"/>
        </w:rPr>
      </w:pPr>
      <w:r>
        <w:rPr>
          <w:sz w:val="20"/>
          <w:szCs w:val="20"/>
        </w:rPr>
        <w:t>​</w:t>
      </w:r>
    </w:p>
    <w:p w:rsidR="00000000" w:rsidRDefault="00B51E11">
      <w:pPr>
        <w:pStyle w:val="a3"/>
        <w:spacing w:before="0" w:beforeAutospacing="0" w:after="0" w:afterAutospacing="0"/>
        <w:ind w:firstLine="720"/>
        <w:divId w:val="770010386"/>
        <w:rPr>
          <w:sz w:val="20"/>
          <w:szCs w:val="20"/>
        </w:rPr>
      </w:pPr>
      <w:r>
        <w:rPr>
          <w:sz w:val="20"/>
          <w:szCs w:val="20"/>
        </w:rPr>
        <w:t>On March 27, 2020, the </w:t>
      </w:r>
      <w:r>
        <w:rPr>
          <w:i/>
          <w:iCs/>
          <w:sz w:val="20"/>
          <w:szCs w:val="20"/>
        </w:rPr>
        <w:t>Coronavirus Aid, Relief, and Economic Security Act</w:t>
      </w:r>
      <w:r>
        <w:rPr>
          <w:sz w:val="20"/>
          <w:szCs w:val="20"/>
        </w:rPr>
        <w:t> (the “CARES Act”), that features significant tax provision and other measures to assist individuals and businesses impacted by the</w:t>
      </w:r>
      <w:r>
        <w:rPr>
          <w:sz w:val="20"/>
          <w:szCs w:val="20"/>
        </w:rPr>
        <w:t xml:space="preserve"> economic effects of the COVID-19 pandemic, was signed into law. Tax relief measures for businesses include a five-year net operating loss carryback (including a related technical correction to the 2017 Tax Reform Act), a change in Section 163(j) interest </w:t>
      </w:r>
      <w:r>
        <w:rPr>
          <w:sz w:val="20"/>
          <w:szCs w:val="20"/>
        </w:rPr>
        <w:t>deduction limitations, accelerated alternative minimum tax refunds, payroll tax relief, a temporary suspension of certain aviation excise taxes, a tax credit for employers who retain employees, and a ‘qualified improvement property’ technical correction to</w:t>
      </w:r>
      <w:r>
        <w:rPr>
          <w:sz w:val="20"/>
          <w:szCs w:val="20"/>
        </w:rPr>
        <w:t xml:space="preserve"> the 2017 Tax Reform Act. The Company has considered the corporate income tax provisions of the CARES Act and related initial guidance as part of its income tax expense forecast for the three and nine months ended September 30, 2020, and these provisions a</w:t>
      </w:r>
      <w:r>
        <w:rPr>
          <w:sz w:val="20"/>
          <w:szCs w:val="20"/>
        </w:rPr>
        <w:t>re expected to have an immaterial impact on the Company’s 2020 income tax expense.</w:t>
      </w:r>
      <w:r>
        <w:rPr>
          <w:b/>
          <w:bCs/>
          <w:sz w:val="20"/>
          <w:szCs w:val="20"/>
        </w:rPr>
        <w:t xml:space="preserve"> </w:t>
      </w:r>
    </w:p>
    <w:p w:rsidR="00000000" w:rsidRDefault="00B51E11">
      <w:pPr>
        <w:pStyle w:val="a3"/>
        <w:spacing w:before="0" w:beforeAutospacing="0" w:after="0" w:afterAutospacing="0"/>
        <w:divId w:val="770010386"/>
        <w:rPr>
          <w:sz w:val="20"/>
          <w:szCs w:val="20"/>
        </w:rPr>
      </w:pPr>
      <w:r>
        <w:rPr>
          <w:sz w:val="20"/>
          <w:szCs w:val="20"/>
        </w:rPr>
        <w:t>​</w:t>
      </w:r>
    </w:p>
    <w:p w:rsidR="00000000" w:rsidRDefault="00B51E11">
      <w:pPr>
        <w:pStyle w:val="a3"/>
        <w:spacing w:before="0" w:beforeAutospacing="0" w:after="0" w:afterAutospacing="0"/>
        <w:ind w:firstLine="720"/>
        <w:divId w:val="770010386"/>
        <w:rPr>
          <w:sz w:val="20"/>
          <w:szCs w:val="20"/>
        </w:rPr>
      </w:pPr>
      <w:r>
        <w:rPr>
          <w:sz w:val="20"/>
          <w:szCs w:val="20"/>
        </w:rPr>
        <w:t>The Company’s future income tax expense may be affected by such factors as changes in tax laws, its business, regulations, tax rates, interpretation of existing laws or r</w:t>
      </w:r>
      <w:r>
        <w:rPr>
          <w:sz w:val="20"/>
          <w:szCs w:val="20"/>
        </w:rPr>
        <w:t>egulations, the impact of accounting for share-based compensation, the impact of accounting for business combinations, its international organization, shifts in the amount of income before tax earned in the US as compared with other regions in the world, a</w:t>
      </w:r>
      <w:r>
        <w:rPr>
          <w:sz w:val="20"/>
          <w:szCs w:val="20"/>
        </w:rPr>
        <w:t>nd changes in overall levels of income before tax.</w:t>
      </w:r>
    </w:p>
    <w:p w:rsidR="00000000" w:rsidRDefault="00B51E11">
      <w:pPr>
        <w:pStyle w:val="a3"/>
        <w:spacing w:before="0" w:beforeAutospacing="0" w:after="0" w:afterAutospacing="0"/>
        <w:ind w:firstLine="720"/>
        <w:divId w:val="770010386"/>
        <w:rPr>
          <w:sz w:val="20"/>
          <w:szCs w:val="20"/>
        </w:rPr>
      </w:pPr>
      <w:r>
        <w:rPr>
          <w:sz w:val="20"/>
          <w:szCs w:val="20"/>
        </w:rPr>
        <w:t>​</w:t>
      </w:r>
    </w:p>
    <w:p w:rsidR="00000000" w:rsidRDefault="00B51E11">
      <w:pPr>
        <w:pStyle w:val="a3"/>
        <w:spacing w:before="0" w:beforeAutospacing="0" w:after="0" w:afterAutospacing="0"/>
        <w:divId w:val="770010386"/>
        <w:rPr>
          <w:sz w:val="20"/>
          <w:szCs w:val="20"/>
        </w:rPr>
      </w:pPr>
      <w:r>
        <w:rPr>
          <w:b/>
          <w:bCs/>
          <w:sz w:val="20"/>
          <w:szCs w:val="20"/>
        </w:rPr>
        <w:t>10. Public Offering of Ordinary Shares</w:t>
      </w:r>
    </w:p>
    <w:p w:rsidR="00000000" w:rsidRDefault="00B51E11">
      <w:pPr>
        <w:pStyle w:val="a3"/>
        <w:spacing w:before="0" w:beforeAutospacing="0" w:after="0" w:afterAutospacing="0"/>
        <w:divId w:val="770010386"/>
        <w:rPr>
          <w:sz w:val="20"/>
          <w:szCs w:val="20"/>
        </w:rPr>
      </w:pPr>
      <w:r>
        <w:rPr>
          <w:b/>
          <w:bCs/>
          <w:sz w:val="10"/>
          <w:szCs w:val="10"/>
        </w:rPr>
        <w:t>​</w:t>
      </w:r>
    </w:p>
    <w:p w:rsidR="00000000" w:rsidRDefault="00B51E11">
      <w:pPr>
        <w:pStyle w:val="a3"/>
        <w:spacing w:before="0" w:beforeAutospacing="0" w:after="0" w:afterAutospacing="0"/>
        <w:divId w:val="770010386"/>
        <w:rPr>
          <w:sz w:val="20"/>
          <w:szCs w:val="20"/>
        </w:rPr>
      </w:pPr>
      <w:r>
        <w:rPr>
          <w:sz w:val="20"/>
          <w:szCs w:val="20"/>
        </w:rPr>
        <w:t>On February 14, 2020, the Company sold 5,500,000 ordinary shares at a price to the public of $27.00 per share (the “Shares”). The gross proceeds to the Company fr</w:t>
      </w:r>
      <w:r>
        <w:rPr>
          <w:sz w:val="20"/>
          <w:szCs w:val="20"/>
        </w:rPr>
        <w:t>om the offering were $148.5 million, before deducting underwriting discounts and commissions and offering expenses. The Shares were issued pursuant to the Company’s currently effective shelf registration statement on Form S-3 and an accompanying prospectus</w:t>
      </w:r>
      <w:r>
        <w:rPr>
          <w:sz w:val="20"/>
          <w:szCs w:val="20"/>
        </w:rPr>
        <w:t xml:space="preserve"> (File No. 333-235339) filed with the SEC, which became effective automatically on December 3, 2019, and a prospectus supplement filed with the SEC in connection with the offering.</w:t>
      </w:r>
    </w:p>
    <w:p w:rsidR="00000000" w:rsidRDefault="00B51E11">
      <w:pPr>
        <w:pStyle w:val="a3"/>
        <w:spacing w:before="0" w:beforeAutospacing="0" w:after="0" w:afterAutospacing="0"/>
        <w:divId w:val="770010386"/>
        <w:rPr>
          <w:sz w:val="20"/>
          <w:szCs w:val="20"/>
        </w:rPr>
      </w:pPr>
      <w:r>
        <w:rPr>
          <w:sz w:val="20"/>
          <w:szCs w:val="20"/>
        </w:rPr>
        <w:t>​</w:t>
      </w:r>
    </w:p>
    <w:p w:rsidR="00000000" w:rsidRDefault="00B51E11">
      <w:pPr>
        <w:pStyle w:val="a3"/>
        <w:spacing w:before="0" w:beforeAutospacing="0" w:after="0" w:afterAutospacing="0"/>
        <w:divId w:val="770010386"/>
        <w:rPr>
          <w:sz w:val="20"/>
          <w:szCs w:val="20"/>
        </w:rPr>
      </w:pPr>
      <w:r>
        <w:rPr>
          <w:sz w:val="20"/>
          <w:szCs w:val="20"/>
        </w:rPr>
        <w:t>​</w:t>
      </w:r>
    </w:p>
    <w:p w:rsidR="00000000" w:rsidRDefault="00B51E11">
      <w:pPr>
        <w:pStyle w:val="a3"/>
        <w:spacing w:before="360" w:beforeAutospacing="0" w:after="0" w:afterAutospacing="0"/>
        <w:jc w:val="center"/>
        <w:divId w:val="2049210345"/>
        <w:rPr>
          <w:sz w:val="20"/>
          <w:szCs w:val="20"/>
        </w:rPr>
      </w:pPr>
      <w:r>
        <w:rPr>
          <w:sz w:val="20"/>
          <w:szCs w:val="20"/>
        </w:rPr>
        <w:t>20</w:t>
      </w:r>
    </w:p>
    <w:p w:rsidR="00000000" w:rsidRDefault="00B51E11">
      <w:pPr>
        <w:pStyle w:val="a3"/>
        <w:spacing w:before="0" w:beforeAutospacing="0" w:after="600" w:afterAutospacing="0"/>
        <w:divId w:val="654146877"/>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ind w:hanging="900"/>
        <w:divId w:val="1180041673"/>
        <w:rPr>
          <w:sz w:val="20"/>
          <w:szCs w:val="20"/>
        </w:rPr>
      </w:pPr>
      <w:r>
        <w:rPr>
          <w:b/>
          <w:bCs/>
          <w:sz w:val="20"/>
          <w:szCs w:val="20"/>
        </w:rPr>
        <w:t>ITEM 2.   </w:t>
      </w:r>
      <w:r>
        <w:rPr>
          <w:b/>
          <w:bCs/>
          <w:sz w:val="20"/>
          <w:szCs w:val="20"/>
        </w:rPr>
        <w:t>MANAGEMENT’S DISCUSSION AND ANALYSIS OF FINANCIAL CONDITION AND RESULTS OF OPERATIONS</w:t>
      </w:r>
    </w:p>
    <w:p w:rsidR="00000000" w:rsidRDefault="00B51E11">
      <w:pPr>
        <w:pStyle w:val="a3"/>
        <w:spacing w:before="0" w:beforeAutospacing="0" w:after="0" w:afterAutospacing="0"/>
        <w:divId w:val="1180041673"/>
        <w:rPr>
          <w:sz w:val="20"/>
          <w:szCs w:val="20"/>
        </w:rPr>
      </w:pPr>
      <w:r>
        <w:rPr>
          <w:b/>
          <w:bCs/>
          <w:sz w:val="20"/>
          <w:szCs w:val="20"/>
        </w:rPr>
        <w:t>​</w:t>
      </w:r>
    </w:p>
    <w:p w:rsidR="00000000" w:rsidRDefault="00B51E11">
      <w:pPr>
        <w:pStyle w:val="a3"/>
        <w:spacing w:before="0" w:beforeAutospacing="0" w:after="0" w:afterAutospacing="0"/>
        <w:divId w:val="1180041673"/>
        <w:rPr>
          <w:sz w:val="20"/>
          <w:szCs w:val="20"/>
        </w:rPr>
      </w:pPr>
      <w:r>
        <w:rPr>
          <w:b/>
          <w:bCs/>
          <w:sz w:val="20"/>
          <w:szCs w:val="20"/>
        </w:rPr>
        <w:t>Forward-Looking Statements</w:t>
      </w:r>
    </w:p>
    <w:p w:rsidR="00000000" w:rsidRDefault="00B51E11">
      <w:pPr>
        <w:pStyle w:val="a3"/>
        <w:spacing w:before="0" w:beforeAutospacing="0" w:after="0" w:afterAutospacing="0"/>
        <w:divId w:val="1180041673"/>
        <w:rPr>
          <w:sz w:val="20"/>
          <w:szCs w:val="20"/>
        </w:rPr>
      </w:pPr>
      <w:r>
        <w:rPr>
          <w:sz w:val="10"/>
          <w:szCs w:val="10"/>
        </w:rPr>
        <w:t>​</w:t>
      </w:r>
    </w:p>
    <w:p w:rsidR="00000000" w:rsidRDefault="00B51E11">
      <w:pPr>
        <w:pStyle w:val="a3"/>
        <w:spacing w:before="0" w:beforeAutospacing="0" w:after="0" w:afterAutospacing="0"/>
        <w:ind w:firstLine="720"/>
        <w:divId w:val="1180041673"/>
        <w:rPr>
          <w:sz w:val="20"/>
          <w:szCs w:val="20"/>
        </w:rPr>
      </w:pPr>
      <w:r>
        <w:rPr>
          <w:sz w:val="20"/>
          <w:szCs w:val="20"/>
        </w:rPr>
        <w:t>You should read the following discussion in conjunction with our condensed financial statements (unaudited) and related notes included else</w:t>
      </w:r>
      <w:r>
        <w:rPr>
          <w:sz w:val="20"/>
          <w:szCs w:val="20"/>
        </w:rPr>
        <w:t>where in this report. This report includes “forward-looking statements” within the meaning of Section 27A of the Securities Act of 1933, as amended (the “Securities Act”), and Section 21E of the Securities Exchange Act of 1934, as amended (the “Exchange Ac</w:t>
      </w:r>
      <w:r>
        <w:rPr>
          <w:sz w:val="20"/>
          <w:szCs w:val="20"/>
        </w:rPr>
        <w:t>t”), that involve risks and uncertainties. All statements in this report, other than statements of historical facts, including statements regarding our strategy, future operations, future financial position, future revenues, projected costs, prospects, pla</w:t>
      </w:r>
      <w:r>
        <w:rPr>
          <w:sz w:val="20"/>
          <w:szCs w:val="20"/>
        </w:rPr>
        <w:t>ns, intentions, expectations and objectives are forward-looking statements. The words “anticipate,” “assume,” “believe,” “contemplate,” “continue,” “could,” “designed,” “developed,” “drive,” “estimate,” “expect,” “forecast,” “goal,” “intend,” “may,” “missi</w:t>
      </w:r>
      <w:r>
        <w:rPr>
          <w:sz w:val="20"/>
          <w:szCs w:val="20"/>
        </w:rPr>
        <w:t>on,” “opportunities,” “plan,” “potential,” “predict,” “project,” “pursue,” “seek,” “should,” “target,” “will,” “would,” and similar expressions (including the negatives thereof) are intended to identify forward-looking statements, although not all forward-</w:t>
      </w:r>
      <w:r>
        <w:rPr>
          <w:sz w:val="20"/>
          <w:szCs w:val="20"/>
        </w:rPr>
        <w:t>looking statements contain these identifying words. These statements reflect our current views with respect to future events or our future financial performance, are based on assumptions, and involve known and unknown risks, uncertainties and other factors</w:t>
      </w:r>
      <w:r>
        <w:rPr>
          <w:sz w:val="20"/>
          <w:szCs w:val="20"/>
        </w:rPr>
        <w:t xml:space="preserve"> which may cause our actual results, performance or achievements to be materially different from any future results, performance or achievements expressed or implied by the forward-looking statements. We may not actually achieve the plans, intentions, expe</w:t>
      </w:r>
      <w:r>
        <w:rPr>
          <w:sz w:val="20"/>
          <w:szCs w:val="20"/>
        </w:rPr>
        <w:t>ctations or objectives disclosed in our forward-looking statements and the assumptions underlying our forward-looking statements may prove incorrect. Therefore, you should not place undue reliance on our forward-looking statements. Actual results or events</w:t>
      </w:r>
      <w:r>
        <w:rPr>
          <w:sz w:val="20"/>
          <w:szCs w:val="20"/>
        </w:rPr>
        <w:t xml:space="preserve"> could differ materially from the plans, intentions, expectations and objectives disclosed in the forward-looking statements that we make. Factors that we believe could cause actual results or events to differ materially from our forward-looking statements</w:t>
      </w:r>
      <w:r>
        <w:rPr>
          <w:sz w:val="20"/>
          <w:szCs w:val="20"/>
        </w:rPr>
        <w:t xml:space="preserve"> include, but are not limited to, those discussed in </w:t>
      </w:r>
      <w:r>
        <w:rPr>
          <w:i/>
          <w:iCs/>
          <w:sz w:val="20"/>
          <w:szCs w:val="20"/>
        </w:rPr>
        <w:t>“Risk Factors,” “Management’s Discussion and Analysis of Financial Condition and Results of Operations”</w:t>
      </w:r>
      <w:r>
        <w:rPr>
          <w:sz w:val="20"/>
          <w:szCs w:val="20"/>
        </w:rPr>
        <w:t xml:space="preserve"> and elsewhere in this report and in our Annual Report on Form 10-K for the year ended December 31, </w:t>
      </w:r>
      <w:r>
        <w:rPr>
          <w:sz w:val="20"/>
          <w:szCs w:val="20"/>
        </w:rPr>
        <w:t>2019. Our forward-looking statements in this report are based on current expectations and we do not assume any obligation to update any forward-looking statements for any reason, even if new information becomes available in the future. In addition, while w</w:t>
      </w:r>
      <w:r>
        <w:rPr>
          <w:sz w:val="20"/>
          <w:szCs w:val="20"/>
        </w:rPr>
        <w:t>e expect the effects of a novel strain of coronavirus, SARS-CoV-2, causing the Coronavirus Disease 2019, also known as COVID-19 (the “COVID-19 pandemic”) to continue to adversely impact our business operations and financial results, the extent of the impac</w:t>
      </w:r>
      <w:r>
        <w:rPr>
          <w:sz w:val="20"/>
          <w:szCs w:val="20"/>
        </w:rPr>
        <w:t>t on our ability to generate revenue from YUPELR</w:t>
      </w:r>
      <w:r>
        <w:rPr>
          <w:sz w:val="20"/>
          <w:szCs w:val="20"/>
        </w:rPr>
        <w:t>I</w:t>
      </w:r>
      <w:r>
        <w:rPr>
          <w:sz w:val="15"/>
          <w:szCs w:val="15"/>
          <w:vertAlign w:val="superscript"/>
        </w:rPr>
        <w:t>®</w:t>
      </w:r>
      <w:r>
        <w:rPr>
          <w:sz w:val="20"/>
          <w:szCs w:val="20"/>
        </w:rPr>
        <w:t xml:space="preserve"> (revefenacin), our clinical development programs (including but not limited to our later stage clinical programs for TD-1473 and ampreloxetine), and the value of and market for our common shares, will depe</w:t>
      </w:r>
      <w:r>
        <w:rPr>
          <w:sz w:val="20"/>
          <w:szCs w:val="20"/>
        </w:rPr>
        <w:t>nd on future developments that are highly uncertain and cannot be predicted with confidence at this time. These potential future developments include, but are not limited to, the ultimate duration of the COVID-19 pandemic, travel restrictions, quarantines,</w:t>
      </w:r>
      <w:r>
        <w:rPr>
          <w:sz w:val="20"/>
          <w:szCs w:val="20"/>
        </w:rPr>
        <w:t xml:space="preserve"> social distancing and business closure requirements in the United States and in other countries, other measures taken by us and those we work with to help protect individuals from contracting COVID-19, and the effectiveness of actions taken globally to co</w:t>
      </w:r>
      <w:r>
        <w:rPr>
          <w:sz w:val="20"/>
          <w:szCs w:val="20"/>
        </w:rPr>
        <w:t>ntain and treat the disease.</w:t>
      </w:r>
    </w:p>
    <w:p w:rsidR="00000000" w:rsidRDefault="00B51E11">
      <w:pPr>
        <w:pStyle w:val="a3"/>
        <w:spacing w:before="0" w:beforeAutospacing="0" w:after="0" w:afterAutospacing="0"/>
        <w:ind w:firstLine="720"/>
        <w:divId w:val="1180041673"/>
        <w:rPr>
          <w:sz w:val="20"/>
          <w:szCs w:val="20"/>
        </w:rPr>
      </w:pPr>
      <w:r>
        <w:rPr>
          <w:sz w:val="20"/>
          <w:szCs w:val="20"/>
        </w:rPr>
        <w:t>​</w:t>
      </w:r>
    </w:p>
    <w:p w:rsidR="00000000" w:rsidRDefault="00B51E11">
      <w:pPr>
        <w:pStyle w:val="a3"/>
        <w:spacing w:before="0" w:beforeAutospacing="0" w:after="0" w:afterAutospacing="0"/>
        <w:divId w:val="1180041673"/>
        <w:rPr>
          <w:sz w:val="20"/>
          <w:szCs w:val="20"/>
        </w:rPr>
      </w:pPr>
      <w:r>
        <w:rPr>
          <w:b/>
          <w:bCs/>
          <w:sz w:val="20"/>
          <w:szCs w:val="20"/>
        </w:rPr>
        <w:t>Management Overview</w:t>
      </w:r>
    </w:p>
    <w:p w:rsidR="00000000" w:rsidRDefault="00B51E11">
      <w:pPr>
        <w:pStyle w:val="a3"/>
        <w:spacing w:before="0" w:beforeAutospacing="0" w:after="0" w:afterAutospacing="0"/>
        <w:divId w:val="1180041673"/>
        <w:rPr>
          <w:sz w:val="20"/>
          <w:szCs w:val="20"/>
        </w:rPr>
      </w:pPr>
      <w:r>
        <w:rPr>
          <w:sz w:val="10"/>
          <w:szCs w:val="10"/>
        </w:rPr>
        <w:t>​</w:t>
      </w:r>
    </w:p>
    <w:p w:rsidR="00000000" w:rsidRDefault="00B51E11">
      <w:pPr>
        <w:pStyle w:val="a3"/>
        <w:spacing w:before="0" w:beforeAutospacing="0" w:after="0" w:afterAutospacing="0"/>
        <w:ind w:firstLine="720"/>
        <w:divId w:val="1180041673"/>
        <w:rPr>
          <w:sz w:val="20"/>
          <w:szCs w:val="20"/>
        </w:rPr>
      </w:pPr>
      <w:r>
        <w:rPr>
          <w:sz w:val="20"/>
          <w:szCs w:val="20"/>
        </w:rPr>
        <w:t>Theravance Biopharma, Inc. (“we,” “our” or “Theravance Biopharma”) is a diversified biopharmaceutical company primarily focused on the discovery, development and commercialization of organ-selective medi</w:t>
      </w:r>
      <w:r>
        <w:rPr>
          <w:sz w:val="20"/>
          <w:szCs w:val="20"/>
        </w:rPr>
        <w:t>cines. Our purpose is to create transformational medicines to improve the lives of patients suffering from serious illnesses. Our research is focused in the areas of inflammation and immunology.</w:t>
      </w:r>
    </w:p>
    <w:p w:rsidR="00000000" w:rsidRDefault="00B51E11">
      <w:pPr>
        <w:pStyle w:val="a3"/>
        <w:spacing w:before="0" w:beforeAutospacing="0" w:after="0" w:afterAutospacing="0"/>
        <w:ind w:firstLine="720"/>
        <w:divId w:val="1180041673"/>
        <w:rPr>
          <w:sz w:val="20"/>
          <w:szCs w:val="20"/>
        </w:rPr>
      </w:pPr>
      <w:r>
        <w:rPr>
          <w:sz w:val="20"/>
          <w:szCs w:val="20"/>
        </w:rPr>
        <w:t>​</w:t>
      </w:r>
    </w:p>
    <w:p w:rsidR="00000000" w:rsidRDefault="00B51E11">
      <w:pPr>
        <w:pStyle w:val="a3"/>
        <w:spacing w:before="0" w:beforeAutospacing="0" w:after="0" w:afterAutospacing="0"/>
        <w:ind w:firstLine="720"/>
        <w:divId w:val="1180041673"/>
        <w:rPr>
          <w:sz w:val="20"/>
          <w:szCs w:val="20"/>
        </w:rPr>
      </w:pPr>
      <w:r>
        <w:rPr>
          <w:sz w:val="20"/>
          <w:szCs w:val="20"/>
        </w:rPr>
        <w:t>In pursuit of our purpose, we apply insights and innovation</w:t>
      </w:r>
      <w:r>
        <w:rPr>
          <w:sz w:val="20"/>
          <w:szCs w:val="20"/>
        </w:rPr>
        <w:t xml:space="preserve"> at each stage of our business and utilize our internal capabilities and those of partners around the world. We apply organ-selective expertise to biologically compelling targets to discover and develop medicines designed to treat underserved localized dis</w:t>
      </w:r>
      <w:r>
        <w:rPr>
          <w:sz w:val="20"/>
          <w:szCs w:val="20"/>
        </w:rPr>
        <w:t>eases and to limit systemic exposure, in order to maximize patient benefit and minimize risk. These efforts leverage years of experience in developing lung-selective medicines to treat respiratory disease, including the United States (“US”) Food and Drug A</w:t>
      </w:r>
      <w:r>
        <w:rPr>
          <w:sz w:val="20"/>
          <w:szCs w:val="20"/>
        </w:rPr>
        <w:t>dministration (the “FDA”) approved YUPELR</w:t>
      </w:r>
      <w:r>
        <w:rPr>
          <w:sz w:val="20"/>
          <w:szCs w:val="20"/>
        </w:rPr>
        <w:t>I</w:t>
      </w:r>
      <w:r>
        <w:rPr>
          <w:sz w:val="15"/>
          <w:szCs w:val="15"/>
          <w:vertAlign w:val="superscript"/>
        </w:rPr>
        <w:t>®</w:t>
      </w:r>
      <w:r>
        <w:rPr>
          <w:sz w:val="20"/>
          <w:szCs w:val="20"/>
        </w:rPr>
        <w:t xml:space="preserve"> (revefenacin) inhalation solution indicated for the maintenance treatment of patients with chronic obstructive pulmonary disease (“COPD”). Our pipeline of internally discovered programs is targeted to address sig</w:t>
      </w:r>
      <w:r>
        <w:rPr>
          <w:sz w:val="20"/>
          <w:szCs w:val="20"/>
        </w:rPr>
        <w:t>nificant patient needs.</w:t>
      </w:r>
    </w:p>
    <w:p w:rsidR="00000000" w:rsidRDefault="00B51E11">
      <w:pPr>
        <w:pStyle w:val="a3"/>
        <w:spacing w:before="0" w:beforeAutospacing="0" w:after="0" w:afterAutospacing="0"/>
        <w:ind w:firstLine="720"/>
        <w:divId w:val="1180041673"/>
        <w:rPr>
          <w:sz w:val="20"/>
          <w:szCs w:val="20"/>
        </w:rPr>
      </w:pPr>
      <w:r>
        <w:rPr>
          <w:sz w:val="20"/>
          <w:szCs w:val="20"/>
        </w:rPr>
        <w:t>​</w:t>
      </w:r>
    </w:p>
    <w:p w:rsidR="00000000" w:rsidRDefault="00B51E11">
      <w:pPr>
        <w:pStyle w:val="a3"/>
        <w:spacing w:before="360" w:beforeAutospacing="0" w:after="0" w:afterAutospacing="0"/>
        <w:jc w:val="center"/>
        <w:divId w:val="1984307983"/>
        <w:rPr>
          <w:sz w:val="20"/>
          <w:szCs w:val="20"/>
        </w:rPr>
      </w:pPr>
      <w:r>
        <w:rPr>
          <w:sz w:val="20"/>
          <w:szCs w:val="20"/>
        </w:rPr>
        <w:t>21</w:t>
      </w:r>
    </w:p>
    <w:p w:rsidR="00000000" w:rsidRDefault="00B51E11">
      <w:pPr>
        <w:pStyle w:val="a3"/>
        <w:spacing w:before="0" w:beforeAutospacing="0" w:after="600" w:afterAutospacing="0"/>
        <w:divId w:val="1782533933"/>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553350048"/>
        <w:rPr>
          <w:sz w:val="20"/>
          <w:szCs w:val="20"/>
        </w:rPr>
      </w:pPr>
      <w:r>
        <w:rPr>
          <w:sz w:val="20"/>
          <w:szCs w:val="20"/>
        </w:rPr>
        <w:t>We have an economic interest in potential future payments from Glaxo Group Limited or one of its affiliates (“GSK”) pursuant to its agreements with Innoviva, Inc. (“Innoviva”) relatin</w:t>
      </w:r>
      <w:r>
        <w:rPr>
          <w:sz w:val="20"/>
          <w:szCs w:val="20"/>
        </w:rPr>
        <w:t>g to certain programs, including TRELEGY.</w:t>
      </w:r>
    </w:p>
    <w:p w:rsidR="00000000" w:rsidRDefault="00B51E11">
      <w:pPr>
        <w:pStyle w:val="a3"/>
        <w:spacing w:before="0" w:beforeAutospacing="0" w:after="0" w:afterAutospacing="0"/>
        <w:divId w:val="553350048"/>
        <w:rPr>
          <w:sz w:val="20"/>
          <w:szCs w:val="20"/>
        </w:rPr>
      </w:pPr>
      <w:r>
        <w:rPr>
          <w:sz w:val="20"/>
          <w:szCs w:val="20"/>
        </w:rPr>
        <w:t>​</w:t>
      </w:r>
    </w:p>
    <w:p w:rsidR="00000000" w:rsidRDefault="00B51E11">
      <w:pPr>
        <w:pStyle w:val="a3"/>
        <w:spacing w:before="0" w:beforeAutospacing="0" w:after="0" w:afterAutospacing="0"/>
        <w:divId w:val="553350048"/>
        <w:rPr>
          <w:sz w:val="20"/>
          <w:szCs w:val="20"/>
        </w:rPr>
      </w:pPr>
      <w:r>
        <w:rPr>
          <w:b/>
          <w:bCs/>
          <w:sz w:val="20"/>
          <w:szCs w:val="20"/>
        </w:rPr>
        <w:t>Impact of COVID-19 Pandemic</w:t>
      </w:r>
    </w:p>
    <w:p w:rsidR="00000000" w:rsidRDefault="00B51E11">
      <w:pPr>
        <w:pStyle w:val="a3"/>
        <w:spacing w:before="0" w:beforeAutospacing="0" w:after="0" w:afterAutospacing="0"/>
        <w:divId w:val="553350048"/>
        <w:rPr>
          <w:sz w:val="20"/>
          <w:szCs w:val="20"/>
        </w:rPr>
      </w:pPr>
      <w:r>
        <w:rPr>
          <w:b/>
          <w:bCs/>
          <w:color w:val="FF0000"/>
          <w:sz w:val="10"/>
          <w:szCs w:val="10"/>
        </w:rPr>
        <w:t>​</w:t>
      </w:r>
    </w:p>
    <w:p w:rsidR="00000000" w:rsidRDefault="00B51E11">
      <w:pPr>
        <w:pStyle w:val="a3"/>
        <w:spacing w:before="0" w:beforeAutospacing="0" w:after="0" w:afterAutospacing="0"/>
        <w:ind w:firstLine="720"/>
        <w:divId w:val="553350048"/>
        <w:rPr>
          <w:sz w:val="20"/>
          <w:szCs w:val="20"/>
        </w:rPr>
      </w:pPr>
      <w:r>
        <w:rPr>
          <w:sz w:val="20"/>
          <w:szCs w:val="20"/>
        </w:rPr>
        <w:t>During the nine months ended September 30, 2020, the effects of the COVID-19 pandemic and the related actions by governments, companies, and individuals around the world to attempt t</w:t>
      </w:r>
      <w:r>
        <w:rPr>
          <w:sz w:val="20"/>
          <w:szCs w:val="20"/>
        </w:rPr>
        <w:t>o contain the spread of the virus presented a substantial public health and economic challenge around the world and is affecting our employees, patients, communities, clinical trial sites, suppliers, business partners and business operations. The full exte</w:t>
      </w:r>
      <w:r>
        <w:rPr>
          <w:sz w:val="20"/>
          <w:szCs w:val="20"/>
        </w:rPr>
        <w:t>nt to which the COVID-19 pandemic will continue to directly or indirectly impact our business, results of operations and financial condition, including revenue, expenses, clinical trials and research and development costs, will depend on future development</w:t>
      </w:r>
      <w:r>
        <w:rPr>
          <w:sz w:val="20"/>
          <w:szCs w:val="20"/>
        </w:rPr>
        <w:t>s that are highly uncertain and may be impacted by the emergence of new information concerning the COVID-19 pandemic, ongoing spread of the disease across the US and the globe, and the actions taken to contain or treat the disease.</w:t>
      </w:r>
    </w:p>
    <w:p w:rsidR="00000000" w:rsidRDefault="00B51E11">
      <w:pPr>
        <w:pStyle w:val="a3"/>
        <w:spacing w:before="0" w:beforeAutospacing="0" w:after="0" w:afterAutospacing="0"/>
        <w:ind w:firstLine="720"/>
        <w:divId w:val="553350048"/>
        <w:rPr>
          <w:sz w:val="20"/>
          <w:szCs w:val="20"/>
        </w:rPr>
      </w:pPr>
      <w:r>
        <w:rPr>
          <w:sz w:val="20"/>
          <w:szCs w:val="20"/>
        </w:rPr>
        <w:t>​</w:t>
      </w:r>
    </w:p>
    <w:p w:rsidR="00000000" w:rsidRDefault="00B51E11">
      <w:pPr>
        <w:pStyle w:val="a3"/>
        <w:spacing w:before="0" w:beforeAutospacing="0" w:after="0" w:afterAutospacing="0"/>
        <w:divId w:val="553350048"/>
        <w:rPr>
          <w:sz w:val="20"/>
          <w:szCs w:val="20"/>
        </w:rPr>
      </w:pPr>
      <w:r>
        <w:rPr>
          <w:b/>
          <w:bCs/>
          <w:i/>
          <w:iCs/>
          <w:sz w:val="20"/>
          <w:szCs w:val="20"/>
        </w:rPr>
        <w:t>YUPELRI (revefenacin) Inhalation Solution</w:t>
      </w:r>
    </w:p>
    <w:p w:rsidR="00000000" w:rsidRDefault="00B51E11">
      <w:pPr>
        <w:pStyle w:val="a3"/>
        <w:spacing w:before="0" w:beforeAutospacing="0" w:after="0" w:afterAutospacing="0"/>
        <w:ind w:firstLine="720"/>
        <w:divId w:val="553350048"/>
        <w:rPr>
          <w:sz w:val="20"/>
          <w:szCs w:val="20"/>
        </w:rPr>
      </w:pPr>
      <w:r>
        <w:rPr>
          <w:sz w:val="10"/>
          <w:szCs w:val="10"/>
        </w:rPr>
        <w:t>​</w:t>
      </w:r>
    </w:p>
    <w:p w:rsidR="00000000" w:rsidRDefault="00B51E11">
      <w:pPr>
        <w:pStyle w:val="a3"/>
        <w:spacing w:before="0" w:beforeAutospacing="0" w:after="0" w:afterAutospacing="0"/>
        <w:ind w:firstLine="720"/>
        <w:divId w:val="553350048"/>
        <w:rPr>
          <w:sz w:val="20"/>
          <w:szCs w:val="20"/>
        </w:rPr>
      </w:pPr>
      <w:r>
        <w:rPr>
          <w:sz w:val="20"/>
          <w:szCs w:val="20"/>
        </w:rPr>
        <w:t>We and our collaboration partner, Mylan Ireland Limited (“Mylan”), continue to supply YUPELR</w:t>
      </w:r>
      <w:r>
        <w:rPr>
          <w:sz w:val="20"/>
          <w:szCs w:val="20"/>
        </w:rPr>
        <w:t>I</w:t>
      </w:r>
      <w:r>
        <w:rPr>
          <w:sz w:val="17"/>
          <w:szCs w:val="17"/>
          <w:vertAlign w:val="superscript"/>
        </w:rPr>
        <w:t>®</w:t>
      </w:r>
      <w:r>
        <w:rPr>
          <w:sz w:val="20"/>
          <w:szCs w:val="20"/>
        </w:rPr>
        <w:t xml:space="preserve"> (revefenacin) inhalation solution to our patients and currently do not anticipate any interruptions in supply. The ma</w:t>
      </w:r>
      <w:r>
        <w:rPr>
          <w:sz w:val="20"/>
          <w:szCs w:val="20"/>
        </w:rPr>
        <w:t>nufacture of YUPELRI continues at or near normal levels. While we currently do not anticipate any interruptions in the manufacturing and supply of YUPELRI, it is possible that the COVID-19 pandemic and response efforts may have an impact on the manufacture</w:t>
      </w:r>
      <w:r>
        <w:rPr>
          <w:sz w:val="20"/>
          <w:szCs w:val="20"/>
        </w:rPr>
        <w:t xml:space="preserve"> and supply of YUPELRI in the future.</w:t>
      </w:r>
    </w:p>
    <w:p w:rsidR="00000000" w:rsidRDefault="00B51E11">
      <w:pPr>
        <w:pStyle w:val="a3"/>
        <w:spacing w:before="0" w:beforeAutospacing="0" w:after="0" w:afterAutospacing="0"/>
        <w:divId w:val="553350048"/>
        <w:rPr>
          <w:sz w:val="20"/>
          <w:szCs w:val="20"/>
        </w:rPr>
      </w:pPr>
      <w:r>
        <w:rPr>
          <w:sz w:val="20"/>
          <w:szCs w:val="20"/>
        </w:rPr>
        <w:t>​</w:t>
      </w:r>
    </w:p>
    <w:p w:rsidR="00000000" w:rsidRDefault="00B51E11">
      <w:pPr>
        <w:pStyle w:val="a3"/>
        <w:spacing w:before="0" w:beforeAutospacing="0" w:after="0" w:afterAutospacing="0"/>
        <w:ind w:firstLine="720"/>
        <w:divId w:val="553350048"/>
        <w:rPr>
          <w:sz w:val="20"/>
          <w:szCs w:val="20"/>
        </w:rPr>
      </w:pPr>
      <w:r>
        <w:rPr>
          <w:sz w:val="20"/>
          <w:szCs w:val="20"/>
        </w:rPr>
        <w:t>In mid-March 2020, we suspended in-person sales calls to accounts in response to the COVID-19 pandemic, and our promotional focus and efforts quickly pivoted to increased digital promotional investments and, in early</w:t>
      </w:r>
      <w:r>
        <w:rPr>
          <w:sz w:val="20"/>
          <w:szCs w:val="20"/>
        </w:rPr>
        <w:t xml:space="preserve"> August 2020, leveraging an optimized hybrid selling model with virtual and in-person selling interactions. While overall market challenges remain due to the ongoing COVID-19 pandemic, YUPELRI increased its market share and achieved quarter-over-quarter ne</w:t>
      </w:r>
      <w:r>
        <w:rPr>
          <w:sz w:val="20"/>
          <w:szCs w:val="20"/>
        </w:rPr>
        <w:t>t sales growth of 22% and stand-alone brand profitability in the third quarter of 2020. We continue to monitor the impact of the ongoing COVID-19 pandemic on demand for YUPELRI, including the duration and degree to which we may see declines in customer ord</w:t>
      </w:r>
      <w:r>
        <w:rPr>
          <w:sz w:val="20"/>
          <w:szCs w:val="20"/>
        </w:rPr>
        <w:t>ers or delays in starting new patients on YUPELRI.</w:t>
      </w:r>
    </w:p>
    <w:p w:rsidR="00000000" w:rsidRDefault="00B51E11">
      <w:pPr>
        <w:pStyle w:val="a3"/>
        <w:spacing w:before="0" w:beforeAutospacing="0" w:after="0" w:afterAutospacing="0"/>
        <w:ind w:firstLine="720"/>
        <w:divId w:val="553350048"/>
        <w:rPr>
          <w:sz w:val="20"/>
          <w:szCs w:val="20"/>
        </w:rPr>
      </w:pPr>
      <w:r>
        <w:rPr>
          <w:sz w:val="20"/>
          <w:szCs w:val="20"/>
        </w:rPr>
        <w:t>​</w:t>
      </w:r>
    </w:p>
    <w:p w:rsidR="00000000" w:rsidRDefault="00B51E11">
      <w:pPr>
        <w:pStyle w:val="a3"/>
        <w:spacing w:before="0" w:beforeAutospacing="0" w:after="0" w:afterAutospacing="0"/>
        <w:ind w:firstLine="720"/>
        <w:divId w:val="553350048"/>
        <w:rPr>
          <w:sz w:val="20"/>
          <w:szCs w:val="20"/>
        </w:rPr>
      </w:pPr>
      <w:r>
        <w:rPr>
          <w:sz w:val="20"/>
          <w:szCs w:val="20"/>
        </w:rPr>
        <w:t>At this stage, we are unable to predict with certainty</w:t>
      </w:r>
      <w:r>
        <w:rPr>
          <w:color w:val="FF0000"/>
          <w:sz w:val="20"/>
          <w:szCs w:val="20"/>
        </w:rPr>
        <w:t xml:space="preserve"> </w:t>
      </w:r>
      <w:r>
        <w:rPr>
          <w:sz w:val="20"/>
          <w:szCs w:val="20"/>
        </w:rPr>
        <w:t xml:space="preserve">the ultimate disruptive impact of the ongoing COVID-19 pandemic on both YUPELRI and the rest of our business. </w:t>
      </w:r>
    </w:p>
    <w:p w:rsidR="00000000" w:rsidRDefault="00B51E11">
      <w:pPr>
        <w:pStyle w:val="a3"/>
        <w:spacing w:before="0" w:beforeAutospacing="0" w:after="0" w:afterAutospacing="0"/>
        <w:ind w:firstLine="720"/>
        <w:divId w:val="553350048"/>
        <w:rPr>
          <w:sz w:val="20"/>
          <w:szCs w:val="20"/>
        </w:rPr>
      </w:pPr>
      <w:r>
        <w:rPr>
          <w:sz w:val="20"/>
          <w:szCs w:val="20"/>
        </w:rPr>
        <w:t>​</w:t>
      </w:r>
    </w:p>
    <w:p w:rsidR="00000000" w:rsidRDefault="00B51E11">
      <w:pPr>
        <w:pStyle w:val="a3"/>
        <w:spacing w:before="0" w:beforeAutospacing="0" w:after="0" w:afterAutospacing="0"/>
        <w:divId w:val="553350048"/>
        <w:rPr>
          <w:sz w:val="20"/>
          <w:szCs w:val="20"/>
        </w:rPr>
      </w:pPr>
      <w:r>
        <w:rPr>
          <w:b/>
          <w:bCs/>
          <w:i/>
          <w:iCs/>
          <w:sz w:val="20"/>
          <w:szCs w:val="20"/>
        </w:rPr>
        <w:t>Clinical Trial Activity</w:t>
      </w:r>
    </w:p>
    <w:p w:rsidR="00000000" w:rsidRDefault="00B51E11">
      <w:pPr>
        <w:pStyle w:val="a3"/>
        <w:spacing w:before="0" w:beforeAutospacing="0" w:after="0" w:afterAutospacing="0"/>
        <w:ind w:firstLine="720"/>
        <w:divId w:val="553350048"/>
        <w:rPr>
          <w:sz w:val="20"/>
          <w:szCs w:val="20"/>
        </w:rPr>
      </w:pPr>
      <w:r>
        <w:rPr>
          <w:sz w:val="10"/>
          <w:szCs w:val="10"/>
        </w:rPr>
        <w:t>​</w:t>
      </w:r>
    </w:p>
    <w:p w:rsidR="00000000" w:rsidRDefault="00B51E11">
      <w:pPr>
        <w:pStyle w:val="a3"/>
        <w:spacing w:before="0" w:beforeAutospacing="0" w:after="0" w:afterAutospacing="0"/>
        <w:ind w:firstLine="720"/>
        <w:divId w:val="553350048"/>
        <w:rPr>
          <w:sz w:val="20"/>
          <w:szCs w:val="20"/>
        </w:rPr>
      </w:pPr>
      <w:r>
        <w:rPr>
          <w:sz w:val="20"/>
          <w:szCs w:val="20"/>
        </w:rPr>
        <w:t xml:space="preserve">While we are currently continuing the clinical trials we have underway in sites across the globe, the ongoing COVID-19 pandemic has impacted the timeline for our clinical trials. We have been evaluating each of our clinical trial </w:t>
      </w:r>
      <w:r>
        <w:rPr>
          <w:sz w:val="20"/>
          <w:szCs w:val="20"/>
        </w:rPr>
        <w:t>programs to determine necessary modifications and have worked closely with regulators, sites, clinical research organizations and data safety monitoring boards. Given the significant strains on the healthcare system across the globe, we made the decision i</w:t>
      </w:r>
      <w:r>
        <w:rPr>
          <w:sz w:val="20"/>
          <w:szCs w:val="20"/>
        </w:rPr>
        <w:t>n mid-March 2020 to temporarily suspend the screening of new patients for our clinical trials of TD-1473, a gut-selective oral Janus kinase inhibitor (“JAKi”) in development for inflammatory intestinal disease in Crohn’s and ulcerative colitis, and amprelo</w:t>
      </w:r>
      <w:r>
        <w:rPr>
          <w:sz w:val="20"/>
          <w:szCs w:val="20"/>
        </w:rPr>
        <w:t>xetine, a norepinephrine reuptake inhibitor (“NRI”) under evaluation for the treatment of symptomatic neurogenic orthostatic hypotension (“nOH”), which are further discussed below. The screening of new patients into these trials was temporarily suspended f</w:t>
      </w:r>
      <w:r>
        <w:rPr>
          <w:sz w:val="20"/>
          <w:szCs w:val="20"/>
        </w:rPr>
        <w:t>or 4 weeks in order to prioritize ongoing support for patients who were already in screening and those who were already randomized. We implemented mitigation plans to help ensure patients in the clinical trials continued to have access to drug supply and r</w:t>
      </w:r>
      <w:r>
        <w:rPr>
          <w:sz w:val="20"/>
          <w:szCs w:val="20"/>
        </w:rPr>
        <w:t xml:space="preserve">egular visits with their physicians for study visits per trial protocols. </w:t>
      </w:r>
    </w:p>
    <w:p w:rsidR="00000000" w:rsidRDefault="00B51E11">
      <w:pPr>
        <w:pStyle w:val="a3"/>
        <w:spacing w:before="0" w:beforeAutospacing="0" w:after="0" w:afterAutospacing="0"/>
        <w:ind w:firstLine="720"/>
        <w:divId w:val="553350048"/>
        <w:rPr>
          <w:sz w:val="20"/>
          <w:szCs w:val="20"/>
        </w:rPr>
      </w:pPr>
      <w:r>
        <w:rPr>
          <w:sz w:val="20"/>
          <w:szCs w:val="20"/>
        </w:rPr>
        <w:t>​</w:t>
      </w:r>
    </w:p>
    <w:p w:rsidR="00000000" w:rsidRDefault="00B51E11">
      <w:pPr>
        <w:pStyle w:val="a3"/>
        <w:spacing w:before="0" w:beforeAutospacing="0" w:after="0" w:afterAutospacing="0"/>
        <w:ind w:firstLine="720"/>
        <w:divId w:val="553350048"/>
        <w:rPr>
          <w:sz w:val="20"/>
          <w:szCs w:val="20"/>
        </w:rPr>
      </w:pPr>
      <w:r>
        <w:rPr>
          <w:sz w:val="20"/>
          <w:szCs w:val="20"/>
        </w:rPr>
        <w:t>Screening of new patients resumed in mid-April 2020 in a controlled and measured fashion as individual sites confirmed their ability to support the study requirements, and new pat</w:t>
      </w:r>
      <w:r>
        <w:rPr>
          <w:sz w:val="20"/>
          <w:szCs w:val="20"/>
        </w:rPr>
        <w:t xml:space="preserve">ients were able to be assessed for their eligibility to participate in the TD-1473 and ampreloxetine studies. In recognition of the increasing range of barriers presented by the ongoing pandemic on the ability of nOH patients to travel to sites and access </w:t>
      </w:r>
      <w:r>
        <w:rPr>
          <w:sz w:val="20"/>
          <w:szCs w:val="20"/>
        </w:rPr>
        <w:t>medicines, we worked with the FDA to decentralize the Phase 3 studies in the ampreloxetine program. We are working to offer the decentralized approach across the ampreloxetine Phase 3 program in the US and globally in an effort to overcome the challenges p</w:t>
      </w:r>
      <w:r>
        <w:rPr>
          <w:sz w:val="20"/>
          <w:szCs w:val="20"/>
        </w:rPr>
        <w:t>atients face regarding travel, healthcare access and participation in clinical trials. We currently expect Phase 3 results for ampreloxetine for symptomatic nOH and for TD-1473 Phase 2b results in ulcerative colitis and Phase 2 results in Crohn's disease i</w:t>
      </w:r>
      <w:r>
        <w:rPr>
          <w:sz w:val="20"/>
          <w:szCs w:val="20"/>
        </w:rPr>
        <w:t>n the third quarter of 2021.</w:t>
      </w:r>
    </w:p>
    <w:p w:rsidR="00000000" w:rsidRDefault="00B51E11">
      <w:pPr>
        <w:pStyle w:val="a3"/>
        <w:spacing w:before="0" w:beforeAutospacing="0" w:after="0" w:afterAutospacing="0"/>
        <w:jc w:val="both"/>
        <w:divId w:val="553350048"/>
        <w:rPr>
          <w:sz w:val="20"/>
          <w:szCs w:val="20"/>
        </w:rPr>
      </w:pPr>
      <w:r>
        <w:rPr>
          <w:sz w:val="20"/>
          <w:szCs w:val="20"/>
        </w:rPr>
        <w:t>​</w:t>
      </w:r>
    </w:p>
    <w:p w:rsidR="00000000" w:rsidRDefault="00B51E11">
      <w:pPr>
        <w:pStyle w:val="a3"/>
        <w:spacing w:before="360" w:beforeAutospacing="0" w:after="0" w:afterAutospacing="0"/>
        <w:jc w:val="center"/>
        <w:divId w:val="1617983532"/>
        <w:rPr>
          <w:sz w:val="20"/>
          <w:szCs w:val="20"/>
        </w:rPr>
      </w:pPr>
      <w:r>
        <w:rPr>
          <w:sz w:val="20"/>
          <w:szCs w:val="20"/>
        </w:rPr>
        <w:t>22</w:t>
      </w:r>
    </w:p>
    <w:p w:rsidR="00000000" w:rsidRDefault="00B51E11">
      <w:pPr>
        <w:pStyle w:val="a3"/>
        <w:spacing w:before="0" w:beforeAutospacing="0" w:after="600" w:afterAutospacing="0"/>
        <w:divId w:val="405032713"/>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jc w:val="both"/>
        <w:divId w:val="756903370"/>
        <w:rPr>
          <w:sz w:val="20"/>
          <w:szCs w:val="20"/>
        </w:rPr>
      </w:pPr>
      <w:r>
        <w:rPr>
          <w:sz w:val="20"/>
          <w:szCs w:val="20"/>
        </w:rPr>
        <w:t>During the second quarter of 2020, we progressed our pre-clinical candidate TD-0903 into the clinic at an accelerated pace in response to the COVID-19 pandemic. We designed TD-09</w:t>
      </w:r>
      <w:r>
        <w:rPr>
          <w:sz w:val="20"/>
          <w:szCs w:val="20"/>
        </w:rPr>
        <w:t>03 to be a lung-selective nebulized JAKi with the intent of addressing lung hyperinflammation in both the acute and chronic setting. In June 2020, we completed Phase 1 and entered a two-part Phase 2 study in the United Kingdom (“UK”) to explore the potenti</w:t>
      </w:r>
      <w:r>
        <w:rPr>
          <w:sz w:val="20"/>
          <w:szCs w:val="20"/>
        </w:rPr>
        <w:t>al of TD-0903 to treat hospitalized patients with Acute Lung Injury caused by COVID-19 and prevent progression to Acute Respiratory Distress Syndrome and the need for assisted ventilation. To expedite enrollment, we opened additional sites in other regions</w:t>
      </w:r>
      <w:r>
        <w:rPr>
          <w:sz w:val="20"/>
          <w:szCs w:val="20"/>
        </w:rPr>
        <w:t xml:space="preserve"> including Europe, US, South Africa and South America. We have completed Phase 2, Part 1 dose escalation and are moving into Part 2. Phase 2, Part 2 is a randomized, double-blind, parallel-group study evaluating efficacy and safety of one dose of TD-0903 (</w:t>
      </w:r>
      <w:r>
        <w:rPr>
          <w:sz w:val="20"/>
          <w:szCs w:val="20"/>
        </w:rPr>
        <w:t>selected based on the data from Part 1) as compared with placebo in hospitalized patients with confirmed symptomatic COVID-19 who require supplemental oxygen. Approximately 200 participants will be enrolled in Part 2. We expect to report results from the P</w:t>
      </w:r>
      <w:r>
        <w:rPr>
          <w:sz w:val="20"/>
          <w:szCs w:val="20"/>
        </w:rPr>
        <w:t>hase 2 study in the second quarter of 2021.</w:t>
      </w:r>
    </w:p>
    <w:p w:rsidR="00000000" w:rsidRDefault="00B51E11">
      <w:pPr>
        <w:pStyle w:val="a3"/>
        <w:spacing w:before="0" w:beforeAutospacing="0" w:after="0" w:afterAutospacing="0"/>
        <w:jc w:val="both"/>
        <w:divId w:val="756903370"/>
        <w:rPr>
          <w:sz w:val="20"/>
          <w:szCs w:val="20"/>
        </w:rPr>
      </w:pPr>
      <w:r>
        <w:rPr>
          <w:i/>
          <w:iCs/>
          <w:sz w:val="20"/>
          <w:szCs w:val="20"/>
        </w:rPr>
        <w:t>​</w:t>
      </w:r>
    </w:p>
    <w:p w:rsidR="00000000" w:rsidRDefault="00B51E11">
      <w:pPr>
        <w:pStyle w:val="a3"/>
        <w:spacing w:before="0" w:beforeAutospacing="0" w:after="0" w:afterAutospacing="0"/>
        <w:jc w:val="both"/>
        <w:divId w:val="756903370"/>
        <w:rPr>
          <w:sz w:val="20"/>
          <w:szCs w:val="20"/>
        </w:rPr>
      </w:pPr>
      <w:r>
        <w:rPr>
          <w:b/>
          <w:bCs/>
          <w:i/>
          <w:iCs/>
          <w:sz w:val="20"/>
          <w:szCs w:val="20"/>
        </w:rPr>
        <w:t>Business Operations</w:t>
      </w:r>
    </w:p>
    <w:p w:rsidR="00000000" w:rsidRDefault="00B51E11">
      <w:pPr>
        <w:pStyle w:val="a3"/>
        <w:spacing w:before="0" w:beforeAutospacing="0" w:after="0" w:afterAutospacing="0"/>
        <w:jc w:val="both"/>
        <w:divId w:val="756903370"/>
        <w:rPr>
          <w:sz w:val="20"/>
          <w:szCs w:val="20"/>
        </w:rPr>
      </w:pPr>
      <w:r>
        <w:rPr>
          <w:sz w:val="10"/>
          <w:szCs w:val="10"/>
        </w:rPr>
        <w:t>​</w:t>
      </w:r>
    </w:p>
    <w:p w:rsidR="00000000" w:rsidRDefault="00B51E11">
      <w:pPr>
        <w:pStyle w:val="a3"/>
        <w:spacing w:before="0" w:beforeAutospacing="0" w:after="0" w:afterAutospacing="0"/>
        <w:ind w:firstLine="720"/>
        <w:divId w:val="756903370"/>
        <w:rPr>
          <w:sz w:val="20"/>
          <w:szCs w:val="20"/>
        </w:rPr>
      </w:pPr>
      <w:r>
        <w:rPr>
          <w:sz w:val="20"/>
          <w:szCs w:val="20"/>
        </w:rPr>
        <w:t>We continue to monitor the ongoing COVID-19 pandemic and plan to continue taking steps to identify and mitigate the adverse impacts on, and risks to, our business posed by its spread and a</w:t>
      </w:r>
      <w:r>
        <w:rPr>
          <w:sz w:val="20"/>
          <w:szCs w:val="20"/>
        </w:rPr>
        <w:t>ctions taken by governmental and health authorities to address the COVID-19 pandemic. The threat of COVID-19 has caused us to modify our business practices, including implementing a work from home policy for all employees, with the exception of key operati</w:t>
      </w:r>
      <w:r>
        <w:rPr>
          <w:sz w:val="20"/>
          <w:szCs w:val="20"/>
        </w:rPr>
        <w:t>ons and lab personnel, since early March 2020. We have restricted all non-essential business travel, and we expect to continue to implement measures as may be required or recommended by government authorities or as we determine are in the best interests of</w:t>
      </w:r>
      <w:r>
        <w:rPr>
          <w:sz w:val="20"/>
          <w:szCs w:val="20"/>
        </w:rPr>
        <w:t xml:space="preserve"> our employees, clinical trial sites and participants, the patients we serve and other business partners in light of COVID-19.</w:t>
      </w:r>
    </w:p>
    <w:p w:rsidR="00000000" w:rsidRDefault="00B51E11">
      <w:pPr>
        <w:pStyle w:val="a3"/>
        <w:spacing w:before="0" w:beforeAutospacing="0" w:after="0" w:afterAutospacing="0"/>
        <w:ind w:firstLine="720"/>
        <w:divId w:val="756903370"/>
        <w:rPr>
          <w:sz w:val="20"/>
          <w:szCs w:val="20"/>
        </w:rPr>
      </w:pPr>
      <w:r>
        <w:rPr>
          <w:sz w:val="20"/>
          <w:szCs w:val="20"/>
        </w:rPr>
        <w:t>​</w:t>
      </w:r>
    </w:p>
    <w:p w:rsidR="00000000" w:rsidRDefault="00B51E11">
      <w:pPr>
        <w:pStyle w:val="a3"/>
        <w:spacing w:before="0" w:beforeAutospacing="0" w:after="0" w:afterAutospacing="0"/>
        <w:divId w:val="756903370"/>
        <w:rPr>
          <w:sz w:val="20"/>
          <w:szCs w:val="20"/>
        </w:rPr>
      </w:pPr>
      <w:r>
        <w:rPr>
          <w:sz w:val="20"/>
          <w:szCs w:val="20"/>
        </w:rPr>
        <w:t>We are well capitalized as of September 30, 2020, with $358.3 </w:t>
      </w:r>
      <w:r>
        <w:rPr>
          <w:sz w:val="20"/>
          <w:szCs w:val="20"/>
        </w:rPr>
        <w:t>million in cash, cash equivalents, and investments in marketable securities (excluding restricted cash).</w:t>
      </w:r>
    </w:p>
    <w:p w:rsidR="00000000" w:rsidRDefault="00B51E11">
      <w:pPr>
        <w:pStyle w:val="a3"/>
        <w:spacing w:before="0" w:beforeAutospacing="0" w:after="0" w:afterAutospacing="0"/>
        <w:divId w:val="756903370"/>
        <w:rPr>
          <w:sz w:val="20"/>
          <w:szCs w:val="20"/>
        </w:rPr>
      </w:pPr>
      <w:r>
        <w:rPr>
          <w:sz w:val="20"/>
          <w:szCs w:val="20"/>
        </w:rPr>
        <w:t>​</w:t>
      </w:r>
    </w:p>
    <w:p w:rsidR="00000000" w:rsidRDefault="00B51E11">
      <w:pPr>
        <w:pStyle w:val="a3"/>
        <w:spacing w:before="0" w:beforeAutospacing="0" w:after="0" w:afterAutospacing="0"/>
        <w:divId w:val="756903370"/>
        <w:rPr>
          <w:sz w:val="20"/>
          <w:szCs w:val="20"/>
        </w:rPr>
      </w:pPr>
      <w:r>
        <w:rPr>
          <w:b/>
          <w:bCs/>
          <w:sz w:val="20"/>
          <w:szCs w:val="20"/>
        </w:rPr>
        <w:t>Program Highlights</w:t>
      </w:r>
    </w:p>
    <w:p w:rsidR="00000000" w:rsidRDefault="00B51E11">
      <w:pPr>
        <w:pStyle w:val="a3"/>
        <w:spacing w:before="0" w:beforeAutospacing="0" w:after="0" w:afterAutospacing="0"/>
        <w:ind w:hanging="200"/>
        <w:divId w:val="756903370"/>
        <w:rPr>
          <w:sz w:val="20"/>
          <w:szCs w:val="20"/>
        </w:rPr>
      </w:pPr>
      <w:r>
        <w:rPr>
          <w:b/>
          <w:bCs/>
          <w:i/>
          <w:iCs/>
          <w:sz w:val="20"/>
          <w:szCs w:val="20"/>
        </w:rPr>
        <w:t>​</w:t>
      </w:r>
    </w:p>
    <w:p w:rsidR="00000000" w:rsidRDefault="00B51E11">
      <w:pPr>
        <w:pStyle w:val="a3"/>
        <w:spacing w:before="0" w:beforeAutospacing="0" w:after="0" w:afterAutospacing="0"/>
        <w:ind w:hanging="200"/>
        <w:divId w:val="756903370"/>
        <w:rPr>
          <w:sz w:val="20"/>
          <w:szCs w:val="20"/>
        </w:rPr>
      </w:pPr>
      <w:r>
        <w:rPr>
          <w:b/>
          <w:bCs/>
          <w:i/>
          <w:iCs/>
          <w:sz w:val="20"/>
          <w:szCs w:val="20"/>
        </w:rPr>
        <w:t>YUPELR</w:t>
      </w:r>
      <w:r>
        <w:rPr>
          <w:b/>
          <w:bCs/>
          <w:i/>
          <w:iCs/>
          <w:sz w:val="20"/>
          <w:szCs w:val="20"/>
        </w:rPr>
        <w:t>I</w:t>
      </w:r>
      <w:r>
        <w:rPr>
          <w:b/>
          <w:bCs/>
          <w:i/>
          <w:iCs/>
          <w:sz w:val="15"/>
          <w:szCs w:val="15"/>
          <w:vertAlign w:val="superscript"/>
        </w:rPr>
        <w:t xml:space="preserve"> </w:t>
      </w:r>
      <w:r>
        <w:rPr>
          <w:b/>
          <w:bCs/>
          <w:i/>
          <w:iCs/>
          <w:sz w:val="20"/>
          <w:szCs w:val="20"/>
        </w:rPr>
        <w:t>(revefenacin) Inhalation Solution</w:t>
      </w:r>
    </w:p>
    <w:p w:rsidR="00000000" w:rsidRDefault="00B51E11">
      <w:pPr>
        <w:pStyle w:val="a3"/>
        <w:spacing w:before="0" w:beforeAutospacing="0" w:after="0" w:afterAutospacing="0"/>
        <w:divId w:val="756903370"/>
        <w:rPr>
          <w:sz w:val="20"/>
          <w:szCs w:val="20"/>
        </w:rPr>
      </w:pPr>
      <w:r>
        <w:rPr>
          <w:sz w:val="10"/>
          <w:szCs w:val="10"/>
        </w:rPr>
        <w:t>​</w:t>
      </w:r>
    </w:p>
    <w:p w:rsidR="00000000" w:rsidRDefault="00B51E11">
      <w:pPr>
        <w:pStyle w:val="a3"/>
        <w:spacing w:before="0" w:beforeAutospacing="0" w:after="0" w:afterAutospacing="0"/>
        <w:ind w:firstLine="720"/>
        <w:divId w:val="756903370"/>
        <w:rPr>
          <w:sz w:val="20"/>
          <w:szCs w:val="20"/>
        </w:rPr>
      </w:pPr>
      <w:r>
        <w:rPr>
          <w:sz w:val="20"/>
          <w:szCs w:val="20"/>
        </w:rPr>
        <w:t>YUPELRI (revefenacin) inhalation solution is a once-daily, nebulized long-acting mus</w:t>
      </w:r>
      <w:r>
        <w:rPr>
          <w:sz w:val="20"/>
          <w:szCs w:val="20"/>
        </w:rPr>
        <w:t>carinic antagonist (“LAMA”) approved for the maintenance treatment of COPD in the US. LAMAs are recognized by international COPD treatment guidelines as a cornerstone of maintenance therapy for COPD, regardless of severity of disease. Our market research i</w:t>
      </w:r>
      <w:r>
        <w:rPr>
          <w:sz w:val="20"/>
          <w:szCs w:val="20"/>
        </w:rPr>
        <w:t>ndicates there is an enduring population of COPD patients in the US that either need or prefer nebulized delivery for maintenance therapy. The stability of revefenacin in both metered dose inhaler and dry powder inhaler (“MDI/DPI”) formulations suggests th</w:t>
      </w:r>
      <w:r>
        <w:rPr>
          <w:sz w:val="20"/>
          <w:szCs w:val="20"/>
        </w:rPr>
        <w:t xml:space="preserve">at revefenacin could also serve as a foundation for novel handheld combination products. </w:t>
      </w:r>
    </w:p>
    <w:p w:rsidR="00000000" w:rsidRDefault="00B51E11">
      <w:pPr>
        <w:pStyle w:val="a3"/>
        <w:spacing w:before="0" w:beforeAutospacing="0" w:after="0" w:afterAutospacing="0"/>
        <w:ind w:firstLine="720"/>
        <w:divId w:val="756903370"/>
        <w:rPr>
          <w:sz w:val="20"/>
          <w:szCs w:val="20"/>
        </w:rPr>
      </w:pPr>
      <w:r>
        <w:rPr>
          <w:sz w:val="20"/>
          <w:szCs w:val="20"/>
        </w:rPr>
        <w:t>​</w:t>
      </w:r>
    </w:p>
    <w:p w:rsidR="00000000" w:rsidRDefault="00B51E11">
      <w:pPr>
        <w:pStyle w:val="a3"/>
        <w:spacing w:before="0" w:beforeAutospacing="0" w:after="0" w:afterAutospacing="0"/>
        <w:ind w:firstLine="720"/>
        <w:divId w:val="756903370"/>
        <w:rPr>
          <w:sz w:val="20"/>
          <w:szCs w:val="20"/>
        </w:rPr>
      </w:pPr>
      <w:r>
        <w:rPr>
          <w:sz w:val="20"/>
          <w:szCs w:val="20"/>
        </w:rPr>
        <w:t xml:space="preserve">In November 2018, YUPELRI was approved by the FDA for the maintenance treatment of patients with COPD. Following shipments into commercial channel in late 2018, we </w:t>
      </w:r>
      <w:r>
        <w:rPr>
          <w:sz w:val="20"/>
          <w:szCs w:val="20"/>
        </w:rPr>
        <w:t xml:space="preserve">and Mylan formally launched our sales and marketing efforts in early 2019. As described above and in </w:t>
      </w:r>
      <w:r>
        <w:rPr>
          <w:i/>
          <w:iCs/>
          <w:sz w:val="20"/>
          <w:szCs w:val="20"/>
        </w:rPr>
        <w:t>Item 1A.</w:t>
      </w:r>
      <w:r>
        <w:rPr>
          <w:sz w:val="20"/>
          <w:szCs w:val="20"/>
        </w:rPr>
        <w:t xml:space="preserve"> </w:t>
      </w:r>
      <w:r>
        <w:rPr>
          <w:i/>
          <w:iCs/>
          <w:sz w:val="20"/>
          <w:szCs w:val="20"/>
        </w:rPr>
        <w:t>Risk Factor</w:t>
      </w:r>
      <w:r>
        <w:rPr>
          <w:sz w:val="20"/>
          <w:szCs w:val="20"/>
        </w:rPr>
        <w:t xml:space="preserve"> </w:t>
      </w:r>
      <w:r>
        <w:rPr>
          <w:i/>
          <w:iCs/>
          <w:sz w:val="20"/>
          <w:szCs w:val="20"/>
        </w:rPr>
        <w:t>entitled</w:t>
      </w:r>
      <w:r>
        <w:rPr>
          <w:sz w:val="20"/>
          <w:szCs w:val="20"/>
        </w:rPr>
        <w:t xml:space="preserve"> </w:t>
      </w:r>
      <w:r>
        <w:rPr>
          <w:i/>
          <w:iCs/>
          <w:sz w:val="20"/>
          <w:szCs w:val="20"/>
        </w:rPr>
        <w:t>“We face risks related to health epidemics, including the recent COVID-19 pandemic, which could have a material adverse effec</w:t>
      </w:r>
      <w:r>
        <w:rPr>
          <w:i/>
          <w:iCs/>
          <w:sz w:val="20"/>
          <w:szCs w:val="20"/>
        </w:rPr>
        <w:t>t on our business and results of operations,”</w:t>
      </w:r>
      <w:r>
        <w:rPr>
          <w:sz w:val="20"/>
          <w:szCs w:val="20"/>
        </w:rPr>
        <w:t xml:space="preserve"> although YUPELRI net sales growth continued for the nine months ended September 30, 2020 compared to the same period in 2019, the trajectory was impacted by COVID-19, and we have observed increased volatility i</w:t>
      </w:r>
      <w:r>
        <w:rPr>
          <w:sz w:val="20"/>
          <w:szCs w:val="20"/>
        </w:rPr>
        <w:t>n YUPELRI sales. However, our YUPELRI operations were profitable on a brand-basis for the three months ended September 30, 2020. In addition, we are tracking several key performance metrics to gauge success in building early market acceptance, including fo</w:t>
      </w:r>
      <w:r>
        <w:rPr>
          <w:sz w:val="20"/>
          <w:szCs w:val="20"/>
        </w:rPr>
        <w:t>rmulary reviews, formulary wins and market access. Since launch, YUPELRI has been accepted on 191 formularies that account for a total of approximately 363 institutional accounts. With respect to market access, we have confirmed commercial coverage of appr</w:t>
      </w:r>
      <w:r>
        <w:rPr>
          <w:sz w:val="20"/>
          <w:szCs w:val="20"/>
        </w:rPr>
        <w:t xml:space="preserve">oximately 74% and Medicare Part B coverage for 100% of patients (for patients with supplemental insurance; approximately 20% of patients may be responsible for co-pay and/or supplemental insurance). </w:t>
      </w:r>
    </w:p>
    <w:p w:rsidR="00000000" w:rsidRDefault="00B51E11">
      <w:pPr>
        <w:pStyle w:val="a3"/>
        <w:spacing w:before="0" w:beforeAutospacing="0" w:after="0" w:afterAutospacing="0"/>
        <w:ind w:firstLine="720"/>
        <w:divId w:val="756903370"/>
        <w:rPr>
          <w:sz w:val="20"/>
          <w:szCs w:val="20"/>
        </w:rPr>
      </w:pPr>
      <w:r>
        <w:rPr>
          <w:sz w:val="20"/>
          <w:szCs w:val="20"/>
        </w:rPr>
        <w:t>​</w:t>
      </w:r>
    </w:p>
    <w:p w:rsidR="00000000" w:rsidRDefault="00B51E11">
      <w:pPr>
        <w:pStyle w:val="a3"/>
        <w:spacing w:before="0" w:beforeAutospacing="0" w:after="0" w:afterAutospacing="0"/>
        <w:divId w:val="756903370"/>
        <w:rPr>
          <w:sz w:val="20"/>
          <w:szCs w:val="20"/>
        </w:rPr>
      </w:pPr>
      <w:r>
        <w:rPr>
          <w:i/>
          <w:iCs/>
          <w:sz w:val="20"/>
          <w:szCs w:val="20"/>
        </w:rPr>
        <w:t>Mylan Collaboration</w:t>
      </w:r>
    </w:p>
    <w:p w:rsidR="00000000" w:rsidRDefault="00B51E11">
      <w:pPr>
        <w:pStyle w:val="a3"/>
        <w:spacing w:before="0" w:beforeAutospacing="0" w:after="0" w:afterAutospacing="0"/>
        <w:divId w:val="756903370"/>
        <w:rPr>
          <w:sz w:val="20"/>
          <w:szCs w:val="20"/>
        </w:rPr>
      </w:pPr>
      <w:r>
        <w:rPr>
          <w:sz w:val="10"/>
          <w:szCs w:val="10"/>
        </w:rPr>
        <w:t>​</w:t>
      </w:r>
    </w:p>
    <w:p w:rsidR="00000000" w:rsidRDefault="00B51E11">
      <w:pPr>
        <w:pStyle w:val="a3"/>
        <w:spacing w:before="0" w:beforeAutospacing="0" w:after="0" w:afterAutospacing="0"/>
        <w:ind w:firstLine="720"/>
        <w:divId w:val="756903370"/>
        <w:rPr>
          <w:sz w:val="20"/>
          <w:szCs w:val="20"/>
        </w:rPr>
      </w:pPr>
      <w:r>
        <w:rPr>
          <w:sz w:val="20"/>
          <w:szCs w:val="20"/>
        </w:rPr>
        <w:t>In January 2015, Mylan and we es</w:t>
      </w:r>
      <w:r>
        <w:rPr>
          <w:sz w:val="20"/>
          <w:szCs w:val="20"/>
        </w:rPr>
        <w:t>tablished a strategic collaboration for the development and commercialization of revefenacin. Partnering with a world leader in nebulized respiratory therapies enables us to expand the breadth of our revefenacin development program and extend our commercia</w:t>
      </w:r>
      <w:r>
        <w:rPr>
          <w:sz w:val="20"/>
          <w:szCs w:val="20"/>
        </w:rPr>
        <w:t>l reach beyond the acute care setting. Mylan funded the Phase 3 development program of YUPELRI, enabling us to advance other high value pipeline assets alongside YUPELRI.</w:t>
      </w:r>
    </w:p>
    <w:p w:rsidR="00000000" w:rsidRDefault="00B51E11">
      <w:pPr>
        <w:pStyle w:val="a3"/>
        <w:spacing w:before="0" w:beforeAutospacing="0" w:after="0" w:afterAutospacing="0"/>
        <w:divId w:val="756903370"/>
        <w:rPr>
          <w:sz w:val="20"/>
          <w:szCs w:val="20"/>
        </w:rPr>
      </w:pPr>
      <w:r>
        <w:rPr>
          <w:sz w:val="20"/>
          <w:szCs w:val="20"/>
        </w:rPr>
        <w:t>​</w:t>
      </w:r>
    </w:p>
    <w:p w:rsidR="00000000" w:rsidRDefault="00B51E11">
      <w:pPr>
        <w:pStyle w:val="a3"/>
        <w:spacing w:before="360" w:beforeAutospacing="0" w:after="0" w:afterAutospacing="0"/>
        <w:jc w:val="center"/>
        <w:divId w:val="432286216"/>
        <w:rPr>
          <w:sz w:val="20"/>
          <w:szCs w:val="20"/>
        </w:rPr>
      </w:pPr>
      <w:r>
        <w:rPr>
          <w:sz w:val="20"/>
          <w:szCs w:val="20"/>
        </w:rPr>
        <w:t>23</w:t>
      </w:r>
    </w:p>
    <w:p w:rsidR="00000000" w:rsidRDefault="00B51E11">
      <w:pPr>
        <w:pStyle w:val="a3"/>
        <w:spacing w:before="0" w:beforeAutospacing="0" w:after="600" w:afterAutospacing="0"/>
        <w:divId w:val="1886064153"/>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ind w:firstLine="720"/>
        <w:divId w:val="1550917959"/>
        <w:rPr>
          <w:sz w:val="20"/>
          <w:szCs w:val="20"/>
        </w:rPr>
      </w:pPr>
      <w:r>
        <w:rPr>
          <w:sz w:val="20"/>
          <w:szCs w:val="20"/>
        </w:rPr>
        <w:t>Under the terms of the Mylan Develop</w:t>
      </w:r>
      <w:r>
        <w:rPr>
          <w:sz w:val="20"/>
          <w:szCs w:val="20"/>
        </w:rPr>
        <w:t>ment and Commercialization Agreement (the “Mylan Agreement”), Mylan and we co-develop revefenacin for COPD and other respiratory diseases. We led the US Phase 3 development program for YUPELRI in COPD, and Mylan was responsible for reimbursement of our cos</w:t>
      </w:r>
      <w:r>
        <w:rPr>
          <w:sz w:val="20"/>
          <w:szCs w:val="20"/>
        </w:rPr>
        <w:t>ts related to the registrational program up until the approval of the first new drug application (“NDA”), after which costs are shared. With YUPELRI approved in the US, Mylan is leading commercialization, and we co-promote the product in the US under a pro</w:t>
      </w:r>
      <w:r>
        <w:rPr>
          <w:sz w:val="20"/>
          <w:szCs w:val="20"/>
        </w:rPr>
        <w:t>fit and loss sharing arrangement (65% to Mylan; 35% to Theravance Biopharma). Outside the US, Mylan is responsible for development and commercialization and will pay us a tiered royalty on net sales at percentage royalty rates ranging from low double-digit</w:t>
      </w:r>
      <w:r>
        <w:rPr>
          <w:sz w:val="20"/>
          <w:szCs w:val="20"/>
        </w:rPr>
        <w:t xml:space="preserve">s to mid-teens. </w:t>
      </w:r>
    </w:p>
    <w:p w:rsidR="00000000" w:rsidRDefault="00B51E11">
      <w:pPr>
        <w:pStyle w:val="a3"/>
        <w:spacing w:before="0" w:beforeAutospacing="0" w:after="0" w:afterAutospacing="0"/>
        <w:divId w:val="1550917959"/>
        <w:rPr>
          <w:sz w:val="20"/>
          <w:szCs w:val="20"/>
        </w:rPr>
      </w:pPr>
      <w:r>
        <w:rPr>
          <w:sz w:val="20"/>
          <w:szCs w:val="20"/>
        </w:rPr>
        <w:t>​</w:t>
      </w:r>
    </w:p>
    <w:p w:rsidR="00000000" w:rsidRDefault="00B51E11">
      <w:pPr>
        <w:pStyle w:val="a3"/>
        <w:spacing w:before="0" w:beforeAutospacing="0" w:after="0" w:afterAutospacing="0"/>
        <w:ind w:firstLine="720"/>
        <w:divId w:val="1550917959"/>
        <w:rPr>
          <w:sz w:val="20"/>
          <w:szCs w:val="20"/>
        </w:rPr>
      </w:pPr>
      <w:r>
        <w:rPr>
          <w:sz w:val="20"/>
          <w:szCs w:val="20"/>
        </w:rPr>
        <w:t xml:space="preserve">In February 2016, we earned a $15.0 million development milestone payment for achieving 50% enrollment in the Phase 3 twelve-month safety study, and </w:t>
      </w:r>
      <w:r>
        <w:rPr>
          <w:sz w:val="20"/>
          <w:szCs w:val="20"/>
          <w:shd w:val="clear" w:color="auto" w:fill="FFFFFF"/>
        </w:rPr>
        <w:t>in June 2019, we announced the expansion of the Mylan Agreement to grant Mylan exclusive</w:t>
      </w:r>
      <w:r>
        <w:rPr>
          <w:sz w:val="20"/>
          <w:szCs w:val="20"/>
          <w:shd w:val="clear" w:color="auto" w:fill="FFFFFF"/>
        </w:rPr>
        <w:t xml:space="preserve"> development and commercialization rights to nebulized revefenacin in China and adjacent territories, which include Hong Kong SAR, the Macau SAR, and Taiwan. In exchange, we received an upfront payment of $18.5 million (before a required tax withholding) a</w:t>
      </w:r>
      <w:r>
        <w:rPr>
          <w:sz w:val="20"/>
          <w:szCs w:val="20"/>
          <w:shd w:val="clear" w:color="auto" w:fill="FFFFFF"/>
        </w:rPr>
        <w:t>nd will be eligible to receive additional potential development and sales milestones totaling $54.0 million and low double-digit tiered royalties on net sales of nebulized revefenacin, if approved. In March 2020, we earned a $1.5 million development milest</w:t>
      </w:r>
      <w:r>
        <w:rPr>
          <w:sz w:val="20"/>
          <w:szCs w:val="20"/>
          <w:shd w:val="clear" w:color="auto" w:fill="FFFFFF"/>
        </w:rPr>
        <w:t xml:space="preserve">one for the acceptance of a clinical trial application associated with the use of YUPELRI monotherapy in China and adjacent territories. Mylan is responsible for all aspects of development and commercialization in the partnered regions, including pre- and </w:t>
      </w:r>
      <w:r>
        <w:rPr>
          <w:sz w:val="20"/>
          <w:szCs w:val="20"/>
          <w:shd w:val="clear" w:color="auto" w:fill="FFFFFF"/>
        </w:rPr>
        <w:t xml:space="preserve">post-launch activities and product registration and all associated costs. </w:t>
      </w:r>
      <w:r>
        <w:rPr>
          <w:sz w:val="20"/>
          <w:szCs w:val="20"/>
        </w:rPr>
        <w:t>We retain worldwide rights to revefenacin delivered through other dosage forms, such as a MDI/DPI.</w:t>
      </w:r>
    </w:p>
    <w:p w:rsidR="00000000" w:rsidRDefault="00B51E11">
      <w:pPr>
        <w:pStyle w:val="a3"/>
        <w:spacing w:before="0" w:beforeAutospacing="0" w:after="0" w:afterAutospacing="0"/>
        <w:divId w:val="1550917959"/>
        <w:rPr>
          <w:sz w:val="20"/>
          <w:szCs w:val="20"/>
        </w:rPr>
      </w:pPr>
      <w:r>
        <w:rPr>
          <w:sz w:val="20"/>
          <w:szCs w:val="20"/>
        </w:rPr>
        <w:t>​</w:t>
      </w:r>
    </w:p>
    <w:p w:rsidR="00000000" w:rsidRDefault="00B51E11">
      <w:pPr>
        <w:pStyle w:val="a3"/>
        <w:spacing w:before="0" w:beforeAutospacing="0" w:after="0" w:afterAutospacing="0"/>
        <w:ind w:firstLine="720"/>
        <w:divId w:val="1550917959"/>
        <w:rPr>
          <w:sz w:val="20"/>
          <w:szCs w:val="20"/>
        </w:rPr>
      </w:pPr>
      <w:r>
        <w:rPr>
          <w:sz w:val="20"/>
          <w:szCs w:val="20"/>
        </w:rPr>
        <w:t>Under the Mylan Agreement, as of September 30, 2020, we are eligible to receive f</w:t>
      </w:r>
      <w:r>
        <w:rPr>
          <w:sz w:val="20"/>
          <w:szCs w:val="20"/>
        </w:rPr>
        <w:t xml:space="preserve">rom Mylan potential global development, regulatory and sales milestone payments totaling up to $257.5 million in the aggregate (excluding the aggregate $16.5 million in earned milestones noted above) with $205.0 million associated with YUPELRI monotherapy </w:t>
      </w:r>
      <w:r>
        <w:rPr>
          <w:sz w:val="20"/>
          <w:szCs w:val="20"/>
        </w:rPr>
        <w:t>and $52.5 million associated with future potential combination products. Of the $205.0 million associated with monotherapy, $187.5 million relates to sales milestones based on achieving certain levels of net sales and $17.5 million relates to global develo</w:t>
      </w:r>
      <w:r>
        <w:rPr>
          <w:sz w:val="20"/>
          <w:szCs w:val="20"/>
        </w:rPr>
        <w:t>pment and regulatory actions. The $52.5 million associated with future potential combination products relates solely to global development and regulatory actions. We do not expect to earn any additional development milestone or sales milestone payments fro</w:t>
      </w:r>
      <w:r>
        <w:rPr>
          <w:sz w:val="20"/>
          <w:szCs w:val="20"/>
        </w:rPr>
        <w:t>m Mylan in 2020.</w:t>
      </w:r>
    </w:p>
    <w:p w:rsidR="00000000" w:rsidRDefault="00B51E11">
      <w:pPr>
        <w:pStyle w:val="a3"/>
        <w:spacing w:before="0" w:beforeAutospacing="0" w:after="0" w:afterAutospacing="0"/>
        <w:ind w:firstLine="720"/>
        <w:divId w:val="1550917959"/>
        <w:rPr>
          <w:sz w:val="20"/>
          <w:szCs w:val="20"/>
        </w:rPr>
      </w:pPr>
      <w:r>
        <w:rPr>
          <w:sz w:val="20"/>
          <w:szCs w:val="20"/>
        </w:rPr>
        <w:t>​</w:t>
      </w:r>
    </w:p>
    <w:p w:rsidR="00000000" w:rsidRDefault="00B51E11">
      <w:pPr>
        <w:pStyle w:val="a3"/>
        <w:spacing w:before="0" w:beforeAutospacing="0" w:after="0" w:afterAutospacing="0"/>
        <w:divId w:val="1550917959"/>
        <w:rPr>
          <w:sz w:val="20"/>
          <w:szCs w:val="20"/>
        </w:rPr>
      </w:pPr>
      <w:r>
        <w:rPr>
          <w:b/>
          <w:bCs/>
          <w:i/>
          <w:iCs/>
          <w:sz w:val="20"/>
          <w:szCs w:val="20"/>
        </w:rPr>
        <w:t>Lung-selective, Nebulized Pan-Janus Kinase (JAK) Inhibitor (TD-0903)</w:t>
      </w:r>
    </w:p>
    <w:p w:rsidR="00000000" w:rsidRDefault="00B51E11">
      <w:pPr>
        <w:pStyle w:val="a3"/>
        <w:spacing w:before="0" w:beforeAutospacing="0" w:after="0" w:afterAutospacing="0"/>
        <w:ind w:firstLine="720"/>
        <w:divId w:val="1550917959"/>
        <w:rPr>
          <w:sz w:val="20"/>
          <w:szCs w:val="20"/>
        </w:rPr>
      </w:pPr>
      <w:r>
        <w:rPr>
          <w:sz w:val="10"/>
          <w:szCs w:val="10"/>
        </w:rPr>
        <w:t>​</w:t>
      </w:r>
    </w:p>
    <w:p w:rsidR="00000000" w:rsidRDefault="00B51E11">
      <w:pPr>
        <w:pStyle w:val="a3"/>
        <w:spacing w:before="0" w:beforeAutospacing="0" w:after="0" w:afterAutospacing="0"/>
        <w:ind w:firstLine="720"/>
        <w:divId w:val="1550917959"/>
        <w:rPr>
          <w:sz w:val="20"/>
          <w:szCs w:val="20"/>
        </w:rPr>
      </w:pPr>
      <w:r>
        <w:rPr>
          <w:sz w:val="20"/>
          <w:szCs w:val="20"/>
        </w:rPr>
        <w:t>TD-0903 is a lung-selective, nebulized Janus kinase inhibitor (“JAKi”</w:t>
      </w:r>
      <w:r>
        <w:rPr>
          <w:sz w:val="20"/>
          <w:szCs w:val="20"/>
        </w:rPr>
        <w:t>), in clinical development for the potential treatment of hospitalized patients with Acute Lung Injury (“ALI”) caused by COVID-19. We believe TD-0903 has the potential to inhibit the cytokine storm associated with ALI and prevent progression to Acute Respi</w:t>
      </w:r>
      <w:r>
        <w:rPr>
          <w:sz w:val="20"/>
          <w:szCs w:val="20"/>
        </w:rPr>
        <w:t>ratory Distress Syndrome (“ARDS”). The first healthy volunteer was dosed in a Phase 1 study of TD-0903 in April 2020, and in June 2020, we completed Phase 1 and entered a two-part Phase 2 study in the UK. Phase 2 is designed to explore the potential of TD-</w:t>
      </w:r>
      <w:r>
        <w:rPr>
          <w:sz w:val="20"/>
          <w:szCs w:val="20"/>
        </w:rPr>
        <w:t>0903 to treat hospitalized patients with ALI caused by COVID-19 and prevent progression to ARDS and the need for assisted ventilation. To expedite enrollment, we opened additional sites in other regions including Europe, US, South Africa and South America.</w:t>
      </w:r>
      <w:r>
        <w:rPr>
          <w:sz w:val="20"/>
          <w:szCs w:val="20"/>
        </w:rPr>
        <w:t xml:space="preserve"> We have completed Phase 2, Part 1 dose escalation and are moving into Part 2. Phase 2, Part 2 is a randomized, double-blind, parallel-group study evaluating efficacy and safety of one dose of TD-0903 (selected based on the data from Part 1) as compared wi</w:t>
      </w:r>
      <w:r>
        <w:rPr>
          <w:sz w:val="20"/>
          <w:szCs w:val="20"/>
        </w:rPr>
        <w:t>th placebo in hospitalized patients with confirmed symptomatic COVID-19 who require supplemental oxygen. Approximately 200 participants will be enrolled in Part 2. We expect to report results from the Phase 2 study in the second quarter of 2021.</w:t>
      </w:r>
    </w:p>
    <w:p w:rsidR="00000000" w:rsidRDefault="00B51E11">
      <w:pPr>
        <w:pStyle w:val="a3"/>
        <w:spacing w:before="0" w:beforeAutospacing="0" w:after="0" w:afterAutospacing="0"/>
        <w:ind w:firstLine="720"/>
        <w:divId w:val="1550917959"/>
        <w:rPr>
          <w:sz w:val="20"/>
          <w:szCs w:val="20"/>
        </w:rPr>
      </w:pPr>
      <w:r>
        <w:rPr>
          <w:sz w:val="20"/>
          <w:szCs w:val="20"/>
        </w:rPr>
        <w:t>​</w:t>
      </w:r>
    </w:p>
    <w:p w:rsidR="00000000" w:rsidRDefault="00B51E11">
      <w:pPr>
        <w:pStyle w:val="a3"/>
        <w:spacing w:before="0" w:beforeAutospacing="0" w:after="0" w:afterAutospacing="0"/>
        <w:ind w:firstLine="720"/>
        <w:divId w:val="1550917959"/>
        <w:rPr>
          <w:sz w:val="20"/>
          <w:szCs w:val="20"/>
        </w:rPr>
      </w:pPr>
      <w:r>
        <w:rPr>
          <w:sz w:val="20"/>
          <w:szCs w:val="20"/>
        </w:rPr>
        <w:t>We disco</w:t>
      </w:r>
      <w:r>
        <w:rPr>
          <w:sz w:val="20"/>
          <w:szCs w:val="20"/>
        </w:rPr>
        <w:t>vered TD-0903, and it has been shown in experimental murine models to have potent, broad inhibition of JAK-STAT signaling in the airways following challenges with multiple cytokines. By its mechanism, TD-0903 has the potential to block release of cytokines</w:t>
      </w:r>
      <w:r>
        <w:rPr>
          <w:sz w:val="20"/>
          <w:szCs w:val="20"/>
        </w:rPr>
        <w:t xml:space="preserve"> and chemokines that may be associated with ALI and the initiation of a cytokine storm syndrome. Preclinical studies suggest that TD-0903 has a very high lung to plasma ratio and rapid metabolic clearance resulting in low systemic exposure, compatible with</w:t>
      </w:r>
      <w:r>
        <w:rPr>
          <w:sz w:val="20"/>
          <w:szCs w:val="20"/>
        </w:rPr>
        <w:t xml:space="preserve"> its lung selectivity. TD-0903 is administered via nebulized inhalation solution, which further enhances its lung selectivity. Preclinical pharmacodynamic studies indicate that TD-0903 has an extended duration of action that should enable once daily dosing</w:t>
      </w:r>
      <w:r>
        <w:rPr>
          <w:sz w:val="20"/>
          <w:szCs w:val="20"/>
        </w:rPr>
        <w:t xml:space="preserve"> in humans. </w:t>
      </w:r>
    </w:p>
    <w:p w:rsidR="00000000" w:rsidRDefault="00B51E11">
      <w:pPr>
        <w:pStyle w:val="a3"/>
        <w:spacing w:before="0" w:beforeAutospacing="0" w:after="0" w:afterAutospacing="0"/>
        <w:divId w:val="1550917959"/>
        <w:rPr>
          <w:sz w:val="20"/>
          <w:szCs w:val="20"/>
        </w:rPr>
      </w:pPr>
      <w:r>
        <w:rPr>
          <w:sz w:val="20"/>
          <w:szCs w:val="20"/>
        </w:rPr>
        <w:t>​</w:t>
      </w:r>
    </w:p>
    <w:p w:rsidR="00000000" w:rsidRDefault="00B51E11">
      <w:pPr>
        <w:pStyle w:val="a3"/>
        <w:spacing w:before="0" w:beforeAutospacing="0" w:after="0" w:afterAutospacing="0"/>
        <w:divId w:val="1550917959"/>
        <w:rPr>
          <w:sz w:val="20"/>
          <w:szCs w:val="20"/>
        </w:rPr>
      </w:pPr>
      <w:r>
        <w:rPr>
          <w:b/>
          <w:bCs/>
          <w:i/>
          <w:iCs/>
          <w:sz w:val="20"/>
          <w:szCs w:val="20"/>
        </w:rPr>
        <w:t>​</w:t>
      </w:r>
    </w:p>
    <w:p w:rsidR="00000000" w:rsidRDefault="00B51E11">
      <w:pPr>
        <w:pStyle w:val="a3"/>
        <w:spacing w:before="0" w:beforeAutospacing="0" w:after="0" w:afterAutospacing="0"/>
        <w:divId w:val="1550917959"/>
        <w:rPr>
          <w:sz w:val="20"/>
          <w:szCs w:val="20"/>
        </w:rPr>
      </w:pPr>
      <w:r>
        <w:rPr>
          <w:b/>
          <w:bCs/>
          <w:i/>
          <w:iCs/>
          <w:sz w:val="20"/>
          <w:szCs w:val="20"/>
        </w:rPr>
        <w:t>​</w:t>
      </w:r>
    </w:p>
    <w:p w:rsidR="00000000" w:rsidRDefault="00B51E11">
      <w:pPr>
        <w:pStyle w:val="a3"/>
        <w:spacing w:before="0" w:beforeAutospacing="0" w:after="0" w:afterAutospacing="0"/>
        <w:divId w:val="1550917959"/>
        <w:rPr>
          <w:sz w:val="20"/>
          <w:szCs w:val="20"/>
        </w:rPr>
      </w:pPr>
      <w:r>
        <w:rPr>
          <w:b/>
          <w:bCs/>
          <w:i/>
          <w:iCs/>
          <w:sz w:val="20"/>
          <w:szCs w:val="20"/>
        </w:rPr>
        <w:t>​</w:t>
      </w:r>
    </w:p>
    <w:p w:rsidR="00000000" w:rsidRDefault="00B51E11">
      <w:pPr>
        <w:pStyle w:val="a3"/>
        <w:spacing w:before="360" w:beforeAutospacing="0" w:after="0" w:afterAutospacing="0"/>
        <w:jc w:val="center"/>
        <w:divId w:val="626085665"/>
        <w:rPr>
          <w:sz w:val="20"/>
          <w:szCs w:val="20"/>
        </w:rPr>
      </w:pPr>
      <w:r>
        <w:rPr>
          <w:sz w:val="20"/>
          <w:szCs w:val="20"/>
        </w:rPr>
        <w:t>24</w:t>
      </w:r>
    </w:p>
    <w:p w:rsidR="00000000" w:rsidRDefault="00B51E11">
      <w:pPr>
        <w:pStyle w:val="a3"/>
        <w:spacing w:before="0" w:beforeAutospacing="0" w:after="600" w:afterAutospacing="0"/>
        <w:divId w:val="1973361231"/>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663004036"/>
        <w:rPr>
          <w:sz w:val="20"/>
          <w:szCs w:val="20"/>
        </w:rPr>
      </w:pPr>
      <w:r>
        <w:rPr>
          <w:b/>
          <w:bCs/>
          <w:i/>
          <w:iCs/>
          <w:sz w:val="20"/>
          <w:szCs w:val="20"/>
        </w:rPr>
        <w:t>Ampreloxetine (TD-9855)</w:t>
      </w:r>
    </w:p>
    <w:p w:rsidR="00000000" w:rsidRDefault="00B51E11">
      <w:pPr>
        <w:pStyle w:val="a3"/>
        <w:spacing w:before="0" w:beforeAutospacing="0" w:after="0" w:afterAutospacing="0"/>
        <w:divId w:val="1663004036"/>
        <w:rPr>
          <w:sz w:val="20"/>
          <w:szCs w:val="20"/>
        </w:rPr>
      </w:pPr>
      <w:r>
        <w:rPr>
          <w:b/>
          <w:bCs/>
          <w:sz w:val="10"/>
          <w:szCs w:val="10"/>
        </w:rPr>
        <w:t>​</w:t>
      </w:r>
    </w:p>
    <w:p w:rsidR="00000000" w:rsidRDefault="00B51E11">
      <w:pPr>
        <w:pStyle w:val="a3"/>
        <w:spacing w:before="0" w:beforeAutospacing="0" w:after="0" w:afterAutospacing="0"/>
        <w:ind w:firstLine="720"/>
        <w:divId w:val="1663004036"/>
        <w:rPr>
          <w:sz w:val="20"/>
          <w:szCs w:val="20"/>
        </w:rPr>
      </w:pPr>
      <w:r>
        <w:rPr>
          <w:sz w:val="20"/>
          <w:szCs w:val="20"/>
        </w:rPr>
        <w:t>Ampreloxetine is an investigational, once-daily norepinephrine reuptake inhibitor (“NRI”) being developed for the treatment of patients with symptomatic neurogenic orthostatic hypotension (“nOH”). nOH is caused by primary autonomic failure conditions, incl</w:t>
      </w:r>
      <w:r>
        <w:rPr>
          <w:sz w:val="20"/>
          <w:szCs w:val="20"/>
        </w:rPr>
        <w:t>uding multiple system atrophy, Parkinson’s disease and pure autonomic failure. The compound has high affinity for binding to norepinephrine transporters. By blocking the action of these transporters, ampreloxetine causes an increase in extracellular concen</w:t>
      </w:r>
      <w:r>
        <w:rPr>
          <w:sz w:val="20"/>
          <w:szCs w:val="20"/>
        </w:rPr>
        <w:t>trations of norepinephrine.</w:t>
      </w:r>
    </w:p>
    <w:p w:rsidR="00000000" w:rsidRDefault="00B51E11">
      <w:pPr>
        <w:pStyle w:val="a3"/>
        <w:spacing w:before="0" w:beforeAutospacing="0" w:after="0" w:afterAutospacing="0"/>
        <w:divId w:val="1663004036"/>
        <w:rPr>
          <w:sz w:val="20"/>
          <w:szCs w:val="20"/>
        </w:rPr>
      </w:pPr>
      <w:r>
        <w:rPr>
          <w:sz w:val="20"/>
          <w:szCs w:val="20"/>
        </w:rPr>
        <w:t>​</w:t>
      </w:r>
    </w:p>
    <w:p w:rsidR="00000000" w:rsidRDefault="00B51E11">
      <w:pPr>
        <w:pStyle w:val="a3"/>
        <w:spacing w:before="0" w:beforeAutospacing="0" w:after="0" w:afterAutospacing="0"/>
        <w:ind w:firstLine="720"/>
        <w:divId w:val="1663004036"/>
        <w:rPr>
          <w:sz w:val="20"/>
          <w:szCs w:val="20"/>
        </w:rPr>
      </w:pPr>
      <w:r>
        <w:rPr>
          <w:sz w:val="20"/>
          <w:szCs w:val="20"/>
        </w:rPr>
        <w:t>Based on positive top-line four-week results from a small exploratory Phase 2 study in nOH and discussions with the FDA, we advanced ampreloxetine into a Phase 3 program. The Phase 3 program includes two studies. The first stu</w:t>
      </w:r>
      <w:r>
        <w:rPr>
          <w:sz w:val="20"/>
          <w:szCs w:val="20"/>
        </w:rPr>
        <w:t>dy (SEQUOIA) is a four-week, randomized double-blind, placebo-controlled study designed to evaluate the efficacy and safety of ampreloxetine in patients with symptomatic nOH. The second study (REDWOOD) is a four-month open label study followed by a six-wee</w:t>
      </w:r>
      <w:r>
        <w:rPr>
          <w:sz w:val="20"/>
          <w:szCs w:val="20"/>
        </w:rPr>
        <w:t>k randomized withdrawal phase to evaluate the durability of patient response of ampreloxetine. We announced the initiation of patient dosing in each Phase 3 study in early 2019. Phase 3 also includes a 26-week open-label study (OAK), which is a long-term e</w:t>
      </w:r>
      <w:r>
        <w:rPr>
          <w:sz w:val="20"/>
          <w:szCs w:val="20"/>
        </w:rPr>
        <w:t>xtension study that will be ongoing at the time of registration, to allow participants completing REDWOOD to have continued access to ampreloxetine for up to 3.5 years and to collect safety and tolerability data over the course of treatment. As described a</w:t>
      </w:r>
      <w:r>
        <w:rPr>
          <w:sz w:val="20"/>
          <w:szCs w:val="20"/>
        </w:rPr>
        <w:t xml:space="preserve">bove and in </w:t>
      </w:r>
      <w:r>
        <w:rPr>
          <w:i/>
          <w:iCs/>
          <w:sz w:val="20"/>
          <w:szCs w:val="20"/>
        </w:rPr>
        <w:t>Item 1A. Risk Factors</w:t>
      </w:r>
      <w:r>
        <w:rPr>
          <w:sz w:val="20"/>
          <w:szCs w:val="20"/>
        </w:rPr>
        <w:t>, the COVID-19 pandemic has impacted the timeline for our clinical trials. In recognition of the increasing range of barriers presented by the ongoing pandemic on the ability of patients to travel to sites and access medici</w:t>
      </w:r>
      <w:r>
        <w:rPr>
          <w:sz w:val="20"/>
          <w:szCs w:val="20"/>
        </w:rPr>
        <w:t>nes, we worked with the FDA to decentralize the Phase 3 studies in the ampreloxetine program. We are working to offer the decentralized approach across the ampreloxetine Phase 3 program in the US and globally in an effort to overcome the challenges patient</w:t>
      </w:r>
      <w:r>
        <w:rPr>
          <w:sz w:val="20"/>
          <w:szCs w:val="20"/>
        </w:rPr>
        <w:t>s face regarding travel, healthcare access and participation in clinical trials. We expect the SEQUOIA study to report data in the third quarter of 2021, and we are evaluating the impact on the REDWOOD study that follows it.</w:t>
      </w:r>
    </w:p>
    <w:p w:rsidR="00000000" w:rsidRDefault="00B51E11">
      <w:pPr>
        <w:pStyle w:val="a3"/>
        <w:spacing w:before="0" w:beforeAutospacing="0" w:after="0" w:afterAutospacing="0"/>
        <w:ind w:firstLine="720"/>
        <w:divId w:val="1663004036"/>
        <w:rPr>
          <w:sz w:val="20"/>
          <w:szCs w:val="20"/>
        </w:rPr>
      </w:pPr>
      <w:r>
        <w:rPr>
          <w:sz w:val="20"/>
          <w:szCs w:val="20"/>
        </w:rPr>
        <w:t>​</w:t>
      </w:r>
    </w:p>
    <w:p w:rsidR="00000000" w:rsidRDefault="00B51E11">
      <w:pPr>
        <w:pStyle w:val="a3"/>
        <w:spacing w:before="0" w:beforeAutospacing="0" w:after="0" w:afterAutospacing="0"/>
        <w:divId w:val="1663004036"/>
        <w:rPr>
          <w:sz w:val="20"/>
          <w:szCs w:val="20"/>
        </w:rPr>
      </w:pPr>
      <w:r>
        <w:rPr>
          <w:b/>
          <w:bCs/>
          <w:i/>
          <w:iCs/>
          <w:sz w:val="20"/>
          <w:szCs w:val="20"/>
        </w:rPr>
        <w:t>Gut-selective Pan-JAK Inhibit</w:t>
      </w:r>
      <w:r>
        <w:rPr>
          <w:b/>
          <w:bCs/>
          <w:i/>
          <w:iCs/>
          <w:sz w:val="20"/>
          <w:szCs w:val="20"/>
        </w:rPr>
        <w:t xml:space="preserve">or Program (TD-1473) </w:t>
      </w:r>
    </w:p>
    <w:p w:rsidR="00000000" w:rsidRDefault="00B51E11">
      <w:pPr>
        <w:pStyle w:val="a3"/>
        <w:spacing w:before="0" w:beforeAutospacing="0" w:after="0" w:afterAutospacing="0"/>
        <w:divId w:val="1663004036"/>
        <w:rPr>
          <w:sz w:val="20"/>
          <w:szCs w:val="20"/>
        </w:rPr>
      </w:pPr>
      <w:r>
        <w:rPr>
          <w:b/>
          <w:bCs/>
          <w:sz w:val="10"/>
          <w:szCs w:val="10"/>
        </w:rPr>
        <w:t>​</w:t>
      </w:r>
    </w:p>
    <w:p w:rsidR="00000000" w:rsidRDefault="00B51E11">
      <w:pPr>
        <w:pStyle w:val="a3"/>
        <w:spacing w:before="0" w:beforeAutospacing="0" w:after="0" w:afterAutospacing="0"/>
        <w:ind w:firstLine="720"/>
        <w:divId w:val="1663004036"/>
        <w:rPr>
          <w:sz w:val="20"/>
          <w:szCs w:val="20"/>
        </w:rPr>
      </w:pPr>
      <w:r>
        <w:rPr>
          <w:sz w:val="20"/>
          <w:szCs w:val="20"/>
        </w:rPr>
        <w:t>JAK inhibitors function by inhibiting the activity of one or more of the Janus kinase family of enzymes (JAK1, JAK2, JAK3, TYK2) that play a key role in cytokine signaling. Inhibiting these JAK enzymes interferes with the JAK/STAT s</w:t>
      </w:r>
      <w:r>
        <w:rPr>
          <w:sz w:val="20"/>
          <w:szCs w:val="20"/>
        </w:rPr>
        <w:t>ignaling pathway and, in turn, modulates the activity of a wide range of pro-inflammatory cytokines. JAK inhibitors are currently approved for the treatment of rheumatoid arthritis, myelofibrosis, and ulcerative colitis and have demonstrated therapeutic be</w:t>
      </w:r>
      <w:r>
        <w:rPr>
          <w:sz w:val="20"/>
          <w:szCs w:val="20"/>
        </w:rPr>
        <w:t>nefit for patients with Crohn’s disease. However, these products are known to have side effects based on their systemic exposure. In TD-1473, our program goal is to develop an orally administered, gut-selective pan-JAK inhibitor specifically designed to di</w:t>
      </w:r>
      <w:r>
        <w:rPr>
          <w:sz w:val="20"/>
          <w:szCs w:val="20"/>
        </w:rPr>
        <w:t xml:space="preserve">stribute adequately and predominantly to the tissues of the intestinal tract, treating inflammation in those tissues while minimizing systemic exposure. We believe TD-1473 could be a potential treatment for a range of inflammatory intestinal diseases, and </w:t>
      </w:r>
      <w:r>
        <w:rPr>
          <w:sz w:val="20"/>
          <w:szCs w:val="20"/>
        </w:rPr>
        <w:t xml:space="preserve">it is in development for the treatment of ulcerative colitis and Crohn’s disease. </w:t>
      </w:r>
    </w:p>
    <w:p w:rsidR="00000000" w:rsidRDefault="00B51E11">
      <w:pPr>
        <w:pStyle w:val="a3"/>
        <w:spacing w:before="0" w:beforeAutospacing="0" w:after="0" w:afterAutospacing="0"/>
        <w:ind w:firstLine="720"/>
        <w:divId w:val="1663004036"/>
        <w:rPr>
          <w:sz w:val="20"/>
          <w:szCs w:val="20"/>
        </w:rPr>
      </w:pPr>
      <w:r>
        <w:rPr>
          <w:sz w:val="20"/>
          <w:szCs w:val="20"/>
        </w:rPr>
        <w:t>​</w:t>
      </w:r>
    </w:p>
    <w:p w:rsidR="00000000" w:rsidRDefault="00B51E11">
      <w:pPr>
        <w:pStyle w:val="a3"/>
        <w:spacing w:before="0" w:beforeAutospacing="0" w:after="0" w:afterAutospacing="0"/>
        <w:ind w:firstLine="720"/>
        <w:divId w:val="1663004036"/>
        <w:rPr>
          <w:sz w:val="20"/>
          <w:szCs w:val="20"/>
        </w:rPr>
      </w:pPr>
      <w:r>
        <w:rPr>
          <w:sz w:val="20"/>
          <w:szCs w:val="20"/>
        </w:rPr>
        <w:t>Based on positive results from a Phase 1b exploratory study in ulcerative colitis and following dialogues with the FDA and European Medicines Agency (“EMA”) regarding stud</w:t>
      </w:r>
      <w:r>
        <w:rPr>
          <w:sz w:val="20"/>
          <w:szCs w:val="20"/>
        </w:rPr>
        <w:t>y design, we advanced TD-1473 into two clinical studies in inflammatory intestinal diseases. The Phase 2 (DIONE) study is a twelve-week randomized, double-blind, placebo-controlled study designed to evaluate the efficacy and safety of patients with Crohn’s</w:t>
      </w:r>
      <w:r>
        <w:rPr>
          <w:sz w:val="20"/>
          <w:szCs w:val="20"/>
        </w:rPr>
        <w:t xml:space="preserve"> disease, which began dosing patients in late 2018. The Phase 2b/3 (RHEA) study is a randomized, double-blind, placebo-controlled study to evaluate the efficacy and safety of eight weeks induction and 44 weeks maintenance therapy in patients with ulcerativ</w:t>
      </w:r>
      <w:r>
        <w:rPr>
          <w:sz w:val="20"/>
          <w:szCs w:val="20"/>
        </w:rPr>
        <w:t xml:space="preserve">e colitis, which began dosing patients in early 2019. As described above and in </w:t>
      </w:r>
      <w:r>
        <w:rPr>
          <w:i/>
          <w:iCs/>
          <w:sz w:val="20"/>
          <w:szCs w:val="20"/>
        </w:rPr>
        <w:t>Item 1A. Risk Factors,</w:t>
      </w:r>
      <w:r>
        <w:rPr>
          <w:sz w:val="20"/>
          <w:szCs w:val="20"/>
        </w:rPr>
        <w:t xml:space="preserve"> the COVID-19 pandemic has impacted the timeline for our clinical trials. Data from the Phase 2b portion of the ulcerative colitis study and the Phase 2 C</w:t>
      </w:r>
      <w:r>
        <w:rPr>
          <w:sz w:val="20"/>
          <w:szCs w:val="20"/>
        </w:rPr>
        <w:t>rohn’s disease studies is expected in the third quarter of 2021.</w:t>
      </w:r>
    </w:p>
    <w:p w:rsidR="00000000" w:rsidRDefault="00B51E11">
      <w:pPr>
        <w:pStyle w:val="a3"/>
        <w:spacing w:before="0" w:beforeAutospacing="0" w:after="0" w:afterAutospacing="0"/>
        <w:ind w:firstLine="720"/>
        <w:divId w:val="1663004036"/>
        <w:rPr>
          <w:sz w:val="20"/>
          <w:szCs w:val="20"/>
        </w:rPr>
      </w:pPr>
      <w:r>
        <w:rPr>
          <w:sz w:val="20"/>
          <w:szCs w:val="20"/>
        </w:rPr>
        <w:t>​</w:t>
      </w:r>
    </w:p>
    <w:p w:rsidR="00000000" w:rsidRDefault="00B51E11">
      <w:pPr>
        <w:pStyle w:val="a3"/>
        <w:spacing w:before="0" w:beforeAutospacing="0" w:after="0" w:afterAutospacing="0"/>
        <w:divId w:val="1663004036"/>
        <w:rPr>
          <w:sz w:val="20"/>
          <w:szCs w:val="20"/>
        </w:rPr>
      </w:pPr>
      <w:r>
        <w:rPr>
          <w:b/>
          <w:bCs/>
          <w:i/>
          <w:iCs/>
          <w:sz w:val="20"/>
          <w:szCs w:val="20"/>
        </w:rPr>
        <w:t>Irreversible JAK3 Inhibitor (TD-5202)</w:t>
      </w:r>
    </w:p>
    <w:p w:rsidR="00000000" w:rsidRDefault="00B51E11">
      <w:pPr>
        <w:pStyle w:val="a3"/>
        <w:spacing w:before="0" w:beforeAutospacing="0" w:after="0" w:afterAutospacing="0"/>
        <w:divId w:val="1663004036"/>
        <w:rPr>
          <w:sz w:val="20"/>
          <w:szCs w:val="20"/>
        </w:rPr>
      </w:pPr>
      <w:r>
        <w:rPr>
          <w:b/>
          <w:bCs/>
          <w:i/>
          <w:iCs/>
          <w:sz w:val="10"/>
          <w:szCs w:val="10"/>
        </w:rPr>
        <w:t>​</w:t>
      </w:r>
    </w:p>
    <w:p w:rsidR="00000000" w:rsidRDefault="00B51E11">
      <w:pPr>
        <w:pStyle w:val="a3"/>
        <w:spacing w:before="0" w:beforeAutospacing="0" w:after="0" w:afterAutospacing="0"/>
        <w:divId w:val="1663004036"/>
        <w:rPr>
          <w:sz w:val="20"/>
          <w:szCs w:val="20"/>
        </w:rPr>
      </w:pPr>
      <w:r>
        <w:rPr>
          <w:sz w:val="20"/>
          <w:szCs w:val="20"/>
        </w:rPr>
        <w:t xml:space="preserve">TD-5202 is an investigational, orally administered, gut-selective, irreversible JAK3 inhibitor that has demonstrated a high affinity for the JAK3 enzyme. Through the selective inhibition of JAK3, TD-5202 interferes with the JAK/STAT signaling pathway and, </w:t>
      </w:r>
      <w:r>
        <w:rPr>
          <w:sz w:val="20"/>
          <w:szCs w:val="20"/>
        </w:rPr>
        <w:t>in turn, modulates the activity of select pro-inflammatory cytokines, including IL-2, IL-15, and IL-21 which play a central role in the pathogenesis of T-cell mediated disease, including inflammatory intestinal disease, such as celiac disease. Importantly,</w:t>
      </w:r>
      <w:r>
        <w:rPr>
          <w:sz w:val="20"/>
          <w:szCs w:val="20"/>
        </w:rPr>
        <w:t xml:space="preserve"> TD-5202 is specifically designed to act locally within the intestinal wall thereby limiting systemic exposure.</w:t>
      </w:r>
      <w:r>
        <w:rPr>
          <w:sz w:val="20"/>
          <w:szCs w:val="20"/>
        </w:rPr>
        <w:t xml:space="preserve"> </w:t>
      </w:r>
    </w:p>
    <w:p w:rsidR="00000000" w:rsidRDefault="00B51E11">
      <w:pPr>
        <w:pStyle w:val="a3"/>
        <w:spacing w:before="0" w:beforeAutospacing="0" w:after="0" w:afterAutospacing="0"/>
        <w:divId w:val="1663004036"/>
        <w:rPr>
          <w:sz w:val="20"/>
          <w:szCs w:val="20"/>
        </w:rPr>
      </w:pPr>
      <w:r>
        <w:rPr>
          <w:sz w:val="20"/>
          <w:szCs w:val="20"/>
        </w:rPr>
        <w:t>​</w:t>
      </w:r>
    </w:p>
    <w:p w:rsidR="00000000" w:rsidRDefault="00B51E11">
      <w:pPr>
        <w:pStyle w:val="a3"/>
        <w:spacing w:before="360" w:beforeAutospacing="0" w:after="0" w:afterAutospacing="0"/>
        <w:jc w:val="center"/>
        <w:divId w:val="2118670892"/>
        <w:rPr>
          <w:sz w:val="20"/>
          <w:szCs w:val="20"/>
        </w:rPr>
      </w:pPr>
      <w:r>
        <w:rPr>
          <w:sz w:val="20"/>
          <w:szCs w:val="20"/>
        </w:rPr>
        <w:t>25</w:t>
      </w:r>
    </w:p>
    <w:p w:rsidR="00000000" w:rsidRDefault="00B51E11">
      <w:pPr>
        <w:pStyle w:val="a3"/>
        <w:spacing w:before="0" w:beforeAutospacing="0" w:after="600" w:afterAutospacing="0"/>
        <w:divId w:val="572667357"/>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924142050"/>
        <w:rPr>
          <w:sz w:val="20"/>
          <w:szCs w:val="20"/>
        </w:rPr>
      </w:pPr>
      <w:r>
        <w:rPr>
          <w:sz w:val="20"/>
          <w:szCs w:val="20"/>
        </w:rPr>
        <w:t>In September 2019, we announced the initiation of a Phase 1 single ascending dose and multiple</w:t>
      </w:r>
      <w:r>
        <w:rPr>
          <w:sz w:val="20"/>
          <w:szCs w:val="20"/>
        </w:rPr>
        <w:t xml:space="preserve"> ascending dose trial designed to evaluate the safety and tolerability of TD-5202 in healthy participants, plus assess plasma pharmacokinetics of TD-5202 to confirm circulating levels are low, consistent with a gut-selective approach. In February 2020, we </w:t>
      </w:r>
      <w:r>
        <w:rPr>
          <w:sz w:val="20"/>
          <w:szCs w:val="20"/>
        </w:rPr>
        <w:t>announced that data from the Phase 1 study indicated that TD-5202 was generally well tolerated as a single oral dose up to 2000 milligrams and as a twice-daily oral dose up 2000 milligrams total per day given for ten consecutive days in healthy participant</w:t>
      </w:r>
      <w:r>
        <w:rPr>
          <w:sz w:val="20"/>
          <w:szCs w:val="20"/>
        </w:rPr>
        <w:t xml:space="preserve">s. </w:t>
      </w:r>
    </w:p>
    <w:p w:rsidR="00000000" w:rsidRDefault="00B51E11">
      <w:pPr>
        <w:pStyle w:val="a3"/>
        <w:spacing w:before="0" w:beforeAutospacing="0" w:after="0" w:afterAutospacing="0"/>
        <w:divId w:val="1924142050"/>
        <w:rPr>
          <w:sz w:val="20"/>
          <w:szCs w:val="20"/>
        </w:rPr>
      </w:pPr>
      <w:r>
        <w:rPr>
          <w:sz w:val="20"/>
          <w:szCs w:val="20"/>
        </w:rPr>
        <w:t>​</w:t>
      </w:r>
    </w:p>
    <w:p w:rsidR="00000000" w:rsidRDefault="00B51E11">
      <w:pPr>
        <w:pStyle w:val="a3"/>
        <w:spacing w:before="0" w:beforeAutospacing="0" w:after="0" w:afterAutospacing="0"/>
        <w:divId w:val="1924142050"/>
        <w:rPr>
          <w:sz w:val="20"/>
          <w:szCs w:val="20"/>
        </w:rPr>
      </w:pPr>
      <w:r>
        <w:rPr>
          <w:sz w:val="20"/>
          <w:szCs w:val="20"/>
        </w:rPr>
        <w:t xml:space="preserve">We are developing TD-1473 and TD-5202 in collaboration with Janssen as part of the companies’ global co-development and commercialization agreement for novel, gut-selective JAK inhibitors. </w:t>
      </w:r>
    </w:p>
    <w:p w:rsidR="00000000" w:rsidRDefault="00B51E11">
      <w:pPr>
        <w:pStyle w:val="a3"/>
        <w:spacing w:before="0" w:beforeAutospacing="0" w:after="0" w:afterAutospacing="0"/>
        <w:divId w:val="1924142050"/>
        <w:rPr>
          <w:sz w:val="20"/>
          <w:szCs w:val="20"/>
        </w:rPr>
      </w:pPr>
      <w:r>
        <w:rPr>
          <w:sz w:val="20"/>
          <w:szCs w:val="20"/>
        </w:rPr>
        <w:t>​</w:t>
      </w:r>
    </w:p>
    <w:p w:rsidR="00000000" w:rsidRDefault="00B51E11">
      <w:pPr>
        <w:pStyle w:val="a3"/>
        <w:spacing w:before="0" w:beforeAutospacing="0" w:after="0" w:afterAutospacing="0"/>
        <w:divId w:val="1924142050"/>
        <w:rPr>
          <w:sz w:val="20"/>
          <w:szCs w:val="20"/>
        </w:rPr>
      </w:pPr>
      <w:r>
        <w:rPr>
          <w:i/>
          <w:iCs/>
          <w:sz w:val="20"/>
          <w:szCs w:val="20"/>
        </w:rPr>
        <w:t>Janssen Biotech Collaboration</w:t>
      </w:r>
    </w:p>
    <w:p w:rsidR="00000000" w:rsidRDefault="00B51E11">
      <w:pPr>
        <w:pStyle w:val="a3"/>
        <w:spacing w:before="0" w:beforeAutospacing="0" w:after="0" w:afterAutospacing="0"/>
        <w:divId w:val="1924142050"/>
        <w:rPr>
          <w:sz w:val="20"/>
          <w:szCs w:val="20"/>
        </w:rPr>
      </w:pPr>
      <w:r>
        <w:rPr>
          <w:i/>
          <w:iCs/>
          <w:sz w:val="10"/>
          <w:szCs w:val="10"/>
        </w:rPr>
        <w:t>​</w:t>
      </w:r>
    </w:p>
    <w:p w:rsidR="00000000" w:rsidRDefault="00B51E11">
      <w:pPr>
        <w:pStyle w:val="a3"/>
        <w:spacing w:before="0" w:beforeAutospacing="0" w:after="0" w:afterAutospacing="0"/>
        <w:ind w:firstLine="720"/>
        <w:divId w:val="1924142050"/>
        <w:rPr>
          <w:sz w:val="20"/>
          <w:szCs w:val="20"/>
        </w:rPr>
      </w:pPr>
      <w:r>
        <w:rPr>
          <w:sz w:val="20"/>
          <w:szCs w:val="20"/>
        </w:rPr>
        <w:t>In February 2018, we annou</w:t>
      </w:r>
      <w:r>
        <w:rPr>
          <w:sz w:val="20"/>
          <w:szCs w:val="20"/>
        </w:rPr>
        <w:t>nced a global co-development and commercialization agreement with Janssen for TD-1473 and related back-up compounds for inflammatory intestinal diseases, including ulcerative colitis and Crohn's disease. Under the terms of the agreement, we received an upf</w:t>
      </w:r>
      <w:r>
        <w:rPr>
          <w:sz w:val="20"/>
          <w:szCs w:val="20"/>
        </w:rPr>
        <w:t>ront payment of $100.0 million and will be eligible to receive up to an additional $900.0 million in potential payments, inclusive of a potential opt-in payment following completion of the Phase 2 Crohn’s study and the Phase 2b induction portion of the ulc</w:t>
      </w:r>
      <w:r>
        <w:rPr>
          <w:sz w:val="20"/>
          <w:szCs w:val="20"/>
        </w:rPr>
        <w:t>erative colitis study. At that time, Janssen can elect to obtain an exclusive license to develop and commercialize TD-1473 and certain related compounds by paying us a fee of $200.0 million. Upon such election, we and Janssen will jointly develop and comme</w:t>
      </w:r>
      <w:r>
        <w:rPr>
          <w:sz w:val="20"/>
          <w:szCs w:val="20"/>
        </w:rPr>
        <w:t>rcialize TD-1473 in inflammatory intestinal diseases, and we and Janssen will share profits and losses in the US and expenses related to a potential Phase 3 program (67% to Janssen; 33% to Theravance Biopharma). In addition, we would receive royalties on e</w:t>
      </w:r>
      <w:r>
        <w:rPr>
          <w:sz w:val="20"/>
          <w:szCs w:val="20"/>
        </w:rPr>
        <w:t>x-US sales at double-digit tiered percentage royalty rates.</w:t>
      </w:r>
    </w:p>
    <w:p w:rsidR="00000000" w:rsidRDefault="00B51E11">
      <w:pPr>
        <w:pStyle w:val="a3"/>
        <w:spacing w:before="0" w:beforeAutospacing="0" w:after="0" w:afterAutospacing="0"/>
        <w:ind w:firstLine="720"/>
        <w:divId w:val="1924142050"/>
        <w:rPr>
          <w:sz w:val="20"/>
          <w:szCs w:val="20"/>
        </w:rPr>
      </w:pPr>
      <w:r>
        <w:rPr>
          <w:sz w:val="20"/>
          <w:szCs w:val="20"/>
        </w:rPr>
        <w:t>​</w:t>
      </w:r>
    </w:p>
    <w:p w:rsidR="00000000" w:rsidRDefault="00B51E11">
      <w:pPr>
        <w:pStyle w:val="a3"/>
        <w:spacing w:before="0" w:beforeAutospacing="0" w:after="0" w:afterAutospacing="0"/>
        <w:ind w:firstLine="720"/>
        <w:divId w:val="1924142050"/>
        <w:rPr>
          <w:sz w:val="20"/>
          <w:szCs w:val="20"/>
        </w:rPr>
      </w:pPr>
      <w:r>
        <w:rPr>
          <w:sz w:val="20"/>
          <w:szCs w:val="20"/>
        </w:rPr>
        <w:t>The closing of the opt-in portion of the transaction is subject to clearance under the Hart-Scott-Rodino Antitrust Improvements Act (“HSR Act”). After Phase 2, Janssen would lead subsequent deve</w:t>
      </w:r>
      <w:r>
        <w:rPr>
          <w:sz w:val="20"/>
          <w:szCs w:val="20"/>
        </w:rPr>
        <w:t>lopment of TD-1473 in Crohn’s disease if it makes such an election. We will lead development of TD-1473 in ulcerative colitis through completion of the Phase 2b/3 study. If TD-1473 is commercialized, we have the option to co-commercialize in the US, and Ja</w:t>
      </w:r>
      <w:r>
        <w:rPr>
          <w:sz w:val="20"/>
          <w:szCs w:val="20"/>
        </w:rPr>
        <w:t>nssen would have sole commercialization responsibilities outside the US. </w:t>
      </w:r>
    </w:p>
    <w:p w:rsidR="00000000" w:rsidRDefault="00B51E11">
      <w:pPr>
        <w:pStyle w:val="a3"/>
        <w:spacing w:before="0" w:beforeAutospacing="0" w:after="0" w:afterAutospacing="0"/>
        <w:divId w:val="1924142050"/>
        <w:rPr>
          <w:sz w:val="20"/>
          <w:szCs w:val="20"/>
        </w:rPr>
      </w:pPr>
      <w:r>
        <w:rPr>
          <w:sz w:val="20"/>
          <w:szCs w:val="20"/>
        </w:rPr>
        <w:t>​</w:t>
      </w:r>
    </w:p>
    <w:p w:rsidR="00000000" w:rsidRDefault="00B51E11">
      <w:pPr>
        <w:pStyle w:val="a3"/>
        <w:spacing w:before="0" w:beforeAutospacing="0" w:after="0" w:afterAutospacing="0"/>
        <w:divId w:val="1924142050"/>
        <w:rPr>
          <w:sz w:val="20"/>
          <w:szCs w:val="20"/>
        </w:rPr>
      </w:pPr>
      <w:r>
        <w:rPr>
          <w:b/>
          <w:bCs/>
          <w:i/>
          <w:iCs/>
          <w:sz w:val="20"/>
          <w:szCs w:val="20"/>
        </w:rPr>
        <w:t>Lung-selective Pan-JAK Inhibitor Program (TD-8236)</w:t>
      </w:r>
    </w:p>
    <w:p w:rsidR="00000000" w:rsidRDefault="00B51E11">
      <w:pPr>
        <w:pStyle w:val="a3"/>
        <w:spacing w:before="0" w:beforeAutospacing="0" w:after="0" w:afterAutospacing="0"/>
        <w:divId w:val="1924142050"/>
        <w:rPr>
          <w:sz w:val="20"/>
          <w:szCs w:val="20"/>
        </w:rPr>
      </w:pPr>
      <w:r>
        <w:rPr>
          <w:b/>
          <w:bCs/>
          <w:i/>
          <w:iCs/>
          <w:sz w:val="10"/>
          <w:szCs w:val="10"/>
        </w:rPr>
        <w:t>​</w:t>
      </w:r>
    </w:p>
    <w:p w:rsidR="00000000" w:rsidRDefault="00B51E11">
      <w:pPr>
        <w:pStyle w:val="a3"/>
        <w:spacing w:before="0" w:beforeAutospacing="0" w:after="0" w:afterAutospacing="0"/>
        <w:ind w:firstLine="720"/>
        <w:divId w:val="1924142050"/>
        <w:rPr>
          <w:sz w:val="20"/>
          <w:szCs w:val="20"/>
        </w:rPr>
      </w:pPr>
      <w:r>
        <w:rPr>
          <w:sz w:val="20"/>
          <w:szCs w:val="20"/>
        </w:rPr>
        <w:t>TD-8236 is an investigational, inhaled lung-selective pan-JAK inhibitor that has demonstrated a high affinity for each of the J</w:t>
      </w:r>
      <w:r>
        <w:rPr>
          <w:sz w:val="20"/>
          <w:szCs w:val="20"/>
        </w:rPr>
        <w:t>AK family of enzymes (JAK1, JAK2, JAK3 and TYK2) that play a key role in cytokine signaling. Inhibiting these JAK enzymes interferes with the JAK/STAT signaling pathway and, in turn, modulates the activity of a wide range of pro-inflammatory cytokines. Whi</w:t>
      </w:r>
      <w:r>
        <w:rPr>
          <w:sz w:val="20"/>
          <w:szCs w:val="20"/>
        </w:rPr>
        <w:t>le orally-administered JAK inhibitors are currently approved for the treatment of a range of inflammatory diseases, no inhaled JAK inhibitor is approved for the treatment of airway disease, including asthma. The pan-JAK activity of TD-8236 suggests that it</w:t>
      </w:r>
      <w:r>
        <w:rPr>
          <w:sz w:val="20"/>
          <w:szCs w:val="20"/>
        </w:rPr>
        <w:t xml:space="preserve"> may impact a broad range of cytokines that have been associated both T2-high and T2-low asthma. Many moderate to severe asthma patients comprising both T2 phenotypes remain symptomatic despite being compliant on high doses of inhaled steroids. Importantly</w:t>
      </w:r>
      <w:r>
        <w:rPr>
          <w:sz w:val="20"/>
          <w:szCs w:val="20"/>
        </w:rPr>
        <w:t xml:space="preserve">, TD-8236 is designed to distribute and exert its anti-inflammatory effect within the lungs following dry powder inhalation, with the potential to treat inflammation within that organ while minimizing systemic exposure. In preclinical assessments, TD-8236 </w:t>
      </w:r>
      <w:r>
        <w:rPr>
          <w:sz w:val="20"/>
          <w:szCs w:val="20"/>
        </w:rPr>
        <w:t xml:space="preserve">has shown to potently inhibit targeted mediators of T2-high and T2-low asthma in human cells. </w:t>
      </w:r>
    </w:p>
    <w:p w:rsidR="00000000" w:rsidRDefault="00B51E11">
      <w:pPr>
        <w:pStyle w:val="a3"/>
        <w:spacing w:before="0" w:beforeAutospacing="0" w:after="0" w:afterAutospacing="0"/>
        <w:ind w:firstLine="720"/>
        <w:divId w:val="1924142050"/>
        <w:rPr>
          <w:sz w:val="20"/>
          <w:szCs w:val="20"/>
        </w:rPr>
      </w:pPr>
      <w:r>
        <w:rPr>
          <w:sz w:val="20"/>
          <w:szCs w:val="20"/>
        </w:rPr>
        <w:t>​</w:t>
      </w:r>
    </w:p>
    <w:p w:rsidR="00000000" w:rsidRDefault="00B51E11">
      <w:pPr>
        <w:pStyle w:val="a3"/>
        <w:spacing w:before="0" w:beforeAutospacing="0" w:after="0" w:afterAutospacing="0"/>
        <w:ind w:firstLine="720"/>
        <w:divId w:val="1924142050"/>
        <w:rPr>
          <w:sz w:val="20"/>
          <w:szCs w:val="20"/>
        </w:rPr>
      </w:pPr>
      <w:r>
        <w:rPr>
          <w:sz w:val="20"/>
          <w:szCs w:val="20"/>
        </w:rPr>
        <w:t>In September 2019, we announced positive results from a Phase 1 single-ascending dose and multiple-ascending dose clinical trial of TD-8236. The Part C extensi</w:t>
      </w:r>
      <w:r>
        <w:rPr>
          <w:sz w:val="20"/>
          <w:szCs w:val="20"/>
        </w:rPr>
        <w:t>on portion of the Phase 1 trial, assessing additional biomarkers in patients with moderate to severe asthma, demonstrated that biomarkers of JAK target engagement (including exhaled nitric oxide and pSTAT1 and pSTAT6 in cellular fractions of bronchoalveola</w:t>
      </w:r>
      <w:r>
        <w:rPr>
          <w:sz w:val="20"/>
          <w:szCs w:val="20"/>
        </w:rPr>
        <w:t>r lavage fluid) were reduced after 7 days of once-daily dosing at a dose level of 1500 µg. In December 2019, we announced the initiation of a Phase 2 allergen challenge study of TD-8236 in mild allergic asthma patients. TD-8236 is the first JAK inhibitor t</w:t>
      </w:r>
      <w:r>
        <w:rPr>
          <w:sz w:val="20"/>
          <w:szCs w:val="20"/>
        </w:rPr>
        <w:t xml:space="preserve">o be studied in a Phase 2a Lung Allergen Challenge (LAC) study, but inconsistent with our expectations, it had no impact on decrease in lung function (FEV1) following allergen inhalation after 14 days of once-daily dosing at dose levels of 150 µg and 1500 </w:t>
      </w:r>
      <w:r>
        <w:rPr>
          <w:sz w:val="20"/>
          <w:szCs w:val="20"/>
        </w:rPr>
        <w:t>µg compared to placebo. The collective data set (pre-clinical, Phase 1, Phase 2a) demonstrates TD-8236 engages the JAK mechanism at a dose of 1500 µg as evidenced by the reduction in FeNO and reductions in pSTAT, but does not protect against the lung funct</w:t>
      </w:r>
      <w:r>
        <w:rPr>
          <w:sz w:val="20"/>
          <w:szCs w:val="20"/>
        </w:rPr>
        <w:t>ion decline seen after allergen inhalation. There are other therapies that have failed to show an effect in a lung allergen challenge study but went on to gain approval. We will continue to analyze the data set including the forthcoming gene expression and</w:t>
      </w:r>
      <w:r>
        <w:rPr>
          <w:sz w:val="20"/>
          <w:szCs w:val="20"/>
        </w:rPr>
        <w:t xml:space="preserve"> cytokine data from the Phase 1 Part C study to help inform our conclusions and next steps for TD-8236.</w:t>
      </w:r>
    </w:p>
    <w:p w:rsidR="00000000" w:rsidRDefault="00B51E11">
      <w:pPr>
        <w:pStyle w:val="a3"/>
        <w:spacing w:before="360" w:beforeAutospacing="0" w:after="0" w:afterAutospacing="0"/>
        <w:jc w:val="center"/>
        <w:divId w:val="1131676269"/>
        <w:rPr>
          <w:sz w:val="20"/>
          <w:szCs w:val="20"/>
        </w:rPr>
      </w:pPr>
      <w:r>
        <w:rPr>
          <w:sz w:val="20"/>
          <w:szCs w:val="20"/>
        </w:rPr>
        <w:t>26</w:t>
      </w:r>
    </w:p>
    <w:p w:rsidR="00000000" w:rsidRDefault="00B51E11">
      <w:pPr>
        <w:pStyle w:val="a3"/>
        <w:spacing w:before="0" w:beforeAutospacing="0" w:after="600" w:afterAutospacing="0"/>
        <w:divId w:val="1981375951"/>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410729174"/>
        <w:rPr>
          <w:sz w:val="20"/>
          <w:szCs w:val="20"/>
        </w:rPr>
      </w:pPr>
      <w:r>
        <w:rPr>
          <w:b/>
          <w:bCs/>
          <w:sz w:val="20"/>
          <w:szCs w:val="20"/>
        </w:rPr>
        <w:t>​</w:t>
      </w:r>
    </w:p>
    <w:p w:rsidR="00000000" w:rsidRDefault="00B51E11">
      <w:pPr>
        <w:pStyle w:val="a3"/>
        <w:spacing w:before="0" w:beforeAutospacing="0" w:after="120" w:afterAutospacing="0"/>
        <w:divId w:val="1410729174"/>
        <w:rPr>
          <w:sz w:val="20"/>
          <w:szCs w:val="20"/>
        </w:rPr>
      </w:pPr>
      <w:r>
        <w:rPr>
          <w:b/>
          <w:bCs/>
          <w:sz w:val="20"/>
          <w:szCs w:val="20"/>
        </w:rPr>
        <w:t>Economic Interest in GSK-Partnered Respiratory Programs</w:t>
      </w:r>
    </w:p>
    <w:p w:rsidR="00000000" w:rsidRDefault="00B51E11">
      <w:pPr>
        <w:pStyle w:val="a3"/>
        <w:spacing w:before="0" w:beforeAutospacing="0" w:after="0" w:afterAutospacing="0"/>
        <w:ind w:firstLine="720"/>
        <w:divId w:val="1410729174"/>
        <w:rPr>
          <w:sz w:val="20"/>
          <w:szCs w:val="20"/>
        </w:rPr>
      </w:pPr>
      <w:r>
        <w:rPr>
          <w:sz w:val="20"/>
          <w:szCs w:val="20"/>
        </w:rPr>
        <w:t>We hold an 85% economic interest in any future payments that may be made by GSK to Theravance Respiratory Company, LLC (“TRC”) pursuant to its agreements with Innoviva (net of TRC expenses paid and the amount of cash, if any, expected to be used by TRC pur</w:t>
      </w:r>
      <w:r>
        <w:rPr>
          <w:sz w:val="20"/>
          <w:szCs w:val="20"/>
        </w:rPr>
        <w:t>suant to the TRC LLC Agreement over the next four fiscal quarters) relating to the GSK-Partnered Respiratory Programs, which Innoviva partnered with GSK and assigned to TRC in connection with Innoviva’s separation of its biopharmaceutical operations into i</w:t>
      </w:r>
      <w:r>
        <w:rPr>
          <w:sz w:val="20"/>
          <w:szCs w:val="20"/>
        </w:rPr>
        <w:t>ts then wholly-owned subsidiary Theravance Biopharma in June 2014. The GSK-Partnered Respiratory Programs consists primarily of the TRELEGY program, which is described in more detail below. We are entitled to this economic interest through our equity owner</w:t>
      </w:r>
      <w:r>
        <w:rPr>
          <w:sz w:val="20"/>
          <w:szCs w:val="20"/>
        </w:rPr>
        <w:t xml:space="preserve">ship in TRC. Our economic interest does not include any payments associated with RELVAR ELLIPTA/BREO ELLIPTA, ANORO ELLIPTA or vilanterol monotherapy. </w:t>
      </w:r>
    </w:p>
    <w:p w:rsidR="00000000" w:rsidRDefault="00B51E11">
      <w:pPr>
        <w:pStyle w:val="a3"/>
        <w:spacing w:before="0" w:beforeAutospacing="0" w:after="0" w:afterAutospacing="0"/>
        <w:divId w:val="1410729174"/>
        <w:rPr>
          <w:sz w:val="20"/>
          <w:szCs w:val="20"/>
        </w:rPr>
      </w:pPr>
      <w:r>
        <w:rPr>
          <w:sz w:val="20"/>
          <w:szCs w:val="20"/>
        </w:rPr>
        <w:t>​</w:t>
      </w:r>
    </w:p>
    <w:p w:rsidR="00000000" w:rsidRDefault="00B51E11">
      <w:pPr>
        <w:pStyle w:val="a3"/>
        <w:spacing w:before="0" w:beforeAutospacing="0" w:after="0" w:afterAutospacing="0"/>
        <w:ind w:firstLine="720"/>
        <w:divId w:val="1410729174"/>
        <w:rPr>
          <w:sz w:val="20"/>
          <w:szCs w:val="20"/>
        </w:rPr>
      </w:pPr>
      <w:r>
        <w:rPr>
          <w:sz w:val="20"/>
          <w:szCs w:val="20"/>
        </w:rPr>
        <w:t>The following information regarding the TRELEGY program is based solely upon publicly available inform</w:t>
      </w:r>
      <w:r>
        <w:rPr>
          <w:sz w:val="20"/>
          <w:szCs w:val="20"/>
        </w:rPr>
        <w:t>ation and may not reflect the most recent developments under the programs.</w:t>
      </w:r>
    </w:p>
    <w:p w:rsidR="00000000" w:rsidRDefault="00B51E11">
      <w:pPr>
        <w:pStyle w:val="a3"/>
        <w:spacing w:before="0" w:beforeAutospacing="0" w:after="0" w:afterAutospacing="0"/>
        <w:ind w:firstLine="720"/>
        <w:divId w:val="1410729174"/>
        <w:rPr>
          <w:sz w:val="20"/>
          <w:szCs w:val="20"/>
        </w:rPr>
      </w:pPr>
      <w:r>
        <w:rPr>
          <w:sz w:val="20"/>
          <w:szCs w:val="20"/>
        </w:rPr>
        <w:t>​</w:t>
      </w:r>
    </w:p>
    <w:p w:rsidR="00000000" w:rsidRDefault="00B51E11">
      <w:pPr>
        <w:pStyle w:val="a3"/>
        <w:spacing w:before="0" w:beforeAutospacing="0" w:after="120" w:afterAutospacing="0"/>
        <w:divId w:val="1410729174"/>
        <w:rPr>
          <w:sz w:val="20"/>
          <w:szCs w:val="20"/>
        </w:rPr>
      </w:pPr>
      <w:r>
        <w:rPr>
          <w:b/>
          <w:bCs/>
          <w:i/>
          <w:iCs/>
          <w:sz w:val="20"/>
          <w:szCs w:val="20"/>
        </w:rPr>
        <w:t>TRELEGY (the combination of fluticasone furoate/umeclidinium bromide/vilanterol)</w:t>
      </w:r>
    </w:p>
    <w:p w:rsidR="00000000" w:rsidRDefault="00B51E11">
      <w:pPr>
        <w:pStyle w:val="a3"/>
        <w:spacing w:before="0" w:beforeAutospacing="0" w:after="0" w:afterAutospacing="0"/>
        <w:ind w:firstLine="720"/>
        <w:divId w:val="1410729174"/>
        <w:rPr>
          <w:sz w:val="20"/>
          <w:szCs w:val="20"/>
        </w:rPr>
      </w:pPr>
      <w:r>
        <w:rPr>
          <w:sz w:val="20"/>
          <w:szCs w:val="20"/>
        </w:rPr>
        <w:t xml:space="preserve">TRELEGY provides the activity of an inhaled corticosteroid (FF) plus two bronchodilators (UMEC, a </w:t>
      </w:r>
      <w:r>
        <w:rPr>
          <w:sz w:val="20"/>
          <w:szCs w:val="20"/>
        </w:rPr>
        <w:t xml:space="preserve">LAMA, and VI, a long-acting beta2 agonist, or LABA) in a single delivery device administered once-daily. TRELEGY is approved for use in the US and European Union (“EU”) for the long-term, once-daily, maintenance treatment of patients with COPD. We hold an </w:t>
      </w:r>
      <w:r>
        <w:rPr>
          <w:sz w:val="20"/>
          <w:szCs w:val="20"/>
        </w:rPr>
        <w:t>85% economic interest in the royalties payable by GSK to TRC on worldwide net sales (net of TRC expenses paid and the amount of cash, if any, expected to be used by TRC pursuant to the TRC LLC Agreement over the next four fiscal quarters) through our inter</w:t>
      </w:r>
      <w:r>
        <w:rPr>
          <w:sz w:val="20"/>
          <w:szCs w:val="20"/>
        </w:rPr>
        <w:t xml:space="preserve">est in TRC. Those royalties are upward-tiering from 6.5% to 10%, resulting in cash flows to us of approximately 5.5% to 8.5% of worldwide net sales of TRELEGY (net of TRC expenses paid and the amount of cash, if any, expected to be used by TRC pursuant to </w:t>
      </w:r>
      <w:r>
        <w:rPr>
          <w:sz w:val="20"/>
          <w:szCs w:val="20"/>
        </w:rPr>
        <w:t>the TRC LLC Agreement over the next four fiscal quarters). Theravance Biopharma is not responsible for any of GSK’s costs related to the development or commercialization of TRELEGY.</w:t>
      </w:r>
    </w:p>
    <w:p w:rsidR="00000000" w:rsidRDefault="00B51E11">
      <w:pPr>
        <w:pStyle w:val="a3"/>
        <w:spacing w:before="0" w:beforeAutospacing="0" w:after="0" w:afterAutospacing="0"/>
        <w:ind w:firstLine="720"/>
        <w:divId w:val="1410729174"/>
        <w:rPr>
          <w:sz w:val="20"/>
          <w:szCs w:val="20"/>
        </w:rPr>
      </w:pPr>
      <w:r>
        <w:rPr>
          <w:sz w:val="20"/>
          <w:szCs w:val="20"/>
        </w:rPr>
        <w:t>​</w:t>
      </w:r>
    </w:p>
    <w:p w:rsidR="00000000" w:rsidRDefault="00B51E11">
      <w:pPr>
        <w:pStyle w:val="a3"/>
        <w:spacing w:before="0" w:beforeAutospacing="0" w:after="0" w:afterAutospacing="0"/>
        <w:ind w:firstLine="720"/>
        <w:divId w:val="1410729174"/>
        <w:rPr>
          <w:sz w:val="20"/>
          <w:szCs w:val="20"/>
        </w:rPr>
      </w:pPr>
      <w:r>
        <w:rPr>
          <w:sz w:val="20"/>
          <w:szCs w:val="20"/>
        </w:rPr>
        <w:t>GSK and Innoviva conducted two global pivotal Phase 3 studies of TRELEGY</w:t>
      </w:r>
      <w:r>
        <w:rPr>
          <w:sz w:val="20"/>
          <w:szCs w:val="20"/>
        </w:rPr>
        <w:t xml:space="preserve"> in COPD, the IMPACT study and the FULFIL study. In September 2017, GSK and Innoviva announced that the FDA approved TRELEGY for the long-term, once-daily, maintenance treatment of appropriate patients with COPD. In August 2019, GSK announced that it had f</w:t>
      </w:r>
      <w:r>
        <w:rPr>
          <w:sz w:val="20"/>
          <w:szCs w:val="20"/>
        </w:rPr>
        <w:t>iled a supplemental new drug application (“sNDA”) to the FDA supporting revised labelling for TRELEGY on reduction in risk of all-cause mortality compared with ANORO ELLIPTA in patients with COPD. The FDA postponed an Advisory Committee meeting that was pr</w:t>
      </w:r>
      <w:r>
        <w:rPr>
          <w:sz w:val="20"/>
          <w:szCs w:val="20"/>
        </w:rPr>
        <w:t>eviously scheduled for April 21, 2020 related to this sNDA which was subsequently rescheduled for August 31, 2020. During the FDA’s Advisory Committee, the panel voted against the proposed all-cause mortality labeling claim. GSK announced during their thir</w:t>
      </w:r>
      <w:r>
        <w:rPr>
          <w:sz w:val="20"/>
          <w:szCs w:val="20"/>
        </w:rPr>
        <w:t>d-quarter conference call on October 28, 2020 that the company received a Complete Response Letter from the FDA for the label update.</w:t>
      </w:r>
    </w:p>
    <w:p w:rsidR="00000000" w:rsidRDefault="00B51E11">
      <w:pPr>
        <w:pStyle w:val="a3"/>
        <w:spacing w:before="0" w:beforeAutospacing="0" w:after="0" w:afterAutospacing="0"/>
        <w:ind w:firstLine="720"/>
        <w:divId w:val="1410729174"/>
        <w:rPr>
          <w:sz w:val="20"/>
          <w:szCs w:val="20"/>
        </w:rPr>
      </w:pPr>
      <w:r>
        <w:rPr>
          <w:sz w:val="20"/>
          <w:szCs w:val="20"/>
        </w:rPr>
        <w:t>​</w:t>
      </w:r>
    </w:p>
    <w:p w:rsidR="00000000" w:rsidRDefault="00B51E11">
      <w:pPr>
        <w:pStyle w:val="a3"/>
        <w:spacing w:before="0" w:beforeAutospacing="0" w:after="0" w:afterAutospacing="0"/>
        <w:ind w:firstLine="720"/>
        <w:divId w:val="1410729174"/>
        <w:rPr>
          <w:sz w:val="20"/>
          <w:szCs w:val="20"/>
        </w:rPr>
      </w:pPr>
      <w:r>
        <w:rPr>
          <w:sz w:val="20"/>
          <w:szCs w:val="20"/>
        </w:rPr>
        <w:t xml:space="preserve">Additionally, GSK and Innoviva conducted a Phase 3 (CAPTAIN) study of TRELEGY in patients with asthma. In May 2019, GSK </w:t>
      </w:r>
      <w:r>
        <w:rPr>
          <w:sz w:val="20"/>
          <w:szCs w:val="20"/>
        </w:rPr>
        <w:t>and Innoviva announced that the study had met its primary endpoint, and in October 2019, GSK announced it had filed a sNDA with the FDA seeking an additional indication for the use of once-daily, single-inhaler triple therapy, TRELEGY, for the treatment of</w:t>
      </w:r>
      <w:r>
        <w:rPr>
          <w:sz w:val="20"/>
          <w:szCs w:val="20"/>
        </w:rPr>
        <w:t xml:space="preserve"> asthma in adults. The FDA approved the asthma sNDA in September 2020 making TRELEGY the first once-daily single inhaler triple therapy for the treatment of both asthma and COPD in the US.</w:t>
      </w:r>
    </w:p>
    <w:p w:rsidR="00000000" w:rsidRDefault="00B51E11">
      <w:pPr>
        <w:pStyle w:val="a3"/>
        <w:spacing w:before="0" w:beforeAutospacing="0" w:after="0" w:afterAutospacing="0"/>
        <w:divId w:val="1410729174"/>
        <w:rPr>
          <w:sz w:val="20"/>
          <w:szCs w:val="20"/>
        </w:rPr>
      </w:pPr>
      <w:r>
        <w:rPr>
          <w:i/>
          <w:iCs/>
          <w:sz w:val="20"/>
          <w:szCs w:val="20"/>
        </w:rPr>
        <w:t>​</w:t>
      </w:r>
    </w:p>
    <w:p w:rsidR="00000000" w:rsidRDefault="00B51E11">
      <w:pPr>
        <w:pStyle w:val="a3"/>
        <w:spacing w:before="0" w:beforeAutospacing="0" w:after="120" w:afterAutospacing="0"/>
        <w:divId w:val="1410729174"/>
        <w:rPr>
          <w:sz w:val="20"/>
          <w:szCs w:val="20"/>
        </w:rPr>
      </w:pPr>
      <w:r>
        <w:rPr>
          <w:b/>
          <w:bCs/>
          <w:i/>
          <w:iCs/>
          <w:sz w:val="20"/>
          <w:szCs w:val="20"/>
        </w:rPr>
        <w:t>Theravance Respiratory Company, LLC</w:t>
      </w:r>
    </w:p>
    <w:p w:rsidR="00000000" w:rsidRDefault="00B51E11">
      <w:pPr>
        <w:pStyle w:val="a3"/>
        <w:spacing w:before="0" w:beforeAutospacing="0" w:after="0" w:afterAutospacing="0"/>
        <w:ind w:firstLine="720"/>
        <w:divId w:val="1410729174"/>
        <w:rPr>
          <w:sz w:val="20"/>
          <w:szCs w:val="20"/>
        </w:rPr>
      </w:pPr>
      <w:r>
        <w:rPr>
          <w:sz w:val="20"/>
          <w:szCs w:val="20"/>
        </w:rPr>
        <w:t>Prior to the June 2014 spin-o</w:t>
      </w:r>
      <w:r>
        <w:rPr>
          <w:sz w:val="20"/>
          <w:szCs w:val="20"/>
        </w:rPr>
        <w:t>ff from Innoviva, our former parent company, Innoviva assigned to Theravance Respiratory Company, LLC (“TRC”), a Delaware limited liability company formed by Innoviva, its strategic alliance agreement with GSK and all of its rights and obligations under it</w:t>
      </w:r>
      <w:r>
        <w:rPr>
          <w:sz w:val="20"/>
          <w:szCs w:val="20"/>
        </w:rPr>
        <w:t xml:space="preserve">s collaboration agreement with GSK, other than with respect to RELVAR ELLIPTA/BREO ELLIPTA, ANORO ELLIPTA and vilanterol monotherapy. </w:t>
      </w:r>
    </w:p>
    <w:p w:rsidR="00000000" w:rsidRDefault="00B51E11">
      <w:pPr>
        <w:pStyle w:val="a3"/>
        <w:spacing w:before="0" w:beforeAutospacing="0" w:after="0" w:afterAutospacing="0"/>
        <w:ind w:firstLine="720"/>
        <w:divId w:val="1410729174"/>
        <w:rPr>
          <w:sz w:val="20"/>
          <w:szCs w:val="20"/>
        </w:rPr>
      </w:pPr>
      <w:r>
        <w:rPr>
          <w:sz w:val="20"/>
          <w:szCs w:val="20"/>
        </w:rPr>
        <w:t>​</w:t>
      </w:r>
    </w:p>
    <w:p w:rsidR="00000000" w:rsidRDefault="00B51E11">
      <w:pPr>
        <w:pStyle w:val="a3"/>
        <w:spacing w:before="0" w:beforeAutospacing="0" w:after="0" w:afterAutospacing="0"/>
        <w:ind w:firstLine="720"/>
        <w:divId w:val="1410729174"/>
        <w:rPr>
          <w:sz w:val="20"/>
          <w:szCs w:val="20"/>
        </w:rPr>
      </w:pPr>
      <w:r>
        <w:rPr>
          <w:sz w:val="20"/>
          <w:szCs w:val="20"/>
        </w:rPr>
        <w:t>Our equity interest in TRC is the mechanism by which we are entitled to the 85% economic interest in any future payment</w:t>
      </w:r>
      <w:r>
        <w:rPr>
          <w:sz w:val="20"/>
          <w:szCs w:val="20"/>
        </w:rPr>
        <w:t>s made by GSK under the strategic alliance agreement and under the portion of the collaboration agreement assigned to TRC by Innoviva (net of TRC expenses paid and the amount of cash, if any, expected to be used by TRC pursuant to the TRC LLC Agreement ove</w:t>
      </w:r>
      <w:r>
        <w:rPr>
          <w:sz w:val="20"/>
          <w:szCs w:val="20"/>
        </w:rPr>
        <w:t xml:space="preserve">r the next four fiscal quarters). Royalty payments from GSK to TRC arising from the net sales of </w:t>
      </w:r>
      <w:r>
        <w:rPr>
          <w:caps/>
          <w:sz w:val="20"/>
          <w:szCs w:val="20"/>
        </w:rPr>
        <w:t xml:space="preserve">Trelegy </w:t>
      </w:r>
      <w:r>
        <w:rPr>
          <w:sz w:val="20"/>
          <w:szCs w:val="20"/>
        </w:rPr>
        <w:t>are presented in our condensed consolidated statements of operations within “Income from investment in TRC, LLC” and is classified as non-operating inc</w:t>
      </w:r>
      <w:r>
        <w:rPr>
          <w:sz w:val="20"/>
          <w:szCs w:val="20"/>
        </w:rPr>
        <w:t xml:space="preserve">ome. During the three months ended June 30, 2020, we also recorded $8.5 million </w:t>
      </w:r>
    </w:p>
    <w:p w:rsidR="00000000" w:rsidRDefault="00B51E11">
      <w:pPr>
        <w:pStyle w:val="a3"/>
        <w:spacing w:before="360" w:beforeAutospacing="0" w:after="0" w:afterAutospacing="0"/>
        <w:jc w:val="center"/>
        <w:divId w:val="2137603338"/>
        <w:rPr>
          <w:sz w:val="20"/>
          <w:szCs w:val="20"/>
        </w:rPr>
      </w:pPr>
      <w:r>
        <w:rPr>
          <w:sz w:val="20"/>
          <w:szCs w:val="20"/>
        </w:rPr>
        <w:t>27</w:t>
      </w:r>
    </w:p>
    <w:p w:rsidR="00000000" w:rsidRDefault="00B51E11">
      <w:pPr>
        <w:pStyle w:val="a3"/>
        <w:spacing w:before="0" w:beforeAutospacing="0" w:after="600" w:afterAutospacing="0"/>
        <w:divId w:val="2094665527"/>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825974892"/>
        <w:rPr>
          <w:sz w:val="20"/>
          <w:szCs w:val="20"/>
        </w:rPr>
      </w:pPr>
      <w:r>
        <w:rPr>
          <w:sz w:val="20"/>
          <w:szCs w:val="20"/>
        </w:rPr>
        <w:t xml:space="preserve">within “Income from investment in TRC, LLC” representing our share of a </w:t>
      </w:r>
      <w:r>
        <w:rPr>
          <w:color w:val="212529"/>
          <w:sz w:val="20"/>
          <w:szCs w:val="20"/>
          <w:shd w:val="clear" w:color="auto" w:fill="FFFFFF"/>
        </w:rPr>
        <w:t>$10.0 million fee that GSK agreed to pay TRC upon termin</w:t>
      </w:r>
      <w:r>
        <w:rPr>
          <w:color w:val="212529"/>
          <w:sz w:val="20"/>
          <w:szCs w:val="20"/>
          <w:shd w:val="clear" w:color="auto" w:fill="FFFFFF"/>
        </w:rPr>
        <w:t xml:space="preserve">ation of the MABA program in June 2020. </w:t>
      </w:r>
      <w:r>
        <w:rPr>
          <w:sz w:val="20"/>
          <w:szCs w:val="20"/>
        </w:rPr>
        <w:t>Seventy-five percent of the “Income from investment in TRC, LLC,” as evidenced by the Issuer II Class C Units (defined below), is available only for payment of the $400.0 million aggregate amount of 9.5% fixed-rate n</w:t>
      </w:r>
      <w:r>
        <w:rPr>
          <w:sz w:val="20"/>
          <w:szCs w:val="20"/>
        </w:rPr>
        <w:t xml:space="preserve">on-recourse term notes due 2035 (the “Non-Recourse 2035 Notes”) and is not available to pay our other obligations or the claims of our other creditors. </w:t>
      </w:r>
    </w:p>
    <w:p w:rsidR="00000000" w:rsidRDefault="00B51E11">
      <w:pPr>
        <w:pStyle w:val="a3"/>
        <w:spacing w:before="0" w:beforeAutospacing="0" w:after="0" w:afterAutospacing="0"/>
        <w:ind w:firstLine="720"/>
        <w:divId w:val="825974892"/>
        <w:rPr>
          <w:sz w:val="20"/>
          <w:szCs w:val="20"/>
        </w:rPr>
      </w:pPr>
      <w:r>
        <w:rPr>
          <w:sz w:val="20"/>
          <w:szCs w:val="20"/>
        </w:rPr>
        <w:t>​</w:t>
      </w:r>
    </w:p>
    <w:p w:rsidR="00000000" w:rsidRDefault="00B51E11">
      <w:pPr>
        <w:pStyle w:val="a3"/>
        <w:spacing w:before="0" w:beforeAutospacing="0" w:after="0" w:afterAutospacing="0"/>
        <w:ind w:firstLine="720"/>
        <w:divId w:val="825974892"/>
        <w:rPr>
          <w:sz w:val="20"/>
          <w:szCs w:val="20"/>
        </w:rPr>
      </w:pPr>
      <w:r>
        <w:rPr>
          <w:sz w:val="20"/>
          <w:szCs w:val="20"/>
        </w:rPr>
        <w:t>Our special purpose subsidiary Triple Royalty Sub II LLC (the “Issuer II”) issued the Non-Recourse 20</w:t>
      </w:r>
      <w:r>
        <w:rPr>
          <w:sz w:val="20"/>
          <w:szCs w:val="20"/>
        </w:rPr>
        <w:t>35 Notes in February 2020, which proceeds were used in part to repay the outstanding balance of our 9.0% non-recourse notes, due on or before 2033 (the “Non-Recourse 2033 Notes”) that were issued in November 2018. The Non-Recourse 2035 Notes are secured by</w:t>
      </w:r>
      <w:r>
        <w:rPr>
          <w:sz w:val="20"/>
          <w:szCs w:val="20"/>
        </w:rPr>
        <w:t xml:space="preserve"> all of the Issuer II’s rights, title and interest as a holder of certain membership interests (the “Issuer II Class C Units”) in TRC. The Issuer II Class C Units entitle the Issuer II to receive 63.75% of the economic interest that TRC receives in any fut</w:t>
      </w:r>
      <w:r>
        <w:rPr>
          <w:sz w:val="20"/>
          <w:szCs w:val="20"/>
        </w:rPr>
        <w:t xml:space="preserve">ure payments made by GSK under the agreements described above, or 75% of the income from our 85% ownership interest in TRC. </w:t>
      </w:r>
    </w:p>
    <w:p w:rsidR="00000000" w:rsidRDefault="00B51E11">
      <w:pPr>
        <w:pStyle w:val="a3"/>
        <w:spacing w:before="0" w:beforeAutospacing="0" w:after="0" w:afterAutospacing="0"/>
        <w:divId w:val="825974892"/>
        <w:rPr>
          <w:sz w:val="20"/>
          <w:szCs w:val="20"/>
        </w:rPr>
      </w:pPr>
      <w:r>
        <w:rPr>
          <w:b/>
          <w:bCs/>
          <w:sz w:val="20"/>
          <w:szCs w:val="20"/>
        </w:rPr>
        <w:t>​</w:t>
      </w:r>
    </w:p>
    <w:p w:rsidR="00000000" w:rsidRDefault="00B51E11">
      <w:pPr>
        <w:pStyle w:val="a3"/>
        <w:spacing w:before="0" w:beforeAutospacing="0" w:after="0" w:afterAutospacing="0"/>
        <w:ind w:firstLine="720"/>
        <w:divId w:val="825974892"/>
        <w:rPr>
          <w:sz w:val="20"/>
          <w:szCs w:val="20"/>
        </w:rPr>
      </w:pPr>
      <w:r>
        <w:rPr>
          <w:sz w:val="20"/>
          <w:szCs w:val="20"/>
        </w:rPr>
        <w:t xml:space="preserve">On June 10, 2020, we disclosed in a Form 8-K that we had formally objected to TRC and Innoviva, as the manager of TRC, regarding </w:t>
      </w:r>
      <w:r>
        <w:rPr>
          <w:sz w:val="20"/>
          <w:szCs w:val="20"/>
        </w:rPr>
        <w:t>their proposed plan to use TRELEGY royalties to invest in certain privately-held companies, funds that would otherwise be available for distribution to us under the terms of the TRC LLC Agreement. We intend to continue to seek to protect our interests in t</w:t>
      </w:r>
      <w:r>
        <w:rPr>
          <w:sz w:val="20"/>
          <w:szCs w:val="20"/>
        </w:rPr>
        <w:t>his matter consistent with the dispute resolution procedures of the TRC LLC Agreement. In this regard, we initiated an arbitration proceeding against Innoviva and TRC in October 2020 challenging the authority of Innoviva and TRC to pursue such a business p</w:t>
      </w:r>
      <w:r>
        <w:rPr>
          <w:sz w:val="20"/>
          <w:szCs w:val="20"/>
        </w:rPr>
        <w:t>lan rather than distribute such funds to us in a manner consistent with the TRC LLC Agreement and our 85% economic interest in TRC. An arbitration hearing is scheduled for the first quarter of 2021.</w:t>
      </w:r>
    </w:p>
    <w:p w:rsidR="00000000" w:rsidRDefault="00B51E11">
      <w:pPr>
        <w:pStyle w:val="a3"/>
        <w:spacing w:before="0" w:beforeAutospacing="0" w:after="0" w:afterAutospacing="0"/>
        <w:divId w:val="825974892"/>
        <w:rPr>
          <w:sz w:val="20"/>
          <w:szCs w:val="20"/>
        </w:rPr>
      </w:pPr>
      <w:r>
        <w:rPr>
          <w:b/>
          <w:bCs/>
          <w:sz w:val="20"/>
          <w:szCs w:val="20"/>
        </w:rPr>
        <w:t>​</w:t>
      </w:r>
    </w:p>
    <w:p w:rsidR="00000000" w:rsidRDefault="00B51E11">
      <w:pPr>
        <w:pStyle w:val="a3"/>
        <w:spacing w:before="0" w:beforeAutospacing="0" w:after="120" w:afterAutospacing="0"/>
        <w:divId w:val="825974892"/>
        <w:rPr>
          <w:sz w:val="20"/>
          <w:szCs w:val="20"/>
        </w:rPr>
      </w:pPr>
      <w:r>
        <w:rPr>
          <w:b/>
          <w:bCs/>
          <w:sz w:val="20"/>
          <w:szCs w:val="20"/>
        </w:rPr>
        <w:t>Other Economic Interests</w:t>
      </w:r>
    </w:p>
    <w:p w:rsidR="00000000" w:rsidRDefault="00B51E11">
      <w:pPr>
        <w:pStyle w:val="a3"/>
        <w:spacing w:before="0" w:beforeAutospacing="0" w:after="0" w:afterAutospacing="0"/>
        <w:divId w:val="825974892"/>
        <w:rPr>
          <w:sz w:val="20"/>
          <w:szCs w:val="20"/>
        </w:rPr>
      </w:pPr>
      <w:r>
        <w:rPr>
          <w:b/>
          <w:bCs/>
          <w:i/>
          <w:iCs/>
          <w:sz w:val="20"/>
          <w:szCs w:val="20"/>
        </w:rPr>
        <w:t>Selective 5-HT4 Agonist (TD-8954)</w:t>
      </w:r>
    </w:p>
    <w:p w:rsidR="00000000" w:rsidRDefault="00B51E11">
      <w:pPr>
        <w:pStyle w:val="a3"/>
        <w:spacing w:before="0" w:beforeAutospacing="0" w:after="0" w:afterAutospacing="0"/>
        <w:divId w:val="825974892"/>
        <w:rPr>
          <w:sz w:val="20"/>
          <w:szCs w:val="20"/>
        </w:rPr>
      </w:pPr>
      <w:r>
        <w:rPr>
          <w:sz w:val="10"/>
          <w:szCs w:val="10"/>
        </w:rPr>
        <w:t>​</w:t>
      </w:r>
    </w:p>
    <w:p w:rsidR="00000000" w:rsidRDefault="00B51E11">
      <w:pPr>
        <w:pStyle w:val="a3"/>
        <w:spacing w:before="0" w:beforeAutospacing="0" w:after="0" w:afterAutospacing="0"/>
        <w:ind w:firstLine="720"/>
        <w:divId w:val="825974892"/>
        <w:rPr>
          <w:sz w:val="20"/>
          <w:szCs w:val="20"/>
        </w:rPr>
      </w:pPr>
      <w:r>
        <w:rPr>
          <w:sz w:val="20"/>
          <w:szCs w:val="20"/>
        </w:rPr>
        <w:t xml:space="preserve">TD-8954 is a selective 5-HT4 receptor agonist being developed for potential use in the treatment of gastrointestinal motility disorders. </w:t>
      </w:r>
    </w:p>
    <w:p w:rsidR="00000000" w:rsidRDefault="00B51E11">
      <w:pPr>
        <w:pStyle w:val="a3"/>
        <w:spacing w:before="0" w:beforeAutospacing="0" w:after="0" w:afterAutospacing="0"/>
        <w:divId w:val="825974892"/>
        <w:rPr>
          <w:sz w:val="20"/>
          <w:szCs w:val="20"/>
        </w:rPr>
      </w:pPr>
      <w:r>
        <w:rPr>
          <w:sz w:val="20"/>
          <w:szCs w:val="20"/>
        </w:rPr>
        <w:t>​</w:t>
      </w:r>
    </w:p>
    <w:p w:rsidR="00000000" w:rsidRDefault="00B51E11">
      <w:pPr>
        <w:pStyle w:val="a3"/>
        <w:spacing w:before="0" w:beforeAutospacing="0" w:after="0" w:afterAutospacing="0"/>
        <w:divId w:val="825974892"/>
        <w:rPr>
          <w:sz w:val="20"/>
          <w:szCs w:val="20"/>
        </w:rPr>
      </w:pPr>
      <w:r>
        <w:rPr>
          <w:i/>
          <w:iCs/>
          <w:sz w:val="20"/>
          <w:szCs w:val="20"/>
        </w:rPr>
        <w:t>Takeda Collaborative Arrangement</w:t>
      </w:r>
    </w:p>
    <w:p w:rsidR="00000000" w:rsidRDefault="00B51E11">
      <w:pPr>
        <w:pStyle w:val="a3"/>
        <w:spacing w:before="0" w:beforeAutospacing="0" w:after="0" w:afterAutospacing="0"/>
        <w:divId w:val="825974892"/>
        <w:rPr>
          <w:sz w:val="20"/>
          <w:szCs w:val="20"/>
        </w:rPr>
      </w:pPr>
      <w:r>
        <w:rPr>
          <w:sz w:val="10"/>
          <w:szCs w:val="10"/>
        </w:rPr>
        <w:t>​</w:t>
      </w:r>
    </w:p>
    <w:p w:rsidR="00000000" w:rsidRDefault="00B51E11">
      <w:pPr>
        <w:pStyle w:val="a3"/>
        <w:spacing w:before="0" w:beforeAutospacing="0" w:after="0" w:afterAutospacing="0"/>
        <w:ind w:firstLine="720"/>
        <w:divId w:val="825974892"/>
        <w:rPr>
          <w:sz w:val="20"/>
          <w:szCs w:val="20"/>
        </w:rPr>
      </w:pPr>
      <w:r>
        <w:rPr>
          <w:sz w:val="20"/>
          <w:szCs w:val="20"/>
        </w:rPr>
        <w:t>In June </w:t>
      </w:r>
      <w:r>
        <w:rPr>
          <w:sz w:val="20"/>
          <w:szCs w:val="20"/>
        </w:rPr>
        <w:t>2016, we entered into a License and Collaboration Agreement (the “Takeda Agreement”) with Millennium Pharmaceuticals, Inc. (“Millennium”), in order to establish a collaboration for the development and commercialization of TD-8954 (TAK-954). Millennium is a</w:t>
      </w:r>
      <w:r>
        <w:rPr>
          <w:sz w:val="20"/>
          <w:szCs w:val="20"/>
        </w:rPr>
        <w:t>n indirect wholly-owned subsidiary of Takeda Pharmaceutical Company Limited (“Takeda”). TD-8954 is currently in a Phase 2 study as a potential treatment for post-operative gastrointestinal dysfunction. Under the terms of the Takeda Agreement, Takeda is res</w:t>
      </w:r>
      <w:r>
        <w:rPr>
          <w:sz w:val="20"/>
          <w:szCs w:val="20"/>
        </w:rPr>
        <w:t>ponsible for worldwide development and commercialization of TD-8954. We received an upfront cash payment of $15.0 million and will be eligible to receive success-based development, regulatory and sales milestone payments from Takeda. We will also be eligib</w:t>
      </w:r>
      <w:r>
        <w:rPr>
          <w:sz w:val="20"/>
          <w:szCs w:val="20"/>
        </w:rPr>
        <w:t>le to receive a tiered royalty on worldwide net sales by Takeda at percentage royalty rates ranging from low double-digits to mid-teens.</w:t>
      </w:r>
    </w:p>
    <w:p w:rsidR="00000000" w:rsidRDefault="00B51E11">
      <w:pPr>
        <w:pStyle w:val="a3"/>
        <w:spacing w:before="0" w:beforeAutospacing="0" w:after="0" w:afterAutospacing="0"/>
        <w:ind w:firstLine="720"/>
        <w:divId w:val="825974892"/>
        <w:rPr>
          <w:sz w:val="20"/>
          <w:szCs w:val="20"/>
        </w:rPr>
      </w:pPr>
      <w:r>
        <w:rPr>
          <w:b/>
          <w:bCs/>
          <w:sz w:val="20"/>
          <w:szCs w:val="20"/>
        </w:rPr>
        <w:t>​</w:t>
      </w:r>
    </w:p>
    <w:p w:rsidR="00000000" w:rsidRDefault="00B51E11">
      <w:pPr>
        <w:pStyle w:val="a3"/>
        <w:spacing w:before="0" w:beforeAutospacing="0" w:after="120" w:afterAutospacing="0"/>
        <w:divId w:val="825974892"/>
        <w:rPr>
          <w:sz w:val="20"/>
          <w:szCs w:val="20"/>
        </w:rPr>
      </w:pPr>
      <w:r>
        <w:rPr>
          <w:b/>
          <w:bCs/>
          <w:i/>
          <w:iCs/>
          <w:sz w:val="20"/>
          <w:szCs w:val="20"/>
        </w:rPr>
        <w:t xml:space="preserve">Skin-selective Pan-JAK inhibitor program </w:t>
      </w:r>
    </w:p>
    <w:p w:rsidR="00000000" w:rsidRDefault="00B51E11">
      <w:pPr>
        <w:pStyle w:val="a3"/>
        <w:spacing w:before="0" w:beforeAutospacing="0" w:after="0" w:afterAutospacing="0"/>
        <w:divId w:val="825974892"/>
        <w:rPr>
          <w:sz w:val="20"/>
          <w:szCs w:val="20"/>
        </w:rPr>
      </w:pPr>
      <w:r>
        <w:rPr>
          <w:sz w:val="20"/>
          <w:szCs w:val="20"/>
        </w:rPr>
        <w:t>In December 2019, we entered into a global license agreement with Pfizer In</w:t>
      </w:r>
      <w:r>
        <w:rPr>
          <w:sz w:val="20"/>
          <w:szCs w:val="20"/>
        </w:rPr>
        <w:t>c. (“Pfizer”) for our preclinical skin-selective, locally-acting pan-JAK inhibitor program (the “Pfizer Agreement”). The compounds in this program are designed to target validated pro-inflammatory pathways and are specifically designed to possess skin-sele</w:t>
      </w:r>
      <w:r>
        <w:rPr>
          <w:sz w:val="20"/>
          <w:szCs w:val="20"/>
        </w:rPr>
        <w:t>ctive activity with minimal systemic exposure.</w:t>
      </w:r>
    </w:p>
    <w:p w:rsidR="00000000" w:rsidRDefault="00B51E11">
      <w:pPr>
        <w:pStyle w:val="a3"/>
        <w:spacing w:before="0" w:beforeAutospacing="0" w:after="0" w:afterAutospacing="0"/>
        <w:divId w:val="825974892"/>
        <w:rPr>
          <w:sz w:val="20"/>
          <w:szCs w:val="20"/>
        </w:rPr>
      </w:pPr>
      <w:r>
        <w:rPr>
          <w:sz w:val="20"/>
          <w:szCs w:val="20"/>
        </w:rPr>
        <w:t>​</w:t>
      </w:r>
    </w:p>
    <w:p w:rsidR="00000000" w:rsidRDefault="00B51E11">
      <w:pPr>
        <w:pStyle w:val="a3"/>
        <w:spacing w:before="0" w:beforeAutospacing="0" w:after="0" w:afterAutospacing="0"/>
        <w:ind w:firstLine="720"/>
        <w:divId w:val="825974892"/>
        <w:rPr>
          <w:sz w:val="20"/>
          <w:szCs w:val="20"/>
        </w:rPr>
      </w:pPr>
      <w:r>
        <w:rPr>
          <w:sz w:val="20"/>
          <w:szCs w:val="20"/>
        </w:rPr>
        <w:t>Under the Pfizer Agreement, Pfizer has an exclusive license to develop, manufacture and commercialize certain compounds for all uses other than gastrointestinal, ophthalmic and respiratory applications. We r</w:t>
      </w:r>
      <w:r>
        <w:rPr>
          <w:sz w:val="20"/>
          <w:szCs w:val="20"/>
        </w:rPr>
        <w:t xml:space="preserve">eceived an upfront cash payment of $10.0 million and are eligible to receive up to an additional $240.0 million in development and sales milestone payments from Pfizer. In addition, we are eligible to receive a tiered royalty on worldwide net sales of any </w:t>
      </w:r>
      <w:r>
        <w:rPr>
          <w:sz w:val="20"/>
          <w:szCs w:val="20"/>
        </w:rPr>
        <w:t>potential products under the license at percentage royalty rates ranging from middle single-digits to low double-digits.</w:t>
      </w:r>
    </w:p>
    <w:p w:rsidR="00000000" w:rsidRDefault="00B51E11">
      <w:pPr>
        <w:pStyle w:val="a3"/>
        <w:spacing w:before="0" w:beforeAutospacing="0" w:after="0" w:afterAutospacing="0"/>
        <w:divId w:val="825974892"/>
        <w:rPr>
          <w:sz w:val="20"/>
          <w:szCs w:val="20"/>
        </w:rPr>
      </w:pPr>
      <w:r>
        <w:rPr>
          <w:b/>
          <w:bCs/>
          <w:sz w:val="20"/>
          <w:szCs w:val="20"/>
        </w:rPr>
        <w:t>​</w:t>
      </w:r>
    </w:p>
    <w:p w:rsidR="00000000" w:rsidRDefault="00B51E11">
      <w:pPr>
        <w:pStyle w:val="a3"/>
        <w:spacing w:before="0" w:beforeAutospacing="0" w:after="120" w:afterAutospacing="0"/>
        <w:divId w:val="825974892"/>
        <w:rPr>
          <w:sz w:val="20"/>
          <w:szCs w:val="20"/>
        </w:rPr>
      </w:pPr>
      <w:r>
        <w:rPr>
          <w:b/>
          <w:bCs/>
          <w:sz w:val="20"/>
          <w:szCs w:val="20"/>
        </w:rPr>
        <w:t>Research Projects</w:t>
      </w:r>
    </w:p>
    <w:p w:rsidR="00000000" w:rsidRDefault="00B51E11">
      <w:pPr>
        <w:pStyle w:val="a3"/>
        <w:spacing w:before="0" w:beforeAutospacing="0" w:after="0" w:afterAutospacing="0"/>
        <w:ind w:firstLine="720"/>
        <w:divId w:val="825974892"/>
        <w:rPr>
          <w:sz w:val="20"/>
          <w:szCs w:val="20"/>
        </w:rPr>
      </w:pPr>
      <w:r>
        <w:rPr>
          <w:sz w:val="20"/>
          <w:szCs w:val="20"/>
        </w:rPr>
        <w:t>Our research goal is to design organ-selective medicines that target diseased tissues, without systemic exposure, i</w:t>
      </w:r>
      <w:r>
        <w:rPr>
          <w:sz w:val="20"/>
          <w:szCs w:val="20"/>
        </w:rPr>
        <w:t xml:space="preserve">n order to maximize patient benefit and minimize risk. The intention is to expand the therapeutic index of our potential </w:t>
      </w:r>
    </w:p>
    <w:p w:rsidR="00000000" w:rsidRDefault="00B51E11">
      <w:pPr>
        <w:pStyle w:val="a3"/>
        <w:spacing w:before="360" w:beforeAutospacing="0" w:after="0" w:afterAutospacing="0"/>
        <w:jc w:val="center"/>
        <w:divId w:val="1150096701"/>
        <w:rPr>
          <w:sz w:val="20"/>
          <w:szCs w:val="20"/>
        </w:rPr>
      </w:pPr>
      <w:r>
        <w:rPr>
          <w:sz w:val="20"/>
          <w:szCs w:val="20"/>
        </w:rPr>
        <w:t>28</w:t>
      </w:r>
    </w:p>
    <w:p w:rsidR="00000000" w:rsidRDefault="00B51E11">
      <w:pPr>
        <w:pStyle w:val="a3"/>
        <w:spacing w:before="0" w:beforeAutospacing="0" w:after="600" w:afterAutospacing="0"/>
        <w:divId w:val="1799689886"/>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628775004"/>
        <w:rPr>
          <w:sz w:val="20"/>
          <w:szCs w:val="20"/>
        </w:rPr>
      </w:pPr>
      <w:r>
        <w:rPr>
          <w:sz w:val="20"/>
          <w:szCs w:val="20"/>
        </w:rPr>
        <w:t>medicines compared to conventional systemic therapies. Our efforts leverage years of ex</w:t>
      </w:r>
      <w:r>
        <w:rPr>
          <w:sz w:val="20"/>
          <w:szCs w:val="20"/>
        </w:rPr>
        <w:t>perience in developing lung-selective medicines, such as YUPELRI, to treat respiratory diseases, and have led to the discovery of the gut-selective pan-JAK inhibitor TD-1473 and irreversible JAK3 inhibitor TD-5202 for inflammatory intestinal diseases and t</w:t>
      </w:r>
      <w:r>
        <w:rPr>
          <w:sz w:val="20"/>
          <w:szCs w:val="20"/>
        </w:rPr>
        <w:t>he lung-selective inhaled JAK inhibitor TD-8236 and nebulized pan JAK inhibitor TD-0903 in serious respiratory disease. We plan to advance towards the clinic other research projects with various mechanisms of action, each specifically tailored for the orga</w:t>
      </w:r>
      <w:r>
        <w:rPr>
          <w:sz w:val="20"/>
          <w:szCs w:val="20"/>
        </w:rPr>
        <w:t xml:space="preserve">n of interest, as we identify and validate potentially appropriate compounds. Our research is focused in the areas of inflammation and immunology, and our pipeline of internally discovered programs is targeted to address significant patient needs. </w:t>
      </w:r>
    </w:p>
    <w:p w:rsidR="00000000" w:rsidRDefault="00B51E11">
      <w:pPr>
        <w:pStyle w:val="a3"/>
        <w:spacing w:before="0" w:beforeAutospacing="0" w:after="0" w:afterAutospacing="0"/>
        <w:divId w:val="1628775004"/>
        <w:rPr>
          <w:sz w:val="20"/>
          <w:szCs w:val="20"/>
        </w:rPr>
      </w:pPr>
      <w:r>
        <w:rPr>
          <w:sz w:val="20"/>
          <w:szCs w:val="20"/>
        </w:rPr>
        <w:t>​</w:t>
      </w:r>
    </w:p>
    <w:p w:rsidR="00000000" w:rsidRDefault="00B51E11">
      <w:pPr>
        <w:pStyle w:val="a3"/>
        <w:spacing w:before="0" w:beforeAutospacing="0" w:after="0" w:afterAutospacing="0"/>
        <w:divId w:val="1628775004"/>
        <w:rPr>
          <w:sz w:val="20"/>
          <w:szCs w:val="20"/>
        </w:rPr>
      </w:pPr>
      <w:r>
        <w:rPr>
          <w:b/>
          <w:bCs/>
          <w:sz w:val="20"/>
          <w:szCs w:val="20"/>
        </w:rPr>
        <w:t>Criti</w:t>
      </w:r>
      <w:r>
        <w:rPr>
          <w:b/>
          <w:bCs/>
          <w:sz w:val="20"/>
          <w:szCs w:val="20"/>
        </w:rPr>
        <w:t>cal Accounting Policies and Estimates</w:t>
      </w:r>
    </w:p>
    <w:p w:rsidR="00000000" w:rsidRDefault="00B51E11">
      <w:pPr>
        <w:pStyle w:val="a3"/>
        <w:spacing w:before="0" w:beforeAutospacing="0" w:after="0" w:afterAutospacing="0"/>
        <w:divId w:val="1628775004"/>
        <w:rPr>
          <w:sz w:val="20"/>
          <w:szCs w:val="20"/>
        </w:rPr>
      </w:pPr>
      <w:r>
        <w:rPr>
          <w:sz w:val="10"/>
          <w:szCs w:val="10"/>
        </w:rPr>
        <w:t>​</w:t>
      </w:r>
    </w:p>
    <w:p w:rsidR="00000000" w:rsidRDefault="00B51E11">
      <w:pPr>
        <w:pStyle w:val="a3"/>
        <w:spacing w:before="0" w:beforeAutospacing="0" w:after="0" w:afterAutospacing="0"/>
        <w:divId w:val="1628775004"/>
        <w:rPr>
          <w:sz w:val="20"/>
          <w:szCs w:val="20"/>
        </w:rPr>
      </w:pPr>
      <w:r>
        <w:rPr>
          <w:sz w:val="20"/>
          <w:szCs w:val="20"/>
        </w:rPr>
        <w:t>Our management’s discussion and analysis of our financial condition and results of operations is based on our financial statements, which have been prepared in accordance with US generally accepted accounting princip</w:t>
      </w:r>
      <w:r>
        <w:rPr>
          <w:sz w:val="20"/>
          <w:szCs w:val="20"/>
        </w:rPr>
        <w:t>les (“GAAP”). The preparation of these financial statements requires us to make estimates and assumptions that affect the reported amounts of assets and liabilities and the disclosure of contingent assets and liabilities at the date of the financial statem</w:t>
      </w:r>
      <w:r>
        <w:rPr>
          <w:sz w:val="20"/>
          <w:szCs w:val="20"/>
        </w:rPr>
        <w:t>ents, as well as the reported revenue generated and expenses incurred during the reporting periods. Our estimates are based on our historical experience and on various other factors that we believe are reasonable under the circumstances, the results of whi</w:t>
      </w:r>
      <w:r>
        <w:rPr>
          <w:sz w:val="20"/>
          <w:szCs w:val="20"/>
        </w:rPr>
        <w:t>ch form the basis for making judgments about the carrying value of assets and liabilities, revenue recognition and clinical trial expenses that are not readily apparent from other sources. The full extent to which the COVID-19 pandemic will directly or ind</w:t>
      </w:r>
      <w:r>
        <w:rPr>
          <w:sz w:val="20"/>
          <w:szCs w:val="20"/>
        </w:rPr>
        <w:t>irectly impact our business, results of operations and financial condition, including these estimates, will depend on future developments that are highly uncertain and may be impacted by the emergence of new information concerning the COVID-19 pandemic and</w:t>
      </w:r>
      <w:r>
        <w:rPr>
          <w:sz w:val="20"/>
          <w:szCs w:val="20"/>
        </w:rPr>
        <w:t xml:space="preserve"> the actions taken to contain or treat the disease. Actual results may differ from these estimates under different assumptions or conditions. There have been no material changes to the critical accounting policies and estimates discussed in our Annual Repo</w:t>
      </w:r>
      <w:r>
        <w:rPr>
          <w:sz w:val="20"/>
          <w:szCs w:val="20"/>
        </w:rPr>
        <w:t>rt on Form 10-K for the year ended December 31, 2019.</w:t>
      </w:r>
    </w:p>
    <w:p w:rsidR="00000000" w:rsidRDefault="00B51E11">
      <w:pPr>
        <w:pStyle w:val="a3"/>
        <w:spacing w:before="0" w:beforeAutospacing="0" w:after="0" w:afterAutospacing="0"/>
        <w:divId w:val="1628775004"/>
        <w:rPr>
          <w:sz w:val="20"/>
          <w:szCs w:val="20"/>
        </w:rPr>
      </w:pPr>
      <w:r>
        <w:rPr>
          <w:sz w:val="20"/>
          <w:szCs w:val="20"/>
        </w:rPr>
        <w:t>​</w:t>
      </w:r>
    </w:p>
    <w:p w:rsidR="00000000" w:rsidRDefault="00B51E11">
      <w:pPr>
        <w:pStyle w:val="a3"/>
        <w:spacing w:before="0" w:beforeAutospacing="0" w:after="0" w:afterAutospacing="0"/>
        <w:divId w:val="1628775004"/>
        <w:rPr>
          <w:sz w:val="20"/>
          <w:szCs w:val="20"/>
        </w:rPr>
      </w:pPr>
      <w:r>
        <w:rPr>
          <w:b/>
          <w:bCs/>
          <w:sz w:val="20"/>
          <w:szCs w:val="20"/>
        </w:rPr>
        <w:t>Results of Operations</w:t>
      </w:r>
    </w:p>
    <w:p w:rsidR="00000000" w:rsidRDefault="00B51E11">
      <w:pPr>
        <w:pStyle w:val="a3"/>
        <w:spacing w:before="0" w:beforeAutospacing="0" w:after="0" w:afterAutospacing="0"/>
        <w:divId w:val="1628775004"/>
        <w:rPr>
          <w:sz w:val="20"/>
          <w:szCs w:val="20"/>
        </w:rPr>
      </w:pPr>
      <w:r>
        <w:rPr>
          <w:b/>
          <w:bCs/>
          <w:sz w:val="10"/>
          <w:szCs w:val="10"/>
        </w:rPr>
        <w:t>​</w:t>
      </w:r>
    </w:p>
    <w:p w:rsidR="00000000" w:rsidRDefault="00B51E11">
      <w:pPr>
        <w:pStyle w:val="a3"/>
        <w:spacing w:before="0" w:beforeAutospacing="0" w:after="0" w:afterAutospacing="0"/>
        <w:divId w:val="1628775004"/>
        <w:rPr>
          <w:sz w:val="20"/>
          <w:szCs w:val="20"/>
        </w:rPr>
      </w:pPr>
      <w:r>
        <w:rPr>
          <w:b/>
          <w:bCs/>
          <w:i/>
          <w:iCs/>
          <w:sz w:val="20"/>
          <w:szCs w:val="20"/>
        </w:rPr>
        <w:t>Revenue</w:t>
      </w:r>
    </w:p>
    <w:p w:rsidR="00000000" w:rsidRDefault="00B51E11">
      <w:pPr>
        <w:pStyle w:val="a3"/>
        <w:spacing w:before="0" w:beforeAutospacing="0" w:after="0" w:afterAutospacing="0"/>
        <w:divId w:val="1628775004"/>
        <w:rPr>
          <w:sz w:val="20"/>
          <w:szCs w:val="20"/>
        </w:rPr>
      </w:pPr>
      <w:r>
        <w:rPr>
          <w:b/>
          <w:bCs/>
          <w:sz w:val="10"/>
          <w:szCs w:val="10"/>
        </w:rPr>
        <w:t>​</w:t>
      </w:r>
    </w:p>
    <w:p w:rsidR="00000000" w:rsidRDefault="00B51E11">
      <w:pPr>
        <w:pStyle w:val="a3"/>
        <w:spacing w:before="0" w:beforeAutospacing="0" w:after="0" w:afterAutospacing="0"/>
        <w:ind w:firstLine="720"/>
        <w:divId w:val="1628775004"/>
        <w:rPr>
          <w:sz w:val="20"/>
          <w:szCs w:val="20"/>
        </w:rPr>
      </w:pPr>
      <w:r>
        <w:rPr>
          <w:sz w:val="20"/>
          <w:szCs w:val="20"/>
        </w:rPr>
        <w:t>Revenue, as compared to the comparable periods in the prior year, was as follows:</w:t>
      </w:r>
    </w:p>
    <w:p w:rsidR="00000000" w:rsidRDefault="00B51E11">
      <w:pPr>
        <w:pStyle w:val="a3"/>
        <w:spacing w:before="0" w:beforeAutospacing="0" w:after="0" w:afterAutospacing="0"/>
        <w:ind w:firstLine="720"/>
        <w:divId w:val="1628775004"/>
        <w:rPr>
          <w:sz w:val="20"/>
          <w:szCs w:val="20"/>
        </w:rPr>
      </w:pPr>
      <w:r>
        <w:rPr>
          <w:sz w:val="20"/>
          <w:szCs w:val="20"/>
        </w:rPr>
        <w:t>​</w:t>
      </w:r>
    </w:p>
    <w:tbl>
      <w:tblPr>
        <w:tblW w:w="5128" w:type="pct"/>
        <w:tblInd w:w="-1" w:type="dxa"/>
        <w:tblCellMar>
          <w:top w:w="15" w:type="dxa"/>
          <w:left w:w="0" w:type="dxa"/>
          <w:bottom w:w="15" w:type="dxa"/>
          <w:right w:w="0" w:type="dxa"/>
        </w:tblCellMar>
        <w:tblLook w:val="04A0" w:firstRow="1" w:lastRow="0" w:firstColumn="1" w:lastColumn="0" w:noHBand="0" w:noVBand="1"/>
      </w:tblPr>
      <w:tblGrid>
        <w:gridCol w:w="1617"/>
        <w:gridCol w:w="160"/>
        <w:gridCol w:w="100"/>
        <w:gridCol w:w="620"/>
        <w:gridCol w:w="160"/>
        <w:gridCol w:w="100"/>
        <w:gridCol w:w="620"/>
        <w:gridCol w:w="160"/>
        <w:gridCol w:w="100"/>
        <w:gridCol w:w="584"/>
        <w:gridCol w:w="160"/>
        <w:gridCol w:w="370"/>
        <w:gridCol w:w="267"/>
        <w:gridCol w:w="160"/>
        <w:gridCol w:w="100"/>
        <w:gridCol w:w="620"/>
        <w:gridCol w:w="160"/>
        <w:gridCol w:w="100"/>
        <w:gridCol w:w="620"/>
        <w:gridCol w:w="160"/>
        <w:gridCol w:w="100"/>
        <w:gridCol w:w="684"/>
        <w:gridCol w:w="160"/>
        <w:gridCol w:w="370"/>
        <w:gridCol w:w="267"/>
      </w:tblGrid>
      <w:tr w:rsidR="00000000">
        <w:trPr>
          <w:divId w:val="1628775004"/>
          <w:trHeight w:val="20"/>
        </w:trPr>
        <w:tc>
          <w:tcPr>
            <w:tcW w:w="1469" w:type="pct"/>
            <w:tcMar>
              <w:top w:w="0" w:type="dxa"/>
              <w:left w:w="0" w:type="dxa"/>
              <w:bottom w:w="0" w:type="dxa"/>
              <w:right w:w="0" w:type="dxa"/>
            </w:tcMar>
            <w:vAlign w:val="bottom"/>
            <w:hideMark/>
          </w:tcPr>
          <w:p w:rsidR="00000000" w:rsidRDefault="00B51E11">
            <w:pPr>
              <w:pStyle w:val="a3"/>
              <w:spacing w:before="0" w:beforeAutospacing="0" w:after="0" w:afterAutospacing="0"/>
              <w:divId w:val="97513744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91885257"/>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85137715"/>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3343113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9207627"/>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16016647"/>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5797040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60055872"/>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70303765"/>
              <w:rPr>
                <w:sz w:val="20"/>
                <w:szCs w:val="20"/>
              </w:rPr>
            </w:pPr>
            <w:r>
              <w:rPr>
                <w:sz w:val="2"/>
                <w:szCs w:val="2"/>
              </w:rPr>
              <w:t>​</w:t>
            </w:r>
          </w:p>
        </w:tc>
        <w:tc>
          <w:tcPr>
            <w:tcW w:w="30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6000592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95133332"/>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5266056"/>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1214521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29773857"/>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82052006"/>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0251521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62803435"/>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86611484"/>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2635913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54487127"/>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6236766"/>
              <w:rPr>
                <w:sz w:val="20"/>
                <w:szCs w:val="20"/>
              </w:rPr>
            </w:pPr>
            <w:r>
              <w:rPr>
                <w:sz w:val="2"/>
                <w:szCs w:val="2"/>
              </w:rPr>
              <w:t>​</w:t>
            </w:r>
          </w:p>
        </w:tc>
        <w:tc>
          <w:tcPr>
            <w:tcW w:w="35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8440805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6709197"/>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67594293"/>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70412135"/>
              <w:rPr>
                <w:sz w:val="20"/>
                <w:szCs w:val="20"/>
              </w:rPr>
            </w:pPr>
            <w:r>
              <w:rPr>
                <w:sz w:val="2"/>
                <w:szCs w:val="2"/>
              </w:rPr>
              <w:t>​</w:t>
            </w:r>
          </w:p>
        </w:tc>
      </w:tr>
      <w:tr w:rsidR="00000000">
        <w:trPr>
          <w:divId w:val="1628775004"/>
        </w:trPr>
        <w:tc>
          <w:tcPr>
            <w:tcW w:w="1469"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22"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06"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203"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2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22"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203"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2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r>
      <w:tr w:rsidR="00000000">
        <w:trPr>
          <w:divId w:val="1628775004"/>
        </w:trPr>
        <w:tc>
          <w:tcPr>
            <w:tcW w:w="1469"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22"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635"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2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22"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683"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2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r>
      <w:tr w:rsidR="00000000">
        <w:trPr>
          <w:divId w:val="1628775004"/>
        </w:trPr>
        <w:tc>
          <w:tcPr>
            <w:tcW w:w="1469"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2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2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r>
      <w:tr w:rsidR="00000000">
        <w:trPr>
          <w:divId w:val="1628775004"/>
        </w:trPr>
        <w:tc>
          <w:tcPr>
            <w:tcW w:w="1469"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Collaboration revenue</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7,26</w:t>
            </w:r>
            <w:r>
              <w:rPr>
                <w:sz w:val="20"/>
                <w:szCs w:val="20"/>
              </w:rPr>
              <w:t>1</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8,83</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0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(1,575</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(18</w:t>
            </w: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19,38</w:t>
            </w:r>
            <w:r>
              <w:rPr>
                <w:sz w:val="20"/>
                <w:szCs w:val="20"/>
              </w:rPr>
              <w:t>1</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21,66</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(2,285</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(11</w:t>
            </w: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r>
      <w:tr w:rsidR="00000000">
        <w:trPr>
          <w:divId w:val="1628775004"/>
        </w:trPr>
        <w:tc>
          <w:tcPr>
            <w:tcW w:w="1469"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Licensing revenue</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23"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23"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06"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03"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12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23"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1,50</w:t>
            </w:r>
            <w:r>
              <w:rPr>
                <w:sz w:val="20"/>
                <w:szCs w:val="20"/>
              </w:rPr>
              <w:t>0</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23"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18,50</w:t>
            </w:r>
            <w:r>
              <w:rPr>
                <w:sz w:val="20"/>
                <w:szCs w:val="20"/>
              </w:rPr>
              <w:t>0</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4"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(17,000</w:t>
            </w:r>
            <w:r>
              <w:rPr>
                <w:sz w:val="20"/>
                <w:szCs w:val="20"/>
              </w:rPr>
              <w:t>)</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03"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(92</w:t>
            </w:r>
            <w:r>
              <w:rPr>
                <w:sz w:val="20"/>
                <w:szCs w:val="20"/>
              </w:rPr>
              <w:t>)</w:t>
            </w:r>
          </w:p>
        </w:tc>
        <w:tc>
          <w:tcPr>
            <w:tcW w:w="12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r>
      <w:tr w:rsidR="00000000">
        <w:trPr>
          <w:divId w:val="1628775004"/>
        </w:trPr>
        <w:tc>
          <w:tcPr>
            <w:tcW w:w="1469"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Mylan collaboration agreement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10,99</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3,59</w:t>
            </w:r>
            <w:r>
              <w:rPr>
                <w:sz w:val="20"/>
                <w:szCs w:val="20"/>
              </w:rPr>
              <w:t>1</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7,40</w:t>
            </w:r>
            <w:r>
              <w:rPr>
                <w:sz w:val="20"/>
                <w:szCs w:val="20"/>
              </w:rPr>
              <w:t>5</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20</w:t>
            </w:r>
            <w:r>
              <w:rPr>
                <w:sz w:val="20"/>
                <w:szCs w:val="20"/>
              </w:rPr>
              <w:t>6</w:t>
            </w:r>
          </w:p>
        </w:tc>
        <w:tc>
          <w:tcPr>
            <w:tcW w:w="12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32,24</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3,74</w:t>
            </w:r>
            <w:r>
              <w:rPr>
                <w:sz w:val="20"/>
                <w:szCs w:val="20"/>
              </w:rPr>
              <w:t>9</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28,49</w:t>
            </w: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76</w:t>
            </w:r>
            <w:r>
              <w:rPr>
                <w:sz w:val="20"/>
                <w:szCs w:val="20"/>
              </w:rPr>
              <w:t>0</w:t>
            </w:r>
          </w:p>
        </w:tc>
        <w:tc>
          <w:tcPr>
            <w:tcW w:w="12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r>
      <w:tr w:rsidR="00000000">
        <w:trPr>
          <w:divId w:val="1628775004"/>
        </w:trPr>
        <w:tc>
          <w:tcPr>
            <w:tcW w:w="1469" w:type="pct"/>
            <w:tcMar>
              <w:top w:w="0" w:type="dxa"/>
              <w:left w:w="0" w:type="dxa"/>
              <w:bottom w:w="0" w:type="dxa"/>
              <w:right w:w="0" w:type="dxa"/>
            </w:tcMar>
            <w:vAlign w:val="bottom"/>
            <w:hideMark/>
          </w:tcPr>
          <w:p w:rsidR="00000000" w:rsidRDefault="00B51E11">
            <w:pPr>
              <w:pStyle w:val="a3"/>
              <w:spacing w:before="0" w:beforeAutospacing="0" w:after="0" w:afterAutospacing="0"/>
              <w:ind w:left="120"/>
              <w:rPr>
                <w:sz w:val="20"/>
                <w:szCs w:val="20"/>
              </w:rPr>
            </w:pPr>
            <w:r>
              <w:rPr>
                <w:sz w:val="20"/>
                <w:szCs w:val="20"/>
              </w:rPr>
              <w:t>Total revenue</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18,25</w:t>
            </w:r>
            <w:r>
              <w:rPr>
                <w:sz w:val="20"/>
                <w:szCs w:val="20"/>
              </w:rPr>
              <w:t>7</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12,42</w:t>
            </w:r>
            <w:r>
              <w:rPr>
                <w:sz w:val="20"/>
                <w:szCs w:val="20"/>
              </w:rPr>
              <w:t>7</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06"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5,83</w:t>
            </w:r>
            <w:r>
              <w:rPr>
                <w:sz w:val="20"/>
                <w:szCs w:val="20"/>
              </w:rPr>
              <w:t>0</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4</w:t>
            </w:r>
            <w:r>
              <w:rPr>
                <w:sz w:val="20"/>
                <w:szCs w:val="20"/>
              </w:rPr>
              <w:t>7</w:t>
            </w:r>
          </w:p>
        </w:tc>
        <w:tc>
          <w:tcPr>
            <w:tcW w:w="12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  </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53,12</w:t>
            </w:r>
            <w:r>
              <w:rPr>
                <w:sz w:val="20"/>
                <w:szCs w:val="20"/>
              </w:rPr>
              <w:t>7</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43,91</w:t>
            </w:r>
            <w:r>
              <w:rPr>
                <w:sz w:val="20"/>
                <w:szCs w:val="20"/>
              </w:rPr>
              <w:t>5</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54"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9,21</w:t>
            </w:r>
            <w:r>
              <w:rPr>
                <w:sz w:val="20"/>
                <w:szCs w:val="20"/>
              </w:rPr>
              <w:t>2</w:t>
            </w:r>
          </w:p>
        </w:tc>
        <w:tc>
          <w:tcPr>
            <w:tcW w:w="7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w:t>
            </w:r>
            <w:r>
              <w:rPr>
                <w:sz w:val="20"/>
                <w:szCs w:val="20"/>
              </w:rPr>
              <w:t>1</w:t>
            </w:r>
          </w:p>
        </w:tc>
        <w:tc>
          <w:tcPr>
            <w:tcW w:w="12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r>
    </w:tbl>
    <w:p w:rsidR="00000000" w:rsidRDefault="00B51E11">
      <w:pPr>
        <w:pStyle w:val="a3"/>
        <w:spacing w:before="0" w:beforeAutospacing="0" w:after="0" w:afterAutospacing="0"/>
        <w:divId w:val="1628775004"/>
        <w:rPr>
          <w:sz w:val="20"/>
          <w:szCs w:val="20"/>
        </w:rPr>
      </w:pPr>
      <w:r>
        <w:rPr>
          <w:sz w:val="20"/>
          <w:szCs w:val="20"/>
        </w:rPr>
        <w:t>​</w:t>
      </w:r>
    </w:p>
    <w:p w:rsidR="00000000" w:rsidRDefault="00B51E11">
      <w:pPr>
        <w:pStyle w:val="a3"/>
        <w:spacing w:before="0" w:beforeAutospacing="0" w:after="0" w:afterAutospacing="0"/>
        <w:ind w:firstLine="720"/>
        <w:divId w:val="1628775004"/>
        <w:rPr>
          <w:sz w:val="20"/>
          <w:szCs w:val="20"/>
        </w:rPr>
      </w:pPr>
      <w:r>
        <w:rPr>
          <w:sz w:val="20"/>
          <w:szCs w:val="20"/>
        </w:rPr>
        <w:t>Collabora</w:t>
      </w:r>
      <w:r>
        <w:rPr>
          <w:sz w:val="20"/>
          <w:szCs w:val="20"/>
        </w:rPr>
        <w:t>tion revenue decreased by $1.6 million and $2.3 million for the three and nine months ended September 30, 2020, respectively, compared to the same periods in 2019. Collaboration revenue is primarily comprised of recognized revenue related to the $100.0 mil</w:t>
      </w:r>
      <w:r>
        <w:rPr>
          <w:sz w:val="20"/>
          <w:szCs w:val="20"/>
        </w:rPr>
        <w:t>lion upfront payment from the Janssen collaboration agreement that was entered into in February 2018. The decreases for both periods were primarily attributed to a smaller portion of recognized revenue in the periods resulting from delays in our clinical t</w:t>
      </w:r>
      <w:r>
        <w:rPr>
          <w:sz w:val="20"/>
          <w:szCs w:val="20"/>
        </w:rPr>
        <w:t xml:space="preserve">rials due to COVID-19. </w:t>
      </w:r>
    </w:p>
    <w:p w:rsidR="00000000" w:rsidRDefault="00B51E11">
      <w:pPr>
        <w:pStyle w:val="a3"/>
        <w:spacing w:before="0" w:beforeAutospacing="0" w:after="0" w:afterAutospacing="0"/>
        <w:ind w:firstLine="720"/>
        <w:divId w:val="1628775004"/>
        <w:rPr>
          <w:sz w:val="20"/>
          <w:szCs w:val="20"/>
        </w:rPr>
      </w:pPr>
      <w:r>
        <w:rPr>
          <w:sz w:val="20"/>
          <w:szCs w:val="20"/>
        </w:rPr>
        <w:t>​</w:t>
      </w:r>
    </w:p>
    <w:p w:rsidR="00000000" w:rsidRDefault="00B51E11">
      <w:pPr>
        <w:pStyle w:val="a3"/>
        <w:spacing w:before="0" w:beforeAutospacing="0" w:after="0" w:afterAutospacing="0"/>
        <w:ind w:firstLine="720"/>
        <w:divId w:val="1628775004"/>
        <w:rPr>
          <w:sz w:val="20"/>
          <w:szCs w:val="20"/>
        </w:rPr>
      </w:pPr>
      <w:r>
        <w:rPr>
          <w:sz w:val="20"/>
          <w:szCs w:val="20"/>
        </w:rPr>
        <w:t>Licensing revenue decreased by $17.0 million for the nine months ended September 30, 2020 compared to the same period in 2019. The $18.5 million recognized for the nine months ended September 30, 2019 represented an upfront paymen</w:t>
      </w:r>
      <w:r>
        <w:rPr>
          <w:sz w:val="20"/>
          <w:szCs w:val="20"/>
        </w:rPr>
        <w:t>t</w:t>
      </w:r>
      <w:r>
        <w:rPr>
          <w:sz w:val="20"/>
          <w:szCs w:val="20"/>
          <w:shd w:val="clear" w:color="auto" w:fill="FFFFFF"/>
        </w:rPr>
        <w:t xml:space="preserve"> (before a required tax withholding) </w:t>
      </w:r>
      <w:r>
        <w:rPr>
          <w:sz w:val="20"/>
          <w:szCs w:val="20"/>
        </w:rPr>
        <w:t>from Mylan associated with the amendment signed in June 2019 for the commercialization and development r</w:t>
      </w:r>
      <w:r>
        <w:rPr>
          <w:sz w:val="20"/>
          <w:szCs w:val="20"/>
          <w:shd w:val="clear" w:color="auto" w:fill="FFFFFF"/>
        </w:rPr>
        <w:t xml:space="preserve">ights to nebulized revefenacin in China and adjacent territories (“Mylan China Amendment”). </w:t>
      </w:r>
      <w:r>
        <w:rPr>
          <w:sz w:val="20"/>
          <w:szCs w:val="20"/>
        </w:rPr>
        <w:t>For the nine months en</w:t>
      </w:r>
      <w:r>
        <w:rPr>
          <w:sz w:val="20"/>
          <w:szCs w:val="20"/>
        </w:rPr>
        <w:t xml:space="preserve">ded September 30, 2020, we recognized $1.5 million in licensing revenue from the achievement of a </w:t>
      </w:r>
      <w:r>
        <w:rPr>
          <w:sz w:val="20"/>
          <w:szCs w:val="20"/>
          <w:shd w:val="clear" w:color="auto" w:fill="FFFFFF"/>
        </w:rPr>
        <w:t xml:space="preserve">milestone related to the acceptance of a clinical trial application </w:t>
      </w:r>
      <w:r>
        <w:rPr>
          <w:sz w:val="20"/>
          <w:szCs w:val="20"/>
        </w:rPr>
        <w:t>associated the Mylan China Amendment.</w:t>
      </w:r>
    </w:p>
    <w:p w:rsidR="00000000" w:rsidRDefault="00B51E11">
      <w:pPr>
        <w:pStyle w:val="a3"/>
        <w:spacing w:before="0" w:beforeAutospacing="0" w:after="0" w:afterAutospacing="0"/>
        <w:ind w:firstLine="720"/>
        <w:divId w:val="1628775004"/>
        <w:rPr>
          <w:sz w:val="20"/>
          <w:szCs w:val="20"/>
        </w:rPr>
      </w:pPr>
      <w:r>
        <w:rPr>
          <w:sz w:val="20"/>
          <w:szCs w:val="20"/>
        </w:rPr>
        <w:t>​</w:t>
      </w:r>
    </w:p>
    <w:p w:rsidR="00000000" w:rsidRDefault="00B51E11">
      <w:pPr>
        <w:pStyle w:val="a3"/>
        <w:spacing w:before="0" w:beforeAutospacing="0" w:after="0" w:afterAutospacing="0"/>
        <w:ind w:firstLine="720"/>
        <w:divId w:val="1628775004"/>
        <w:rPr>
          <w:sz w:val="20"/>
          <w:szCs w:val="20"/>
        </w:rPr>
      </w:pPr>
      <w:r>
        <w:rPr>
          <w:sz w:val="20"/>
          <w:szCs w:val="20"/>
        </w:rPr>
        <w:t>We are entitled to a share of US profits and losse</w:t>
      </w:r>
      <w:r>
        <w:rPr>
          <w:sz w:val="20"/>
          <w:szCs w:val="20"/>
        </w:rPr>
        <w:t xml:space="preserve">s (65% to Mylan; 35% to Theravance Biopharma) received in connection with commercialization of YUPELRI. </w:t>
      </w:r>
      <w:r>
        <w:rPr>
          <w:sz w:val="20"/>
          <w:szCs w:val="20"/>
          <w:shd w:val="clear" w:color="auto" w:fill="FFFFFF"/>
        </w:rPr>
        <w:t>In accordance with the applicable accounting guidance, amounts receivable</w:t>
      </w:r>
      <w:r>
        <w:rPr>
          <w:sz w:val="20"/>
          <w:szCs w:val="20"/>
        </w:rPr>
        <w:t xml:space="preserve"> from Mylan in connection with the commercialization of YUPELRI are recorded wi</w:t>
      </w:r>
      <w:r>
        <w:rPr>
          <w:sz w:val="20"/>
          <w:szCs w:val="20"/>
        </w:rPr>
        <w:t>thin the condensed consolidated statements of operations as revenue from “Mylan collaboration agreement” irrespective of whether the overall collaboration is profitable. A</w:t>
      </w:r>
      <w:r>
        <w:rPr>
          <w:sz w:val="20"/>
          <w:szCs w:val="20"/>
          <w:shd w:val="clear" w:color="auto" w:fill="FFFFFF"/>
        </w:rPr>
        <w:t xml:space="preserve">mounts payable to Mylan in connection with the commercialization of YUPELRI, if any, </w:t>
      </w:r>
      <w:r>
        <w:rPr>
          <w:sz w:val="20"/>
          <w:szCs w:val="20"/>
          <w:shd w:val="clear" w:color="auto" w:fill="FFFFFF"/>
        </w:rPr>
        <w:t xml:space="preserve">are recorded within </w:t>
      </w:r>
    </w:p>
    <w:p w:rsidR="00000000" w:rsidRDefault="00B51E11">
      <w:pPr>
        <w:pStyle w:val="a3"/>
        <w:spacing w:before="360" w:beforeAutospacing="0" w:after="0" w:afterAutospacing="0"/>
        <w:jc w:val="center"/>
        <w:divId w:val="690449019"/>
        <w:rPr>
          <w:sz w:val="20"/>
          <w:szCs w:val="20"/>
        </w:rPr>
      </w:pPr>
      <w:r>
        <w:rPr>
          <w:sz w:val="20"/>
          <w:szCs w:val="20"/>
        </w:rPr>
        <w:t>29</w:t>
      </w:r>
    </w:p>
    <w:p w:rsidR="00000000" w:rsidRDefault="00B51E11">
      <w:pPr>
        <w:pStyle w:val="a3"/>
        <w:spacing w:before="0" w:beforeAutospacing="0" w:after="600" w:afterAutospacing="0"/>
        <w:divId w:val="791628041"/>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503543264"/>
        <w:rPr>
          <w:sz w:val="20"/>
          <w:szCs w:val="20"/>
        </w:rPr>
      </w:pPr>
      <w:r>
        <w:rPr>
          <w:sz w:val="20"/>
          <w:szCs w:val="20"/>
          <w:shd w:val="clear" w:color="auto" w:fill="FFFFFF"/>
        </w:rPr>
        <w:t>the condensed consolidated statements of operations as a collaboration loss within selling, general and administrative expenses. Any reimbursement from Mylan attributed to the 65% cost-sharing of our R&amp;D expenses is characterized as a reduction of R&amp;D expe</w:t>
      </w:r>
      <w:r>
        <w:rPr>
          <w:sz w:val="20"/>
          <w:szCs w:val="20"/>
          <w:shd w:val="clear" w:color="auto" w:fill="FFFFFF"/>
        </w:rPr>
        <w:t>nse, as we do not consider performing research and development services for reimbursement to be a part of our ordinary operations.</w:t>
      </w:r>
    </w:p>
    <w:p w:rsidR="00000000" w:rsidRDefault="00B51E11">
      <w:pPr>
        <w:pStyle w:val="a3"/>
        <w:spacing w:before="0" w:beforeAutospacing="0" w:after="0" w:afterAutospacing="0"/>
        <w:ind w:firstLine="720"/>
        <w:divId w:val="1503543264"/>
        <w:rPr>
          <w:sz w:val="20"/>
          <w:szCs w:val="20"/>
        </w:rPr>
      </w:pPr>
      <w:r>
        <w:rPr>
          <w:sz w:val="20"/>
          <w:szCs w:val="20"/>
          <w:shd w:val="clear" w:color="auto" w:fill="FFFFFF"/>
        </w:rPr>
        <w:t>​</w:t>
      </w:r>
    </w:p>
    <w:p w:rsidR="00000000" w:rsidRDefault="00B51E11">
      <w:pPr>
        <w:pStyle w:val="a3"/>
        <w:spacing w:before="0" w:beforeAutospacing="0" w:after="0" w:afterAutospacing="0"/>
        <w:ind w:firstLine="720"/>
        <w:divId w:val="1503543264"/>
        <w:rPr>
          <w:sz w:val="20"/>
          <w:szCs w:val="20"/>
        </w:rPr>
      </w:pPr>
      <w:r>
        <w:rPr>
          <w:sz w:val="20"/>
          <w:szCs w:val="20"/>
          <w:shd w:val="clear" w:color="auto" w:fill="FFFFFF"/>
        </w:rPr>
        <w:t xml:space="preserve">For the three and nine months ended September 30, 2020, we </w:t>
      </w:r>
      <w:r>
        <w:rPr>
          <w:sz w:val="20"/>
          <w:szCs w:val="20"/>
        </w:rPr>
        <w:t>recognized $11.0 million and $32.2 million, respectively, in rev</w:t>
      </w:r>
      <w:r>
        <w:rPr>
          <w:sz w:val="20"/>
          <w:szCs w:val="20"/>
        </w:rPr>
        <w:t>enue from the Mylan collaboration agreement for YUPELRI which represented the receivables due from Mylan during the periods. Revenues from the Mylan collaboration agreement for YUPELRI for the three and nine months ended September 30, 2020 were significant</w:t>
      </w:r>
      <w:r>
        <w:rPr>
          <w:sz w:val="20"/>
          <w:szCs w:val="20"/>
        </w:rPr>
        <w:t>ly higher compared to the prior year periods primarily due to the growth of YUPELRI net sales which was commercial launched in the first quarter of 2019. While Mylan records the total net sales of YUPELRI within its financial statements, Mylan collaboratio</w:t>
      </w:r>
      <w:r>
        <w:rPr>
          <w:sz w:val="20"/>
          <w:szCs w:val="20"/>
        </w:rPr>
        <w:t xml:space="preserve">n agreement revenue includes our implied 35% share of net sales of YUPELRI for the three and nine months ended September 30, 2020 of $13.0 million and $36.4 million, respectively. Our implied 35% share of net sales of YUPELRI for the three and nine months </w:t>
      </w:r>
      <w:r>
        <w:rPr>
          <w:sz w:val="20"/>
          <w:szCs w:val="20"/>
        </w:rPr>
        <w:t>ended September 30, 2019 was $5.8 million and $8.9 million, respectively.</w:t>
      </w:r>
    </w:p>
    <w:p w:rsidR="00000000" w:rsidRDefault="00B51E11">
      <w:pPr>
        <w:pStyle w:val="a3"/>
        <w:spacing w:before="0" w:beforeAutospacing="0" w:after="0" w:afterAutospacing="0"/>
        <w:divId w:val="1503543264"/>
        <w:rPr>
          <w:sz w:val="20"/>
          <w:szCs w:val="20"/>
        </w:rPr>
      </w:pPr>
      <w:r>
        <w:rPr>
          <w:sz w:val="20"/>
          <w:szCs w:val="20"/>
          <w:shd w:val="clear" w:color="auto" w:fill="FFFFFF"/>
        </w:rPr>
        <w:t>​</w:t>
      </w:r>
    </w:p>
    <w:p w:rsidR="00000000" w:rsidRDefault="00B51E11">
      <w:pPr>
        <w:pStyle w:val="a3"/>
        <w:spacing w:before="0" w:beforeAutospacing="0" w:after="0" w:afterAutospacing="0"/>
        <w:divId w:val="1503543264"/>
        <w:rPr>
          <w:sz w:val="20"/>
          <w:szCs w:val="20"/>
        </w:rPr>
      </w:pPr>
      <w:r>
        <w:rPr>
          <w:b/>
          <w:bCs/>
          <w:i/>
          <w:iCs/>
          <w:sz w:val="20"/>
          <w:szCs w:val="20"/>
        </w:rPr>
        <w:t>Research and Development</w:t>
      </w:r>
    </w:p>
    <w:p w:rsidR="00000000" w:rsidRDefault="00B51E11">
      <w:pPr>
        <w:pStyle w:val="a3"/>
        <w:spacing w:before="0" w:beforeAutospacing="0" w:after="0" w:afterAutospacing="0"/>
        <w:divId w:val="1503543264"/>
        <w:rPr>
          <w:sz w:val="20"/>
          <w:szCs w:val="20"/>
        </w:rPr>
      </w:pPr>
      <w:r>
        <w:rPr>
          <w:sz w:val="10"/>
          <w:szCs w:val="10"/>
        </w:rPr>
        <w:t>​</w:t>
      </w:r>
    </w:p>
    <w:p w:rsidR="00000000" w:rsidRDefault="00B51E11">
      <w:pPr>
        <w:pStyle w:val="a3"/>
        <w:spacing w:before="0" w:beforeAutospacing="0" w:after="0" w:afterAutospacing="0"/>
        <w:ind w:firstLine="720"/>
        <w:divId w:val="1503543264"/>
        <w:rPr>
          <w:sz w:val="20"/>
          <w:szCs w:val="20"/>
        </w:rPr>
      </w:pPr>
      <w:r>
        <w:rPr>
          <w:sz w:val="20"/>
          <w:szCs w:val="20"/>
        </w:rPr>
        <w:t>Our R&amp;D expenses consist primarily of employee-related costs, external costs, and various allocable expenses. We budget total R&amp;D expenses on an internal</w:t>
      </w:r>
      <w:r>
        <w:rPr>
          <w:sz w:val="20"/>
          <w:szCs w:val="20"/>
        </w:rPr>
        <w:t xml:space="preserve"> department level basis, and we manage and report our R&amp;D activities across the following four cost categories:</w:t>
      </w:r>
    </w:p>
    <w:p w:rsidR="00000000" w:rsidRDefault="00B51E11">
      <w:pPr>
        <w:pStyle w:val="a3"/>
        <w:spacing w:before="0" w:beforeAutospacing="0" w:after="0" w:afterAutospacing="0"/>
        <w:divId w:val="150354326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3543264"/>
        </w:trPr>
        <w:tc>
          <w:tcPr>
            <w:tcW w:w="720" w:type="dxa"/>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B51E11">
            <w:pPr>
              <w:rPr>
                <w:rFonts w:eastAsia="Times New Roman"/>
                <w:sz w:val="20"/>
                <w:szCs w:val="20"/>
              </w:rPr>
            </w:pPr>
            <w:r>
              <w:rPr>
                <w:rFonts w:eastAsia="Times New Roman"/>
                <w:color w:val="000000"/>
                <w:sz w:val="20"/>
                <w:szCs w:val="20"/>
              </w:rPr>
              <w:t>Employee-related costs, which include salaries, wages and benefits;</w:t>
            </w:r>
          </w:p>
        </w:tc>
      </w:tr>
    </w:tbl>
    <w:p w:rsidR="00000000" w:rsidRDefault="00B51E11">
      <w:pPr>
        <w:pStyle w:val="a3"/>
        <w:spacing w:before="0" w:beforeAutospacing="0" w:after="0" w:afterAutospacing="0"/>
        <w:ind w:left="720" w:hanging="360"/>
        <w:divId w:val="150354326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3543264"/>
        </w:trPr>
        <w:tc>
          <w:tcPr>
            <w:tcW w:w="720" w:type="dxa"/>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B51E11">
            <w:pPr>
              <w:rPr>
                <w:rFonts w:eastAsia="Times New Roman"/>
                <w:sz w:val="20"/>
                <w:szCs w:val="20"/>
              </w:rPr>
            </w:pPr>
            <w:r>
              <w:rPr>
                <w:rFonts w:eastAsia="Times New Roman"/>
                <w:color w:val="000000"/>
                <w:sz w:val="20"/>
                <w:szCs w:val="20"/>
              </w:rPr>
              <w:t>Share-based compensation, which includes expenses associated wi</w:t>
            </w:r>
            <w:r>
              <w:rPr>
                <w:rFonts w:eastAsia="Times New Roman"/>
                <w:color w:val="000000"/>
                <w:sz w:val="20"/>
                <w:szCs w:val="20"/>
              </w:rPr>
              <w:t>th our equity plans;</w:t>
            </w:r>
          </w:p>
        </w:tc>
      </w:tr>
    </w:tbl>
    <w:p w:rsidR="00000000" w:rsidRDefault="00B51E11">
      <w:pPr>
        <w:pStyle w:val="a3"/>
        <w:spacing w:before="0" w:beforeAutospacing="0" w:after="0" w:afterAutospacing="0"/>
        <w:ind w:left="720" w:hanging="360"/>
        <w:divId w:val="150354326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3543264"/>
        </w:trPr>
        <w:tc>
          <w:tcPr>
            <w:tcW w:w="720" w:type="dxa"/>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B51E11">
            <w:pPr>
              <w:rPr>
                <w:rFonts w:eastAsia="Times New Roman"/>
                <w:sz w:val="20"/>
                <w:szCs w:val="20"/>
              </w:rPr>
            </w:pPr>
            <w:r>
              <w:rPr>
                <w:rFonts w:eastAsia="Times New Roman"/>
                <w:color w:val="000000"/>
                <w:sz w:val="20"/>
                <w:szCs w:val="20"/>
              </w:rPr>
              <w:t>External-related costs, which include clinical trial related expenses, other contract research fees, consulting fees, and contract manufacturing fees; and</w:t>
            </w:r>
          </w:p>
        </w:tc>
      </w:tr>
    </w:tbl>
    <w:p w:rsidR="00000000" w:rsidRDefault="00B51E11">
      <w:pPr>
        <w:pStyle w:val="a3"/>
        <w:spacing w:before="0" w:beforeAutospacing="0" w:after="0" w:afterAutospacing="0"/>
        <w:ind w:left="720" w:hanging="360"/>
        <w:divId w:val="150354326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3543264"/>
        </w:trPr>
        <w:tc>
          <w:tcPr>
            <w:tcW w:w="720" w:type="dxa"/>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B51E11">
            <w:pPr>
              <w:rPr>
                <w:rFonts w:eastAsia="Times New Roman"/>
                <w:sz w:val="20"/>
                <w:szCs w:val="20"/>
              </w:rPr>
            </w:pPr>
            <w:r>
              <w:rPr>
                <w:rFonts w:eastAsia="Times New Roman"/>
                <w:color w:val="000000"/>
                <w:sz w:val="20"/>
                <w:szCs w:val="20"/>
              </w:rPr>
              <w:t>Facilities and other, which include laboratory and office supplies, depreciation and other all</w:t>
            </w:r>
            <w:r>
              <w:rPr>
                <w:rFonts w:eastAsia="Times New Roman"/>
                <w:color w:val="000000"/>
                <w:sz w:val="20"/>
                <w:szCs w:val="20"/>
              </w:rPr>
              <w:t>ocated expenses, which include general and administrative support functions, insurance and general supplies.</w:t>
            </w:r>
          </w:p>
        </w:tc>
      </w:tr>
    </w:tbl>
    <w:p w:rsidR="00000000" w:rsidRDefault="00B51E11">
      <w:pPr>
        <w:pStyle w:val="a3"/>
        <w:spacing w:before="0" w:beforeAutospacing="0" w:after="0" w:afterAutospacing="0"/>
        <w:divId w:val="1503543264"/>
        <w:rPr>
          <w:sz w:val="20"/>
          <w:szCs w:val="20"/>
        </w:rPr>
      </w:pPr>
      <w:r>
        <w:rPr>
          <w:sz w:val="20"/>
          <w:szCs w:val="20"/>
        </w:rPr>
        <w:t>​</w:t>
      </w:r>
    </w:p>
    <w:p w:rsidR="00000000" w:rsidRDefault="00B51E11">
      <w:pPr>
        <w:pStyle w:val="a3"/>
        <w:spacing w:before="0" w:beforeAutospacing="0" w:after="0" w:afterAutospacing="0"/>
        <w:ind w:firstLine="720"/>
        <w:divId w:val="1503543264"/>
        <w:rPr>
          <w:sz w:val="20"/>
          <w:szCs w:val="20"/>
        </w:rPr>
      </w:pPr>
      <w:r>
        <w:rPr>
          <w:sz w:val="20"/>
          <w:szCs w:val="20"/>
        </w:rPr>
        <w:t>The following table summarizes our R&amp;D expenses incurred, net of any reimbursements from collaboration partners, as compared to the prior year c</w:t>
      </w:r>
      <w:r>
        <w:rPr>
          <w:sz w:val="20"/>
          <w:szCs w:val="20"/>
        </w:rPr>
        <w:t>omparable periods:</w:t>
      </w:r>
    </w:p>
    <w:p w:rsidR="00000000" w:rsidRDefault="00B51E11">
      <w:pPr>
        <w:pStyle w:val="a3"/>
        <w:spacing w:before="0" w:beforeAutospacing="0" w:after="0" w:afterAutospacing="0"/>
        <w:divId w:val="150354326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32"/>
        <w:gridCol w:w="160"/>
        <w:gridCol w:w="100"/>
        <w:gridCol w:w="620"/>
        <w:gridCol w:w="160"/>
        <w:gridCol w:w="100"/>
        <w:gridCol w:w="620"/>
        <w:gridCol w:w="160"/>
        <w:gridCol w:w="100"/>
        <w:gridCol w:w="620"/>
        <w:gridCol w:w="160"/>
        <w:gridCol w:w="270"/>
        <w:gridCol w:w="267"/>
        <w:gridCol w:w="160"/>
        <w:gridCol w:w="100"/>
        <w:gridCol w:w="720"/>
        <w:gridCol w:w="160"/>
        <w:gridCol w:w="100"/>
        <w:gridCol w:w="720"/>
        <w:gridCol w:w="160"/>
        <w:gridCol w:w="100"/>
        <w:gridCol w:w="620"/>
        <w:gridCol w:w="160"/>
        <w:gridCol w:w="270"/>
        <w:gridCol w:w="267"/>
      </w:tblGrid>
      <w:tr w:rsidR="00000000">
        <w:trPr>
          <w:divId w:val="1503543264"/>
          <w:trHeight w:val="20"/>
        </w:trPr>
        <w:tc>
          <w:tcPr>
            <w:tcW w:w="1391" w:type="pct"/>
            <w:tcMar>
              <w:top w:w="0" w:type="dxa"/>
              <w:left w:w="0" w:type="dxa"/>
              <w:bottom w:w="0" w:type="dxa"/>
              <w:right w:w="0" w:type="dxa"/>
            </w:tcMar>
            <w:vAlign w:val="bottom"/>
            <w:hideMark/>
          </w:tcPr>
          <w:p w:rsidR="00000000" w:rsidRDefault="00B51E11">
            <w:pPr>
              <w:pStyle w:val="a3"/>
              <w:spacing w:before="0" w:beforeAutospacing="0" w:after="0" w:afterAutospacing="0"/>
              <w:divId w:val="35044962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6185330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8405669"/>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5492876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308442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59479835"/>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4056377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13505488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83398018"/>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5146334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72654564"/>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85649364"/>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2096670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782177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15194659"/>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6034734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3372942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61813363"/>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2473936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1126851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53442552"/>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9251706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02261127"/>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0656671"/>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40936544"/>
              <w:rPr>
                <w:sz w:val="20"/>
                <w:szCs w:val="20"/>
              </w:rPr>
            </w:pPr>
            <w:r>
              <w:rPr>
                <w:sz w:val="2"/>
                <w:szCs w:val="2"/>
              </w:rPr>
              <w:t>​</w:t>
            </w:r>
          </w:p>
        </w:tc>
      </w:tr>
      <w:tr w:rsidR="00000000">
        <w:trPr>
          <w:divId w:val="1503543264"/>
        </w:trPr>
        <w:tc>
          <w:tcPr>
            <w:tcW w:w="139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43"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5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942"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5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r>
      <w:tr w:rsidR="00000000">
        <w:trPr>
          <w:divId w:val="1503543264"/>
        </w:trPr>
        <w:tc>
          <w:tcPr>
            <w:tcW w:w="139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43"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620"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942"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620"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r>
      <w:tr w:rsidR="00000000">
        <w:trPr>
          <w:divId w:val="1503543264"/>
        </w:trPr>
        <w:tc>
          <w:tcPr>
            <w:tcW w:w="1391"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15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15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r>
      <w:tr w:rsidR="00000000">
        <w:trPr>
          <w:divId w:val="1503543264"/>
        </w:trPr>
        <w:tc>
          <w:tcPr>
            <w:tcW w:w="139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Employee-related</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15,97</w:t>
            </w:r>
            <w:r>
              <w:rPr>
                <w:sz w:val="20"/>
                <w:szCs w:val="20"/>
              </w:rPr>
              <w:t>9</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12,46</w:t>
            </w:r>
            <w:r>
              <w:rPr>
                <w:sz w:val="20"/>
                <w:szCs w:val="20"/>
              </w:rPr>
              <w:t>9</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3,51</w:t>
            </w:r>
            <w:r>
              <w:rPr>
                <w:sz w:val="20"/>
                <w:szCs w:val="20"/>
              </w:rPr>
              <w:t>0</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w:t>
            </w:r>
            <w:r>
              <w:rPr>
                <w:sz w:val="20"/>
                <w:szCs w:val="20"/>
              </w:rPr>
              <w:t>8</w:t>
            </w:r>
          </w:p>
        </w:tc>
        <w:tc>
          <w:tcPr>
            <w:tcW w:w="1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45,28</w:t>
            </w:r>
            <w:r>
              <w:rPr>
                <w:sz w:val="20"/>
                <w:szCs w:val="20"/>
              </w:rPr>
              <w:t>5</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43,27</w:t>
            </w:r>
            <w:r>
              <w:rPr>
                <w:sz w:val="20"/>
                <w:szCs w:val="20"/>
              </w:rPr>
              <w:t>3</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2,01</w:t>
            </w:r>
            <w:r>
              <w:rPr>
                <w:sz w:val="20"/>
                <w:szCs w:val="20"/>
              </w:rPr>
              <w:t>2</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w:t>
            </w:r>
          </w:p>
        </w:tc>
        <w:tc>
          <w:tcPr>
            <w:tcW w:w="1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r>
      <w:tr w:rsidR="00000000">
        <w:trPr>
          <w:divId w:val="1503543264"/>
        </w:trPr>
        <w:tc>
          <w:tcPr>
            <w:tcW w:w="139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Share-based compensation</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7,76</w:t>
            </w:r>
            <w:r>
              <w:rPr>
                <w:sz w:val="20"/>
                <w:szCs w:val="20"/>
              </w:rPr>
              <w:t>1</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6,45</w:t>
            </w:r>
            <w:r>
              <w:rPr>
                <w:sz w:val="20"/>
                <w:szCs w:val="20"/>
              </w:rPr>
              <w:t>8</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1,30</w:t>
            </w:r>
            <w:r>
              <w:rPr>
                <w:sz w:val="20"/>
                <w:szCs w:val="20"/>
              </w:rPr>
              <w:t>3</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58"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w:t>
            </w:r>
            <w:r>
              <w:rPr>
                <w:sz w:val="20"/>
                <w:szCs w:val="20"/>
              </w:rPr>
              <w:t>0</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23,72</w:t>
            </w:r>
            <w:r>
              <w:rPr>
                <w:sz w:val="20"/>
                <w:szCs w:val="20"/>
              </w:rPr>
              <w:t>4</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18,33</w:t>
            </w:r>
            <w:r>
              <w:rPr>
                <w:sz w:val="20"/>
                <w:szCs w:val="20"/>
              </w:rPr>
              <w:t>8</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5,38</w:t>
            </w:r>
            <w:r>
              <w:rPr>
                <w:sz w:val="20"/>
                <w:szCs w:val="20"/>
              </w:rPr>
              <w:t>6</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58"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w:t>
            </w:r>
            <w:r>
              <w:rPr>
                <w:sz w:val="20"/>
                <w:szCs w:val="20"/>
              </w:rPr>
              <w:t>9</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r>
      <w:tr w:rsidR="00000000">
        <w:trPr>
          <w:divId w:val="1503543264"/>
        </w:trPr>
        <w:tc>
          <w:tcPr>
            <w:tcW w:w="139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External-related</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35,75</w:t>
            </w:r>
            <w:r>
              <w:rPr>
                <w:sz w:val="20"/>
                <w:szCs w:val="20"/>
              </w:rPr>
              <w:t>9</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25,59</w:t>
            </w:r>
            <w:r>
              <w:rPr>
                <w:sz w:val="20"/>
                <w:szCs w:val="20"/>
              </w:rPr>
              <w:t>2</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10,16</w:t>
            </w:r>
            <w:r>
              <w:rPr>
                <w:sz w:val="20"/>
                <w:szCs w:val="20"/>
              </w:rPr>
              <w:t>7</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4</w:t>
            </w:r>
            <w:r>
              <w:rPr>
                <w:sz w:val="20"/>
                <w:szCs w:val="20"/>
              </w:rPr>
              <w:t>0</w:t>
            </w:r>
          </w:p>
        </w:tc>
        <w:tc>
          <w:tcPr>
            <w:tcW w:w="1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101,55</w:t>
            </w:r>
            <w:r>
              <w:rPr>
                <w:sz w:val="20"/>
                <w:szCs w:val="20"/>
              </w:rPr>
              <w:t>6</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66,17</w:t>
            </w:r>
            <w:r>
              <w:rPr>
                <w:sz w:val="20"/>
                <w:szCs w:val="20"/>
              </w:rPr>
              <w:t>5</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35,38</w:t>
            </w:r>
            <w:r>
              <w:rPr>
                <w:sz w:val="20"/>
                <w:szCs w:val="20"/>
              </w:rPr>
              <w:t>1</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w:t>
            </w:r>
            <w:r>
              <w:rPr>
                <w:sz w:val="20"/>
                <w:szCs w:val="20"/>
              </w:rPr>
              <w:t>3</w:t>
            </w:r>
          </w:p>
        </w:tc>
        <w:tc>
          <w:tcPr>
            <w:tcW w:w="1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r>
      <w:tr w:rsidR="00000000">
        <w:trPr>
          <w:divId w:val="1503543264"/>
        </w:trPr>
        <w:tc>
          <w:tcPr>
            <w:tcW w:w="1391" w:type="pct"/>
            <w:tcMar>
              <w:top w:w="0" w:type="dxa"/>
              <w:left w:w="0" w:type="dxa"/>
              <w:bottom w:w="0" w:type="dxa"/>
              <w:right w:w="0" w:type="dxa"/>
            </w:tcMar>
            <w:vAlign w:val="bottom"/>
            <w:hideMark/>
          </w:tcPr>
          <w:p w:rsidR="00000000" w:rsidRDefault="00B51E11">
            <w:pPr>
              <w:pStyle w:val="a3"/>
              <w:spacing w:before="0" w:beforeAutospacing="0" w:after="0" w:afterAutospacing="0"/>
              <w:ind w:hanging="180"/>
              <w:rPr>
                <w:sz w:val="20"/>
                <w:szCs w:val="20"/>
              </w:rPr>
            </w:pPr>
            <w:r>
              <w:rPr>
                <w:sz w:val="20"/>
                <w:szCs w:val="20"/>
              </w:rPr>
              <w:t>Facilities, depreciation and other allocated expenses</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7,87</w:t>
            </w:r>
            <w:r>
              <w:rPr>
                <w:sz w:val="20"/>
                <w:szCs w:val="20"/>
              </w:rPr>
              <w:t>2</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7,48</w:t>
            </w:r>
            <w:r>
              <w:rPr>
                <w:sz w:val="20"/>
                <w:szCs w:val="20"/>
              </w:rPr>
              <w:t>7</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38</w:t>
            </w:r>
            <w:r>
              <w:rPr>
                <w:sz w:val="20"/>
                <w:szCs w:val="20"/>
              </w:rPr>
              <w:t>5</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5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25,22</w:t>
            </w:r>
            <w:r>
              <w:rPr>
                <w:sz w:val="20"/>
                <w:szCs w:val="20"/>
              </w:rPr>
              <w:t>3</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24,43</w:t>
            </w:r>
            <w:r>
              <w:rPr>
                <w:sz w:val="20"/>
                <w:szCs w:val="20"/>
              </w:rPr>
              <w:t>7</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78</w:t>
            </w:r>
            <w:r>
              <w:rPr>
                <w:sz w:val="20"/>
                <w:szCs w:val="20"/>
              </w:rPr>
              <w:t>6</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5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r>
      <w:tr w:rsidR="00000000">
        <w:trPr>
          <w:divId w:val="1503543264"/>
        </w:trPr>
        <w:tc>
          <w:tcPr>
            <w:tcW w:w="139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120"/>
              <w:rPr>
                <w:sz w:val="20"/>
                <w:szCs w:val="20"/>
              </w:rPr>
            </w:pPr>
            <w:r>
              <w:rPr>
                <w:sz w:val="20"/>
                <w:szCs w:val="20"/>
              </w:rPr>
              <w:t>Total research &amp; development</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67,37</w:t>
            </w:r>
            <w:r>
              <w:rPr>
                <w:sz w:val="20"/>
                <w:szCs w:val="20"/>
              </w:rPr>
              <w:t>1</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52,00</w:t>
            </w:r>
            <w:r>
              <w:rPr>
                <w:sz w:val="20"/>
                <w:szCs w:val="20"/>
              </w:rPr>
              <w:t>6</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15,36</w:t>
            </w:r>
            <w:r>
              <w:rPr>
                <w:sz w:val="20"/>
                <w:szCs w:val="20"/>
              </w:rPr>
              <w:t>5</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w:t>
            </w:r>
            <w:r>
              <w:rPr>
                <w:sz w:val="20"/>
                <w:szCs w:val="20"/>
              </w:rPr>
              <w:t>0</w:t>
            </w:r>
          </w:p>
        </w:tc>
        <w:tc>
          <w:tcPr>
            <w:tcW w:w="1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195,78</w:t>
            </w:r>
            <w:r>
              <w:rPr>
                <w:sz w:val="20"/>
                <w:szCs w:val="20"/>
              </w:rPr>
              <w:t>8</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152,22</w:t>
            </w:r>
            <w:r>
              <w:rPr>
                <w:sz w:val="20"/>
                <w:szCs w:val="20"/>
              </w:rPr>
              <w:t>3</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43,56</w:t>
            </w:r>
            <w:r>
              <w:rPr>
                <w:sz w:val="20"/>
                <w:szCs w:val="20"/>
              </w:rPr>
              <w:t>5</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w:t>
            </w:r>
            <w:r>
              <w:rPr>
                <w:sz w:val="20"/>
                <w:szCs w:val="20"/>
              </w:rPr>
              <w:t>9</w:t>
            </w:r>
          </w:p>
        </w:tc>
        <w:tc>
          <w:tcPr>
            <w:tcW w:w="1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r>
    </w:tbl>
    <w:p w:rsidR="00000000" w:rsidRDefault="00B51E11">
      <w:pPr>
        <w:pStyle w:val="a3"/>
        <w:spacing w:before="0" w:beforeAutospacing="0" w:after="0" w:afterAutospacing="0"/>
        <w:divId w:val="1503543264"/>
        <w:rPr>
          <w:sz w:val="20"/>
          <w:szCs w:val="20"/>
        </w:rPr>
      </w:pPr>
      <w:r>
        <w:rPr>
          <w:sz w:val="20"/>
          <w:szCs w:val="20"/>
        </w:rPr>
        <w:t>​</w:t>
      </w:r>
    </w:p>
    <w:p w:rsidR="00000000" w:rsidRDefault="00B51E11">
      <w:pPr>
        <w:pStyle w:val="a3"/>
        <w:spacing w:before="0" w:beforeAutospacing="0" w:after="0" w:afterAutospacing="0"/>
        <w:ind w:firstLine="720"/>
        <w:divId w:val="1503543264"/>
        <w:rPr>
          <w:sz w:val="20"/>
          <w:szCs w:val="20"/>
        </w:rPr>
      </w:pPr>
      <w:r>
        <w:rPr>
          <w:sz w:val="20"/>
          <w:szCs w:val="20"/>
        </w:rPr>
        <w:t>R&amp;</w:t>
      </w:r>
      <w:r>
        <w:rPr>
          <w:sz w:val="20"/>
          <w:szCs w:val="20"/>
        </w:rPr>
        <w:t>D expenses increased by $15.4 million for the three months ended September 30, 2020 compared to same period in 2019. The increase was primarily attributed to a $10.2 million increase in external-related expenses, a $3.5 million increase in employee-related</w:t>
      </w:r>
      <w:r>
        <w:rPr>
          <w:sz w:val="20"/>
          <w:szCs w:val="20"/>
        </w:rPr>
        <w:t xml:space="preserve"> expenses, and a $1.3 million increase in share-based compensation expense. The increase in external-related expenses was primarily due to the advancement of our priority programs, notably the continued progression of TD-1473, ampreloxetine, TD-8236, and t</w:t>
      </w:r>
      <w:r>
        <w:rPr>
          <w:sz w:val="20"/>
          <w:szCs w:val="20"/>
        </w:rPr>
        <w:t>he initiation of TD-0903 in COVID-19. The increase in employee-related expenses was primarily due to increases in compensation-related expenses,</w:t>
      </w:r>
      <w:r>
        <w:rPr>
          <w:color w:val="FF0000"/>
          <w:sz w:val="20"/>
          <w:szCs w:val="20"/>
        </w:rPr>
        <w:t xml:space="preserve"> </w:t>
      </w:r>
      <w:r>
        <w:rPr>
          <w:sz w:val="20"/>
          <w:szCs w:val="20"/>
        </w:rPr>
        <w:t>and the increase in share-based compensation expense was primarily due to an increase in annual grants of share</w:t>
      </w:r>
      <w:r>
        <w:rPr>
          <w:sz w:val="20"/>
          <w:szCs w:val="20"/>
        </w:rPr>
        <w:t>-based awards to employees.</w:t>
      </w:r>
    </w:p>
    <w:p w:rsidR="00000000" w:rsidRDefault="00B51E11">
      <w:pPr>
        <w:pStyle w:val="a3"/>
        <w:spacing w:before="0" w:beforeAutospacing="0" w:after="0" w:afterAutospacing="0"/>
        <w:ind w:firstLine="720"/>
        <w:divId w:val="1503543264"/>
        <w:rPr>
          <w:sz w:val="20"/>
          <w:szCs w:val="20"/>
        </w:rPr>
      </w:pPr>
      <w:r>
        <w:rPr>
          <w:sz w:val="20"/>
          <w:szCs w:val="20"/>
        </w:rPr>
        <w:t>​</w:t>
      </w:r>
    </w:p>
    <w:p w:rsidR="00000000" w:rsidRDefault="00B51E11">
      <w:pPr>
        <w:pStyle w:val="a3"/>
        <w:spacing w:before="0" w:beforeAutospacing="0" w:after="0" w:afterAutospacing="0"/>
        <w:ind w:firstLine="720"/>
        <w:divId w:val="1503543264"/>
        <w:rPr>
          <w:sz w:val="20"/>
          <w:szCs w:val="20"/>
        </w:rPr>
      </w:pPr>
      <w:r>
        <w:rPr>
          <w:sz w:val="20"/>
          <w:szCs w:val="20"/>
        </w:rPr>
        <w:t>R&amp;D expenses increased by $43.6 million for the nine months ended September 30, 2020 compared to same period in 2019. The increase was primarily due to a $35.4 million increase in external-related expenses, a $5.4 million incr</w:t>
      </w:r>
      <w:r>
        <w:rPr>
          <w:sz w:val="20"/>
          <w:szCs w:val="20"/>
        </w:rPr>
        <w:t>ease in share-based compensation expense, and a $2.0 million increase in employee-related expenses. The increase in external-</w:t>
      </w:r>
    </w:p>
    <w:p w:rsidR="00000000" w:rsidRDefault="00B51E11">
      <w:pPr>
        <w:pStyle w:val="a3"/>
        <w:spacing w:before="360" w:beforeAutospacing="0" w:after="0" w:afterAutospacing="0"/>
        <w:jc w:val="center"/>
        <w:divId w:val="15544361"/>
        <w:rPr>
          <w:sz w:val="20"/>
          <w:szCs w:val="20"/>
        </w:rPr>
      </w:pPr>
      <w:r>
        <w:rPr>
          <w:sz w:val="20"/>
          <w:szCs w:val="20"/>
        </w:rPr>
        <w:t>30</w:t>
      </w:r>
    </w:p>
    <w:p w:rsidR="00000000" w:rsidRDefault="00B51E11">
      <w:pPr>
        <w:pStyle w:val="a3"/>
        <w:spacing w:before="0" w:beforeAutospacing="0" w:after="600" w:afterAutospacing="0"/>
        <w:divId w:val="1161506974"/>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211815811"/>
        <w:rPr>
          <w:sz w:val="20"/>
          <w:szCs w:val="20"/>
        </w:rPr>
      </w:pPr>
      <w:r>
        <w:rPr>
          <w:sz w:val="20"/>
          <w:szCs w:val="20"/>
        </w:rPr>
        <w:t>related expenses was primarily due to the advancement of our priority programs, not</w:t>
      </w:r>
      <w:r>
        <w:rPr>
          <w:sz w:val="20"/>
          <w:szCs w:val="20"/>
        </w:rPr>
        <w:t>ably the continued progression of TD-1473, ampreloxetine, TD-8236, and the initiation of TD-0903 in COVID-19. The increase in employee-related expenses was primarily due to increases in compensation-related expenses,</w:t>
      </w:r>
      <w:r>
        <w:rPr>
          <w:color w:val="FF0000"/>
          <w:sz w:val="20"/>
          <w:szCs w:val="20"/>
        </w:rPr>
        <w:t xml:space="preserve"> </w:t>
      </w:r>
      <w:r>
        <w:rPr>
          <w:sz w:val="20"/>
          <w:szCs w:val="20"/>
        </w:rPr>
        <w:t>and the increase in share-based compens</w:t>
      </w:r>
      <w:r>
        <w:rPr>
          <w:sz w:val="20"/>
          <w:szCs w:val="20"/>
        </w:rPr>
        <w:t>ation expense was primarily due to an increase in annual grants of share-based awards to employees.</w:t>
      </w:r>
    </w:p>
    <w:p w:rsidR="00000000" w:rsidRDefault="00B51E11">
      <w:pPr>
        <w:pStyle w:val="a3"/>
        <w:spacing w:before="0" w:beforeAutospacing="0" w:after="0" w:afterAutospacing="0"/>
        <w:ind w:firstLine="720"/>
        <w:divId w:val="211815811"/>
        <w:rPr>
          <w:sz w:val="20"/>
          <w:szCs w:val="20"/>
        </w:rPr>
      </w:pPr>
      <w:r>
        <w:rPr>
          <w:sz w:val="20"/>
          <w:szCs w:val="20"/>
        </w:rPr>
        <w:t>​</w:t>
      </w:r>
    </w:p>
    <w:p w:rsidR="00000000" w:rsidRDefault="00B51E11">
      <w:pPr>
        <w:pStyle w:val="a3"/>
        <w:spacing w:before="0" w:beforeAutospacing="0" w:after="0" w:afterAutospacing="0"/>
        <w:ind w:firstLine="720"/>
        <w:divId w:val="211815811"/>
        <w:rPr>
          <w:sz w:val="20"/>
          <w:szCs w:val="20"/>
        </w:rPr>
      </w:pPr>
      <w:r>
        <w:rPr>
          <w:sz w:val="20"/>
          <w:szCs w:val="20"/>
        </w:rPr>
        <w:t xml:space="preserve">Under certain of our collaborative arrangements, we receive partial reimbursement of employee-related costs and external costs, which have been reflected </w:t>
      </w:r>
      <w:r>
        <w:rPr>
          <w:sz w:val="20"/>
          <w:szCs w:val="20"/>
        </w:rPr>
        <w:t>as a reduction of R&amp;D expenses of $1.4 million and $1.0 million for three months ended September 30, 2020 and 2019, respectively, and $5.8 million and $3.4 million for the nine months ended September 30, 2020 and 2019, respectively.</w:t>
      </w:r>
    </w:p>
    <w:p w:rsidR="00000000" w:rsidRDefault="00B51E11">
      <w:pPr>
        <w:pStyle w:val="a3"/>
        <w:spacing w:before="0" w:beforeAutospacing="0" w:after="0" w:afterAutospacing="0"/>
        <w:ind w:firstLine="720"/>
        <w:divId w:val="211815811"/>
        <w:rPr>
          <w:sz w:val="20"/>
          <w:szCs w:val="20"/>
        </w:rPr>
      </w:pPr>
      <w:r>
        <w:rPr>
          <w:sz w:val="20"/>
          <w:szCs w:val="20"/>
        </w:rPr>
        <w:t>​</w:t>
      </w:r>
    </w:p>
    <w:p w:rsidR="00000000" w:rsidRDefault="00B51E11">
      <w:pPr>
        <w:pStyle w:val="a3"/>
        <w:spacing w:before="0" w:beforeAutospacing="0" w:after="0" w:afterAutospacing="0"/>
        <w:ind w:firstLine="720"/>
        <w:divId w:val="211815811"/>
        <w:rPr>
          <w:sz w:val="20"/>
          <w:szCs w:val="20"/>
        </w:rPr>
      </w:pPr>
      <w:r>
        <w:rPr>
          <w:sz w:val="20"/>
          <w:szCs w:val="20"/>
        </w:rPr>
        <w:t>We anticipate our fut</w:t>
      </w:r>
      <w:r>
        <w:rPr>
          <w:sz w:val="20"/>
          <w:szCs w:val="20"/>
        </w:rPr>
        <w:t>ure R&amp;D expenses will decrease from the current levels over the next 12 months primarily due to the planned completion of certain priority programs.</w:t>
      </w:r>
    </w:p>
    <w:p w:rsidR="00000000" w:rsidRDefault="00B51E11">
      <w:pPr>
        <w:pStyle w:val="a3"/>
        <w:spacing w:before="0" w:beforeAutospacing="0" w:after="0" w:afterAutospacing="0"/>
        <w:divId w:val="211815811"/>
        <w:rPr>
          <w:sz w:val="20"/>
          <w:szCs w:val="20"/>
        </w:rPr>
      </w:pPr>
      <w:r>
        <w:rPr>
          <w:sz w:val="20"/>
          <w:szCs w:val="20"/>
        </w:rPr>
        <w:t>​</w:t>
      </w:r>
    </w:p>
    <w:p w:rsidR="00000000" w:rsidRDefault="00B51E11">
      <w:pPr>
        <w:pStyle w:val="a3"/>
        <w:spacing w:before="0" w:beforeAutospacing="0" w:after="0" w:afterAutospacing="0"/>
        <w:divId w:val="211815811"/>
        <w:rPr>
          <w:sz w:val="20"/>
          <w:szCs w:val="20"/>
        </w:rPr>
      </w:pPr>
      <w:r>
        <w:rPr>
          <w:b/>
          <w:bCs/>
          <w:i/>
          <w:iCs/>
          <w:sz w:val="20"/>
          <w:szCs w:val="20"/>
        </w:rPr>
        <w:t>Selling, General and Administrative Expenses</w:t>
      </w:r>
    </w:p>
    <w:p w:rsidR="00000000" w:rsidRDefault="00B51E11">
      <w:pPr>
        <w:pStyle w:val="a3"/>
        <w:spacing w:before="0" w:beforeAutospacing="0" w:after="0" w:afterAutospacing="0"/>
        <w:divId w:val="211815811"/>
        <w:rPr>
          <w:sz w:val="20"/>
          <w:szCs w:val="20"/>
        </w:rPr>
      </w:pPr>
      <w:r>
        <w:rPr>
          <w:sz w:val="10"/>
          <w:szCs w:val="10"/>
        </w:rPr>
        <w:t>​</w:t>
      </w:r>
    </w:p>
    <w:p w:rsidR="00000000" w:rsidRDefault="00B51E11">
      <w:pPr>
        <w:pStyle w:val="a3"/>
        <w:spacing w:before="0" w:beforeAutospacing="0" w:after="0" w:afterAutospacing="0"/>
        <w:ind w:firstLine="720"/>
        <w:divId w:val="211815811"/>
        <w:rPr>
          <w:sz w:val="20"/>
          <w:szCs w:val="20"/>
        </w:rPr>
      </w:pPr>
      <w:r>
        <w:rPr>
          <w:sz w:val="20"/>
          <w:szCs w:val="20"/>
        </w:rPr>
        <w:t xml:space="preserve">Selling, general and administrative expenses, as compared </w:t>
      </w:r>
      <w:r>
        <w:rPr>
          <w:sz w:val="20"/>
          <w:szCs w:val="20"/>
        </w:rPr>
        <w:t>to the comparable periods in the prior year, were as follows:</w:t>
      </w:r>
    </w:p>
    <w:p w:rsidR="00000000" w:rsidRDefault="00B51E11">
      <w:pPr>
        <w:pStyle w:val="a3"/>
        <w:spacing w:before="0" w:beforeAutospacing="0" w:after="0" w:afterAutospacing="0"/>
        <w:ind w:firstLine="720"/>
        <w:divId w:val="21181581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032"/>
        <w:gridCol w:w="160"/>
        <w:gridCol w:w="100"/>
        <w:gridCol w:w="620"/>
        <w:gridCol w:w="160"/>
        <w:gridCol w:w="100"/>
        <w:gridCol w:w="620"/>
        <w:gridCol w:w="160"/>
        <w:gridCol w:w="100"/>
        <w:gridCol w:w="520"/>
        <w:gridCol w:w="160"/>
        <w:gridCol w:w="170"/>
        <w:gridCol w:w="267"/>
        <w:gridCol w:w="160"/>
        <w:gridCol w:w="100"/>
        <w:gridCol w:w="620"/>
        <w:gridCol w:w="160"/>
        <w:gridCol w:w="100"/>
        <w:gridCol w:w="620"/>
        <w:gridCol w:w="160"/>
        <w:gridCol w:w="100"/>
        <w:gridCol w:w="520"/>
        <w:gridCol w:w="160"/>
        <w:gridCol w:w="170"/>
        <w:gridCol w:w="267"/>
      </w:tblGrid>
      <w:tr w:rsidR="00000000">
        <w:trPr>
          <w:divId w:val="211815811"/>
          <w:trHeight w:val="20"/>
        </w:trPr>
        <w:tc>
          <w:tcPr>
            <w:tcW w:w="1689" w:type="pct"/>
            <w:tcMar>
              <w:top w:w="0" w:type="dxa"/>
              <w:left w:w="0" w:type="dxa"/>
              <w:bottom w:w="0" w:type="dxa"/>
              <w:right w:w="0" w:type="dxa"/>
            </w:tcMar>
            <w:vAlign w:val="bottom"/>
            <w:hideMark/>
          </w:tcPr>
          <w:p w:rsidR="00000000" w:rsidRDefault="00B51E11">
            <w:pPr>
              <w:pStyle w:val="a3"/>
              <w:spacing w:before="0" w:beforeAutospacing="0" w:after="0" w:afterAutospacing="0"/>
              <w:divId w:val="58458137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0755558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16005570"/>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910001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5217677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20447692"/>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1854284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8209257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74240419"/>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56250447"/>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35554824"/>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91667818"/>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5438377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4124625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90760430"/>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0934478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7001378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19058034"/>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9594994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646408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76318298"/>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19026027"/>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13598385"/>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43998825"/>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07144437"/>
              <w:rPr>
                <w:sz w:val="20"/>
                <w:szCs w:val="20"/>
              </w:rPr>
            </w:pPr>
            <w:r>
              <w:rPr>
                <w:sz w:val="2"/>
                <w:szCs w:val="2"/>
              </w:rPr>
              <w:t>​</w:t>
            </w:r>
          </w:p>
        </w:tc>
      </w:tr>
      <w:tr w:rsidR="00000000">
        <w:trPr>
          <w:divId w:val="211815811"/>
        </w:trPr>
        <w:tc>
          <w:tcPr>
            <w:tcW w:w="1689"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843"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0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43"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0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r>
      <w:tr w:rsidR="00000000">
        <w:trPr>
          <w:divId w:val="211815811"/>
        </w:trPr>
        <w:tc>
          <w:tcPr>
            <w:tcW w:w="1689"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843"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520"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43"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520"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r>
      <w:tr w:rsidR="00000000">
        <w:trPr>
          <w:divId w:val="211815811"/>
        </w:trPr>
        <w:tc>
          <w:tcPr>
            <w:tcW w:w="1689"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10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10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r>
      <w:tr w:rsidR="00000000">
        <w:trPr>
          <w:divId w:val="211815811"/>
        </w:trPr>
        <w:tc>
          <w:tcPr>
            <w:tcW w:w="1689"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Selling, general and administrative</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27,50</w:t>
            </w:r>
            <w:r>
              <w:rPr>
                <w:sz w:val="20"/>
                <w:szCs w:val="20"/>
              </w:rPr>
              <w:t>1</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25,62</w:t>
            </w:r>
            <w:r>
              <w:rPr>
                <w:sz w:val="20"/>
                <w:szCs w:val="20"/>
              </w:rPr>
              <w:t>2</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1,87</w:t>
            </w:r>
            <w:r>
              <w:rPr>
                <w:sz w:val="20"/>
                <w:szCs w:val="20"/>
              </w:rPr>
              <w:t>9</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w:t>
            </w:r>
          </w:p>
        </w:tc>
        <w:tc>
          <w:tcPr>
            <w:tcW w:w="1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78,60</w:t>
            </w:r>
            <w:r>
              <w:rPr>
                <w:sz w:val="20"/>
                <w:szCs w:val="20"/>
              </w:rPr>
              <w:t>6</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73,03</w:t>
            </w:r>
            <w:r>
              <w:rPr>
                <w:sz w:val="20"/>
                <w:szCs w:val="20"/>
              </w:rPr>
              <w:t>5</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5,57</w:t>
            </w:r>
            <w:r>
              <w:rPr>
                <w:sz w:val="20"/>
                <w:szCs w:val="20"/>
              </w:rPr>
              <w:t>1</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8</w:t>
            </w:r>
          </w:p>
        </w:tc>
        <w:tc>
          <w:tcPr>
            <w:tcW w:w="1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r>
    </w:tbl>
    <w:p w:rsidR="00000000" w:rsidRDefault="00B51E11">
      <w:pPr>
        <w:pStyle w:val="a3"/>
        <w:spacing w:before="0" w:beforeAutospacing="0" w:after="0" w:afterAutospacing="0"/>
        <w:ind w:firstLine="720"/>
        <w:divId w:val="211815811"/>
        <w:rPr>
          <w:sz w:val="20"/>
          <w:szCs w:val="20"/>
        </w:rPr>
      </w:pPr>
      <w:r>
        <w:rPr>
          <w:sz w:val="20"/>
          <w:szCs w:val="20"/>
        </w:rPr>
        <w:t>​</w:t>
      </w:r>
    </w:p>
    <w:p w:rsidR="00000000" w:rsidRDefault="00B51E11">
      <w:pPr>
        <w:pStyle w:val="a3"/>
        <w:spacing w:before="0" w:beforeAutospacing="0" w:after="0" w:afterAutospacing="0"/>
        <w:ind w:firstLine="720"/>
        <w:divId w:val="211815811"/>
        <w:rPr>
          <w:sz w:val="20"/>
          <w:szCs w:val="20"/>
        </w:rPr>
      </w:pPr>
      <w:r>
        <w:rPr>
          <w:sz w:val="20"/>
          <w:szCs w:val="20"/>
        </w:rPr>
        <w:t>Selling, general and administrative expenses increased by $1.9 million and $5.6 million for the three months and nine months ended September 30, 2020, respectively, compared to the same periods in 2019. The increases for both periods were primarily attribu</w:t>
      </w:r>
      <w:r>
        <w:rPr>
          <w:sz w:val="20"/>
          <w:szCs w:val="20"/>
        </w:rPr>
        <w:t>ted to respective $1.2 million and $5.5 million increases in share-based compensation expense, respective $1.2 million and $2.3 million increases in employee-related expenses, and respective $0.6 million and $0.7 million increases in facilities and other e</w:t>
      </w:r>
      <w:r>
        <w:rPr>
          <w:sz w:val="20"/>
          <w:szCs w:val="20"/>
        </w:rPr>
        <w:t>xpenses. The increases in share-based compensation expense were primarily due to an increase in annual grants of share-based awards to employees, and the increases in employee-related expenses were primarily due to increases in compensation-related expense</w:t>
      </w:r>
      <w:r>
        <w:rPr>
          <w:sz w:val="20"/>
          <w:szCs w:val="20"/>
        </w:rPr>
        <w:t>s. The increases above were partially offset by respective $1.2 million and $1.4 million decreases in external-related expenses which were primarily due to decreases in legal and consulting services.</w:t>
      </w:r>
    </w:p>
    <w:p w:rsidR="00000000" w:rsidRDefault="00B51E11">
      <w:pPr>
        <w:pStyle w:val="a3"/>
        <w:spacing w:before="0" w:beforeAutospacing="0" w:after="0" w:afterAutospacing="0"/>
        <w:ind w:firstLine="720"/>
        <w:divId w:val="211815811"/>
        <w:rPr>
          <w:sz w:val="20"/>
          <w:szCs w:val="20"/>
        </w:rPr>
      </w:pPr>
      <w:r>
        <w:rPr>
          <w:sz w:val="20"/>
          <w:szCs w:val="20"/>
        </w:rPr>
        <w:t>​</w:t>
      </w:r>
    </w:p>
    <w:p w:rsidR="00000000" w:rsidRDefault="00B51E11">
      <w:pPr>
        <w:pStyle w:val="a3"/>
        <w:spacing w:before="0" w:beforeAutospacing="0" w:after="0" w:afterAutospacing="0"/>
        <w:ind w:firstLine="720"/>
        <w:divId w:val="211815811"/>
        <w:rPr>
          <w:sz w:val="20"/>
          <w:szCs w:val="20"/>
        </w:rPr>
      </w:pPr>
      <w:r>
        <w:rPr>
          <w:sz w:val="20"/>
          <w:szCs w:val="20"/>
        </w:rPr>
        <w:t>The increase noted above for the nine months ended Sep</w:t>
      </w:r>
      <w:r>
        <w:rPr>
          <w:sz w:val="20"/>
          <w:szCs w:val="20"/>
        </w:rPr>
        <w:t>tember 30, 2020 was partially offset by a $1.6 million decrease related to collaboration expenses payable to Mylan in connection with the commercialization of YUPELRI which was formally launched in the first quarter of 2019.</w:t>
      </w:r>
    </w:p>
    <w:p w:rsidR="00000000" w:rsidRDefault="00B51E11">
      <w:pPr>
        <w:pStyle w:val="a3"/>
        <w:spacing w:before="0" w:beforeAutospacing="0" w:after="0" w:afterAutospacing="0"/>
        <w:divId w:val="211815811"/>
        <w:rPr>
          <w:sz w:val="20"/>
          <w:szCs w:val="20"/>
        </w:rPr>
      </w:pPr>
      <w:r>
        <w:rPr>
          <w:sz w:val="20"/>
          <w:szCs w:val="20"/>
        </w:rPr>
        <w:t>​</w:t>
      </w:r>
    </w:p>
    <w:p w:rsidR="00000000" w:rsidRDefault="00B51E11">
      <w:pPr>
        <w:pStyle w:val="a3"/>
        <w:spacing w:before="0" w:beforeAutospacing="0" w:after="0" w:afterAutospacing="0"/>
        <w:divId w:val="211815811"/>
        <w:rPr>
          <w:sz w:val="20"/>
          <w:szCs w:val="20"/>
        </w:rPr>
      </w:pPr>
      <w:r>
        <w:rPr>
          <w:b/>
          <w:bCs/>
          <w:i/>
          <w:iCs/>
          <w:sz w:val="20"/>
          <w:szCs w:val="20"/>
        </w:rPr>
        <w:t>Income from Investment in TRC</w:t>
      </w:r>
      <w:r>
        <w:rPr>
          <w:b/>
          <w:bCs/>
          <w:i/>
          <w:iCs/>
          <w:sz w:val="20"/>
          <w:szCs w:val="20"/>
        </w:rPr>
        <w:t>, LLC</w:t>
      </w:r>
    </w:p>
    <w:p w:rsidR="00000000" w:rsidRDefault="00B51E11">
      <w:pPr>
        <w:pStyle w:val="a3"/>
        <w:spacing w:before="0" w:beforeAutospacing="0" w:after="0" w:afterAutospacing="0"/>
        <w:divId w:val="211815811"/>
        <w:rPr>
          <w:sz w:val="20"/>
          <w:szCs w:val="20"/>
        </w:rPr>
      </w:pPr>
      <w:r>
        <w:rPr>
          <w:sz w:val="12"/>
          <w:szCs w:val="12"/>
        </w:rPr>
        <w:t>​</w:t>
      </w:r>
    </w:p>
    <w:p w:rsidR="00000000" w:rsidRDefault="00B51E11">
      <w:pPr>
        <w:pStyle w:val="a3"/>
        <w:spacing w:before="0" w:beforeAutospacing="0" w:after="0" w:afterAutospacing="0"/>
        <w:ind w:firstLine="720"/>
        <w:divId w:val="211815811"/>
        <w:rPr>
          <w:sz w:val="20"/>
          <w:szCs w:val="20"/>
        </w:rPr>
      </w:pPr>
      <w:r>
        <w:rPr>
          <w:sz w:val="20"/>
          <w:szCs w:val="20"/>
        </w:rPr>
        <w:t>Income from investment in TRC, as compared to the comparable periods in the prior year, was as follows:</w:t>
      </w:r>
    </w:p>
    <w:p w:rsidR="00000000" w:rsidRDefault="00B51E11">
      <w:pPr>
        <w:pStyle w:val="a3"/>
        <w:spacing w:before="0" w:beforeAutospacing="0" w:after="0" w:afterAutospacing="0"/>
        <w:ind w:firstLine="720"/>
        <w:divId w:val="21181581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12"/>
        <w:gridCol w:w="200"/>
        <w:gridCol w:w="100"/>
        <w:gridCol w:w="620"/>
        <w:gridCol w:w="200"/>
        <w:gridCol w:w="100"/>
        <w:gridCol w:w="520"/>
        <w:gridCol w:w="200"/>
        <w:gridCol w:w="100"/>
        <w:gridCol w:w="520"/>
        <w:gridCol w:w="200"/>
        <w:gridCol w:w="200"/>
        <w:gridCol w:w="237"/>
        <w:gridCol w:w="200"/>
        <w:gridCol w:w="100"/>
        <w:gridCol w:w="620"/>
        <w:gridCol w:w="200"/>
        <w:gridCol w:w="100"/>
        <w:gridCol w:w="620"/>
        <w:gridCol w:w="200"/>
        <w:gridCol w:w="100"/>
        <w:gridCol w:w="620"/>
        <w:gridCol w:w="200"/>
        <w:gridCol w:w="300"/>
        <w:gridCol w:w="237"/>
      </w:tblGrid>
      <w:tr w:rsidR="00000000">
        <w:trPr>
          <w:divId w:val="211815811"/>
          <w:trHeight w:val="20"/>
        </w:trPr>
        <w:tc>
          <w:tcPr>
            <w:tcW w:w="1481" w:type="pct"/>
            <w:tcMar>
              <w:top w:w="0" w:type="dxa"/>
              <w:left w:w="0" w:type="dxa"/>
              <w:bottom w:w="0" w:type="dxa"/>
              <w:right w:w="0" w:type="dxa"/>
            </w:tcMar>
            <w:vAlign w:val="bottom"/>
            <w:hideMark/>
          </w:tcPr>
          <w:p w:rsidR="00000000" w:rsidRDefault="00B51E11">
            <w:pPr>
              <w:pStyle w:val="a3"/>
              <w:spacing w:before="0" w:beforeAutospacing="0" w:after="0" w:afterAutospacing="0"/>
              <w:divId w:val="98423927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8993707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18184616"/>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3220169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8623715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57200773"/>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7152893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49643583"/>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66968024"/>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5290350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65542869"/>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173258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29022155"/>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0863190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6092845"/>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7462824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0687503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48783444"/>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4206851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8333270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99211641"/>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0005243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79054897"/>
              <w:rPr>
                <w:sz w:val="20"/>
                <w:szCs w:val="20"/>
              </w:rPr>
            </w:pPr>
            <w:r>
              <w:rPr>
                <w:sz w:val="2"/>
                <w:szCs w:val="2"/>
              </w:rPr>
              <w:t>​</w:t>
            </w:r>
          </w:p>
        </w:tc>
        <w:tc>
          <w:tcPr>
            <w:tcW w:w="173"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116216684"/>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43135608"/>
              <w:rPr>
                <w:sz w:val="20"/>
                <w:szCs w:val="20"/>
              </w:rPr>
            </w:pPr>
            <w:r>
              <w:rPr>
                <w:sz w:val="2"/>
                <w:szCs w:val="2"/>
              </w:rPr>
              <w:t>​</w:t>
            </w:r>
          </w:p>
        </w:tc>
      </w:tr>
      <w:tr w:rsidR="00000000">
        <w:trPr>
          <w:divId w:val="211815811"/>
        </w:trPr>
        <w:tc>
          <w:tcPr>
            <w:tcW w:w="148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13"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863"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3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73"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r>
      <w:tr w:rsidR="00000000">
        <w:trPr>
          <w:divId w:val="211815811"/>
        </w:trPr>
        <w:tc>
          <w:tcPr>
            <w:tcW w:w="148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13"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555"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63"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654"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r>
      <w:tr w:rsidR="00000000">
        <w:trPr>
          <w:divId w:val="211815811"/>
        </w:trPr>
        <w:tc>
          <w:tcPr>
            <w:tcW w:w="1481"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12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173"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r>
      <w:tr w:rsidR="00000000">
        <w:trPr>
          <w:divId w:val="211815811"/>
        </w:trPr>
        <w:tc>
          <w:tcPr>
            <w:tcW w:w="148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hanging="180"/>
              <w:rPr>
                <w:sz w:val="20"/>
                <w:szCs w:val="20"/>
              </w:rPr>
            </w:pPr>
            <w:r>
              <w:rPr>
                <w:sz w:val="20"/>
                <w:szCs w:val="20"/>
              </w:rPr>
              <w:t>Income from investment in TRC, LLC</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13,40</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7,19</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6,20</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2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8</w:t>
            </w:r>
            <w:r>
              <w:rPr>
                <w:sz w:val="20"/>
                <w:szCs w:val="20"/>
              </w:rPr>
              <w:t>6</w:t>
            </w:r>
          </w:p>
        </w:tc>
        <w:tc>
          <w:tcPr>
            <w:tcW w:w="11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48,29</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21,79</w:t>
            </w:r>
            <w:r>
              <w:rPr>
                <w:sz w:val="20"/>
                <w:szCs w:val="20"/>
              </w:rPr>
              <w:t>2</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26,50</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73"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12</w:t>
            </w:r>
            <w:r>
              <w:rPr>
                <w:sz w:val="20"/>
                <w:szCs w:val="20"/>
              </w:rPr>
              <w:t>2</w:t>
            </w:r>
          </w:p>
        </w:tc>
        <w:tc>
          <w:tcPr>
            <w:tcW w:w="11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r>
    </w:tbl>
    <w:p w:rsidR="00000000" w:rsidRDefault="00B51E11">
      <w:pPr>
        <w:pStyle w:val="a3"/>
        <w:spacing w:before="0" w:beforeAutospacing="0" w:after="0" w:afterAutospacing="0"/>
        <w:ind w:firstLine="720"/>
        <w:divId w:val="211815811"/>
        <w:rPr>
          <w:sz w:val="20"/>
          <w:szCs w:val="20"/>
        </w:rPr>
      </w:pPr>
      <w:r>
        <w:rPr>
          <w:sz w:val="20"/>
          <w:szCs w:val="20"/>
        </w:rPr>
        <w:t>​</w:t>
      </w:r>
    </w:p>
    <w:p w:rsidR="00000000" w:rsidRDefault="00B51E11">
      <w:pPr>
        <w:pStyle w:val="a3"/>
        <w:spacing w:before="0" w:beforeAutospacing="0" w:after="0" w:afterAutospacing="0"/>
        <w:ind w:firstLine="720"/>
        <w:divId w:val="211815811"/>
        <w:rPr>
          <w:sz w:val="20"/>
          <w:szCs w:val="20"/>
        </w:rPr>
      </w:pPr>
      <w:r>
        <w:rPr>
          <w:sz w:val="20"/>
          <w:szCs w:val="20"/>
        </w:rPr>
        <w:t>The income from investment in TRC, LLC represented our share of the royalty payments from GSK to TRC on the net sales of TRELEGY (net of our share of TRC expenses paid and the amount of cash, if any, expected to be used by TRC pursuant to the TRC LLC Agree</w:t>
      </w:r>
      <w:r>
        <w:rPr>
          <w:sz w:val="20"/>
          <w:szCs w:val="20"/>
        </w:rPr>
        <w:t>ment over the next four fiscal quarters).</w:t>
      </w:r>
      <w:r>
        <w:rPr>
          <w:color w:val="212529"/>
          <w:sz w:val="20"/>
          <w:szCs w:val="20"/>
        </w:rPr>
        <w:t xml:space="preserve"> </w:t>
      </w:r>
      <w:r>
        <w:rPr>
          <w:sz w:val="20"/>
          <w:szCs w:val="20"/>
        </w:rPr>
        <w:t>Income from investment in TRC, LLC increased by $6.2 million and $26.5 million for the three and nine months ended September 30, 2020, respectively. In the second quarter of 2020, we also recorded $8.5 million with</w:t>
      </w:r>
      <w:r>
        <w:rPr>
          <w:sz w:val="20"/>
          <w:szCs w:val="20"/>
        </w:rPr>
        <w:t xml:space="preserve">in “Income from investment in TRC, LLC” representing our share of a </w:t>
      </w:r>
      <w:r>
        <w:rPr>
          <w:color w:val="212529"/>
          <w:sz w:val="20"/>
          <w:szCs w:val="20"/>
        </w:rPr>
        <w:t xml:space="preserve">$10.0 million fee that GSK agreed to pay TRC upon termination of the MABA program in June 2020. </w:t>
      </w:r>
      <w:r>
        <w:rPr>
          <w:sz w:val="20"/>
          <w:szCs w:val="20"/>
        </w:rPr>
        <w:t>The increases in the income from investment in TRC were attributed to the continued sales gr</w:t>
      </w:r>
      <w:r>
        <w:rPr>
          <w:sz w:val="20"/>
          <w:szCs w:val="20"/>
        </w:rPr>
        <w:t>owth of TRELEGY and the $8.5 million MABA payment. TRELEGY net sales for the three and nine months ended September 30, 2020 were $251.9 million and $740.7 million as compared to net sales of $172.8 million and $439.9 million for the comparable periods in 2</w:t>
      </w:r>
      <w:r>
        <w:rPr>
          <w:sz w:val="20"/>
          <w:szCs w:val="20"/>
        </w:rPr>
        <w:t>019, respectively.</w:t>
      </w:r>
    </w:p>
    <w:p w:rsidR="00000000" w:rsidRDefault="00B51E11">
      <w:pPr>
        <w:pStyle w:val="a3"/>
        <w:spacing w:before="0" w:beforeAutospacing="0" w:after="0" w:afterAutospacing="0"/>
        <w:divId w:val="211815811"/>
        <w:rPr>
          <w:sz w:val="20"/>
          <w:szCs w:val="20"/>
        </w:rPr>
      </w:pPr>
      <w:r>
        <w:rPr>
          <w:color w:val="FF0000"/>
          <w:sz w:val="20"/>
          <w:szCs w:val="20"/>
        </w:rPr>
        <w:t>​</w:t>
      </w:r>
    </w:p>
    <w:p w:rsidR="00000000" w:rsidRDefault="00B51E11">
      <w:pPr>
        <w:pStyle w:val="a3"/>
        <w:spacing w:before="360" w:beforeAutospacing="0" w:after="0" w:afterAutospacing="0"/>
        <w:jc w:val="center"/>
        <w:divId w:val="1877500495"/>
        <w:rPr>
          <w:sz w:val="20"/>
          <w:szCs w:val="20"/>
        </w:rPr>
      </w:pPr>
      <w:r>
        <w:rPr>
          <w:sz w:val="20"/>
          <w:szCs w:val="20"/>
        </w:rPr>
        <w:t>31</w:t>
      </w:r>
    </w:p>
    <w:p w:rsidR="00000000" w:rsidRDefault="00B51E11">
      <w:pPr>
        <w:pStyle w:val="a3"/>
        <w:spacing w:before="0" w:beforeAutospacing="0" w:after="600" w:afterAutospacing="0"/>
        <w:divId w:val="1370958705"/>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ind w:firstLine="720"/>
        <w:divId w:val="2046326201"/>
        <w:rPr>
          <w:sz w:val="20"/>
          <w:szCs w:val="20"/>
        </w:rPr>
      </w:pPr>
      <w:r>
        <w:rPr>
          <w:sz w:val="20"/>
          <w:szCs w:val="20"/>
        </w:rPr>
        <w:t>In connection with the issuance of our $380.0 million net principal amount Non-Recourse 2035 Notes in February 2020, 75% of the income from our investment in TRC is available only for paym</w:t>
      </w:r>
      <w:r>
        <w:rPr>
          <w:sz w:val="20"/>
          <w:szCs w:val="20"/>
        </w:rPr>
        <w:t xml:space="preserve">ent of the Non-Recourse 2035 Notes and is not available to pay other creditor obligations or claims. </w:t>
      </w:r>
    </w:p>
    <w:p w:rsidR="00000000" w:rsidRDefault="00B51E11">
      <w:pPr>
        <w:pStyle w:val="a3"/>
        <w:spacing w:before="0" w:beforeAutospacing="0" w:after="0" w:afterAutospacing="0"/>
        <w:divId w:val="2046326201"/>
        <w:rPr>
          <w:sz w:val="20"/>
          <w:szCs w:val="20"/>
        </w:rPr>
      </w:pPr>
      <w:r>
        <w:rPr>
          <w:sz w:val="20"/>
          <w:szCs w:val="20"/>
        </w:rPr>
        <w:t>​</w:t>
      </w:r>
    </w:p>
    <w:p w:rsidR="00000000" w:rsidRDefault="00B51E11">
      <w:pPr>
        <w:pStyle w:val="a3"/>
        <w:spacing w:before="0" w:beforeAutospacing="0" w:after="0" w:afterAutospacing="0"/>
        <w:divId w:val="2046326201"/>
        <w:rPr>
          <w:sz w:val="20"/>
          <w:szCs w:val="20"/>
        </w:rPr>
      </w:pPr>
      <w:r>
        <w:rPr>
          <w:sz w:val="20"/>
          <w:szCs w:val="20"/>
        </w:rPr>
        <w:t xml:space="preserve">On June 10, 2020, we disclosed in a Form 8-K that we had formally objected to TRC and Innoviva, as the manager of TRC, regarding their proposed plan to </w:t>
      </w:r>
      <w:r>
        <w:rPr>
          <w:sz w:val="20"/>
          <w:szCs w:val="20"/>
        </w:rPr>
        <w:t>use TRELEGY royalties to invest in certain privately-held companies, funds that would otherwise be available for distribution to us under the terms of the TRC LLC Agreement. We intend to continue to seek to protect our interests in this matter consistent w</w:t>
      </w:r>
      <w:r>
        <w:rPr>
          <w:sz w:val="20"/>
          <w:szCs w:val="20"/>
        </w:rPr>
        <w:t>ith the dispute resolution procedures of the TRC LLC Agreement. In this regard, we initiated an arbitration proceeding against Innoviva and TRC in October 2020 challenging the authority of Innoviva and TRC to pursue such a business plan rather than distrib</w:t>
      </w:r>
      <w:r>
        <w:rPr>
          <w:sz w:val="20"/>
          <w:szCs w:val="20"/>
        </w:rPr>
        <w:t xml:space="preserve">ute such funds to us in a manner consistent with the TRC LLC Agreement and our 85% economic interest in TRC. An arbitration hearing is scheduled for the first quarter of 2021. See </w:t>
      </w:r>
      <w:r>
        <w:rPr>
          <w:i/>
          <w:iCs/>
          <w:sz w:val="20"/>
          <w:szCs w:val="20"/>
        </w:rPr>
        <w:t>“Risk Factors – We do not control the commercialization of TRELEGY and we do</w:t>
      </w:r>
      <w:r>
        <w:rPr>
          <w:i/>
          <w:iCs/>
          <w:sz w:val="20"/>
          <w:szCs w:val="20"/>
        </w:rPr>
        <w:t xml:space="preserve"> not control TRC; accordingly the amount of royalties we receive will depend, among other factors, on GSK’s ability to further commercialize TRELEGY and TRC’s decisions concerning use of cash in accordance with the TRC LLC Agreement” </w:t>
      </w:r>
      <w:r>
        <w:rPr>
          <w:sz w:val="20"/>
          <w:szCs w:val="20"/>
        </w:rPr>
        <w:t>for additional informa</w:t>
      </w:r>
      <w:r>
        <w:rPr>
          <w:sz w:val="20"/>
          <w:szCs w:val="20"/>
        </w:rPr>
        <w:t>tion.</w:t>
      </w:r>
      <w:r>
        <w:rPr>
          <w:b/>
          <w:bCs/>
          <w:sz w:val="20"/>
          <w:szCs w:val="20"/>
        </w:rPr>
        <w:t xml:space="preserve"> </w:t>
      </w:r>
    </w:p>
    <w:p w:rsidR="00000000" w:rsidRDefault="00B51E11">
      <w:pPr>
        <w:pStyle w:val="a3"/>
        <w:spacing w:before="0" w:beforeAutospacing="0" w:after="0" w:afterAutospacing="0"/>
        <w:divId w:val="2046326201"/>
        <w:rPr>
          <w:sz w:val="20"/>
          <w:szCs w:val="20"/>
        </w:rPr>
      </w:pPr>
      <w:r>
        <w:rPr>
          <w:color w:val="FF0000"/>
          <w:sz w:val="16"/>
          <w:szCs w:val="16"/>
        </w:rPr>
        <w:t>​</w:t>
      </w:r>
    </w:p>
    <w:p w:rsidR="00000000" w:rsidRDefault="00B51E11">
      <w:pPr>
        <w:pStyle w:val="a3"/>
        <w:spacing w:before="0" w:beforeAutospacing="0" w:after="0" w:afterAutospacing="0"/>
        <w:divId w:val="2046326201"/>
        <w:rPr>
          <w:sz w:val="20"/>
          <w:szCs w:val="20"/>
        </w:rPr>
      </w:pPr>
      <w:r>
        <w:rPr>
          <w:b/>
          <w:bCs/>
          <w:i/>
          <w:iCs/>
          <w:sz w:val="20"/>
          <w:szCs w:val="20"/>
        </w:rPr>
        <w:t>Interest Expense</w:t>
      </w:r>
    </w:p>
    <w:p w:rsidR="00000000" w:rsidRDefault="00B51E11">
      <w:pPr>
        <w:pStyle w:val="a3"/>
        <w:spacing w:before="0" w:beforeAutospacing="0" w:after="0" w:afterAutospacing="0"/>
        <w:divId w:val="2046326201"/>
        <w:rPr>
          <w:sz w:val="20"/>
          <w:szCs w:val="20"/>
        </w:rPr>
      </w:pPr>
      <w:r>
        <w:rPr>
          <w:sz w:val="10"/>
          <w:szCs w:val="10"/>
        </w:rPr>
        <w:t>​</w:t>
      </w:r>
    </w:p>
    <w:p w:rsidR="00000000" w:rsidRDefault="00B51E11">
      <w:pPr>
        <w:pStyle w:val="a3"/>
        <w:spacing w:before="0" w:beforeAutospacing="0" w:after="0" w:afterAutospacing="0"/>
        <w:ind w:firstLine="720"/>
        <w:divId w:val="2046326201"/>
        <w:rPr>
          <w:sz w:val="20"/>
          <w:szCs w:val="20"/>
        </w:rPr>
      </w:pPr>
      <w:r>
        <w:rPr>
          <w:sz w:val="20"/>
          <w:szCs w:val="20"/>
        </w:rPr>
        <w:t>Interest expense primarily consisted of interest payments due on the Convertible Senior 2023 Notes, the retired Non-Recourse 2033 Notes, and the recently issued Non-Recourse 2035 Notes, as well as, the amortization of the associ</w:t>
      </w:r>
      <w:r>
        <w:rPr>
          <w:sz w:val="20"/>
          <w:szCs w:val="20"/>
        </w:rPr>
        <w:t>ated debt issuance costs. Interest expense, as compared to the comparable periods in the prior year, was as follows:</w:t>
      </w:r>
    </w:p>
    <w:p w:rsidR="00000000" w:rsidRDefault="00B51E11">
      <w:pPr>
        <w:pStyle w:val="a3"/>
        <w:spacing w:before="0" w:beforeAutospacing="0" w:after="0" w:afterAutospacing="0"/>
        <w:ind w:firstLine="720"/>
        <w:divId w:val="204632620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288"/>
        <w:gridCol w:w="200"/>
        <w:gridCol w:w="100"/>
        <w:gridCol w:w="684"/>
        <w:gridCol w:w="200"/>
        <w:gridCol w:w="100"/>
        <w:gridCol w:w="584"/>
        <w:gridCol w:w="200"/>
        <w:gridCol w:w="100"/>
        <w:gridCol w:w="584"/>
        <w:gridCol w:w="200"/>
        <w:gridCol w:w="270"/>
        <w:gridCol w:w="237"/>
        <w:gridCol w:w="200"/>
        <w:gridCol w:w="100"/>
        <w:gridCol w:w="684"/>
        <w:gridCol w:w="200"/>
        <w:gridCol w:w="100"/>
        <w:gridCol w:w="684"/>
        <w:gridCol w:w="200"/>
        <w:gridCol w:w="100"/>
        <w:gridCol w:w="584"/>
        <w:gridCol w:w="200"/>
        <w:gridCol w:w="270"/>
        <w:gridCol w:w="237"/>
      </w:tblGrid>
      <w:tr w:rsidR="00000000">
        <w:trPr>
          <w:divId w:val="2046326201"/>
          <w:trHeight w:val="20"/>
        </w:trPr>
        <w:tc>
          <w:tcPr>
            <w:tcW w:w="1320" w:type="pct"/>
            <w:tcMar>
              <w:top w:w="0" w:type="dxa"/>
              <w:left w:w="0" w:type="dxa"/>
              <w:bottom w:w="0" w:type="dxa"/>
              <w:right w:w="0" w:type="dxa"/>
            </w:tcMar>
            <w:vAlign w:val="bottom"/>
            <w:hideMark/>
          </w:tcPr>
          <w:p w:rsidR="00000000" w:rsidRDefault="00B51E11">
            <w:pPr>
              <w:pStyle w:val="a3"/>
              <w:spacing w:before="0" w:beforeAutospacing="0" w:after="0" w:afterAutospacing="0"/>
              <w:divId w:val="814689345"/>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50165466"/>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26588718"/>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616894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3904988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52682562"/>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5787474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8993445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22318803"/>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5870012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21489828"/>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77395859"/>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4623006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2086566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117017942"/>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6218951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12988313"/>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33828284"/>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6725707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15495186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63745650"/>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1208368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37390099"/>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25009325"/>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0028730"/>
              <w:rPr>
                <w:sz w:val="20"/>
                <w:szCs w:val="20"/>
              </w:rPr>
            </w:pPr>
            <w:r>
              <w:rPr>
                <w:sz w:val="2"/>
                <w:szCs w:val="2"/>
              </w:rPr>
              <w:t>​</w:t>
            </w:r>
          </w:p>
        </w:tc>
      </w:tr>
      <w:tr w:rsidR="00000000">
        <w:trPr>
          <w:divId w:val="2046326201"/>
        </w:trPr>
        <w:tc>
          <w:tcPr>
            <w:tcW w:w="132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76"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14"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5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926"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14"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5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r>
      <w:tr w:rsidR="00000000">
        <w:trPr>
          <w:divId w:val="2046326201"/>
        </w:trPr>
        <w:tc>
          <w:tcPr>
            <w:tcW w:w="132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76"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622"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926"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622"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r>
      <w:tr w:rsidR="00000000">
        <w:trPr>
          <w:divId w:val="2046326201"/>
        </w:trPr>
        <w:tc>
          <w:tcPr>
            <w:tcW w:w="1320"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15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158"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r>
      <w:tr w:rsidR="00000000">
        <w:trPr>
          <w:divId w:val="2046326201"/>
        </w:trPr>
        <w:tc>
          <w:tcPr>
            <w:tcW w:w="132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Interest expense</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(11,573</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(8,068</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(3,505</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4</w:t>
            </w:r>
            <w:r>
              <w:rPr>
                <w:sz w:val="20"/>
                <w:szCs w:val="20"/>
              </w:rPr>
              <w:t>3</w:t>
            </w:r>
          </w:p>
        </w:tc>
        <w:tc>
          <w:tcPr>
            <w:tcW w:w="11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(32,905</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(23,827</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(9,078</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w:t>
            </w:r>
            <w:r>
              <w:rPr>
                <w:sz w:val="20"/>
                <w:szCs w:val="20"/>
              </w:rPr>
              <w:t>8</w:t>
            </w:r>
          </w:p>
        </w:tc>
        <w:tc>
          <w:tcPr>
            <w:tcW w:w="11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r>
    </w:tbl>
    <w:p w:rsidR="00000000" w:rsidRDefault="00B51E11">
      <w:pPr>
        <w:pStyle w:val="a3"/>
        <w:spacing w:before="0" w:beforeAutospacing="0" w:after="0" w:afterAutospacing="0"/>
        <w:divId w:val="2046326201"/>
        <w:rPr>
          <w:sz w:val="20"/>
          <w:szCs w:val="20"/>
        </w:rPr>
      </w:pPr>
      <w:r>
        <w:rPr>
          <w:color w:val="FF0000"/>
          <w:sz w:val="20"/>
          <w:szCs w:val="20"/>
        </w:rPr>
        <w:t>​</w:t>
      </w:r>
    </w:p>
    <w:p w:rsidR="00000000" w:rsidRDefault="00B51E11">
      <w:pPr>
        <w:pStyle w:val="a3"/>
        <w:spacing w:before="0" w:beforeAutospacing="0" w:after="0" w:afterAutospacing="0"/>
        <w:ind w:firstLine="720"/>
        <w:divId w:val="2046326201"/>
        <w:rPr>
          <w:sz w:val="20"/>
          <w:szCs w:val="20"/>
        </w:rPr>
      </w:pPr>
      <w:r>
        <w:rPr>
          <w:sz w:val="20"/>
          <w:szCs w:val="20"/>
        </w:rPr>
        <w:t xml:space="preserve">Interest expense increased by $3.5 million and $9.1 million for the three and nine months ended September 30, 2020, respectively, compared to the same periods in 2019. The increases were attributed to additional interest expense related to the issuance of </w:t>
      </w:r>
      <w:r>
        <w:rPr>
          <w:sz w:val="20"/>
          <w:szCs w:val="20"/>
        </w:rPr>
        <w:t>the Non-Recourse 2035 Notes in February 2020. As of September 30, 2020, the Non-Recourse 2035 Notes had a net principal amount of $390.1 million and an interest rate of 9.5% compared to the retired Non-Recourse 2033 Notes which had an original net principa</w:t>
      </w:r>
      <w:r>
        <w:rPr>
          <w:sz w:val="20"/>
          <w:szCs w:val="20"/>
        </w:rPr>
        <w:t>l amount of $237.5 million and an interest rate of 9.0%.</w:t>
      </w:r>
    </w:p>
    <w:p w:rsidR="00000000" w:rsidRDefault="00B51E11">
      <w:pPr>
        <w:pStyle w:val="a3"/>
        <w:spacing w:before="0" w:beforeAutospacing="0" w:after="0" w:afterAutospacing="0"/>
        <w:divId w:val="2046326201"/>
        <w:rPr>
          <w:sz w:val="20"/>
          <w:szCs w:val="20"/>
        </w:rPr>
      </w:pPr>
      <w:r>
        <w:rPr>
          <w:sz w:val="20"/>
          <w:szCs w:val="20"/>
        </w:rPr>
        <w:t>​</w:t>
      </w:r>
    </w:p>
    <w:p w:rsidR="00000000" w:rsidRDefault="00B51E11">
      <w:pPr>
        <w:pStyle w:val="a3"/>
        <w:spacing w:before="0" w:beforeAutospacing="0" w:after="0" w:afterAutospacing="0"/>
        <w:divId w:val="2046326201"/>
        <w:rPr>
          <w:sz w:val="20"/>
          <w:szCs w:val="20"/>
        </w:rPr>
      </w:pPr>
      <w:r>
        <w:rPr>
          <w:b/>
          <w:bCs/>
          <w:i/>
          <w:iCs/>
          <w:sz w:val="20"/>
          <w:szCs w:val="20"/>
        </w:rPr>
        <w:t>Loss on Extinguishment of Debt</w:t>
      </w:r>
    </w:p>
    <w:p w:rsidR="00000000" w:rsidRDefault="00B51E11">
      <w:pPr>
        <w:pStyle w:val="a3"/>
        <w:spacing w:before="0" w:beforeAutospacing="0" w:after="0" w:afterAutospacing="0"/>
        <w:divId w:val="2046326201"/>
        <w:rPr>
          <w:sz w:val="20"/>
          <w:szCs w:val="20"/>
        </w:rPr>
      </w:pPr>
      <w:r>
        <w:rPr>
          <w:i/>
          <w:iCs/>
          <w:sz w:val="10"/>
          <w:szCs w:val="10"/>
        </w:rPr>
        <w:t>​</w:t>
      </w:r>
    </w:p>
    <w:p w:rsidR="00000000" w:rsidRDefault="00B51E11">
      <w:pPr>
        <w:pStyle w:val="a3"/>
        <w:spacing w:before="0" w:beforeAutospacing="0" w:after="0" w:afterAutospacing="0"/>
        <w:ind w:firstLine="720"/>
        <w:divId w:val="2046326201"/>
        <w:rPr>
          <w:sz w:val="20"/>
          <w:szCs w:val="20"/>
        </w:rPr>
      </w:pPr>
      <w:r>
        <w:rPr>
          <w:sz w:val="20"/>
          <w:szCs w:val="20"/>
        </w:rPr>
        <w:t>Loss on extinguishment of debt as compared to the comparable periods in the prior year, was as follows:</w:t>
      </w:r>
    </w:p>
    <w:p w:rsidR="00000000" w:rsidRDefault="00B51E11">
      <w:pPr>
        <w:pStyle w:val="a3"/>
        <w:spacing w:before="0" w:beforeAutospacing="0" w:after="0" w:afterAutospacing="0"/>
        <w:ind w:firstLine="720"/>
        <w:divId w:val="204632620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522"/>
        <w:gridCol w:w="200"/>
        <w:gridCol w:w="128"/>
        <w:gridCol w:w="506"/>
        <w:gridCol w:w="201"/>
        <w:gridCol w:w="127"/>
        <w:gridCol w:w="505"/>
        <w:gridCol w:w="200"/>
        <w:gridCol w:w="100"/>
        <w:gridCol w:w="270"/>
        <w:gridCol w:w="200"/>
        <w:gridCol w:w="393"/>
        <w:gridCol w:w="237"/>
        <w:gridCol w:w="200"/>
        <w:gridCol w:w="101"/>
        <w:gridCol w:w="691"/>
        <w:gridCol w:w="200"/>
        <w:gridCol w:w="100"/>
        <w:gridCol w:w="304"/>
        <w:gridCol w:w="200"/>
        <w:gridCol w:w="100"/>
        <w:gridCol w:w="684"/>
        <w:gridCol w:w="200"/>
        <w:gridCol w:w="393"/>
        <w:gridCol w:w="237"/>
      </w:tblGrid>
      <w:tr w:rsidR="00000000">
        <w:trPr>
          <w:divId w:val="2046326201"/>
          <w:trHeight w:val="20"/>
        </w:trPr>
        <w:tc>
          <w:tcPr>
            <w:tcW w:w="168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1491017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5596875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6856098"/>
              <w:rPr>
                <w:sz w:val="20"/>
                <w:szCs w:val="20"/>
              </w:rPr>
            </w:pPr>
            <w:r>
              <w:rPr>
                <w:sz w:val="2"/>
                <w:szCs w:val="2"/>
              </w:rPr>
              <w:t>​</w:t>
            </w:r>
          </w:p>
        </w:tc>
        <w:tc>
          <w:tcPr>
            <w:tcW w:w="26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15017175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1338456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86967831"/>
              <w:rPr>
                <w:sz w:val="20"/>
                <w:szCs w:val="20"/>
              </w:rPr>
            </w:pPr>
            <w:r>
              <w:rPr>
                <w:sz w:val="2"/>
                <w:szCs w:val="2"/>
              </w:rPr>
              <w:t>​</w:t>
            </w:r>
          </w:p>
        </w:tc>
        <w:tc>
          <w:tcPr>
            <w:tcW w:w="26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8825036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1704168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60762811"/>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14211474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47930358"/>
              <w:rPr>
                <w:sz w:val="20"/>
                <w:szCs w:val="20"/>
              </w:rPr>
            </w:pPr>
            <w:r>
              <w:rPr>
                <w:sz w:val="2"/>
                <w:szCs w:val="2"/>
              </w:rPr>
              <w:t>​</w:t>
            </w:r>
          </w:p>
        </w:tc>
        <w:tc>
          <w:tcPr>
            <w:tcW w:w="19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51203814"/>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1589742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0419860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04580552"/>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0208921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8071236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17928358"/>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2390251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57615333"/>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70258499"/>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7122260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82140484"/>
              <w:rPr>
                <w:sz w:val="20"/>
                <w:szCs w:val="20"/>
              </w:rPr>
            </w:pPr>
            <w:r>
              <w:rPr>
                <w:sz w:val="2"/>
                <w:szCs w:val="2"/>
              </w:rPr>
              <w:t>​</w:t>
            </w:r>
          </w:p>
        </w:tc>
        <w:tc>
          <w:tcPr>
            <w:tcW w:w="19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55764944"/>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03490750"/>
              <w:rPr>
                <w:sz w:val="20"/>
                <w:szCs w:val="20"/>
              </w:rPr>
            </w:pPr>
            <w:r>
              <w:rPr>
                <w:sz w:val="2"/>
                <w:szCs w:val="2"/>
              </w:rPr>
              <w:t>​</w:t>
            </w:r>
          </w:p>
        </w:tc>
      </w:tr>
      <w:tr w:rsidR="00000000">
        <w:trPr>
          <w:divId w:val="2046326201"/>
        </w:trPr>
        <w:tc>
          <w:tcPr>
            <w:tcW w:w="168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55"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58"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94"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21"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64"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94"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r>
      <w:tr w:rsidR="00000000">
        <w:trPr>
          <w:divId w:val="2046326201"/>
        </w:trPr>
        <w:tc>
          <w:tcPr>
            <w:tcW w:w="168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55"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502"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21"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07"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r>
      <w:tr w:rsidR="00000000">
        <w:trPr>
          <w:divId w:val="2046326201"/>
        </w:trPr>
        <w:tc>
          <w:tcPr>
            <w:tcW w:w="1680"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28"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28"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208"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19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208"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19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r>
      <w:tr w:rsidR="00000000">
        <w:trPr>
          <w:divId w:val="2046326201"/>
        </w:trPr>
        <w:tc>
          <w:tcPr>
            <w:tcW w:w="168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Loss on extinguishment of debt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6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6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9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NM</w:t>
            </w:r>
          </w:p>
        </w:tc>
        <w:tc>
          <w:tcPr>
            <w:tcW w:w="11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(15,464</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(15,464</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9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NM</w:t>
            </w:r>
          </w:p>
        </w:tc>
        <w:tc>
          <w:tcPr>
            <w:tcW w:w="11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r>
    </w:tbl>
    <w:p w:rsidR="00000000" w:rsidRDefault="00B51E11">
      <w:pPr>
        <w:pStyle w:val="a3"/>
        <w:spacing w:before="0" w:beforeAutospacing="0" w:after="0" w:afterAutospacing="0"/>
        <w:divId w:val="2046326201"/>
        <w:rPr>
          <w:sz w:val="20"/>
          <w:szCs w:val="20"/>
        </w:rPr>
      </w:pPr>
      <w:r>
        <w:rPr>
          <w:sz w:val="20"/>
          <w:szCs w:val="20"/>
        </w:rPr>
        <w:t>NM: Not Meaningful</w:t>
      </w:r>
    </w:p>
    <w:p w:rsidR="00000000" w:rsidRDefault="00B51E11">
      <w:pPr>
        <w:pStyle w:val="a3"/>
        <w:spacing w:before="0" w:beforeAutospacing="0" w:after="0" w:afterAutospacing="0"/>
        <w:divId w:val="2046326201"/>
        <w:rPr>
          <w:sz w:val="20"/>
          <w:szCs w:val="20"/>
        </w:rPr>
      </w:pPr>
      <w:r>
        <w:rPr>
          <w:sz w:val="20"/>
          <w:szCs w:val="20"/>
        </w:rPr>
        <w:t>​</w:t>
      </w:r>
    </w:p>
    <w:p w:rsidR="00000000" w:rsidRDefault="00B51E11">
      <w:pPr>
        <w:pStyle w:val="a3"/>
        <w:spacing w:before="0" w:beforeAutospacing="0" w:after="0" w:afterAutospacing="0"/>
        <w:ind w:firstLine="720"/>
        <w:divId w:val="2046326201"/>
        <w:rPr>
          <w:sz w:val="20"/>
          <w:szCs w:val="20"/>
        </w:rPr>
      </w:pPr>
      <w:r>
        <w:rPr>
          <w:sz w:val="20"/>
          <w:szCs w:val="20"/>
        </w:rPr>
        <w:t>For the nine months ended September 30, 2020, the $15.5 million loss on extinguishment of debt was related to the issuance of the Non-Recourse 2035 Notes in February 2020. A portion of the proceeds from the Non-Recourse 2035 Notes were used to repay the ou</w:t>
      </w:r>
      <w:r>
        <w:rPr>
          <w:sz w:val="20"/>
          <w:szCs w:val="20"/>
        </w:rPr>
        <w:t>tstanding balance of the Non-Recourse 2033 Notes that were issued in November 2018. The $15.5 million loss was comprised of a redemption premium related to the early repayment of the Non-Recourse 2033 Notes and the write-off of the previously deferred debt</w:t>
      </w:r>
      <w:r>
        <w:rPr>
          <w:sz w:val="20"/>
          <w:szCs w:val="20"/>
        </w:rPr>
        <w:t xml:space="preserve"> issuance costs related to the portion of the Non-Recourse 2033 Notes that was considered extinguished.</w:t>
      </w:r>
    </w:p>
    <w:p w:rsidR="00000000" w:rsidRDefault="00B51E11">
      <w:pPr>
        <w:pStyle w:val="a3"/>
        <w:spacing w:before="0" w:beforeAutospacing="0" w:after="0" w:afterAutospacing="0"/>
        <w:ind w:firstLine="720"/>
        <w:divId w:val="2046326201"/>
        <w:rPr>
          <w:sz w:val="20"/>
          <w:szCs w:val="20"/>
        </w:rPr>
      </w:pPr>
      <w:r>
        <w:rPr>
          <w:sz w:val="20"/>
          <w:szCs w:val="20"/>
        </w:rPr>
        <w:t>​</w:t>
      </w:r>
    </w:p>
    <w:p w:rsidR="00000000" w:rsidRDefault="00B51E11">
      <w:pPr>
        <w:pStyle w:val="a3"/>
        <w:spacing w:before="0" w:beforeAutospacing="0" w:after="0" w:afterAutospacing="0"/>
        <w:ind w:firstLine="720"/>
        <w:divId w:val="2046326201"/>
        <w:rPr>
          <w:sz w:val="20"/>
          <w:szCs w:val="20"/>
        </w:rPr>
      </w:pPr>
      <w:r>
        <w:rPr>
          <w:sz w:val="20"/>
          <w:szCs w:val="20"/>
        </w:rPr>
        <w:t>​</w:t>
      </w:r>
    </w:p>
    <w:p w:rsidR="00000000" w:rsidRDefault="00B51E11">
      <w:pPr>
        <w:pStyle w:val="a3"/>
        <w:spacing w:before="0" w:beforeAutospacing="0" w:after="0" w:afterAutospacing="0"/>
        <w:ind w:firstLine="720"/>
        <w:divId w:val="2046326201"/>
        <w:rPr>
          <w:sz w:val="20"/>
          <w:szCs w:val="20"/>
        </w:rPr>
      </w:pPr>
      <w:r>
        <w:rPr>
          <w:sz w:val="20"/>
          <w:szCs w:val="20"/>
        </w:rPr>
        <w:t>​</w:t>
      </w:r>
    </w:p>
    <w:p w:rsidR="00000000" w:rsidRDefault="00B51E11">
      <w:pPr>
        <w:pStyle w:val="a3"/>
        <w:spacing w:before="360" w:beforeAutospacing="0" w:after="0" w:afterAutospacing="0"/>
        <w:jc w:val="center"/>
        <w:divId w:val="1453134293"/>
        <w:rPr>
          <w:sz w:val="20"/>
          <w:szCs w:val="20"/>
        </w:rPr>
      </w:pPr>
      <w:r>
        <w:rPr>
          <w:sz w:val="20"/>
          <w:szCs w:val="20"/>
        </w:rPr>
        <w:t>32</w:t>
      </w:r>
    </w:p>
    <w:p w:rsidR="00000000" w:rsidRDefault="00B51E11">
      <w:pPr>
        <w:pStyle w:val="a3"/>
        <w:spacing w:before="0" w:beforeAutospacing="0" w:after="600" w:afterAutospacing="0"/>
        <w:divId w:val="708188237"/>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868836238"/>
        <w:rPr>
          <w:sz w:val="20"/>
          <w:szCs w:val="20"/>
        </w:rPr>
      </w:pPr>
      <w:r>
        <w:rPr>
          <w:b/>
          <w:bCs/>
          <w:i/>
          <w:iCs/>
          <w:sz w:val="20"/>
          <w:szCs w:val="20"/>
        </w:rPr>
        <w:t>Interest and Other Income, net</w:t>
      </w:r>
    </w:p>
    <w:p w:rsidR="00000000" w:rsidRDefault="00B51E11">
      <w:pPr>
        <w:pStyle w:val="a3"/>
        <w:spacing w:before="0" w:beforeAutospacing="0" w:after="0" w:afterAutospacing="0"/>
        <w:divId w:val="868836238"/>
        <w:rPr>
          <w:sz w:val="20"/>
          <w:szCs w:val="20"/>
        </w:rPr>
      </w:pPr>
      <w:r>
        <w:rPr>
          <w:i/>
          <w:iCs/>
          <w:sz w:val="10"/>
          <w:szCs w:val="10"/>
        </w:rPr>
        <w:t>​</w:t>
      </w:r>
    </w:p>
    <w:p w:rsidR="00000000" w:rsidRDefault="00B51E11">
      <w:pPr>
        <w:pStyle w:val="a3"/>
        <w:spacing w:before="0" w:beforeAutospacing="0" w:after="0" w:afterAutospacing="0"/>
        <w:ind w:firstLine="720"/>
        <w:divId w:val="868836238"/>
        <w:rPr>
          <w:sz w:val="20"/>
          <w:szCs w:val="20"/>
        </w:rPr>
      </w:pPr>
      <w:r>
        <w:rPr>
          <w:sz w:val="20"/>
          <w:szCs w:val="20"/>
        </w:rPr>
        <w:t>Interest and other income, net, as compared to the comparable peri</w:t>
      </w:r>
      <w:r>
        <w:rPr>
          <w:sz w:val="20"/>
          <w:szCs w:val="20"/>
        </w:rPr>
        <w:t>ods in the prior year, was as follows:</w:t>
      </w:r>
    </w:p>
    <w:p w:rsidR="00000000" w:rsidRDefault="00B51E11">
      <w:pPr>
        <w:pStyle w:val="a3"/>
        <w:spacing w:before="0" w:beforeAutospacing="0" w:after="0" w:afterAutospacing="0"/>
        <w:ind w:firstLine="720"/>
        <w:divId w:val="86883623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389"/>
        <w:gridCol w:w="200"/>
        <w:gridCol w:w="101"/>
        <w:gridCol w:w="541"/>
        <w:gridCol w:w="201"/>
        <w:gridCol w:w="100"/>
        <w:gridCol w:w="540"/>
        <w:gridCol w:w="200"/>
        <w:gridCol w:w="100"/>
        <w:gridCol w:w="434"/>
        <w:gridCol w:w="200"/>
        <w:gridCol w:w="393"/>
        <w:gridCol w:w="237"/>
        <w:gridCol w:w="200"/>
        <w:gridCol w:w="100"/>
        <w:gridCol w:w="584"/>
        <w:gridCol w:w="200"/>
        <w:gridCol w:w="100"/>
        <w:gridCol w:w="520"/>
        <w:gridCol w:w="200"/>
        <w:gridCol w:w="100"/>
        <w:gridCol w:w="584"/>
        <w:gridCol w:w="200"/>
        <w:gridCol w:w="393"/>
        <w:gridCol w:w="237"/>
      </w:tblGrid>
      <w:tr w:rsidR="00000000">
        <w:trPr>
          <w:divId w:val="868836238"/>
          <w:trHeight w:val="20"/>
        </w:trPr>
        <w:tc>
          <w:tcPr>
            <w:tcW w:w="1566" w:type="pct"/>
            <w:tcMar>
              <w:top w:w="0" w:type="dxa"/>
              <w:left w:w="0" w:type="dxa"/>
              <w:bottom w:w="0" w:type="dxa"/>
              <w:right w:w="0" w:type="dxa"/>
            </w:tcMar>
            <w:vAlign w:val="bottom"/>
            <w:hideMark/>
          </w:tcPr>
          <w:p w:rsidR="00000000" w:rsidRDefault="00B51E11">
            <w:pPr>
              <w:pStyle w:val="a3"/>
              <w:spacing w:before="0" w:beforeAutospacing="0" w:after="0" w:afterAutospacing="0"/>
              <w:divId w:val="120383417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8653656"/>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21681059"/>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967458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9324494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77772441"/>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944850475"/>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2615987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92702825"/>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0964070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52242684"/>
              <w:rPr>
                <w:sz w:val="20"/>
                <w:szCs w:val="20"/>
              </w:rPr>
            </w:pPr>
            <w:r>
              <w:rPr>
                <w:sz w:val="2"/>
                <w:szCs w:val="2"/>
              </w:rPr>
              <w:t>​</w:t>
            </w:r>
          </w:p>
        </w:tc>
        <w:tc>
          <w:tcPr>
            <w:tcW w:w="19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85099881"/>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5115095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7181875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78683065"/>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7949751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4592771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58697075"/>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95244291"/>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53528116"/>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61792582"/>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3972111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23201203"/>
              <w:rPr>
                <w:sz w:val="20"/>
                <w:szCs w:val="20"/>
              </w:rPr>
            </w:pPr>
            <w:r>
              <w:rPr>
                <w:sz w:val="2"/>
                <w:szCs w:val="2"/>
              </w:rPr>
              <w:t>​</w:t>
            </w:r>
          </w:p>
        </w:tc>
        <w:tc>
          <w:tcPr>
            <w:tcW w:w="19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75210576"/>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48930347"/>
              <w:rPr>
                <w:sz w:val="20"/>
                <w:szCs w:val="20"/>
              </w:rPr>
            </w:pPr>
            <w:r>
              <w:rPr>
                <w:sz w:val="2"/>
                <w:szCs w:val="2"/>
              </w:rPr>
              <w:t>​</w:t>
            </w:r>
          </w:p>
        </w:tc>
      </w:tr>
      <w:tr w:rsidR="00000000">
        <w:trPr>
          <w:divId w:val="868836238"/>
        </w:trPr>
        <w:tc>
          <w:tcPr>
            <w:tcW w:w="156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63"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24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94"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95"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14"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94"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r>
      <w:tr w:rsidR="00000000">
        <w:trPr>
          <w:divId w:val="868836238"/>
        </w:trPr>
        <w:tc>
          <w:tcPr>
            <w:tcW w:w="1566"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63"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583"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95"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658"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r>
      <w:tr w:rsidR="00000000">
        <w:trPr>
          <w:divId w:val="868836238"/>
        </w:trPr>
        <w:tc>
          <w:tcPr>
            <w:tcW w:w="1566"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289"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19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    </w:t>
            </w:r>
          </w:p>
        </w:tc>
        <w:tc>
          <w:tcPr>
            <w:tcW w:w="19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r>
      <w:tr w:rsidR="00000000">
        <w:trPr>
          <w:divId w:val="868836238"/>
        </w:trPr>
        <w:tc>
          <w:tcPr>
            <w:tcW w:w="1566"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Interest and other income, net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1,10</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2,08</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(980</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9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(47</w:t>
            </w: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3,64</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7,25</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(3,615</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9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(50</w:t>
            </w: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r>
      <w:tr w:rsidR="00000000">
        <w:trPr>
          <w:divId w:val="868836238"/>
        </w:trPr>
        <w:tc>
          <w:tcPr>
            <w:tcW w:w="1566"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Costs related to GSK offering</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12</w:t>
            </w:r>
            <w:r>
              <w:rPr>
                <w:sz w:val="20"/>
                <w:szCs w:val="20"/>
              </w:rPr>
              <w:t>6</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4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12</w:t>
            </w:r>
            <w:r>
              <w:rPr>
                <w:sz w:val="20"/>
                <w:szCs w:val="20"/>
              </w:rPr>
              <w:t>6</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9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NM</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1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(1,610</w:t>
            </w:r>
            <w:r>
              <w:rPr>
                <w:sz w:val="20"/>
                <w:szCs w:val="20"/>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1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(1,610</w:t>
            </w:r>
            <w:r>
              <w:rPr>
                <w:sz w:val="20"/>
                <w:szCs w:val="20"/>
              </w:rPr>
              <w:t>)</w:t>
            </w:r>
          </w:p>
        </w:tc>
        <w:tc>
          <w:tcPr>
            <w:tcW w:w="9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94"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NM</w:t>
            </w:r>
          </w:p>
        </w:tc>
        <w:tc>
          <w:tcPr>
            <w:tcW w:w="117"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r>
      <w:tr w:rsidR="00000000">
        <w:trPr>
          <w:divId w:val="868836238"/>
        </w:trPr>
        <w:tc>
          <w:tcPr>
            <w:tcW w:w="1566"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left="120"/>
              <w:rPr>
                <w:sz w:val="20"/>
                <w:szCs w:val="20"/>
              </w:rPr>
            </w:pPr>
            <w:r>
              <w:rPr>
                <w:sz w:val="20"/>
                <w:szCs w:val="20"/>
              </w:rPr>
              <w:t>Total interest and other income, net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1,23</w:t>
            </w:r>
            <w:r>
              <w:rPr>
                <w:sz w:val="20"/>
                <w:szCs w:val="20"/>
              </w:rPr>
              <w:t>5</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2,08</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(854</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NM</w:t>
            </w:r>
          </w:p>
        </w:tc>
        <w:tc>
          <w:tcPr>
            <w:tcW w:w="11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2,03</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7,25</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(5,225</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NM</w:t>
            </w:r>
          </w:p>
        </w:tc>
        <w:tc>
          <w:tcPr>
            <w:tcW w:w="117"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w:t>
            </w:r>
          </w:p>
        </w:tc>
      </w:tr>
    </w:tbl>
    <w:p w:rsidR="00000000" w:rsidRDefault="00B51E11">
      <w:pPr>
        <w:pStyle w:val="a3"/>
        <w:spacing w:before="0" w:beforeAutospacing="0" w:after="0" w:afterAutospacing="0"/>
        <w:divId w:val="868836238"/>
        <w:rPr>
          <w:sz w:val="20"/>
          <w:szCs w:val="20"/>
        </w:rPr>
      </w:pPr>
      <w:r>
        <w:rPr>
          <w:sz w:val="20"/>
          <w:szCs w:val="20"/>
        </w:rPr>
        <w:t>NM: Not Meaningful</w:t>
      </w:r>
    </w:p>
    <w:p w:rsidR="00000000" w:rsidRDefault="00B51E11">
      <w:pPr>
        <w:pStyle w:val="a3"/>
        <w:spacing w:before="0" w:beforeAutospacing="0" w:after="0" w:afterAutospacing="0"/>
        <w:divId w:val="868836238"/>
        <w:rPr>
          <w:sz w:val="20"/>
          <w:szCs w:val="20"/>
        </w:rPr>
      </w:pPr>
      <w:r>
        <w:rPr>
          <w:sz w:val="20"/>
          <w:szCs w:val="20"/>
        </w:rPr>
        <w:t>​</w:t>
      </w:r>
    </w:p>
    <w:p w:rsidR="00000000" w:rsidRDefault="00B51E11">
      <w:pPr>
        <w:pStyle w:val="a3"/>
        <w:spacing w:before="0" w:beforeAutospacing="0" w:after="0" w:afterAutospacing="0"/>
        <w:ind w:firstLine="720"/>
        <w:divId w:val="868836238"/>
        <w:rPr>
          <w:sz w:val="20"/>
          <w:szCs w:val="20"/>
        </w:rPr>
      </w:pPr>
      <w:r>
        <w:rPr>
          <w:sz w:val="20"/>
          <w:szCs w:val="20"/>
        </w:rPr>
        <w:t>Interest and other income, net, decreased by $1.0 million and $3.6 million for the three and nine months ended September 30, 2020, respectively, compared to the same periods in 2019. The decreases were primarily attributed to lower interest income earned i</w:t>
      </w:r>
      <w:r>
        <w:rPr>
          <w:sz w:val="20"/>
          <w:szCs w:val="20"/>
        </w:rPr>
        <w:t>n the current year periods resulting from lower investment yields on our portfolio of marketable securities.</w:t>
      </w:r>
    </w:p>
    <w:p w:rsidR="00000000" w:rsidRDefault="00B51E11">
      <w:pPr>
        <w:pStyle w:val="a3"/>
        <w:spacing w:before="0" w:beforeAutospacing="0" w:after="0" w:afterAutospacing="0"/>
        <w:ind w:firstLine="720"/>
        <w:divId w:val="868836238"/>
        <w:rPr>
          <w:sz w:val="20"/>
          <w:szCs w:val="20"/>
        </w:rPr>
      </w:pPr>
      <w:r>
        <w:rPr>
          <w:sz w:val="20"/>
          <w:szCs w:val="20"/>
        </w:rPr>
        <w:t>​</w:t>
      </w:r>
    </w:p>
    <w:p w:rsidR="00000000" w:rsidRDefault="00B51E11">
      <w:pPr>
        <w:pStyle w:val="a3"/>
        <w:spacing w:before="0" w:beforeAutospacing="0" w:after="0" w:afterAutospacing="0"/>
        <w:ind w:firstLine="720"/>
        <w:divId w:val="868836238"/>
        <w:rPr>
          <w:sz w:val="20"/>
          <w:szCs w:val="20"/>
        </w:rPr>
      </w:pPr>
      <w:r>
        <w:rPr>
          <w:sz w:val="20"/>
          <w:szCs w:val="20"/>
        </w:rPr>
        <w:t>In addition, $1.6 million of costs related to the GSK offering in the second quarter of 2020 were incurred during the nine months ended September</w:t>
      </w:r>
      <w:r>
        <w:rPr>
          <w:sz w:val="20"/>
          <w:szCs w:val="20"/>
        </w:rPr>
        <w:t xml:space="preserve"> 30, 2020. On June 22, 2020, GSK completed its previously announced offering of $300.0 million of exchangeable senior notes due 2023, $280.3 million of which are exchangeable into ordinary shares of our Company that are held by GSK and its affiliates for i</w:t>
      </w:r>
      <w:r>
        <w:rPr>
          <w:sz w:val="20"/>
          <w:szCs w:val="20"/>
        </w:rPr>
        <w:t>nvestment purposes. The $1.6 million in costs were primarily comprised of financial advisory and legal-related costs.</w:t>
      </w:r>
    </w:p>
    <w:p w:rsidR="00000000" w:rsidRDefault="00B51E11">
      <w:pPr>
        <w:pStyle w:val="a3"/>
        <w:spacing w:before="0" w:beforeAutospacing="0" w:after="0" w:afterAutospacing="0"/>
        <w:divId w:val="868836238"/>
        <w:rPr>
          <w:sz w:val="20"/>
          <w:szCs w:val="20"/>
        </w:rPr>
      </w:pPr>
      <w:r>
        <w:rPr>
          <w:sz w:val="20"/>
          <w:szCs w:val="20"/>
        </w:rPr>
        <w:t>​</w:t>
      </w:r>
    </w:p>
    <w:p w:rsidR="00000000" w:rsidRDefault="00B51E11">
      <w:pPr>
        <w:pStyle w:val="a3"/>
        <w:spacing w:before="0" w:beforeAutospacing="0" w:after="0" w:afterAutospacing="0"/>
        <w:divId w:val="868836238"/>
        <w:rPr>
          <w:sz w:val="20"/>
          <w:szCs w:val="20"/>
        </w:rPr>
      </w:pPr>
      <w:r>
        <w:rPr>
          <w:b/>
          <w:bCs/>
          <w:i/>
          <w:iCs/>
          <w:sz w:val="20"/>
          <w:szCs w:val="20"/>
        </w:rPr>
        <w:t>Provision for Income Tax (Expense) Benefit</w:t>
      </w:r>
    </w:p>
    <w:p w:rsidR="00000000" w:rsidRDefault="00B51E11">
      <w:pPr>
        <w:pStyle w:val="a3"/>
        <w:spacing w:before="0" w:beforeAutospacing="0" w:after="0" w:afterAutospacing="0"/>
        <w:divId w:val="868836238"/>
        <w:rPr>
          <w:sz w:val="20"/>
          <w:szCs w:val="20"/>
        </w:rPr>
      </w:pPr>
      <w:r>
        <w:rPr>
          <w:sz w:val="10"/>
          <w:szCs w:val="10"/>
        </w:rPr>
        <w:t>​</w:t>
      </w:r>
    </w:p>
    <w:p w:rsidR="00000000" w:rsidRDefault="00B51E11">
      <w:pPr>
        <w:pStyle w:val="a3"/>
        <w:spacing w:before="0" w:beforeAutospacing="0" w:after="0" w:afterAutospacing="0"/>
        <w:ind w:firstLine="720"/>
        <w:divId w:val="868836238"/>
        <w:rPr>
          <w:sz w:val="20"/>
          <w:szCs w:val="20"/>
        </w:rPr>
      </w:pPr>
      <w:r>
        <w:rPr>
          <w:sz w:val="20"/>
          <w:szCs w:val="20"/>
        </w:rPr>
        <w:t xml:space="preserve">The provision for income tax, as compared to the comparable periods in the prior year, was </w:t>
      </w:r>
      <w:r>
        <w:rPr>
          <w:sz w:val="20"/>
          <w:szCs w:val="20"/>
        </w:rPr>
        <w:t>as follows:</w:t>
      </w:r>
    </w:p>
    <w:p w:rsidR="00000000" w:rsidRDefault="00B51E11">
      <w:pPr>
        <w:pStyle w:val="a3"/>
        <w:spacing w:before="0" w:beforeAutospacing="0" w:after="0" w:afterAutospacing="0"/>
        <w:ind w:firstLine="720"/>
        <w:divId w:val="86883623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924"/>
        <w:gridCol w:w="160"/>
        <w:gridCol w:w="128"/>
        <w:gridCol w:w="506"/>
        <w:gridCol w:w="160"/>
        <w:gridCol w:w="127"/>
        <w:gridCol w:w="545"/>
        <w:gridCol w:w="160"/>
        <w:gridCol w:w="100"/>
        <w:gridCol w:w="584"/>
        <w:gridCol w:w="160"/>
        <w:gridCol w:w="434"/>
        <w:gridCol w:w="167"/>
        <w:gridCol w:w="160"/>
        <w:gridCol w:w="101"/>
        <w:gridCol w:w="470"/>
        <w:gridCol w:w="160"/>
        <w:gridCol w:w="100"/>
        <w:gridCol w:w="555"/>
        <w:gridCol w:w="160"/>
        <w:gridCol w:w="100"/>
        <w:gridCol w:w="584"/>
        <w:gridCol w:w="160"/>
        <w:gridCol w:w="434"/>
        <w:gridCol w:w="167"/>
      </w:tblGrid>
      <w:tr w:rsidR="00000000">
        <w:trPr>
          <w:divId w:val="868836238"/>
          <w:trHeight w:val="20"/>
        </w:trPr>
        <w:tc>
          <w:tcPr>
            <w:tcW w:w="1691" w:type="pct"/>
            <w:tcMar>
              <w:top w:w="0" w:type="dxa"/>
              <w:left w:w="0" w:type="dxa"/>
              <w:bottom w:w="0" w:type="dxa"/>
              <w:right w:w="0" w:type="dxa"/>
            </w:tcMar>
            <w:vAlign w:val="bottom"/>
            <w:hideMark/>
          </w:tcPr>
          <w:p w:rsidR="00000000" w:rsidRDefault="00B51E11">
            <w:pPr>
              <w:pStyle w:val="a3"/>
              <w:spacing w:before="0" w:beforeAutospacing="0" w:after="0" w:afterAutospacing="0"/>
              <w:divId w:val="182774520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125658437"/>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78884016"/>
              <w:rPr>
                <w:sz w:val="20"/>
                <w:szCs w:val="20"/>
              </w:rPr>
            </w:pPr>
            <w:r>
              <w:rPr>
                <w:sz w:val="2"/>
                <w:szCs w:val="2"/>
              </w:rPr>
              <w:t>​</w:t>
            </w:r>
          </w:p>
        </w:tc>
        <w:tc>
          <w:tcPr>
            <w:tcW w:w="26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35072267"/>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54085959"/>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572423727"/>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5153898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4690156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479273966"/>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87499789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86529236"/>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8463166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32759367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4421943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54290633"/>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28261583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7813900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86460370"/>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2571982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32285682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9584164"/>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79874027"/>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605072932"/>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73299774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690453558"/>
              <w:rPr>
                <w:sz w:val="20"/>
                <w:szCs w:val="20"/>
              </w:rPr>
            </w:pPr>
            <w:r>
              <w:rPr>
                <w:sz w:val="2"/>
                <w:szCs w:val="2"/>
              </w:rPr>
              <w:t>​</w:t>
            </w:r>
          </w:p>
        </w:tc>
      </w:tr>
      <w:tr w:rsidR="00000000">
        <w:trPr>
          <w:divId w:val="868836238"/>
        </w:trPr>
        <w:tc>
          <w:tcPr>
            <w:tcW w:w="169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56"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Three Months Ended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14"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24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01" w:type="pct"/>
            <w:gridSpan w:val="5"/>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xml:space="preserve">Nine Months Ended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14"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24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r>
      <w:tr w:rsidR="00000000">
        <w:trPr>
          <w:divId w:val="868836238"/>
        </w:trPr>
        <w:tc>
          <w:tcPr>
            <w:tcW w:w="1691"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56"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683"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8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701"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September 30,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683" w:type="pct"/>
            <w:gridSpan w:val="4"/>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c>
          <w:tcPr>
            <w:tcW w:w="8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r>
      <w:tr w:rsidR="00000000">
        <w:trPr>
          <w:divId w:val="868836238"/>
        </w:trPr>
        <w:tc>
          <w:tcPr>
            <w:tcW w:w="1691"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328"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349"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r>
              <w:rPr>
                <w:b/>
                <w:bCs/>
                <w:sz w:val="16"/>
                <w:szCs w:val="16"/>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24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289"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79"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240" w:type="pct"/>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r>
      <w:tr w:rsidR="00000000">
        <w:trPr>
          <w:divId w:val="868836238"/>
        </w:trPr>
        <w:tc>
          <w:tcPr>
            <w:tcW w:w="1691"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ind w:hanging="180"/>
              <w:rPr>
                <w:sz w:val="20"/>
                <w:szCs w:val="20"/>
              </w:rPr>
            </w:pPr>
            <w:r>
              <w:rPr>
                <w:sz w:val="20"/>
                <w:szCs w:val="20"/>
              </w:rPr>
              <w:t>Provision for income tax (expense) benefit</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6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(93</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5,55</w:t>
            </w:r>
            <w:r>
              <w:rPr>
                <w:sz w:val="20"/>
                <w:szCs w:val="20"/>
              </w:rPr>
              <w:t>2</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(5,645</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(102</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(279</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5,27</w:t>
            </w:r>
            <w:r>
              <w:rPr>
                <w:sz w:val="20"/>
                <w:szCs w:val="20"/>
              </w:rPr>
              <w:t>1</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(5,550</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(105</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r>
    </w:tbl>
    <w:p w:rsidR="00000000" w:rsidRDefault="00B51E11">
      <w:pPr>
        <w:pStyle w:val="a3"/>
        <w:spacing w:before="0" w:beforeAutospacing="0" w:after="0" w:afterAutospacing="0"/>
        <w:divId w:val="868836238"/>
        <w:rPr>
          <w:sz w:val="20"/>
          <w:szCs w:val="20"/>
        </w:rPr>
      </w:pPr>
      <w:r>
        <w:rPr>
          <w:sz w:val="20"/>
          <w:szCs w:val="20"/>
        </w:rPr>
        <w:t>​</w:t>
      </w:r>
    </w:p>
    <w:p w:rsidR="00000000" w:rsidRDefault="00B51E11">
      <w:pPr>
        <w:pStyle w:val="a3"/>
        <w:spacing w:before="0" w:beforeAutospacing="0" w:after="0" w:afterAutospacing="0"/>
        <w:ind w:firstLine="720"/>
        <w:divId w:val="868836238"/>
        <w:rPr>
          <w:sz w:val="20"/>
          <w:szCs w:val="20"/>
        </w:rPr>
      </w:pPr>
      <w:r>
        <w:rPr>
          <w:sz w:val="20"/>
          <w:szCs w:val="20"/>
        </w:rPr>
        <w:t>For the three and nine months ended September 30, 2020, the provision for income tax expense increased by $5.6 million compared to the same periods in 2019. The increase was primarily attributed to a reversal of previously accrued contingent tax liabilitie</w:t>
      </w:r>
      <w:r>
        <w:rPr>
          <w:sz w:val="20"/>
          <w:szCs w:val="20"/>
        </w:rPr>
        <w:t>s for uncertain tax positions in the comparable period in 2019 due to a lapse of the statute of limitations and US research and development credits. Although we incurred operating losses on a consolidated basis, the provision for income taxes for the three</w:t>
      </w:r>
      <w:r>
        <w:rPr>
          <w:sz w:val="20"/>
          <w:szCs w:val="20"/>
        </w:rPr>
        <w:t xml:space="preserve"> and nine months ended September 30, 2020 was due to the uncertain tax positions taken with respect to transfer pricing and tax credits. </w:t>
      </w:r>
    </w:p>
    <w:p w:rsidR="00000000" w:rsidRDefault="00B51E11">
      <w:pPr>
        <w:pStyle w:val="a3"/>
        <w:spacing w:before="0" w:beforeAutospacing="0" w:after="0" w:afterAutospacing="0"/>
        <w:divId w:val="868836238"/>
        <w:rPr>
          <w:sz w:val="20"/>
          <w:szCs w:val="20"/>
        </w:rPr>
      </w:pPr>
      <w:r>
        <w:rPr>
          <w:sz w:val="20"/>
          <w:szCs w:val="20"/>
        </w:rPr>
        <w:t>​</w:t>
      </w:r>
    </w:p>
    <w:p w:rsidR="00000000" w:rsidRDefault="00B51E11">
      <w:pPr>
        <w:pStyle w:val="a3"/>
        <w:spacing w:before="0" w:beforeAutospacing="0" w:after="0" w:afterAutospacing="0"/>
        <w:ind w:firstLine="720"/>
        <w:divId w:val="868836238"/>
        <w:rPr>
          <w:sz w:val="20"/>
          <w:szCs w:val="20"/>
        </w:rPr>
      </w:pPr>
      <w:r>
        <w:rPr>
          <w:sz w:val="20"/>
          <w:szCs w:val="20"/>
        </w:rPr>
        <w:t>We are currently under Internal Revenue Service (“IRS”) examination for the tax year ended December 31, 2017. We bel</w:t>
      </w:r>
      <w:r>
        <w:rPr>
          <w:sz w:val="20"/>
          <w:szCs w:val="20"/>
        </w:rPr>
        <w:t>ieve that an adequate provision has been made for any adjustments that may result from the tax examination.</w:t>
      </w:r>
    </w:p>
    <w:p w:rsidR="00000000" w:rsidRDefault="00B51E11">
      <w:pPr>
        <w:pStyle w:val="a3"/>
        <w:spacing w:before="0" w:beforeAutospacing="0" w:after="0" w:afterAutospacing="0"/>
        <w:divId w:val="868836238"/>
        <w:rPr>
          <w:sz w:val="20"/>
          <w:szCs w:val="20"/>
        </w:rPr>
      </w:pPr>
      <w:r>
        <w:rPr>
          <w:color w:val="FF0000"/>
          <w:sz w:val="20"/>
          <w:szCs w:val="20"/>
        </w:rPr>
        <w:t>​</w:t>
      </w:r>
    </w:p>
    <w:p w:rsidR="00000000" w:rsidRDefault="00B51E11">
      <w:pPr>
        <w:pStyle w:val="a3"/>
        <w:spacing w:before="0" w:beforeAutospacing="0" w:after="120" w:afterAutospacing="0"/>
        <w:divId w:val="868836238"/>
        <w:rPr>
          <w:sz w:val="20"/>
          <w:szCs w:val="20"/>
        </w:rPr>
      </w:pPr>
      <w:r>
        <w:rPr>
          <w:b/>
          <w:bCs/>
          <w:sz w:val="20"/>
          <w:szCs w:val="20"/>
        </w:rPr>
        <w:t>Liquidity and Capital Resources</w:t>
      </w:r>
    </w:p>
    <w:p w:rsidR="00000000" w:rsidRDefault="00B51E11">
      <w:pPr>
        <w:pStyle w:val="a3"/>
        <w:spacing w:before="0" w:beforeAutospacing="0" w:after="0" w:afterAutospacing="0"/>
        <w:ind w:firstLine="720"/>
        <w:divId w:val="868836238"/>
        <w:rPr>
          <w:sz w:val="20"/>
          <w:szCs w:val="20"/>
        </w:rPr>
      </w:pPr>
      <w:r>
        <w:rPr>
          <w:sz w:val="20"/>
          <w:szCs w:val="20"/>
        </w:rPr>
        <w:t xml:space="preserve">To date, we have financed our operations primarily through public offering of equity and debt securities, private </w:t>
      </w:r>
      <w:r>
        <w:rPr>
          <w:sz w:val="20"/>
          <w:szCs w:val="20"/>
        </w:rPr>
        <w:t>placements of equity and debt, revenue from collaboration and licensing arrangements and, to a lesser extent, revenue from product sales. As of September 30, 2020, we had approximately $358.3 million in cash, cash equivalents, and investments in marketable</w:t>
      </w:r>
      <w:r>
        <w:rPr>
          <w:sz w:val="20"/>
          <w:szCs w:val="20"/>
        </w:rPr>
        <w:t xml:space="preserve"> securities (excluding restricted cash). Also, as of September 30, 2020, we had outstanding (i) $230.0 million in principal Convertible Senior 2023 Notes and (ii) $390.1 million in principal Non-Recourse 2035 Notes which are stated net of a 5.0% retention </w:t>
      </w:r>
      <w:r>
        <w:rPr>
          <w:sz w:val="20"/>
          <w:szCs w:val="20"/>
        </w:rPr>
        <w:t xml:space="preserve">by us in compliance with Regulation RR — Credit Risk Retention (17 C.F.R. Part 246). </w:t>
      </w:r>
    </w:p>
    <w:p w:rsidR="00000000" w:rsidRDefault="00B51E11">
      <w:pPr>
        <w:pStyle w:val="a3"/>
        <w:spacing w:before="0" w:beforeAutospacing="0" w:after="0" w:afterAutospacing="0"/>
        <w:divId w:val="868836238"/>
        <w:rPr>
          <w:sz w:val="20"/>
          <w:szCs w:val="20"/>
        </w:rPr>
      </w:pPr>
      <w:r>
        <w:rPr>
          <w:sz w:val="20"/>
          <w:szCs w:val="20"/>
        </w:rPr>
        <w:t>​</w:t>
      </w:r>
    </w:p>
    <w:p w:rsidR="00000000" w:rsidRDefault="00B51E11">
      <w:pPr>
        <w:pStyle w:val="a3"/>
        <w:spacing w:before="0" w:beforeAutospacing="0" w:after="0" w:afterAutospacing="0"/>
        <w:ind w:firstLine="720"/>
        <w:divId w:val="868836238"/>
        <w:rPr>
          <w:sz w:val="20"/>
          <w:szCs w:val="20"/>
        </w:rPr>
      </w:pPr>
      <w:r>
        <w:rPr>
          <w:sz w:val="20"/>
          <w:szCs w:val="20"/>
        </w:rPr>
        <w:t>The Non-Recourse 2035 Notes were issued on February 28, 2020 and are secured by all of the Triple Royalty Sub II LLC’s (the “Issuer II”) rights, title and interest as a</w:t>
      </w:r>
      <w:r>
        <w:rPr>
          <w:sz w:val="20"/>
          <w:szCs w:val="20"/>
        </w:rPr>
        <w:t xml:space="preserve"> holder of the Issuer II Class C Units in TRC. The primary source of funds to make payments on the Non-Recourse 2035 Notes is the 63.75% economic interest of the Issuer (evidenced by the Issuer II </w:t>
      </w:r>
    </w:p>
    <w:p w:rsidR="00000000" w:rsidRDefault="00B51E11">
      <w:pPr>
        <w:pStyle w:val="a3"/>
        <w:spacing w:before="360" w:beforeAutospacing="0" w:after="0" w:afterAutospacing="0"/>
        <w:jc w:val="center"/>
        <w:divId w:val="1658608740"/>
        <w:rPr>
          <w:sz w:val="20"/>
          <w:szCs w:val="20"/>
        </w:rPr>
      </w:pPr>
      <w:r>
        <w:rPr>
          <w:sz w:val="20"/>
          <w:szCs w:val="20"/>
        </w:rPr>
        <w:t>33</w:t>
      </w:r>
    </w:p>
    <w:p w:rsidR="00000000" w:rsidRDefault="00B51E11">
      <w:pPr>
        <w:pStyle w:val="a3"/>
        <w:spacing w:before="0" w:beforeAutospacing="0" w:after="600" w:afterAutospacing="0"/>
        <w:divId w:val="1436247883"/>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178737288"/>
        <w:rPr>
          <w:sz w:val="20"/>
          <w:szCs w:val="20"/>
        </w:rPr>
      </w:pPr>
      <w:r>
        <w:rPr>
          <w:sz w:val="20"/>
          <w:szCs w:val="20"/>
        </w:rPr>
        <w:t>Class C Uni</w:t>
      </w:r>
      <w:r>
        <w:rPr>
          <w:sz w:val="20"/>
          <w:szCs w:val="20"/>
        </w:rPr>
        <w:t xml:space="preserve">ts) in any future payments that may be made by GSK to TRC under the strategic alliance agreement and under the portion of the collaboration agreement assigned to TRC by Innoviva (net of TRC expenses paid and the amount of cash, if any, expected to be used </w:t>
      </w:r>
      <w:r>
        <w:rPr>
          <w:sz w:val="20"/>
          <w:szCs w:val="20"/>
        </w:rPr>
        <w:t xml:space="preserve">by TRC pursuant to the TRC LLC Agreement over the next four fiscal quarters) relating to the GSK-Partnered Respiratory Programs, including the </w:t>
      </w:r>
      <w:r>
        <w:rPr>
          <w:caps/>
          <w:sz w:val="20"/>
          <w:szCs w:val="20"/>
        </w:rPr>
        <w:t xml:space="preserve">Trelegy </w:t>
      </w:r>
      <w:r>
        <w:rPr>
          <w:sz w:val="20"/>
          <w:szCs w:val="20"/>
        </w:rPr>
        <w:t>program. As a result, the holders of the Non-Recourse 2035 Notes have no recourse against Theravance Biop</w:t>
      </w:r>
      <w:r>
        <w:rPr>
          <w:sz w:val="20"/>
          <w:szCs w:val="20"/>
        </w:rPr>
        <w:t>harma even if the TRELEGY payments are insufficient to cover the principal and interest payments for the Non-Recourse 2035 Notes. Prior to and including the December 5, 2024 payment date, in the event that the distributions received by the Issuer II from T</w:t>
      </w:r>
      <w:r>
        <w:rPr>
          <w:sz w:val="20"/>
          <w:szCs w:val="20"/>
        </w:rPr>
        <w:t>RC in a quarter is less than the interest accrued for that quarter, the principal amount of the Non-Recourse 2035 Notes will increase by the interest shortfall amount for that quarter. While the holders of the Non-Recourse 2035 Notes have no recourse again</w:t>
      </w:r>
      <w:r>
        <w:rPr>
          <w:sz w:val="20"/>
          <w:szCs w:val="20"/>
        </w:rPr>
        <w:t>st Theravance Biopharma, the terms of the Non-Recourse 2035 Notes also provide that Theravance Biopharma, at its option, may satisfy the quarterly interest payment obligations by making a capital contribution to the Issuer II.</w:t>
      </w:r>
    </w:p>
    <w:p w:rsidR="00000000" w:rsidRDefault="00B51E11">
      <w:pPr>
        <w:pStyle w:val="a3"/>
        <w:spacing w:before="0" w:beforeAutospacing="0" w:after="0" w:afterAutospacing="0"/>
        <w:ind w:firstLine="720"/>
        <w:divId w:val="1178737288"/>
        <w:rPr>
          <w:sz w:val="20"/>
          <w:szCs w:val="20"/>
        </w:rPr>
      </w:pPr>
      <w:r>
        <w:rPr>
          <w:sz w:val="20"/>
          <w:szCs w:val="20"/>
        </w:rPr>
        <w:t>​</w:t>
      </w:r>
    </w:p>
    <w:p w:rsidR="00000000" w:rsidRDefault="00B51E11">
      <w:pPr>
        <w:pStyle w:val="a3"/>
        <w:spacing w:before="0" w:beforeAutospacing="0" w:after="0" w:afterAutospacing="0"/>
        <w:ind w:firstLine="720"/>
        <w:divId w:val="1178737288"/>
        <w:rPr>
          <w:sz w:val="20"/>
          <w:szCs w:val="20"/>
        </w:rPr>
      </w:pPr>
      <w:r>
        <w:rPr>
          <w:sz w:val="20"/>
          <w:szCs w:val="20"/>
        </w:rPr>
        <w:t>A portion of the proceeds f</w:t>
      </w:r>
      <w:r>
        <w:rPr>
          <w:sz w:val="20"/>
          <w:szCs w:val="20"/>
        </w:rPr>
        <w:t>rom the Non-Recourse 2035 Notes issuance were used to repay, in full, the remaining outstanding balance of the Non-Recourse 2033 Notes, as well as, a 5% premium on the early redemption of the Non-Recourse 2033 Notes. The Non-Recourse 2033 Notes were issued</w:t>
      </w:r>
      <w:r>
        <w:rPr>
          <w:sz w:val="20"/>
          <w:szCs w:val="20"/>
        </w:rPr>
        <w:t xml:space="preserve"> in November 2018 and were structured similarly to the Non-Recourse 2035 Notes. </w:t>
      </w:r>
    </w:p>
    <w:p w:rsidR="00000000" w:rsidRDefault="00B51E11">
      <w:pPr>
        <w:pStyle w:val="a3"/>
        <w:spacing w:before="0" w:beforeAutospacing="0" w:after="0" w:afterAutospacing="0"/>
        <w:divId w:val="1178737288"/>
        <w:rPr>
          <w:sz w:val="20"/>
          <w:szCs w:val="20"/>
        </w:rPr>
      </w:pPr>
      <w:r>
        <w:rPr>
          <w:sz w:val="20"/>
          <w:szCs w:val="20"/>
        </w:rPr>
        <w:t>​</w:t>
      </w:r>
    </w:p>
    <w:p w:rsidR="00000000" w:rsidRDefault="00B51E11">
      <w:pPr>
        <w:pStyle w:val="a3"/>
        <w:spacing w:before="0" w:beforeAutospacing="0" w:after="0" w:afterAutospacing="0"/>
        <w:ind w:firstLine="720"/>
        <w:divId w:val="1178737288"/>
        <w:rPr>
          <w:sz w:val="20"/>
          <w:szCs w:val="20"/>
        </w:rPr>
      </w:pPr>
      <w:r>
        <w:rPr>
          <w:sz w:val="20"/>
          <w:szCs w:val="20"/>
        </w:rPr>
        <w:t>We expect to continue to incur net losses over at least the next several years due to significant expenditures relating to our continuing drug discovery efforts, preclinical</w:t>
      </w:r>
      <w:r>
        <w:rPr>
          <w:sz w:val="20"/>
          <w:szCs w:val="20"/>
        </w:rPr>
        <w:t xml:space="preserve"> and clinical development of our current product candidates and commercialization costs relating to YUPELRI. In particular, to the extent we advance our product candidates into and through later-stage clinical studies without a partner, we will incur subst</w:t>
      </w:r>
      <w:r>
        <w:rPr>
          <w:sz w:val="20"/>
          <w:szCs w:val="20"/>
        </w:rPr>
        <w:t>antial expenses. We expect the clinical development of our key development programs will require significant investment in order to continue to advance in clinical development. In addition, we expect to invest strategically in our research efforts to conti</w:t>
      </w:r>
      <w:r>
        <w:rPr>
          <w:sz w:val="20"/>
          <w:szCs w:val="20"/>
        </w:rPr>
        <w:t>nue to grow our development pipeline. In the past, we have received a number of significant payments from collaboration agreements and other significant transactions. In the future, we may continue to receive potential substantial payments from future coll</w:t>
      </w:r>
      <w:r>
        <w:rPr>
          <w:sz w:val="20"/>
          <w:szCs w:val="20"/>
        </w:rPr>
        <w:t>aboration transactions if the drug candidates in our pipeline achieve positive clinical or regulatory outcomes or if our product candidates are approved and meet certain milestones. Our current business plan is subject to significant uncertainties and risk</w:t>
      </w:r>
      <w:r>
        <w:rPr>
          <w:sz w:val="20"/>
          <w:szCs w:val="20"/>
        </w:rPr>
        <w:t>s as a result of, among other factors, the COVID-19 pandemic, clinical program outcomes, whether, when and on what terms we are able to enter into new collaboration arrangements, expenses being higher than anticipated, the sales levels of any approved prod</w:t>
      </w:r>
      <w:r>
        <w:rPr>
          <w:sz w:val="20"/>
          <w:szCs w:val="20"/>
        </w:rPr>
        <w:t>ucts, unplanned expenses, cash receipts being lower than anticipated, and the need to satisfy contingent liabilities, including litigation matters and indemnification obligations.</w:t>
      </w:r>
    </w:p>
    <w:p w:rsidR="00000000" w:rsidRDefault="00B51E11">
      <w:pPr>
        <w:pStyle w:val="a3"/>
        <w:spacing w:before="0" w:beforeAutospacing="0" w:after="0" w:afterAutospacing="0"/>
        <w:divId w:val="1178737288"/>
        <w:rPr>
          <w:sz w:val="20"/>
          <w:szCs w:val="20"/>
        </w:rPr>
      </w:pPr>
      <w:r>
        <w:rPr>
          <w:sz w:val="20"/>
          <w:szCs w:val="20"/>
        </w:rPr>
        <w:t>​</w:t>
      </w:r>
    </w:p>
    <w:p w:rsidR="00000000" w:rsidRDefault="00B51E11">
      <w:pPr>
        <w:pStyle w:val="a3"/>
        <w:spacing w:before="0" w:beforeAutospacing="0" w:after="0" w:afterAutospacing="0"/>
        <w:divId w:val="1178737288"/>
        <w:rPr>
          <w:sz w:val="20"/>
          <w:szCs w:val="20"/>
        </w:rPr>
      </w:pPr>
      <w:r>
        <w:rPr>
          <w:i/>
          <w:iCs/>
          <w:sz w:val="20"/>
          <w:szCs w:val="20"/>
        </w:rPr>
        <w:t>Adequacy of cash resources to meet future needs</w:t>
      </w:r>
    </w:p>
    <w:p w:rsidR="00000000" w:rsidRDefault="00B51E11">
      <w:pPr>
        <w:pStyle w:val="a3"/>
        <w:spacing w:before="0" w:beforeAutospacing="0" w:after="0" w:afterAutospacing="0"/>
        <w:divId w:val="1178737288"/>
        <w:rPr>
          <w:sz w:val="20"/>
          <w:szCs w:val="20"/>
        </w:rPr>
      </w:pPr>
      <w:r>
        <w:rPr>
          <w:sz w:val="10"/>
          <w:szCs w:val="10"/>
        </w:rPr>
        <w:t>​</w:t>
      </w:r>
    </w:p>
    <w:p w:rsidR="00000000" w:rsidRDefault="00B51E11">
      <w:pPr>
        <w:pStyle w:val="a3"/>
        <w:spacing w:before="0" w:beforeAutospacing="0" w:after="0" w:afterAutospacing="0"/>
        <w:ind w:firstLine="720"/>
        <w:divId w:val="1178737288"/>
        <w:rPr>
          <w:sz w:val="20"/>
          <w:szCs w:val="20"/>
        </w:rPr>
      </w:pPr>
      <w:r>
        <w:rPr>
          <w:sz w:val="20"/>
          <w:szCs w:val="20"/>
        </w:rPr>
        <w:t>We expect our cash and cash equivalents and marketable securities will be sufficient to fund our operations for at least the next 12 months from the issuance date of these condensed consolidated financial statements based on current operating plans and fin</w:t>
      </w:r>
      <w:r>
        <w:rPr>
          <w:sz w:val="20"/>
          <w:szCs w:val="20"/>
        </w:rPr>
        <w:t>ancial forecasts.</w:t>
      </w:r>
    </w:p>
    <w:p w:rsidR="00000000" w:rsidRDefault="00B51E11">
      <w:pPr>
        <w:pStyle w:val="a3"/>
        <w:spacing w:before="0" w:beforeAutospacing="0" w:after="0" w:afterAutospacing="0"/>
        <w:divId w:val="1178737288"/>
        <w:rPr>
          <w:sz w:val="20"/>
          <w:szCs w:val="20"/>
        </w:rPr>
      </w:pPr>
      <w:r>
        <w:rPr>
          <w:color w:val="FF0000"/>
          <w:sz w:val="20"/>
          <w:szCs w:val="20"/>
        </w:rPr>
        <w:t>​</w:t>
      </w:r>
    </w:p>
    <w:p w:rsidR="00000000" w:rsidRDefault="00B51E11">
      <w:pPr>
        <w:pStyle w:val="a3"/>
        <w:spacing w:before="0" w:beforeAutospacing="0" w:after="0" w:afterAutospacing="0"/>
        <w:ind w:firstLine="720"/>
        <w:divId w:val="1178737288"/>
        <w:rPr>
          <w:sz w:val="20"/>
          <w:szCs w:val="20"/>
        </w:rPr>
      </w:pPr>
      <w:r>
        <w:rPr>
          <w:sz w:val="20"/>
          <w:szCs w:val="20"/>
        </w:rPr>
        <w:t>On February 14, 2020, we sold 5,500,000 ordinary shares at a price to the public of $27.00 per share (the “Shares”). The gross proceeds from the offering were $148.5 million, before deducting underwriting discounts and commissions and e</w:t>
      </w:r>
      <w:r>
        <w:rPr>
          <w:sz w:val="20"/>
          <w:szCs w:val="20"/>
        </w:rPr>
        <w:t>stimated offering expenses. The Shares were issued pursuant to our currently effective shelf registration statement on Form S-3, which became effective automatically on December 3, 2019, and a prospectus supplement filed with the SEC in connection with the</w:t>
      </w:r>
      <w:r>
        <w:rPr>
          <w:sz w:val="20"/>
          <w:szCs w:val="20"/>
        </w:rPr>
        <w:t xml:space="preserve"> offering.</w:t>
      </w:r>
    </w:p>
    <w:p w:rsidR="00000000" w:rsidRDefault="00B51E11">
      <w:pPr>
        <w:pStyle w:val="a3"/>
        <w:spacing w:before="0" w:beforeAutospacing="0" w:after="0" w:afterAutospacing="0"/>
        <w:ind w:firstLine="720"/>
        <w:divId w:val="1178737288"/>
        <w:rPr>
          <w:sz w:val="20"/>
          <w:szCs w:val="20"/>
        </w:rPr>
      </w:pPr>
      <w:r>
        <w:rPr>
          <w:sz w:val="20"/>
          <w:szCs w:val="20"/>
        </w:rPr>
        <w:t>​</w:t>
      </w:r>
    </w:p>
    <w:p w:rsidR="00000000" w:rsidRDefault="00B51E11">
      <w:pPr>
        <w:pStyle w:val="a3"/>
        <w:spacing w:before="0" w:beforeAutospacing="0" w:after="0" w:afterAutospacing="0"/>
        <w:ind w:firstLine="720"/>
        <w:divId w:val="1178737288"/>
        <w:rPr>
          <w:sz w:val="20"/>
          <w:szCs w:val="20"/>
        </w:rPr>
      </w:pPr>
      <w:r>
        <w:rPr>
          <w:sz w:val="20"/>
          <w:szCs w:val="20"/>
        </w:rPr>
        <w:t>We may seek to obtain additional financing in the form of public or private equity offerings, debt financing or additional collaborations and licensing arrangements. However, future financing may not be available in amounts or on terms accepta</w:t>
      </w:r>
      <w:r>
        <w:rPr>
          <w:sz w:val="20"/>
          <w:szCs w:val="20"/>
        </w:rPr>
        <w:t>ble to us.</w:t>
      </w:r>
    </w:p>
    <w:p w:rsidR="00000000" w:rsidRDefault="00B51E11">
      <w:pPr>
        <w:pStyle w:val="a3"/>
        <w:spacing w:before="0" w:beforeAutospacing="0" w:after="0" w:afterAutospacing="0"/>
        <w:divId w:val="1178737288"/>
        <w:rPr>
          <w:sz w:val="20"/>
          <w:szCs w:val="20"/>
        </w:rPr>
      </w:pPr>
      <w:r>
        <w:rPr>
          <w:sz w:val="20"/>
          <w:szCs w:val="20"/>
        </w:rPr>
        <w:t>​</w:t>
      </w:r>
    </w:p>
    <w:p w:rsidR="00000000" w:rsidRDefault="00B51E11">
      <w:pPr>
        <w:pStyle w:val="a3"/>
        <w:spacing w:before="0" w:beforeAutospacing="0" w:after="0" w:afterAutospacing="0"/>
        <w:ind w:firstLine="720"/>
        <w:divId w:val="1178737288"/>
        <w:rPr>
          <w:sz w:val="20"/>
          <w:szCs w:val="20"/>
        </w:rPr>
      </w:pPr>
      <w:r>
        <w:rPr>
          <w:sz w:val="20"/>
          <w:szCs w:val="20"/>
        </w:rPr>
        <w:t>Without adequate financial resources to fund our operations as presently conducted, we may be required to relinquish rights to our technologies, product candidates or territories, or grant licenses on terms that are not favorable to us, in order to raise a</w:t>
      </w:r>
      <w:r>
        <w:rPr>
          <w:sz w:val="20"/>
          <w:szCs w:val="20"/>
        </w:rPr>
        <w:t>dditional funds through collaborations or licensing arrangements. We may also have to sequence preclinical and clinical studies as opposed to conducting them concomitantly in order to conserve resources, or delay, reduce or eliminate one or more of our res</w:t>
      </w:r>
      <w:r>
        <w:rPr>
          <w:sz w:val="20"/>
          <w:szCs w:val="20"/>
        </w:rPr>
        <w:t>earch or development programs and reduce overall overhead expenses. In addition, we may have to make reductions in our workforce and may be prevented from continuing our discovery, development and commercialization efforts and exploiting other corporate op</w:t>
      </w:r>
      <w:r>
        <w:rPr>
          <w:sz w:val="20"/>
          <w:szCs w:val="20"/>
        </w:rPr>
        <w:t>portunities.</w:t>
      </w:r>
    </w:p>
    <w:p w:rsidR="00000000" w:rsidRDefault="00B51E11">
      <w:pPr>
        <w:pStyle w:val="a3"/>
        <w:spacing w:before="360" w:beforeAutospacing="0" w:after="0" w:afterAutospacing="0"/>
        <w:jc w:val="center"/>
        <w:divId w:val="1940750125"/>
        <w:rPr>
          <w:sz w:val="20"/>
          <w:szCs w:val="20"/>
        </w:rPr>
      </w:pPr>
      <w:r>
        <w:rPr>
          <w:sz w:val="20"/>
          <w:szCs w:val="20"/>
        </w:rPr>
        <w:t>34</w:t>
      </w:r>
    </w:p>
    <w:p w:rsidR="00000000" w:rsidRDefault="00B51E11">
      <w:pPr>
        <w:pStyle w:val="a3"/>
        <w:spacing w:before="0" w:beforeAutospacing="0" w:after="600" w:afterAutospacing="0"/>
        <w:divId w:val="1931812939"/>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500537343"/>
        <w:rPr>
          <w:sz w:val="20"/>
          <w:szCs w:val="20"/>
        </w:rPr>
      </w:pPr>
      <w:r>
        <w:rPr>
          <w:sz w:val="20"/>
          <w:szCs w:val="20"/>
        </w:rPr>
        <w:t>​</w:t>
      </w:r>
    </w:p>
    <w:p w:rsidR="00000000" w:rsidRDefault="00B51E11">
      <w:pPr>
        <w:pStyle w:val="a3"/>
        <w:spacing w:before="0" w:beforeAutospacing="0" w:after="0" w:afterAutospacing="0"/>
        <w:divId w:val="1500537343"/>
        <w:rPr>
          <w:sz w:val="20"/>
          <w:szCs w:val="20"/>
        </w:rPr>
      </w:pPr>
      <w:r>
        <w:rPr>
          <w:b/>
          <w:bCs/>
          <w:i/>
          <w:iCs/>
          <w:sz w:val="20"/>
          <w:szCs w:val="20"/>
        </w:rPr>
        <w:t>Cash Flows</w:t>
      </w:r>
    </w:p>
    <w:p w:rsidR="00000000" w:rsidRDefault="00B51E11">
      <w:pPr>
        <w:pStyle w:val="a3"/>
        <w:spacing w:before="0" w:beforeAutospacing="0" w:after="0" w:afterAutospacing="0"/>
        <w:divId w:val="1500537343"/>
        <w:rPr>
          <w:sz w:val="20"/>
          <w:szCs w:val="20"/>
        </w:rPr>
      </w:pPr>
      <w:r>
        <w:rPr>
          <w:sz w:val="10"/>
          <w:szCs w:val="10"/>
        </w:rPr>
        <w:t>​</w:t>
      </w:r>
    </w:p>
    <w:p w:rsidR="00000000" w:rsidRDefault="00B51E11">
      <w:pPr>
        <w:pStyle w:val="a3"/>
        <w:spacing w:before="0" w:beforeAutospacing="0" w:after="0" w:afterAutospacing="0"/>
        <w:ind w:firstLine="720"/>
        <w:divId w:val="1500537343"/>
        <w:rPr>
          <w:sz w:val="20"/>
          <w:szCs w:val="20"/>
        </w:rPr>
      </w:pPr>
      <w:r>
        <w:rPr>
          <w:sz w:val="20"/>
          <w:szCs w:val="20"/>
        </w:rPr>
        <w:t>Cash flows, as compared to the comparable periods in the prior year, were as follows:</w:t>
      </w:r>
    </w:p>
    <w:p w:rsidR="00000000" w:rsidRDefault="00B51E11">
      <w:pPr>
        <w:pStyle w:val="a3"/>
        <w:spacing w:before="0" w:beforeAutospacing="0" w:after="0" w:afterAutospacing="0"/>
        <w:ind w:firstLine="720"/>
        <w:divId w:val="150053734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39"/>
        <w:gridCol w:w="160"/>
        <w:gridCol w:w="224"/>
        <w:gridCol w:w="878"/>
        <w:gridCol w:w="224"/>
        <w:gridCol w:w="224"/>
        <w:gridCol w:w="877"/>
        <w:gridCol w:w="160"/>
        <w:gridCol w:w="100"/>
        <w:gridCol w:w="720"/>
      </w:tblGrid>
      <w:tr w:rsidR="00000000">
        <w:trPr>
          <w:divId w:val="1500537343"/>
          <w:trHeight w:val="20"/>
        </w:trPr>
        <w:tc>
          <w:tcPr>
            <w:tcW w:w="3170" w:type="pct"/>
            <w:tcMar>
              <w:top w:w="0" w:type="dxa"/>
              <w:left w:w="0" w:type="dxa"/>
              <w:bottom w:w="0" w:type="dxa"/>
              <w:right w:w="0" w:type="dxa"/>
            </w:tcMar>
            <w:vAlign w:val="bottom"/>
            <w:hideMark/>
          </w:tcPr>
          <w:p w:rsidR="00000000" w:rsidRDefault="00B51E11">
            <w:pPr>
              <w:pStyle w:val="a3"/>
              <w:spacing w:before="0" w:beforeAutospacing="0" w:after="0" w:afterAutospacing="0"/>
              <w:divId w:val="175446979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961305129"/>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020163183"/>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18260245"/>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147359103"/>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96841825"/>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879662467"/>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50065668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2008941342"/>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divId w:val="144202117"/>
              <w:rPr>
                <w:sz w:val="20"/>
                <w:szCs w:val="20"/>
              </w:rPr>
            </w:pPr>
            <w:r>
              <w:rPr>
                <w:sz w:val="2"/>
                <w:szCs w:val="2"/>
              </w:rPr>
              <w:t>​</w:t>
            </w:r>
          </w:p>
        </w:tc>
      </w:tr>
      <w:tr w:rsidR="00000000">
        <w:trPr>
          <w:divId w:val="1500537343"/>
        </w:trPr>
        <w:tc>
          <w:tcPr>
            <w:tcW w:w="317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8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1203" w:type="pct"/>
            <w:gridSpan w:val="5"/>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Nine Months Ended September 30, </w:t>
            </w:r>
          </w:p>
        </w:tc>
        <w:tc>
          <w:tcPr>
            <w:tcW w:w="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16"/>
                <w:szCs w:val="16"/>
              </w:rPr>
              <w:t>​</w:t>
            </w:r>
          </w:p>
        </w:tc>
      </w:tr>
      <w:tr w:rsidR="00000000">
        <w:trPr>
          <w:divId w:val="1500537343"/>
        </w:trPr>
        <w:tc>
          <w:tcPr>
            <w:tcW w:w="3170"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(In thousands)</w:t>
            </w:r>
          </w:p>
        </w:tc>
        <w:tc>
          <w:tcPr>
            <w:tcW w:w="8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5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2020</w:t>
            </w:r>
          </w:p>
        </w:tc>
        <w:tc>
          <w:tcPr>
            <w:tcW w:w="11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546"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2019</w:t>
            </w:r>
          </w:p>
        </w:tc>
        <w:tc>
          <w:tcPr>
            <w:tcW w:w="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    </w:t>
            </w:r>
          </w:p>
        </w:tc>
        <w:tc>
          <w:tcPr>
            <w:tcW w:w="463" w:type="pct"/>
            <w:gridSpan w:val="2"/>
            <w:tcBorders>
              <w:bottom w:val="single" w:sz="6" w:space="0" w:color="000000"/>
            </w:tcBorders>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Change</w:t>
            </w:r>
          </w:p>
        </w:tc>
      </w:tr>
      <w:tr w:rsidR="00000000">
        <w:trPr>
          <w:divId w:val="1500537343"/>
        </w:trPr>
        <w:tc>
          <w:tcPr>
            <w:tcW w:w="317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Net cash used in operating activities</w:t>
            </w:r>
          </w:p>
        </w:tc>
        <w:tc>
          <w:tcPr>
            <w:tcW w:w="8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(185,478</w:t>
            </w: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(173,845</w:t>
            </w: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(11,633</w:t>
            </w:r>
            <w:r>
              <w:rPr>
                <w:sz w:val="20"/>
                <w:szCs w:val="20"/>
              </w:rPr>
              <w:t>)</w:t>
            </w:r>
          </w:p>
        </w:tc>
      </w:tr>
      <w:tr w:rsidR="00000000">
        <w:trPr>
          <w:divId w:val="1500537343"/>
        </w:trPr>
        <w:tc>
          <w:tcPr>
            <w:tcW w:w="3170"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Net cash used in investing activities</w:t>
            </w:r>
          </w:p>
        </w:tc>
        <w:tc>
          <w:tcPr>
            <w:tcW w:w="80"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435"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(41,647</w:t>
            </w:r>
            <w:r>
              <w:rPr>
                <w:sz w:val="20"/>
                <w:szCs w:val="20"/>
              </w:rPr>
              <w:t>)</w:t>
            </w:r>
          </w:p>
        </w:tc>
        <w:tc>
          <w:tcPr>
            <w:tcW w:w="11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435" w:type="pct"/>
            <w:noWrap/>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(97,112</w:t>
            </w:r>
            <w:r>
              <w:rPr>
                <w:sz w:val="20"/>
                <w:szCs w:val="20"/>
              </w:rPr>
              <w:t>)</w:t>
            </w:r>
          </w:p>
        </w:tc>
        <w:tc>
          <w:tcPr>
            <w:tcW w:w="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81" w:type="pct"/>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55,46</w:t>
            </w:r>
            <w:r>
              <w:rPr>
                <w:sz w:val="20"/>
                <w:szCs w:val="20"/>
              </w:rPr>
              <w:t>5</w:t>
            </w:r>
          </w:p>
        </w:tc>
      </w:tr>
      <w:tr w:rsidR="00000000">
        <w:trPr>
          <w:divId w:val="1500537343"/>
        </w:trPr>
        <w:tc>
          <w:tcPr>
            <w:tcW w:w="3170" w:type="pct"/>
            <w:shd w:val="clear" w:color="auto" w:fill="CCEEFF"/>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Net cash provided by financing activities</w:t>
            </w:r>
          </w:p>
        </w:tc>
        <w:tc>
          <w:tcPr>
            <w:tcW w:w="80"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43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262,34</w:t>
            </w:r>
            <w:r>
              <w:rPr>
                <w:sz w:val="20"/>
                <w:szCs w:val="20"/>
              </w:rPr>
              <w:t>2</w:t>
            </w:r>
          </w:p>
        </w:tc>
        <w:tc>
          <w:tcPr>
            <w:tcW w:w="11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435"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2,83</w:t>
            </w:r>
            <w:r>
              <w:rPr>
                <w:sz w:val="20"/>
                <w:szCs w:val="20"/>
              </w:rPr>
              <w:t>5</w:t>
            </w:r>
          </w:p>
        </w:tc>
        <w:tc>
          <w:tcPr>
            <w:tcW w:w="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sz w:val="20"/>
                <w:szCs w:val="20"/>
              </w:rPr>
              <w:t> </w:t>
            </w:r>
          </w:p>
        </w:tc>
        <w:tc>
          <w:tcPr>
            <w:tcW w:w="381" w:type="pct"/>
            <w:shd w:val="clear" w:color="auto" w:fill="CCEEFF"/>
            <w:noWrap/>
            <w:tcMar>
              <w:top w:w="0" w:type="dxa"/>
              <w:left w:w="0" w:type="dxa"/>
              <w:bottom w:w="0" w:type="dxa"/>
              <w:right w:w="0" w:type="dxa"/>
            </w:tcMar>
            <w:vAlign w:val="bottom"/>
            <w:hideMark/>
          </w:tcPr>
          <w:p w:rsidR="00000000" w:rsidRDefault="00B51E11">
            <w:pPr>
              <w:pStyle w:val="a3"/>
              <w:spacing w:before="0" w:beforeAutospacing="0" w:after="0" w:afterAutospacing="0"/>
              <w:ind w:right="70"/>
              <w:jc w:val="right"/>
              <w:rPr>
                <w:sz w:val="20"/>
                <w:szCs w:val="20"/>
              </w:rPr>
            </w:pPr>
            <w:r>
              <w:rPr>
                <w:sz w:val="20"/>
                <w:szCs w:val="20"/>
              </w:rPr>
              <w:t>259,50</w:t>
            </w:r>
            <w:r>
              <w:rPr>
                <w:sz w:val="20"/>
                <w:szCs w:val="20"/>
              </w:rPr>
              <w:t>7</w:t>
            </w:r>
          </w:p>
        </w:tc>
      </w:tr>
    </w:tbl>
    <w:p w:rsidR="00000000" w:rsidRDefault="00B51E11">
      <w:pPr>
        <w:pStyle w:val="a3"/>
        <w:spacing w:before="0" w:beforeAutospacing="0" w:after="0" w:afterAutospacing="0"/>
        <w:divId w:val="1500537343"/>
        <w:rPr>
          <w:sz w:val="20"/>
          <w:szCs w:val="20"/>
        </w:rPr>
      </w:pPr>
      <w:r>
        <w:rPr>
          <w:sz w:val="20"/>
          <w:szCs w:val="20"/>
        </w:rPr>
        <w:t>​</w:t>
      </w:r>
    </w:p>
    <w:p w:rsidR="00000000" w:rsidRDefault="00B51E11">
      <w:pPr>
        <w:pStyle w:val="a3"/>
        <w:spacing w:before="0" w:beforeAutospacing="0" w:after="0" w:afterAutospacing="0"/>
        <w:divId w:val="1500537343"/>
        <w:rPr>
          <w:sz w:val="20"/>
          <w:szCs w:val="20"/>
        </w:rPr>
      </w:pPr>
      <w:r>
        <w:rPr>
          <w:i/>
          <w:iCs/>
          <w:sz w:val="20"/>
          <w:szCs w:val="20"/>
        </w:rPr>
        <w:t>Cash flows used in operating activities</w:t>
      </w:r>
    </w:p>
    <w:p w:rsidR="00000000" w:rsidRDefault="00B51E11">
      <w:pPr>
        <w:pStyle w:val="a3"/>
        <w:spacing w:before="0" w:beforeAutospacing="0" w:after="0" w:afterAutospacing="0"/>
        <w:divId w:val="1500537343"/>
        <w:rPr>
          <w:sz w:val="20"/>
          <w:szCs w:val="20"/>
        </w:rPr>
      </w:pPr>
      <w:r>
        <w:rPr>
          <w:sz w:val="10"/>
          <w:szCs w:val="10"/>
        </w:rPr>
        <w:t>​</w:t>
      </w:r>
    </w:p>
    <w:p w:rsidR="00000000" w:rsidRDefault="00B51E11">
      <w:pPr>
        <w:pStyle w:val="a3"/>
        <w:spacing w:before="0" w:beforeAutospacing="0" w:after="0" w:afterAutospacing="0"/>
        <w:ind w:firstLine="720"/>
        <w:divId w:val="1500537343"/>
        <w:rPr>
          <w:sz w:val="20"/>
          <w:szCs w:val="20"/>
        </w:rPr>
      </w:pPr>
      <w:r>
        <w:rPr>
          <w:sz w:val="20"/>
          <w:szCs w:val="20"/>
        </w:rPr>
        <w:t xml:space="preserve">Net cash used in operating activities was $185.5 million and $173.8 million for the nine months ended September 30, 2020 and 2019, respectively. </w:t>
      </w:r>
      <w:r>
        <w:rPr>
          <w:sz w:val="20"/>
          <w:szCs w:val="20"/>
          <w:shd w:val="clear" w:color="auto" w:fill="FFFFFF"/>
        </w:rPr>
        <w:t>The $11.6 million increase was primarily attributable to net increases in cash used in operating activities bef</w:t>
      </w:r>
      <w:r>
        <w:rPr>
          <w:sz w:val="20"/>
          <w:szCs w:val="20"/>
          <w:shd w:val="clear" w:color="auto" w:fill="FFFFFF"/>
        </w:rPr>
        <w:t xml:space="preserve">ore changes in operating assets and liabilities of $20.0 million. This was offset by a $8.4 million decrease in changes in operating assets and liabilities. </w:t>
      </w:r>
    </w:p>
    <w:p w:rsidR="00000000" w:rsidRDefault="00B51E11">
      <w:pPr>
        <w:pStyle w:val="a3"/>
        <w:spacing w:before="0" w:beforeAutospacing="0" w:after="0" w:afterAutospacing="0"/>
        <w:divId w:val="1500537343"/>
        <w:rPr>
          <w:sz w:val="20"/>
          <w:szCs w:val="20"/>
        </w:rPr>
      </w:pPr>
      <w:r>
        <w:rPr>
          <w:sz w:val="20"/>
          <w:szCs w:val="20"/>
        </w:rPr>
        <w:t>​</w:t>
      </w:r>
    </w:p>
    <w:p w:rsidR="00000000" w:rsidRDefault="00B51E11">
      <w:pPr>
        <w:pStyle w:val="a3"/>
        <w:spacing w:before="0" w:beforeAutospacing="0" w:after="0" w:afterAutospacing="0"/>
        <w:divId w:val="1500537343"/>
        <w:rPr>
          <w:sz w:val="20"/>
          <w:szCs w:val="20"/>
        </w:rPr>
      </w:pPr>
      <w:r>
        <w:rPr>
          <w:i/>
          <w:iCs/>
          <w:sz w:val="20"/>
          <w:szCs w:val="20"/>
        </w:rPr>
        <w:t>Cash flows used in investing activities</w:t>
      </w:r>
    </w:p>
    <w:p w:rsidR="00000000" w:rsidRDefault="00B51E11">
      <w:pPr>
        <w:pStyle w:val="a3"/>
        <w:spacing w:before="0" w:beforeAutospacing="0" w:after="0" w:afterAutospacing="0"/>
        <w:divId w:val="1500537343"/>
        <w:rPr>
          <w:sz w:val="20"/>
          <w:szCs w:val="20"/>
        </w:rPr>
      </w:pPr>
      <w:r>
        <w:rPr>
          <w:sz w:val="10"/>
          <w:szCs w:val="10"/>
        </w:rPr>
        <w:t>​</w:t>
      </w:r>
    </w:p>
    <w:p w:rsidR="00000000" w:rsidRDefault="00B51E11">
      <w:pPr>
        <w:pStyle w:val="a3"/>
        <w:spacing w:before="0" w:beforeAutospacing="0" w:after="0" w:afterAutospacing="0"/>
        <w:ind w:firstLine="720"/>
        <w:divId w:val="1500537343"/>
        <w:rPr>
          <w:sz w:val="20"/>
          <w:szCs w:val="20"/>
        </w:rPr>
      </w:pPr>
      <w:r>
        <w:rPr>
          <w:sz w:val="20"/>
          <w:szCs w:val="20"/>
        </w:rPr>
        <w:t>Net cash used in investing activities was $41.6 millio</w:t>
      </w:r>
      <w:r>
        <w:rPr>
          <w:sz w:val="20"/>
          <w:szCs w:val="20"/>
        </w:rPr>
        <w:t>n for the nine months ended September 30, 2020, consisting primarily of cash outflows from the net purchase and maturities of marketable securities of $56.2 million and $5.4 million related to the purchase of property and equipment. The net cash outflow am</w:t>
      </w:r>
      <w:r>
        <w:rPr>
          <w:sz w:val="20"/>
          <w:szCs w:val="20"/>
        </w:rPr>
        <w:t>ounts above were partially offset by a $19.9 million cash inflow from the sale of marketable securities during the nine months ended September 20, 2020.</w:t>
      </w:r>
    </w:p>
    <w:p w:rsidR="00000000" w:rsidRDefault="00B51E11">
      <w:pPr>
        <w:pStyle w:val="a3"/>
        <w:spacing w:before="0" w:beforeAutospacing="0" w:after="0" w:afterAutospacing="0"/>
        <w:divId w:val="1500537343"/>
        <w:rPr>
          <w:sz w:val="20"/>
          <w:szCs w:val="20"/>
        </w:rPr>
      </w:pPr>
      <w:r>
        <w:rPr>
          <w:sz w:val="20"/>
          <w:szCs w:val="20"/>
        </w:rPr>
        <w:t>​</w:t>
      </w:r>
    </w:p>
    <w:p w:rsidR="00000000" w:rsidRDefault="00B51E11">
      <w:pPr>
        <w:pStyle w:val="a3"/>
        <w:spacing w:before="0" w:beforeAutospacing="0" w:after="0" w:afterAutospacing="0"/>
        <w:ind w:firstLine="720"/>
        <w:divId w:val="1500537343"/>
        <w:rPr>
          <w:sz w:val="20"/>
          <w:szCs w:val="20"/>
        </w:rPr>
      </w:pPr>
      <w:r>
        <w:rPr>
          <w:sz w:val="20"/>
          <w:szCs w:val="20"/>
        </w:rPr>
        <w:t>Net cash used in investing activities was $97.1 million for the nine months ended September 30, 2019,</w:t>
      </w:r>
      <w:r>
        <w:rPr>
          <w:sz w:val="20"/>
          <w:szCs w:val="20"/>
        </w:rPr>
        <w:t xml:space="preserve"> consisting primarily of net cash outflows resulting from net purchases and maturities of marketable securities of $100.2 million which was partially offset by $5.0 million in cash inflows related to final installment proceeds from the sale of the VIBATIV </w:t>
      </w:r>
      <w:r>
        <w:rPr>
          <w:sz w:val="20"/>
          <w:szCs w:val="20"/>
        </w:rPr>
        <w:t>product to Cumberland Pharmaceuticals Inc. (“Cumberland”) in November 2018.</w:t>
      </w:r>
    </w:p>
    <w:p w:rsidR="00000000" w:rsidRDefault="00B51E11">
      <w:pPr>
        <w:pStyle w:val="a3"/>
        <w:spacing w:before="0" w:beforeAutospacing="0" w:after="0" w:afterAutospacing="0"/>
        <w:divId w:val="1500537343"/>
        <w:rPr>
          <w:sz w:val="20"/>
          <w:szCs w:val="20"/>
        </w:rPr>
      </w:pPr>
      <w:r>
        <w:rPr>
          <w:sz w:val="20"/>
          <w:szCs w:val="20"/>
        </w:rPr>
        <w:t>​</w:t>
      </w:r>
    </w:p>
    <w:p w:rsidR="00000000" w:rsidRDefault="00B51E11">
      <w:pPr>
        <w:pStyle w:val="a3"/>
        <w:spacing w:before="0" w:beforeAutospacing="0" w:after="0" w:afterAutospacing="0"/>
        <w:divId w:val="1500537343"/>
        <w:rPr>
          <w:sz w:val="20"/>
          <w:szCs w:val="20"/>
        </w:rPr>
      </w:pPr>
      <w:r>
        <w:rPr>
          <w:i/>
          <w:iCs/>
          <w:sz w:val="20"/>
          <w:szCs w:val="20"/>
        </w:rPr>
        <w:t>Cash flows provided by financing activities</w:t>
      </w:r>
    </w:p>
    <w:p w:rsidR="00000000" w:rsidRDefault="00B51E11">
      <w:pPr>
        <w:pStyle w:val="a3"/>
        <w:spacing w:before="0" w:beforeAutospacing="0" w:after="0" w:afterAutospacing="0"/>
        <w:divId w:val="1500537343"/>
        <w:rPr>
          <w:sz w:val="20"/>
          <w:szCs w:val="20"/>
        </w:rPr>
      </w:pPr>
      <w:r>
        <w:rPr>
          <w:sz w:val="10"/>
          <w:szCs w:val="10"/>
        </w:rPr>
        <w:t>​</w:t>
      </w:r>
    </w:p>
    <w:p w:rsidR="00000000" w:rsidRDefault="00B51E11">
      <w:pPr>
        <w:pStyle w:val="a3"/>
        <w:spacing w:before="0" w:beforeAutospacing="0" w:after="0" w:afterAutospacing="0"/>
        <w:ind w:firstLine="720"/>
        <w:divId w:val="1500537343"/>
        <w:rPr>
          <w:sz w:val="20"/>
          <w:szCs w:val="20"/>
        </w:rPr>
      </w:pPr>
      <w:r>
        <w:rPr>
          <w:sz w:val="20"/>
          <w:szCs w:val="20"/>
        </w:rPr>
        <w:t>Net cash provided by financing activities was $262.3 million for the nine months ended September 30, 2020, consisting primarily of t</w:t>
      </w:r>
      <w:r>
        <w:rPr>
          <w:sz w:val="20"/>
          <w:szCs w:val="20"/>
        </w:rPr>
        <w:t>he sale of 5,500,000 ordinary shares for total net proceeds of $139.9 million and the issuance of our Non-Recourse 2035 Notes for total net proceeds of $374.7 million. A portion of the of the Non-Recourse 2035 Notes proceeds were used to repay, in full, th</w:t>
      </w:r>
      <w:r>
        <w:rPr>
          <w:sz w:val="20"/>
          <w:szCs w:val="20"/>
        </w:rPr>
        <w:t>e remaining $235.3 million outstanding balance of our Non-Recourse 2033 Notes and an $11.5 million redemption premium related to the payoff of the Non-Recourse 2033 Notes. In addition to the above, net cash provided by financing activities was partially of</w:t>
      </w:r>
      <w:r>
        <w:rPr>
          <w:sz w:val="20"/>
          <w:szCs w:val="20"/>
        </w:rPr>
        <w:t>fset by the repurchase of shares to satisfy tax withholding obligations in the amount of $8.9 million.</w:t>
      </w:r>
    </w:p>
    <w:p w:rsidR="00000000" w:rsidRDefault="00B51E11">
      <w:pPr>
        <w:pStyle w:val="a3"/>
        <w:spacing w:before="0" w:beforeAutospacing="0" w:after="0" w:afterAutospacing="0"/>
        <w:ind w:firstLine="720"/>
        <w:divId w:val="1500537343"/>
        <w:rPr>
          <w:sz w:val="20"/>
          <w:szCs w:val="20"/>
        </w:rPr>
      </w:pPr>
      <w:r>
        <w:rPr>
          <w:color w:val="FF0000"/>
          <w:sz w:val="20"/>
          <w:szCs w:val="20"/>
        </w:rPr>
        <w:t>​</w:t>
      </w:r>
    </w:p>
    <w:p w:rsidR="00000000" w:rsidRDefault="00B51E11">
      <w:pPr>
        <w:pStyle w:val="a3"/>
        <w:spacing w:before="0" w:beforeAutospacing="0" w:after="0" w:afterAutospacing="0"/>
        <w:ind w:firstLine="720"/>
        <w:divId w:val="1500537343"/>
        <w:rPr>
          <w:sz w:val="20"/>
          <w:szCs w:val="20"/>
        </w:rPr>
      </w:pPr>
      <w:r>
        <w:rPr>
          <w:sz w:val="20"/>
          <w:szCs w:val="20"/>
        </w:rPr>
        <w:t>Net cash provided by financing activities was $2.8 million for the nine months ended September 30, 2019, consisting of $5.6 million of cash inflows fro</w:t>
      </w:r>
      <w:r>
        <w:rPr>
          <w:sz w:val="20"/>
          <w:szCs w:val="20"/>
        </w:rPr>
        <w:t>m employee share plan purchase proceeds and share option exercises which was partially offset by $2.7 million of net cash outflows related to the repurchase of shares to satisfy tax withholding obligations.</w:t>
      </w:r>
    </w:p>
    <w:p w:rsidR="00000000" w:rsidRDefault="00B51E11">
      <w:pPr>
        <w:pStyle w:val="a3"/>
        <w:spacing w:before="0" w:beforeAutospacing="0" w:after="0" w:afterAutospacing="0"/>
        <w:divId w:val="1500537343"/>
        <w:rPr>
          <w:sz w:val="20"/>
          <w:szCs w:val="20"/>
        </w:rPr>
      </w:pPr>
      <w:r>
        <w:rPr>
          <w:sz w:val="20"/>
          <w:szCs w:val="20"/>
        </w:rPr>
        <w:t>​</w:t>
      </w:r>
    </w:p>
    <w:p w:rsidR="00000000" w:rsidRDefault="00B51E11">
      <w:pPr>
        <w:pStyle w:val="a3"/>
        <w:spacing w:before="0" w:beforeAutospacing="0" w:after="0" w:afterAutospacing="0"/>
        <w:divId w:val="1500537343"/>
        <w:rPr>
          <w:sz w:val="20"/>
          <w:szCs w:val="20"/>
        </w:rPr>
      </w:pPr>
      <w:r>
        <w:rPr>
          <w:b/>
          <w:bCs/>
          <w:i/>
          <w:iCs/>
          <w:sz w:val="20"/>
          <w:szCs w:val="20"/>
        </w:rPr>
        <w:t>Commitments and Contingencies</w:t>
      </w:r>
    </w:p>
    <w:p w:rsidR="00000000" w:rsidRDefault="00B51E11">
      <w:pPr>
        <w:pStyle w:val="a3"/>
        <w:spacing w:before="0" w:beforeAutospacing="0" w:after="0" w:afterAutospacing="0"/>
        <w:divId w:val="1500537343"/>
        <w:rPr>
          <w:sz w:val="20"/>
          <w:szCs w:val="20"/>
        </w:rPr>
      </w:pPr>
      <w:r>
        <w:rPr>
          <w:sz w:val="10"/>
          <w:szCs w:val="10"/>
        </w:rPr>
        <w:t>​</w:t>
      </w:r>
    </w:p>
    <w:p w:rsidR="00000000" w:rsidRDefault="00B51E11">
      <w:pPr>
        <w:pStyle w:val="a3"/>
        <w:spacing w:before="0" w:beforeAutospacing="0" w:after="0" w:afterAutospacing="0"/>
        <w:ind w:firstLine="720"/>
        <w:divId w:val="1500537343"/>
        <w:rPr>
          <w:sz w:val="20"/>
          <w:szCs w:val="20"/>
        </w:rPr>
      </w:pPr>
      <w:r>
        <w:rPr>
          <w:sz w:val="20"/>
          <w:szCs w:val="20"/>
        </w:rPr>
        <w:t>We indemnify ou</w:t>
      </w:r>
      <w:r>
        <w:rPr>
          <w:sz w:val="20"/>
          <w:szCs w:val="20"/>
        </w:rPr>
        <w:t>r officers and directors for certain events or occurrences, subject to certain limits. We believe the fair value of these indemnification agreements is minimal. Accordingly, we have not recognized any liabilities relating to these agreements as of Septembe</w:t>
      </w:r>
      <w:r>
        <w:rPr>
          <w:sz w:val="20"/>
          <w:szCs w:val="20"/>
        </w:rPr>
        <w:t>r 30, 2020.</w:t>
      </w:r>
    </w:p>
    <w:p w:rsidR="00000000" w:rsidRDefault="00B51E11">
      <w:pPr>
        <w:pStyle w:val="a3"/>
        <w:spacing w:before="0" w:beforeAutospacing="0" w:after="0" w:afterAutospacing="0"/>
        <w:ind w:firstLine="720"/>
        <w:divId w:val="1500537343"/>
        <w:rPr>
          <w:sz w:val="20"/>
          <w:szCs w:val="20"/>
        </w:rPr>
      </w:pPr>
      <w:r>
        <w:rPr>
          <w:sz w:val="20"/>
          <w:szCs w:val="20"/>
        </w:rPr>
        <w:t>​</w:t>
      </w:r>
    </w:p>
    <w:p w:rsidR="00000000" w:rsidRDefault="00B51E11">
      <w:pPr>
        <w:pStyle w:val="a3"/>
        <w:spacing w:before="0" w:beforeAutospacing="0" w:after="0" w:afterAutospacing="0"/>
        <w:divId w:val="1500537343"/>
        <w:rPr>
          <w:sz w:val="20"/>
          <w:szCs w:val="20"/>
        </w:rPr>
      </w:pPr>
      <w:r>
        <w:rPr>
          <w:i/>
          <w:iCs/>
          <w:sz w:val="20"/>
          <w:szCs w:val="20"/>
        </w:rPr>
        <w:t>Performance-Contingent Awards</w:t>
      </w:r>
    </w:p>
    <w:p w:rsidR="00000000" w:rsidRDefault="00B51E11">
      <w:pPr>
        <w:pStyle w:val="a3"/>
        <w:spacing w:before="0" w:beforeAutospacing="0" w:after="0" w:afterAutospacing="0"/>
        <w:divId w:val="1500537343"/>
        <w:rPr>
          <w:sz w:val="20"/>
          <w:szCs w:val="20"/>
        </w:rPr>
      </w:pPr>
      <w:r>
        <w:rPr>
          <w:sz w:val="12"/>
          <w:szCs w:val="12"/>
        </w:rPr>
        <w:t>​</w:t>
      </w:r>
    </w:p>
    <w:p w:rsidR="00000000" w:rsidRDefault="00B51E11">
      <w:pPr>
        <w:pStyle w:val="a3"/>
        <w:spacing w:before="0" w:beforeAutospacing="0" w:after="0" w:afterAutospacing="0"/>
        <w:ind w:firstLine="720"/>
        <w:divId w:val="1500537343"/>
        <w:rPr>
          <w:sz w:val="20"/>
          <w:szCs w:val="20"/>
        </w:rPr>
      </w:pPr>
      <w:r>
        <w:rPr>
          <w:sz w:val="20"/>
          <w:szCs w:val="20"/>
        </w:rPr>
        <w:t>In 2016, we granted long-term retention and incentive restricted share awards (“RSAs”) and restricted share units (“RSUs”) to members of senior management and long-term retention and incentive cash bonus awards</w:t>
      </w:r>
      <w:r>
        <w:rPr>
          <w:sz w:val="20"/>
          <w:szCs w:val="20"/>
        </w:rPr>
        <w:t xml:space="preserve"> to certain employees. The vesting and payout of such awards is dependent on meeting certain operating goals and objectives during the five-year period from 2016 to December 31, 2020. These goals are strategically important for us, and we believe the goals</w:t>
      </w:r>
      <w:r>
        <w:rPr>
          <w:sz w:val="20"/>
          <w:szCs w:val="20"/>
        </w:rPr>
        <w:t xml:space="preserve"> should increase shareholder value. The awards have dual triggers of vesting based upon the achievement of these goals and </w:t>
      </w:r>
    </w:p>
    <w:p w:rsidR="00000000" w:rsidRDefault="00B51E11">
      <w:pPr>
        <w:pStyle w:val="a3"/>
        <w:spacing w:before="360" w:beforeAutospacing="0" w:after="0" w:afterAutospacing="0"/>
        <w:jc w:val="center"/>
        <w:divId w:val="465241498"/>
        <w:rPr>
          <w:sz w:val="20"/>
          <w:szCs w:val="20"/>
        </w:rPr>
      </w:pPr>
      <w:r>
        <w:rPr>
          <w:sz w:val="20"/>
          <w:szCs w:val="20"/>
        </w:rPr>
        <w:t>35</w:t>
      </w:r>
    </w:p>
    <w:p w:rsidR="00000000" w:rsidRDefault="00B51E11">
      <w:pPr>
        <w:pStyle w:val="a3"/>
        <w:spacing w:before="0" w:beforeAutospacing="0" w:after="600" w:afterAutospacing="0"/>
        <w:divId w:val="1948659380"/>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845022935"/>
        <w:rPr>
          <w:sz w:val="20"/>
          <w:szCs w:val="20"/>
        </w:rPr>
      </w:pPr>
      <w:r>
        <w:rPr>
          <w:sz w:val="20"/>
          <w:szCs w:val="20"/>
        </w:rPr>
        <w:t>continued employment, and they are broken into three separate tranches. We recognize compensation expense relating to awards subject to performance conditions if it is considered probable that the performance goals will be achieved. The probability of achi</w:t>
      </w:r>
      <w:r>
        <w:rPr>
          <w:sz w:val="20"/>
          <w:szCs w:val="20"/>
        </w:rPr>
        <w:t>evement is reassessed at each quarter-end reporting period. Previously recognized expense is reversed in the period in which it becomes probable that the requisite service period will not be rendered.</w:t>
      </w:r>
    </w:p>
    <w:p w:rsidR="00000000" w:rsidRDefault="00B51E11">
      <w:pPr>
        <w:pStyle w:val="a3"/>
        <w:spacing w:before="0" w:beforeAutospacing="0" w:after="0" w:afterAutospacing="0"/>
        <w:divId w:val="845022935"/>
        <w:rPr>
          <w:sz w:val="20"/>
          <w:szCs w:val="20"/>
        </w:rPr>
      </w:pPr>
      <w:r>
        <w:rPr>
          <w:sz w:val="20"/>
          <w:szCs w:val="20"/>
        </w:rPr>
        <w:t>​</w:t>
      </w:r>
    </w:p>
    <w:p w:rsidR="00000000" w:rsidRDefault="00B51E11">
      <w:pPr>
        <w:pStyle w:val="a3"/>
        <w:spacing w:before="0" w:beforeAutospacing="0" w:after="0" w:afterAutospacing="0"/>
        <w:ind w:firstLine="720"/>
        <w:divId w:val="845022935"/>
        <w:rPr>
          <w:sz w:val="20"/>
          <w:szCs w:val="20"/>
        </w:rPr>
      </w:pPr>
      <w:r>
        <w:rPr>
          <w:sz w:val="20"/>
          <w:szCs w:val="20"/>
        </w:rPr>
        <w:t>We determined that achievement of the requisite perfo</w:t>
      </w:r>
      <w:r>
        <w:rPr>
          <w:sz w:val="20"/>
          <w:szCs w:val="20"/>
        </w:rPr>
        <w:t>rmance conditions for the first tranche was completed in June 2018, and the expense associated with this first tranche was fully recognized in 2018. We determined that achievement of the requisite performance conditions for the second tranche were complete</w:t>
      </w:r>
      <w:r>
        <w:rPr>
          <w:sz w:val="20"/>
          <w:szCs w:val="20"/>
        </w:rPr>
        <w:t xml:space="preserve">d in February 2019, and the expense associated with this second tranche was fully recognized as of March 31, 2020. For the nine months ended September 30, 2020, we recognized $0.4 million and $0.5 million of share-based compensation expense and cash bonus </w:t>
      </w:r>
      <w:r>
        <w:rPr>
          <w:sz w:val="20"/>
          <w:szCs w:val="20"/>
        </w:rPr>
        <w:t xml:space="preserve">expense, respectively, related to the second tranche of these awards. </w:t>
      </w:r>
    </w:p>
    <w:p w:rsidR="00000000" w:rsidRDefault="00B51E11">
      <w:pPr>
        <w:pStyle w:val="a3"/>
        <w:spacing w:before="0" w:beforeAutospacing="0" w:after="0" w:afterAutospacing="0"/>
        <w:divId w:val="845022935"/>
        <w:rPr>
          <w:sz w:val="20"/>
          <w:szCs w:val="20"/>
        </w:rPr>
      </w:pPr>
      <w:r>
        <w:rPr>
          <w:sz w:val="20"/>
          <w:szCs w:val="20"/>
        </w:rPr>
        <w:t>​</w:t>
      </w:r>
    </w:p>
    <w:p w:rsidR="00000000" w:rsidRDefault="00B51E11">
      <w:pPr>
        <w:pStyle w:val="a3"/>
        <w:spacing w:before="0" w:beforeAutospacing="0" w:after="0" w:afterAutospacing="0"/>
        <w:ind w:firstLine="720"/>
        <w:divId w:val="845022935"/>
        <w:rPr>
          <w:sz w:val="20"/>
          <w:szCs w:val="20"/>
        </w:rPr>
      </w:pPr>
      <w:r>
        <w:rPr>
          <w:sz w:val="20"/>
          <w:szCs w:val="20"/>
        </w:rPr>
        <w:t>In February 2020, we determined that the requisite performance conditions for the third tranche were completed. For the nine months ended September 30, 2020, we recognized $1.9 millio</w:t>
      </w:r>
      <w:r>
        <w:rPr>
          <w:sz w:val="20"/>
          <w:szCs w:val="20"/>
        </w:rPr>
        <w:t>n and $0.9 million of share-based compensation expense and cash bonus expense, respectively, related to the third tranche of these awards. As of September 30, 2020, the maximum remaining share-based compensation expense and cash bonus expense associated wi</w:t>
      </w:r>
      <w:r>
        <w:rPr>
          <w:sz w:val="20"/>
          <w:szCs w:val="20"/>
        </w:rPr>
        <w:t>th the third tranche was $1.0 million and $1.1 million, respectively.</w:t>
      </w:r>
    </w:p>
    <w:p w:rsidR="00000000" w:rsidRDefault="00B51E11">
      <w:pPr>
        <w:pStyle w:val="a3"/>
        <w:spacing w:before="0" w:beforeAutospacing="0" w:after="0" w:afterAutospacing="0"/>
        <w:ind w:firstLine="720"/>
        <w:divId w:val="845022935"/>
        <w:rPr>
          <w:sz w:val="20"/>
          <w:szCs w:val="20"/>
        </w:rPr>
      </w:pPr>
      <w:r>
        <w:rPr>
          <w:rFonts w:ascii="Times" w:hAnsi="Times"/>
          <w:sz w:val="20"/>
          <w:szCs w:val="20"/>
          <w:shd w:val="clear" w:color="auto" w:fill="FFFFFF"/>
        </w:rPr>
        <w:t>​</w:t>
      </w:r>
    </w:p>
    <w:p w:rsidR="00000000" w:rsidRDefault="00B51E11">
      <w:pPr>
        <w:pStyle w:val="a3"/>
        <w:spacing w:before="0" w:beforeAutospacing="0" w:after="0" w:afterAutospacing="0"/>
        <w:ind w:firstLine="720"/>
        <w:divId w:val="845022935"/>
        <w:rPr>
          <w:sz w:val="20"/>
          <w:szCs w:val="20"/>
        </w:rPr>
      </w:pPr>
      <w:r>
        <w:rPr>
          <w:sz w:val="20"/>
          <w:szCs w:val="20"/>
        </w:rPr>
        <w:t>Separate from the performance-contingent awards described above, we periodically grant performance-contingent RSUs to individual employees. For the nine months ended September 30, 2020</w:t>
      </w:r>
      <w:r>
        <w:rPr>
          <w:sz w:val="20"/>
          <w:szCs w:val="20"/>
        </w:rPr>
        <w:t>, we recognized $0.8</w:t>
      </w:r>
      <w:r>
        <w:rPr>
          <w:b/>
          <w:bCs/>
          <w:sz w:val="20"/>
          <w:szCs w:val="20"/>
        </w:rPr>
        <w:t xml:space="preserve"> </w:t>
      </w:r>
      <w:r>
        <w:rPr>
          <w:sz w:val="20"/>
          <w:szCs w:val="20"/>
        </w:rPr>
        <w:t xml:space="preserve">million of share-based compensation expense related to such awards. As of September 30, 2020, there were 120,000 shares of these performance-contingent RSUs outstanding that have a maximum remaining share-based compensation expense of </w:t>
      </w:r>
      <w:r>
        <w:rPr>
          <w:sz w:val="20"/>
          <w:szCs w:val="20"/>
        </w:rPr>
        <w:t>$1.7 million with performance expiration dates ranging from December 2020 to June 2022.</w:t>
      </w:r>
    </w:p>
    <w:p w:rsidR="00000000" w:rsidRDefault="00B51E11">
      <w:pPr>
        <w:pStyle w:val="a3"/>
        <w:spacing w:before="0" w:beforeAutospacing="0" w:after="0" w:afterAutospacing="0"/>
        <w:divId w:val="845022935"/>
        <w:rPr>
          <w:sz w:val="20"/>
          <w:szCs w:val="20"/>
        </w:rPr>
      </w:pPr>
      <w:r>
        <w:rPr>
          <w:sz w:val="20"/>
          <w:szCs w:val="20"/>
        </w:rPr>
        <w:t>​</w:t>
      </w:r>
    </w:p>
    <w:p w:rsidR="00000000" w:rsidRDefault="00B51E11">
      <w:pPr>
        <w:pStyle w:val="a3"/>
        <w:spacing w:before="0" w:beforeAutospacing="0" w:after="0" w:afterAutospacing="0"/>
        <w:divId w:val="845022935"/>
        <w:rPr>
          <w:sz w:val="20"/>
          <w:szCs w:val="20"/>
        </w:rPr>
      </w:pPr>
      <w:r>
        <w:rPr>
          <w:b/>
          <w:bCs/>
          <w:i/>
          <w:iCs/>
          <w:sz w:val="20"/>
          <w:szCs w:val="20"/>
        </w:rPr>
        <w:t>Off-Balance Sheet Arrangements</w:t>
      </w:r>
    </w:p>
    <w:p w:rsidR="00000000" w:rsidRDefault="00B51E11">
      <w:pPr>
        <w:pStyle w:val="a3"/>
        <w:spacing w:before="0" w:beforeAutospacing="0" w:after="0" w:afterAutospacing="0"/>
        <w:divId w:val="845022935"/>
        <w:rPr>
          <w:sz w:val="20"/>
          <w:szCs w:val="20"/>
        </w:rPr>
      </w:pPr>
      <w:r>
        <w:rPr>
          <w:sz w:val="10"/>
          <w:szCs w:val="10"/>
        </w:rPr>
        <w:t>​</w:t>
      </w:r>
    </w:p>
    <w:p w:rsidR="00000000" w:rsidRDefault="00B51E11">
      <w:pPr>
        <w:pStyle w:val="a3"/>
        <w:spacing w:before="0" w:beforeAutospacing="0" w:after="0" w:afterAutospacing="0"/>
        <w:ind w:firstLine="720"/>
        <w:divId w:val="845022935"/>
        <w:rPr>
          <w:sz w:val="20"/>
          <w:szCs w:val="20"/>
        </w:rPr>
      </w:pPr>
      <w:r>
        <w:rPr>
          <w:sz w:val="20"/>
          <w:szCs w:val="20"/>
        </w:rPr>
        <w:t xml:space="preserve">There have been no material changes in our off-balance sheet arrangements from those set forth in our Annual Report on Form 10-K for </w:t>
      </w:r>
      <w:r>
        <w:rPr>
          <w:sz w:val="20"/>
          <w:szCs w:val="20"/>
        </w:rPr>
        <w:t>the year ended December 31, 2019, filed with the SEC on February 27, 2020.</w:t>
      </w:r>
    </w:p>
    <w:p w:rsidR="00000000" w:rsidRDefault="00B51E11">
      <w:pPr>
        <w:pStyle w:val="a3"/>
        <w:spacing w:before="0" w:beforeAutospacing="0" w:after="0" w:afterAutospacing="0"/>
        <w:divId w:val="845022935"/>
        <w:rPr>
          <w:sz w:val="20"/>
          <w:szCs w:val="20"/>
        </w:rPr>
      </w:pPr>
      <w:r>
        <w:rPr>
          <w:sz w:val="20"/>
          <w:szCs w:val="20"/>
        </w:rPr>
        <w:t>​</w:t>
      </w:r>
    </w:p>
    <w:p w:rsidR="00000000" w:rsidRDefault="00B51E11">
      <w:pPr>
        <w:pStyle w:val="a3"/>
        <w:spacing w:before="0" w:beforeAutospacing="0" w:after="0" w:afterAutospacing="0"/>
        <w:divId w:val="845022935"/>
        <w:rPr>
          <w:sz w:val="20"/>
          <w:szCs w:val="20"/>
        </w:rPr>
      </w:pPr>
      <w:r>
        <w:rPr>
          <w:b/>
          <w:bCs/>
          <w:i/>
          <w:iCs/>
          <w:sz w:val="20"/>
          <w:szCs w:val="20"/>
        </w:rPr>
        <w:t>Contractual Obligations and Commercial Commitments</w:t>
      </w:r>
    </w:p>
    <w:p w:rsidR="00000000" w:rsidRDefault="00B51E11">
      <w:pPr>
        <w:pStyle w:val="a3"/>
        <w:spacing w:before="0" w:beforeAutospacing="0" w:after="0" w:afterAutospacing="0"/>
        <w:divId w:val="845022935"/>
        <w:rPr>
          <w:sz w:val="20"/>
          <w:szCs w:val="20"/>
        </w:rPr>
      </w:pPr>
      <w:r>
        <w:rPr>
          <w:sz w:val="10"/>
          <w:szCs w:val="10"/>
        </w:rPr>
        <w:t>​</w:t>
      </w:r>
    </w:p>
    <w:p w:rsidR="00000000" w:rsidRDefault="00B51E11">
      <w:pPr>
        <w:pStyle w:val="a3"/>
        <w:spacing w:before="0" w:beforeAutospacing="0" w:after="0" w:afterAutospacing="0"/>
        <w:ind w:firstLine="720"/>
        <w:divId w:val="845022935"/>
        <w:rPr>
          <w:sz w:val="20"/>
          <w:szCs w:val="20"/>
        </w:rPr>
      </w:pPr>
      <w:r>
        <w:rPr>
          <w:sz w:val="20"/>
          <w:szCs w:val="20"/>
        </w:rPr>
        <w:t>There have been no material changes in our contractual obligations and commercial commitments from those set forth in our Annu</w:t>
      </w:r>
      <w:r>
        <w:rPr>
          <w:sz w:val="20"/>
          <w:szCs w:val="20"/>
        </w:rPr>
        <w:t xml:space="preserve">al Report on Form 10-K for the year ended December 31, 2019, filed with the SEC on February 27, 2020. </w:t>
      </w:r>
    </w:p>
    <w:p w:rsidR="00000000" w:rsidRDefault="00B51E11">
      <w:pPr>
        <w:pStyle w:val="a3"/>
        <w:spacing w:before="0" w:beforeAutospacing="0" w:after="0" w:afterAutospacing="0"/>
        <w:divId w:val="845022935"/>
        <w:rPr>
          <w:sz w:val="20"/>
          <w:szCs w:val="20"/>
        </w:rPr>
      </w:pPr>
      <w:r>
        <w:rPr>
          <w:sz w:val="20"/>
          <w:szCs w:val="20"/>
        </w:rPr>
        <w:t>​</w:t>
      </w:r>
    </w:p>
    <w:p w:rsidR="00000000" w:rsidRDefault="00B51E11">
      <w:pPr>
        <w:pStyle w:val="a3"/>
        <w:spacing w:before="0" w:beforeAutospacing="0" w:after="0" w:afterAutospacing="0"/>
        <w:divId w:val="845022935"/>
        <w:rPr>
          <w:sz w:val="20"/>
          <w:szCs w:val="20"/>
        </w:rPr>
      </w:pPr>
      <w:r>
        <w:rPr>
          <w:b/>
          <w:bCs/>
          <w:sz w:val="20"/>
          <w:szCs w:val="20"/>
        </w:rPr>
        <w:t xml:space="preserve">ITEM 3.   QUANTITATIVE AND QUALITATIVE DISCLOSURES ABOUT MARKET RISK </w:t>
      </w:r>
    </w:p>
    <w:p w:rsidR="00000000" w:rsidRDefault="00B51E11">
      <w:pPr>
        <w:pStyle w:val="a3"/>
        <w:spacing w:before="0" w:beforeAutospacing="0" w:after="0" w:afterAutospacing="0"/>
        <w:divId w:val="845022935"/>
        <w:rPr>
          <w:sz w:val="20"/>
          <w:szCs w:val="20"/>
        </w:rPr>
      </w:pPr>
      <w:r>
        <w:rPr>
          <w:sz w:val="20"/>
          <w:szCs w:val="20"/>
        </w:rPr>
        <w:t>​</w:t>
      </w:r>
    </w:p>
    <w:p w:rsidR="00000000" w:rsidRDefault="00B51E11">
      <w:pPr>
        <w:pStyle w:val="a3"/>
        <w:shd w:val="clear" w:color="auto" w:fill="FFFFFF"/>
        <w:spacing w:before="0" w:beforeAutospacing="0" w:after="0" w:afterAutospacing="0"/>
        <w:ind w:firstLine="720"/>
        <w:divId w:val="845022935"/>
        <w:rPr>
          <w:sz w:val="20"/>
          <w:szCs w:val="20"/>
        </w:rPr>
      </w:pPr>
      <w:r>
        <w:rPr>
          <w:sz w:val="20"/>
          <w:szCs w:val="20"/>
        </w:rPr>
        <w:t>Our market risks, as of September 30, 2020, have not changed materially from th</w:t>
      </w:r>
      <w:r>
        <w:rPr>
          <w:sz w:val="20"/>
          <w:szCs w:val="20"/>
        </w:rPr>
        <w:t xml:space="preserve">ose discussed in </w:t>
      </w:r>
      <w:r>
        <w:rPr>
          <w:i/>
          <w:iCs/>
          <w:sz w:val="20"/>
          <w:szCs w:val="20"/>
        </w:rPr>
        <w:t>“Item 7A. Quantitative and Qualitative Disclosures About Market Risk”</w:t>
      </w:r>
      <w:r>
        <w:rPr>
          <w:sz w:val="20"/>
          <w:szCs w:val="20"/>
        </w:rPr>
        <w:t xml:space="preserve"> of our Annual Report on Form 10-K for the year ended December 31, 2019, filed with the SEC on February 27, 2020. </w:t>
      </w:r>
    </w:p>
    <w:p w:rsidR="00000000" w:rsidRDefault="00B51E11">
      <w:pPr>
        <w:pStyle w:val="a3"/>
        <w:spacing w:before="0" w:beforeAutospacing="0" w:after="0" w:afterAutospacing="0"/>
        <w:divId w:val="845022935"/>
        <w:rPr>
          <w:sz w:val="20"/>
          <w:szCs w:val="20"/>
        </w:rPr>
      </w:pPr>
      <w:r>
        <w:rPr>
          <w:sz w:val="20"/>
          <w:szCs w:val="20"/>
        </w:rPr>
        <w:t>​</w:t>
      </w:r>
    </w:p>
    <w:p w:rsidR="00000000" w:rsidRDefault="00B51E11">
      <w:pPr>
        <w:pStyle w:val="a3"/>
        <w:spacing w:before="0" w:beforeAutospacing="0" w:after="0" w:afterAutospacing="0"/>
        <w:divId w:val="845022935"/>
        <w:rPr>
          <w:sz w:val="20"/>
          <w:szCs w:val="20"/>
        </w:rPr>
      </w:pPr>
      <w:r>
        <w:rPr>
          <w:b/>
          <w:bCs/>
          <w:sz w:val="20"/>
          <w:szCs w:val="20"/>
        </w:rPr>
        <w:t>ITEM 4.   CONTROLS AND PROCEDURES</w:t>
      </w:r>
    </w:p>
    <w:p w:rsidR="00000000" w:rsidRDefault="00B51E11">
      <w:pPr>
        <w:pStyle w:val="a3"/>
        <w:spacing w:before="0" w:beforeAutospacing="0" w:after="0" w:afterAutospacing="0"/>
        <w:divId w:val="845022935"/>
        <w:rPr>
          <w:sz w:val="20"/>
          <w:szCs w:val="20"/>
        </w:rPr>
      </w:pPr>
      <w:r>
        <w:rPr>
          <w:sz w:val="20"/>
          <w:szCs w:val="20"/>
        </w:rPr>
        <w:t>​</w:t>
      </w:r>
    </w:p>
    <w:p w:rsidR="00000000" w:rsidRDefault="00B51E11">
      <w:pPr>
        <w:pStyle w:val="a3"/>
        <w:spacing w:before="0" w:beforeAutospacing="0" w:after="0" w:afterAutospacing="0"/>
        <w:divId w:val="845022935"/>
        <w:rPr>
          <w:sz w:val="20"/>
          <w:szCs w:val="20"/>
        </w:rPr>
      </w:pPr>
      <w:r>
        <w:rPr>
          <w:b/>
          <w:bCs/>
          <w:i/>
          <w:iCs/>
          <w:sz w:val="20"/>
          <w:szCs w:val="20"/>
        </w:rPr>
        <w:t>Evaluation of Dis</w:t>
      </w:r>
      <w:r>
        <w:rPr>
          <w:b/>
          <w:bCs/>
          <w:i/>
          <w:iCs/>
          <w:sz w:val="20"/>
          <w:szCs w:val="20"/>
        </w:rPr>
        <w:t>closure Controls and Procedures</w:t>
      </w:r>
    </w:p>
    <w:p w:rsidR="00000000" w:rsidRDefault="00B51E11">
      <w:pPr>
        <w:pStyle w:val="a3"/>
        <w:spacing w:before="0" w:beforeAutospacing="0" w:after="0" w:afterAutospacing="0"/>
        <w:divId w:val="845022935"/>
        <w:rPr>
          <w:sz w:val="20"/>
          <w:szCs w:val="20"/>
        </w:rPr>
      </w:pPr>
      <w:r>
        <w:rPr>
          <w:sz w:val="10"/>
          <w:szCs w:val="10"/>
        </w:rPr>
        <w:t>​</w:t>
      </w:r>
    </w:p>
    <w:p w:rsidR="00000000" w:rsidRDefault="00B51E11">
      <w:pPr>
        <w:pStyle w:val="a3"/>
        <w:spacing w:before="0" w:beforeAutospacing="0" w:after="0" w:afterAutospacing="0"/>
        <w:ind w:firstLine="720"/>
        <w:divId w:val="845022935"/>
        <w:rPr>
          <w:sz w:val="20"/>
          <w:szCs w:val="20"/>
        </w:rPr>
      </w:pPr>
      <w:r>
        <w:rPr>
          <w:sz w:val="20"/>
          <w:szCs w:val="20"/>
        </w:rPr>
        <w:t>We conducted an evaluation required by paragraph (d) of Rule 13a-15 of the Exchange Act as of September </w:t>
      </w:r>
      <w:r>
        <w:rPr>
          <w:sz w:val="20"/>
          <w:szCs w:val="20"/>
        </w:rPr>
        <w:t>30, 2020, under the supervision and with the participation of our management, including our Chief Executive Officer and Chief Financial Officer, of the effectiveness of the design and operation of our disclosure controls and procedures (as defined under Ru</w:t>
      </w:r>
      <w:r>
        <w:rPr>
          <w:sz w:val="20"/>
          <w:szCs w:val="20"/>
        </w:rPr>
        <w:t>le 13a-15(e) of the Exchange Act), which are controls and other procedures of a company that are designed to ensure that information required to be disclosed by a company in the reports that it files under the Exchange Act is recorded, processed, summarize</w:t>
      </w:r>
      <w:r>
        <w:rPr>
          <w:sz w:val="20"/>
          <w:szCs w:val="20"/>
        </w:rPr>
        <w:t>d and reported within required time periods. Based upon that evaluation, our Chief Executive Officer and Chief Financial Officer concluded that, as of such date, our disclosure controls and procedures were effective at the reasonable assurance level.</w:t>
      </w:r>
    </w:p>
    <w:p w:rsidR="00000000" w:rsidRDefault="00B51E11">
      <w:pPr>
        <w:pStyle w:val="a3"/>
        <w:spacing w:before="0" w:beforeAutospacing="0" w:after="0" w:afterAutospacing="0"/>
        <w:divId w:val="845022935"/>
        <w:rPr>
          <w:sz w:val="20"/>
          <w:szCs w:val="20"/>
        </w:rPr>
      </w:pPr>
      <w:r>
        <w:rPr>
          <w:sz w:val="20"/>
          <w:szCs w:val="20"/>
        </w:rPr>
        <w:t>​</w:t>
      </w:r>
    </w:p>
    <w:p w:rsidR="00000000" w:rsidRDefault="00B51E11">
      <w:pPr>
        <w:pStyle w:val="a3"/>
        <w:spacing w:before="360" w:beforeAutospacing="0" w:after="0" w:afterAutospacing="0"/>
        <w:jc w:val="center"/>
        <w:divId w:val="2140146563"/>
        <w:rPr>
          <w:sz w:val="20"/>
          <w:szCs w:val="20"/>
        </w:rPr>
      </w:pPr>
      <w:r>
        <w:rPr>
          <w:sz w:val="20"/>
          <w:szCs w:val="20"/>
        </w:rPr>
        <w:t>36</w:t>
      </w:r>
    </w:p>
    <w:p w:rsidR="00000000" w:rsidRDefault="00B51E11">
      <w:pPr>
        <w:pStyle w:val="a3"/>
        <w:spacing w:before="0" w:beforeAutospacing="0" w:after="600" w:afterAutospacing="0"/>
        <w:divId w:val="2089764016"/>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055735762"/>
        <w:rPr>
          <w:sz w:val="20"/>
          <w:szCs w:val="20"/>
        </w:rPr>
      </w:pPr>
      <w:r>
        <w:rPr>
          <w:b/>
          <w:bCs/>
          <w:i/>
          <w:iCs/>
          <w:sz w:val="20"/>
          <w:szCs w:val="20"/>
        </w:rPr>
        <w:t>Limitations on the Effectiveness of Controls</w:t>
      </w:r>
    </w:p>
    <w:p w:rsidR="00000000" w:rsidRDefault="00B51E11">
      <w:pPr>
        <w:pStyle w:val="a3"/>
        <w:spacing w:before="0" w:beforeAutospacing="0" w:after="0" w:afterAutospacing="0"/>
        <w:divId w:val="1055735762"/>
        <w:rPr>
          <w:sz w:val="20"/>
          <w:szCs w:val="20"/>
        </w:rPr>
      </w:pPr>
      <w:r>
        <w:rPr>
          <w:sz w:val="10"/>
          <w:szCs w:val="10"/>
        </w:rPr>
        <w:t>​</w:t>
      </w:r>
    </w:p>
    <w:p w:rsidR="00000000" w:rsidRDefault="00B51E11">
      <w:pPr>
        <w:pStyle w:val="a3"/>
        <w:spacing w:before="0" w:beforeAutospacing="0" w:after="0" w:afterAutospacing="0"/>
        <w:ind w:firstLine="720"/>
        <w:divId w:val="1055735762"/>
        <w:rPr>
          <w:sz w:val="20"/>
          <w:szCs w:val="20"/>
        </w:rPr>
      </w:pPr>
      <w:r>
        <w:rPr>
          <w:sz w:val="20"/>
          <w:szCs w:val="20"/>
        </w:rPr>
        <w:t>Our management, including our Chief Executive Officer and Chief Financial Officer, does not expect that our disclosure controls and procedures or our internal control over financial reporting will prevent all error and all fraud. A control system, no matte</w:t>
      </w:r>
      <w:r>
        <w:rPr>
          <w:sz w:val="20"/>
          <w:szCs w:val="20"/>
        </w:rPr>
        <w:t>r how well conceived and operated, can provide only reasonable, not absolute, assurance that the objectives of the control system are met. Further, the design of a control system must reflect the fact that there are resource constraints, and the benefit of</w:t>
      </w:r>
      <w:r>
        <w:rPr>
          <w:sz w:val="20"/>
          <w:szCs w:val="20"/>
        </w:rPr>
        <w:t xml:space="preserve"> controls must be considered relative to their costs. Because of the inherent limitations in all control systems, no evaluation of controls can provide absolute assurance that all control issues and instances of fraud, if any, within Theravance Biopharma h</w:t>
      </w:r>
      <w:r>
        <w:rPr>
          <w:sz w:val="20"/>
          <w:szCs w:val="20"/>
        </w:rPr>
        <w:t>ave been detected. Also, projections of any evaluation of effectiveness to future periods are subject to the risk that controls may become inadequate because of changes in conditions, or that the degree of compliance with the policies or procedures may det</w:t>
      </w:r>
      <w:r>
        <w:rPr>
          <w:sz w:val="20"/>
          <w:szCs w:val="20"/>
        </w:rPr>
        <w:t>eriorate.</w:t>
      </w:r>
    </w:p>
    <w:p w:rsidR="00000000" w:rsidRDefault="00B51E11">
      <w:pPr>
        <w:pStyle w:val="a3"/>
        <w:spacing w:before="0" w:beforeAutospacing="0" w:after="0" w:afterAutospacing="0"/>
        <w:divId w:val="1055735762"/>
        <w:rPr>
          <w:sz w:val="20"/>
          <w:szCs w:val="20"/>
        </w:rPr>
      </w:pPr>
      <w:r>
        <w:rPr>
          <w:sz w:val="20"/>
          <w:szCs w:val="20"/>
        </w:rPr>
        <w:t>​</w:t>
      </w:r>
    </w:p>
    <w:p w:rsidR="00000000" w:rsidRDefault="00B51E11">
      <w:pPr>
        <w:pStyle w:val="a3"/>
        <w:spacing w:before="0" w:beforeAutospacing="0" w:after="0" w:afterAutospacing="0"/>
        <w:divId w:val="1055735762"/>
        <w:rPr>
          <w:sz w:val="20"/>
          <w:szCs w:val="20"/>
        </w:rPr>
      </w:pPr>
      <w:r>
        <w:rPr>
          <w:b/>
          <w:bCs/>
          <w:i/>
          <w:iCs/>
          <w:sz w:val="20"/>
          <w:szCs w:val="20"/>
        </w:rPr>
        <w:t>Changes in Internal Control over Financial Reporting</w:t>
      </w:r>
    </w:p>
    <w:p w:rsidR="00000000" w:rsidRDefault="00B51E11">
      <w:pPr>
        <w:pStyle w:val="a3"/>
        <w:spacing w:before="0" w:beforeAutospacing="0" w:after="0" w:afterAutospacing="0"/>
        <w:divId w:val="1055735762"/>
        <w:rPr>
          <w:sz w:val="20"/>
          <w:szCs w:val="20"/>
        </w:rPr>
      </w:pPr>
      <w:r>
        <w:rPr>
          <w:sz w:val="10"/>
          <w:szCs w:val="10"/>
        </w:rPr>
        <w:t>​</w:t>
      </w:r>
    </w:p>
    <w:p w:rsidR="00000000" w:rsidRDefault="00B51E11">
      <w:pPr>
        <w:pStyle w:val="a3"/>
        <w:spacing w:before="0" w:beforeAutospacing="0" w:after="240" w:afterAutospacing="0"/>
        <w:ind w:firstLine="720"/>
        <w:divId w:val="1055735762"/>
        <w:rPr>
          <w:sz w:val="20"/>
          <w:szCs w:val="20"/>
        </w:rPr>
      </w:pPr>
      <w:r>
        <w:rPr>
          <w:sz w:val="20"/>
          <w:szCs w:val="20"/>
        </w:rPr>
        <w:t>There was no change in our internal control over financial reporting (as defined in Rule 13a-15(f) of the Exchange Act) identified in connection with the evaluation required by paragraph (d</w:t>
      </w:r>
      <w:r>
        <w:rPr>
          <w:sz w:val="20"/>
          <w:szCs w:val="20"/>
        </w:rPr>
        <w:t>) of Rule 13a-15 of the Exchange Act, which occurred during the third quarter of the year ending December 31, 2020 which has materially affected, or is reasonably likely to materially affect, our internal control over financial reporting.</w:t>
      </w:r>
    </w:p>
    <w:p w:rsidR="00000000" w:rsidRDefault="00B51E11">
      <w:pPr>
        <w:pStyle w:val="a3"/>
        <w:spacing w:before="0" w:beforeAutospacing="0" w:after="0" w:afterAutospacing="0"/>
        <w:divId w:val="1055735762"/>
        <w:rPr>
          <w:sz w:val="20"/>
          <w:szCs w:val="20"/>
        </w:rPr>
      </w:pPr>
      <w:r>
        <w:rPr>
          <w:b/>
          <w:bCs/>
          <w:sz w:val="20"/>
          <w:szCs w:val="20"/>
        </w:rPr>
        <w:t>PART II.  OTHER I</w:t>
      </w:r>
      <w:r>
        <w:rPr>
          <w:b/>
          <w:bCs/>
          <w:sz w:val="20"/>
          <w:szCs w:val="20"/>
        </w:rPr>
        <w:t>NFORMATION</w:t>
      </w:r>
    </w:p>
    <w:p w:rsidR="00000000" w:rsidRDefault="00B51E11">
      <w:pPr>
        <w:pStyle w:val="a3"/>
        <w:spacing w:before="0" w:beforeAutospacing="0" w:after="0" w:afterAutospacing="0"/>
        <w:divId w:val="1055735762"/>
        <w:rPr>
          <w:sz w:val="20"/>
          <w:szCs w:val="20"/>
        </w:rPr>
      </w:pPr>
      <w:r>
        <w:rPr>
          <w:sz w:val="20"/>
          <w:szCs w:val="20"/>
        </w:rPr>
        <w:t>​</w:t>
      </w:r>
    </w:p>
    <w:p w:rsidR="00000000" w:rsidRDefault="00B51E11">
      <w:pPr>
        <w:pStyle w:val="a3"/>
        <w:spacing w:before="0" w:beforeAutospacing="0" w:after="0" w:afterAutospacing="0"/>
        <w:divId w:val="1055735762"/>
        <w:rPr>
          <w:sz w:val="20"/>
          <w:szCs w:val="20"/>
        </w:rPr>
      </w:pPr>
      <w:r>
        <w:rPr>
          <w:b/>
          <w:bCs/>
          <w:sz w:val="20"/>
          <w:szCs w:val="20"/>
        </w:rPr>
        <w:t>ITEM 1.   LEGAL PROCEEDINGS</w:t>
      </w:r>
    </w:p>
    <w:p w:rsidR="00000000" w:rsidRDefault="00B51E11">
      <w:pPr>
        <w:pStyle w:val="a3"/>
        <w:spacing w:before="0" w:beforeAutospacing="0" w:after="0" w:afterAutospacing="0"/>
        <w:divId w:val="1055735762"/>
        <w:rPr>
          <w:sz w:val="20"/>
          <w:szCs w:val="20"/>
        </w:rPr>
      </w:pPr>
      <w:r>
        <w:rPr>
          <w:sz w:val="20"/>
          <w:szCs w:val="20"/>
        </w:rPr>
        <w:t>​</w:t>
      </w:r>
    </w:p>
    <w:p w:rsidR="00000000" w:rsidRDefault="00B51E11">
      <w:pPr>
        <w:pStyle w:val="a3"/>
        <w:spacing w:before="0" w:beforeAutospacing="0" w:after="0" w:afterAutospacing="0"/>
        <w:ind w:firstLine="720"/>
        <w:divId w:val="1055735762"/>
        <w:rPr>
          <w:sz w:val="20"/>
          <w:szCs w:val="20"/>
        </w:rPr>
      </w:pPr>
      <w:r>
        <w:rPr>
          <w:sz w:val="20"/>
          <w:szCs w:val="20"/>
        </w:rPr>
        <w:t>On June 10, 2020, we disclosed in a Form 8-K that we had formally objected to TRC and Innoviva, as the manager of TRC, regarding their proposed plan to use TRELEGY royalties to invest in certain privately-held com</w:t>
      </w:r>
      <w:r>
        <w:rPr>
          <w:sz w:val="20"/>
          <w:szCs w:val="20"/>
        </w:rPr>
        <w:t>panies, funds that would otherwise be available for distribution to us under the terms of the TRC LLC Agreement. We intend to continue to seek to protect our interests in this matter consistent with the dispute resolution procedures of the TRC LLC Agreemen</w:t>
      </w:r>
      <w:r>
        <w:rPr>
          <w:sz w:val="20"/>
          <w:szCs w:val="20"/>
        </w:rPr>
        <w:t xml:space="preserve">t. In this regard, we initiated an arbitration proceeding against Innoviva and TRC in October 2020 challenging the authority of Innoviva and TRC to pursue such a business plan rather than distribute such funds to us in a manner consistent with the TRC LLC </w:t>
      </w:r>
      <w:r>
        <w:rPr>
          <w:sz w:val="20"/>
          <w:szCs w:val="20"/>
        </w:rPr>
        <w:t>Agreement and our 85% economic interest in TRC. An arbitration hearing is scheduled for the first quarter of 2021.</w:t>
      </w:r>
    </w:p>
    <w:p w:rsidR="00000000" w:rsidRDefault="00B51E11">
      <w:pPr>
        <w:pStyle w:val="a3"/>
        <w:spacing w:before="0" w:beforeAutospacing="0" w:after="0" w:afterAutospacing="0"/>
        <w:divId w:val="1055735762"/>
        <w:rPr>
          <w:sz w:val="20"/>
          <w:szCs w:val="20"/>
        </w:rPr>
      </w:pPr>
      <w:r>
        <w:rPr>
          <w:sz w:val="20"/>
          <w:szCs w:val="20"/>
        </w:rPr>
        <w:t>​</w:t>
      </w:r>
    </w:p>
    <w:p w:rsidR="00000000" w:rsidRDefault="00B51E11">
      <w:pPr>
        <w:pStyle w:val="a3"/>
        <w:spacing w:before="0" w:beforeAutospacing="0" w:after="0" w:afterAutospacing="0"/>
        <w:divId w:val="1055735762"/>
        <w:rPr>
          <w:sz w:val="20"/>
          <w:szCs w:val="20"/>
        </w:rPr>
      </w:pPr>
      <w:r>
        <w:rPr>
          <w:b/>
          <w:bCs/>
          <w:sz w:val="20"/>
          <w:szCs w:val="20"/>
        </w:rPr>
        <w:t>ITEM 1A.  RISK FACTORS</w:t>
      </w:r>
    </w:p>
    <w:p w:rsidR="00000000" w:rsidRDefault="00B51E11">
      <w:pPr>
        <w:pStyle w:val="a3"/>
        <w:spacing w:before="0" w:beforeAutospacing="0" w:after="0" w:afterAutospacing="0"/>
        <w:divId w:val="1055735762"/>
        <w:rPr>
          <w:sz w:val="20"/>
          <w:szCs w:val="20"/>
        </w:rPr>
      </w:pPr>
      <w:r>
        <w:rPr>
          <w:sz w:val="20"/>
          <w:szCs w:val="20"/>
        </w:rPr>
        <w:t>​</w:t>
      </w:r>
    </w:p>
    <w:p w:rsidR="00000000" w:rsidRDefault="00B51E11">
      <w:pPr>
        <w:pStyle w:val="a3"/>
        <w:spacing w:before="0" w:beforeAutospacing="0" w:after="0" w:afterAutospacing="0"/>
        <w:divId w:val="1055735762"/>
        <w:rPr>
          <w:sz w:val="20"/>
          <w:szCs w:val="20"/>
        </w:rPr>
      </w:pPr>
      <w:r>
        <w:rPr>
          <w:b/>
          <w:bCs/>
          <w:sz w:val="20"/>
          <w:szCs w:val="20"/>
        </w:rPr>
        <w:t xml:space="preserve">RISKS RELATING TO THE COMPANY </w:t>
      </w:r>
    </w:p>
    <w:p w:rsidR="00000000" w:rsidRDefault="00B51E11">
      <w:pPr>
        <w:pStyle w:val="a3"/>
        <w:spacing w:before="0" w:beforeAutospacing="0" w:after="0" w:afterAutospacing="0"/>
        <w:divId w:val="1055735762"/>
        <w:rPr>
          <w:sz w:val="20"/>
          <w:szCs w:val="20"/>
        </w:rPr>
      </w:pPr>
      <w:r>
        <w:rPr>
          <w:b/>
          <w:bCs/>
          <w:sz w:val="20"/>
          <w:szCs w:val="20"/>
        </w:rPr>
        <w:t>​</w:t>
      </w:r>
    </w:p>
    <w:p w:rsidR="00000000" w:rsidRDefault="00B51E11">
      <w:pPr>
        <w:pStyle w:val="a3"/>
        <w:spacing w:before="0" w:beforeAutospacing="0" w:after="120" w:afterAutospacing="0"/>
        <w:divId w:val="1055735762"/>
        <w:rPr>
          <w:sz w:val="20"/>
          <w:szCs w:val="20"/>
        </w:rPr>
      </w:pPr>
      <w:r>
        <w:rPr>
          <w:b/>
          <w:bCs/>
          <w:i/>
          <w:iCs/>
          <w:sz w:val="20"/>
          <w:szCs w:val="20"/>
        </w:rPr>
        <w:t xml:space="preserve">We anticipate that we will incur losses for the foreseeable future. We may never </w:t>
      </w:r>
      <w:r>
        <w:rPr>
          <w:b/>
          <w:bCs/>
          <w:i/>
          <w:iCs/>
          <w:sz w:val="20"/>
          <w:szCs w:val="20"/>
        </w:rPr>
        <w:t>achieve or sustain profitability.</w:t>
      </w:r>
    </w:p>
    <w:p w:rsidR="00000000" w:rsidRDefault="00B51E11">
      <w:pPr>
        <w:pStyle w:val="a3"/>
        <w:spacing w:before="0" w:beforeAutospacing="0" w:after="0" w:afterAutospacing="0"/>
        <w:ind w:firstLine="720"/>
        <w:divId w:val="1055735762"/>
        <w:rPr>
          <w:sz w:val="20"/>
          <w:szCs w:val="20"/>
        </w:rPr>
      </w:pPr>
      <w:r>
        <w:rPr>
          <w:sz w:val="20"/>
          <w:szCs w:val="20"/>
        </w:rPr>
        <w:t>First as part of Innoviva, Inc., and since June </w:t>
      </w:r>
      <w:r>
        <w:rPr>
          <w:sz w:val="20"/>
          <w:szCs w:val="20"/>
        </w:rPr>
        <w:t>2, 2014 as Theravance Biopharma, we have been engaged in discovery and development of compounds and product candidates since mid-1997. We may never generate sufficient revenue from the sale of medicines, royalties on sales by our partners or from our inter</w:t>
      </w:r>
      <w:r>
        <w:rPr>
          <w:sz w:val="20"/>
          <w:szCs w:val="20"/>
        </w:rPr>
        <w:t>est in Theravance Respiratory Company, LLC (“TRC”) to achieve profitability. During the three and nine months ended September 30, 2020 and years ended December 31, 2019 and 2018, we recognized net losses of $73.6 million, $219.6 million, $236.5 million, an</w:t>
      </w:r>
      <w:r>
        <w:rPr>
          <w:sz w:val="20"/>
          <w:szCs w:val="20"/>
        </w:rPr>
        <w:t>d $215.5 million, respectively, which are reflected in the shareholders’ deficit on our condensed consolidated balance sheets. We reflect cumulative net loss incurred after June 2, 2014, the effective date of our spin-off from Innoviva, Inc. (the “Spin-Off</w:t>
      </w:r>
      <w:r>
        <w:rPr>
          <w:sz w:val="20"/>
          <w:szCs w:val="20"/>
        </w:rPr>
        <w:t>”), as accumulated deficit on our condensed consolidated balance sheets, which was $1.5 billion as of September 30, 2020. We expect to continue to incur net losses at least over the next several years as we continue our drug discovery and development effor</w:t>
      </w:r>
      <w:r>
        <w:rPr>
          <w:sz w:val="20"/>
          <w:szCs w:val="20"/>
        </w:rPr>
        <w:t>ts and incur significant preclinical and clinical development costs related to our current product candidates and commercialization and development costs relating to YUPELRI. In particular, to the extent we continue to advance our product candidates into a</w:t>
      </w:r>
      <w:r>
        <w:rPr>
          <w:sz w:val="20"/>
          <w:szCs w:val="20"/>
        </w:rPr>
        <w:t>nd through additional clinical studies, we will incur substantial expenses. For example, we initiated a Phase 2b/3 induction and maintenance study of TD-1473 in ulcerative colitis, we initiated a Phase 2 induction study of TD-1473 in Crohn’s disease, and w</w:t>
      </w:r>
      <w:r>
        <w:rPr>
          <w:sz w:val="20"/>
          <w:szCs w:val="20"/>
        </w:rPr>
        <w:t>e have progressed ampreloxetine (TD-9855) into a Phase 3 registrational program. The expenses associated with these clinical studies are substantial. While our YUPELRI operations were profitable on a brand-basis for the three months ended September 30, 202</w:t>
      </w:r>
      <w:r>
        <w:rPr>
          <w:sz w:val="20"/>
          <w:szCs w:val="20"/>
        </w:rPr>
        <w:t>0, we will continue to incur costs and expenses associated with the commercialization of YUPELRI in the United States (“US”), including the maintenance of an independent sales and marketing organization with appropriate technical expertise, a medical affai</w:t>
      </w:r>
      <w:r>
        <w:rPr>
          <w:sz w:val="20"/>
          <w:szCs w:val="20"/>
        </w:rPr>
        <w:t xml:space="preserve">rs presence and consultant support, and post-marketing studies. Our commitment of </w:t>
      </w:r>
    </w:p>
    <w:p w:rsidR="00000000" w:rsidRDefault="00B51E11">
      <w:pPr>
        <w:pStyle w:val="a3"/>
        <w:spacing w:before="360" w:beforeAutospacing="0" w:after="0" w:afterAutospacing="0"/>
        <w:jc w:val="center"/>
        <w:divId w:val="1729257976"/>
        <w:rPr>
          <w:sz w:val="20"/>
          <w:szCs w:val="20"/>
        </w:rPr>
      </w:pPr>
      <w:r>
        <w:rPr>
          <w:sz w:val="20"/>
          <w:szCs w:val="20"/>
        </w:rPr>
        <w:t>37</w:t>
      </w:r>
    </w:p>
    <w:p w:rsidR="00000000" w:rsidRDefault="00B51E11">
      <w:pPr>
        <w:pStyle w:val="a3"/>
        <w:spacing w:before="0" w:beforeAutospacing="0" w:after="600" w:afterAutospacing="0"/>
        <w:divId w:val="692728675"/>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1525167274"/>
        <w:rPr>
          <w:sz w:val="20"/>
          <w:szCs w:val="20"/>
        </w:rPr>
      </w:pPr>
      <w:r>
        <w:rPr>
          <w:sz w:val="20"/>
          <w:szCs w:val="20"/>
        </w:rPr>
        <w:t>resources to the continued development of our existing product candidates, our discovery programs, and YUPELRI will require si</w:t>
      </w:r>
      <w:r>
        <w:rPr>
          <w:sz w:val="20"/>
          <w:szCs w:val="20"/>
        </w:rPr>
        <w:t>gnificant additional funding. Our operating expenses also will increase if,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5167274"/>
        </w:trPr>
        <w:tc>
          <w:tcPr>
            <w:tcW w:w="720" w:type="dxa"/>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51E11">
            <w:pPr>
              <w:rPr>
                <w:rFonts w:eastAsia="Times New Roman"/>
                <w:sz w:val="20"/>
                <w:szCs w:val="20"/>
              </w:rPr>
            </w:pPr>
            <w:r>
              <w:rPr>
                <w:rFonts w:eastAsia="Times New Roman"/>
                <w:color w:val="000000"/>
                <w:sz w:val="20"/>
                <w:szCs w:val="20"/>
              </w:rPr>
              <w:t>our earlier stage potential products move into later-stage clinical development, which is generally more expensive than early stage development;</w:t>
            </w:r>
          </w:p>
        </w:tc>
      </w:tr>
    </w:tbl>
    <w:p w:rsidR="00000000" w:rsidRDefault="00B51E11">
      <w:pPr>
        <w:divId w:val="152516727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trPr>
          <w:divId w:val="1525167274"/>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additio</w:t>
            </w:r>
            <w:r>
              <w:rPr>
                <w:sz w:val="20"/>
                <w:szCs w:val="20"/>
              </w:rPr>
              <w:t>nal preclinical product candidates are selected for clinical development;</w:t>
            </w:r>
          </w:p>
        </w:tc>
      </w:tr>
    </w:tbl>
    <w:p w:rsidR="00000000" w:rsidRDefault="00B51E11">
      <w:pPr>
        <w:divId w:val="152516727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65"/>
      </w:tblGrid>
      <w:tr w:rsidR="00000000">
        <w:trPr>
          <w:divId w:val="1525167274"/>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we pursue clinical development of our potential or current products in new indications;</w:t>
            </w:r>
          </w:p>
        </w:tc>
      </w:tr>
    </w:tbl>
    <w:p w:rsidR="00000000" w:rsidRDefault="00B51E11">
      <w:pPr>
        <w:divId w:val="15251672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5167274"/>
        </w:trPr>
        <w:tc>
          <w:tcPr>
            <w:tcW w:w="720" w:type="dxa"/>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51E11">
            <w:pPr>
              <w:spacing w:after="200"/>
              <w:rPr>
                <w:rFonts w:eastAsia="Times New Roman"/>
                <w:sz w:val="20"/>
                <w:szCs w:val="20"/>
              </w:rPr>
            </w:pPr>
            <w:r>
              <w:rPr>
                <w:rFonts w:eastAsia="Times New Roman"/>
                <w:color w:val="000000"/>
                <w:sz w:val="20"/>
                <w:szCs w:val="20"/>
              </w:rPr>
              <w:t xml:space="preserve">our clinical trials become more complicated due to the COVID-19 pandemic or other similar external factors; </w:t>
            </w:r>
          </w:p>
        </w:tc>
      </w:tr>
    </w:tbl>
    <w:p w:rsidR="00000000" w:rsidRDefault="00B51E11">
      <w:pPr>
        <w:divId w:val="15251672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5167274"/>
        </w:trPr>
        <w:tc>
          <w:tcPr>
            <w:tcW w:w="720" w:type="dxa"/>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51E11">
            <w:pPr>
              <w:rPr>
                <w:rFonts w:eastAsia="Times New Roman"/>
                <w:sz w:val="20"/>
                <w:szCs w:val="20"/>
              </w:rPr>
            </w:pPr>
            <w:r>
              <w:rPr>
                <w:rFonts w:eastAsia="Times New Roman"/>
                <w:color w:val="000000"/>
                <w:sz w:val="20"/>
                <w:szCs w:val="20"/>
              </w:rPr>
              <w:t>we increase the number of patents we are prosecuting or otherwise expend additional resources on patent prosecution or defense; or</w:t>
            </w:r>
          </w:p>
        </w:tc>
      </w:tr>
    </w:tbl>
    <w:p w:rsidR="00000000" w:rsidRDefault="00B51E11">
      <w:pPr>
        <w:divId w:val="152516727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5167274"/>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we acq</w:t>
            </w:r>
            <w:r>
              <w:rPr>
                <w:sz w:val="20"/>
                <w:szCs w:val="20"/>
              </w:rPr>
              <w:t>uire or in-license additional technologies, product candidates, products or businesses.</w:t>
            </w:r>
          </w:p>
        </w:tc>
      </w:tr>
    </w:tbl>
    <w:p w:rsidR="00000000" w:rsidRDefault="00B51E11">
      <w:pPr>
        <w:pStyle w:val="a3"/>
        <w:spacing w:before="0" w:beforeAutospacing="0" w:after="200" w:afterAutospacing="0"/>
        <w:ind w:firstLine="720"/>
        <w:divId w:val="1525167274"/>
        <w:rPr>
          <w:sz w:val="20"/>
          <w:szCs w:val="20"/>
        </w:rPr>
      </w:pPr>
      <w:r>
        <w:rPr>
          <w:sz w:val="20"/>
          <w:szCs w:val="20"/>
        </w:rPr>
        <w:t xml:space="preserve">While we are generating revenues from (i) sales of YUPELRI, (ii) our economic interest in royalties from net sales of TRELEGY paid to TRC (63.75% of which amounts are </w:t>
      </w:r>
      <w:r>
        <w:rPr>
          <w:sz w:val="20"/>
          <w:szCs w:val="20"/>
        </w:rPr>
        <w:t>used to make payments on the Non-Recourse 2035 Notes), (iii) payments under collaboration agreements, and (iv) minor royalties from the net sales of VIBATIV, we do not expect to generate significant revenues or become profitable in the immediate future. As</w:t>
      </w:r>
      <w:r>
        <w:rPr>
          <w:sz w:val="20"/>
          <w:szCs w:val="20"/>
        </w:rPr>
        <w:t xml:space="preserve"> a result of the COVID-19 pandemic (defined below), we could experience declines in revenues from these sources. Since we or our collaborators or licensees may not successfully develop additional products, obtain required regulatory approvals, manufacture </w:t>
      </w:r>
      <w:r>
        <w:rPr>
          <w:sz w:val="20"/>
          <w:szCs w:val="20"/>
        </w:rPr>
        <w:t>products at an acceptable cost or with appropriate quality, or successfully market and sell such products with desired margins, our expenses will continue to exceed any revenues we may receive for the foreseeable future.</w:t>
      </w:r>
    </w:p>
    <w:p w:rsidR="00000000" w:rsidRDefault="00B51E11">
      <w:pPr>
        <w:pStyle w:val="a3"/>
        <w:spacing w:before="360" w:beforeAutospacing="0" w:after="0" w:afterAutospacing="0"/>
        <w:jc w:val="center"/>
        <w:divId w:val="97216302"/>
        <w:rPr>
          <w:sz w:val="20"/>
          <w:szCs w:val="20"/>
        </w:rPr>
      </w:pPr>
      <w:r>
        <w:rPr>
          <w:sz w:val="20"/>
          <w:szCs w:val="20"/>
        </w:rPr>
        <w:t>38</w:t>
      </w:r>
    </w:p>
    <w:p w:rsidR="00000000" w:rsidRDefault="00B51E11">
      <w:pPr>
        <w:pStyle w:val="a3"/>
        <w:spacing w:before="0" w:beforeAutospacing="0" w:after="600" w:afterAutospacing="0"/>
        <w:divId w:val="1152941019"/>
        <w:rPr>
          <w:sz w:val="20"/>
          <w:szCs w:val="20"/>
        </w:rPr>
      </w:pPr>
      <w:hyperlink w:anchor="TOC" w:history="1">
        <w:r>
          <w:rPr>
            <w:rStyle w:val="a4"/>
            <w:sz w:val="20"/>
            <w:szCs w:val="20"/>
          </w:rPr>
          <w:t xml:space="preserve">Table </w:t>
        </w:r>
        <w:r>
          <w:rPr>
            <w:rStyle w:val="a4"/>
            <w:sz w:val="20"/>
            <w:szCs w:val="20"/>
          </w:rPr>
          <w:t>of Contents</w:t>
        </w:r>
      </w:hyperlink>
    </w:p>
    <w:p w:rsidR="00000000" w:rsidRDefault="00B51E11">
      <w:pPr>
        <w:pStyle w:val="a3"/>
        <w:spacing w:before="0" w:beforeAutospacing="0" w:after="200" w:afterAutospacing="0"/>
        <w:ind w:firstLine="720"/>
        <w:divId w:val="609317959"/>
        <w:rPr>
          <w:sz w:val="20"/>
          <w:szCs w:val="20"/>
        </w:rPr>
      </w:pPr>
      <w:r>
        <w:rPr>
          <w:sz w:val="20"/>
          <w:szCs w:val="20"/>
        </w:rPr>
        <w:t>In the absence of substantial licensing payments, contingent payments or other revenues from third-party collaborators, royalties on sales of products licensed under our intellectual property rights, future revenues from those product candidate</w:t>
      </w:r>
      <w:r>
        <w:rPr>
          <w:sz w:val="20"/>
          <w:szCs w:val="20"/>
        </w:rPr>
        <w:t>s in development that receive regulatory approval or other sources of revenues, we will continue to incur operating losses and will require additional capital to execute our business strategy. The likelihood of reaching, and the time required to reach, and</w:t>
      </w:r>
      <w:r>
        <w:rPr>
          <w:sz w:val="20"/>
          <w:szCs w:val="20"/>
        </w:rPr>
        <w:t xml:space="preserve"> then to sustain, profitability are highly uncertain. As a result, we expect to continue to incur substantial losses for the foreseeable future. We are uncertain when or if we will ever be able to achieve or sustain profitability. Failure to become and rem</w:t>
      </w:r>
      <w:r>
        <w:rPr>
          <w:sz w:val="20"/>
          <w:szCs w:val="20"/>
        </w:rPr>
        <w:t>ain profitable would adversely affect the price of our securities and our ability to raise capital and continue operations.</w:t>
      </w:r>
    </w:p>
    <w:p w:rsidR="00000000" w:rsidRDefault="00B51E11">
      <w:pPr>
        <w:pStyle w:val="a3"/>
        <w:spacing w:before="0" w:beforeAutospacing="0" w:after="120" w:afterAutospacing="0"/>
        <w:divId w:val="609317959"/>
        <w:rPr>
          <w:sz w:val="20"/>
          <w:szCs w:val="20"/>
        </w:rPr>
      </w:pPr>
      <w:r>
        <w:rPr>
          <w:b/>
          <w:bCs/>
          <w:i/>
          <w:iCs/>
          <w:sz w:val="20"/>
          <w:szCs w:val="20"/>
        </w:rPr>
        <w:t>We face risks related to health epidemics, including the recent COVID-19 pandemic, which could have a material adverse effect on our business and results of operations.</w:t>
      </w:r>
    </w:p>
    <w:p w:rsidR="00000000" w:rsidRDefault="00B51E11">
      <w:pPr>
        <w:pStyle w:val="a3"/>
        <w:spacing w:before="0" w:beforeAutospacing="0" w:after="200" w:afterAutospacing="0"/>
        <w:ind w:firstLine="720"/>
        <w:divId w:val="609317959"/>
        <w:rPr>
          <w:sz w:val="20"/>
          <w:szCs w:val="20"/>
        </w:rPr>
      </w:pPr>
      <w:r>
        <w:rPr>
          <w:sz w:val="20"/>
          <w:szCs w:val="20"/>
        </w:rPr>
        <w:t>Our business has been and will continue to be adversely affected by the recent widespre</w:t>
      </w:r>
      <w:r>
        <w:rPr>
          <w:sz w:val="20"/>
          <w:szCs w:val="20"/>
        </w:rPr>
        <w:t>ad and contagious outbreak of respiratory illness caused by a novel strain of coronavirus, SARS-CoV-2, causing the Coronavirus Disease 2019, also known as COVID-19 (the “COVID-19 pandemic”). Global health concerns relating to the COVID-19 pandemic have bee</w:t>
      </w:r>
      <w:r>
        <w:rPr>
          <w:sz w:val="20"/>
          <w:szCs w:val="20"/>
        </w:rPr>
        <w:t>n weighing on the macroeconomic environment, and the pandemic has significantly increased economic volatility and uncertainty.</w:t>
      </w:r>
    </w:p>
    <w:p w:rsidR="00000000" w:rsidRDefault="00B51E11">
      <w:pPr>
        <w:pStyle w:val="a3"/>
        <w:spacing w:before="0" w:beforeAutospacing="0" w:after="200" w:afterAutospacing="0"/>
        <w:ind w:firstLine="720"/>
        <w:divId w:val="609317959"/>
        <w:rPr>
          <w:sz w:val="20"/>
          <w:szCs w:val="20"/>
        </w:rPr>
      </w:pPr>
      <w:r>
        <w:rPr>
          <w:sz w:val="20"/>
          <w:szCs w:val="20"/>
        </w:rPr>
        <w:t>The pandemic has resulted in government authorities implementing numerous measures to try to contain the virus, such as travel ba</w:t>
      </w:r>
      <w:r>
        <w:rPr>
          <w:sz w:val="20"/>
          <w:szCs w:val="20"/>
        </w:rPr>
        <w:t>ns and restrictions, quarantines, shelter-in-place or stay-at-home orders, and business shutdowns. These measures have adversely impacted and may further impact our employees and operations and the operations of our customers, suppliers and business partne</w:t>
      </w:r>
      <w:r>
        <w:rPr>
          <w:sz w:val="20"/>
          <w:szCs w:val="20"/>
        </w:rPr>
        <w:t>rs, and may negatively impact spending patterns, payment cycles and insurance coverage levels. In addition, certain aspects of our business, such as laboratory-based research, cannot be conducted remotely and other aspects of our business, like our hospita</w:t>
      </w:r>
      <w:r>
        <w:rPr>
          <w:sz w:val="20"/>
          <w:szCs w:val="20"/>
        </w:rPr>
        <w:t>l-based sales team, our field-based medical affairs team, and our support of sites in our clinical trials, cannot be accomplished as effectively or efficiently remotely. These measures by government authorities, as well as the precautions we will take in o</w:t>
      </w:r>
      <w:r>
        <w:rPr>
          <w:sz w:val="20"/>
          <w:szCs w:val="20"/>
        </w:rPr>
        <w:t>rder to operate our business responsibly in light of the COVID-19 pandemic, may continue to remain in place for a significant period of time, and they are likely to continue to adversely affect our business and results of operations.</w:t>
      </w:r>
    </w:p>
    <w:p w:rsidR="00000000" w:rsidRDefault="00B51E11">
      <w:pPr>
        <w:pStyle w:val="a3"/>
        <w:spacing w:before="0" w:beforeAutospacing="0" w:after="200" w:afterAutospacing="0"/>
        <w:ind w:firstLine="720"/>
        <w:divId w:val="609317959"/>
        <w:rPr>
          <w:sz w:val="20"/>
          <w:szCs w:val="20"/>
        </w:rPr>
      </w:pPr>
      <w:r>
        <w:rPr>
          <w:sz w:val="20"/>
          <w:szCs w:val="20"/>
        </w:rPr>
        <w:t>In addition, we expect</w:t>
      </w:r>
      <w:r>
        <w:rPr>
          <w:sz w:val="20"/>
          <w:szCs w:val="20"/>
        </w:rPr>
        <w:t xml:space="preserve"> sales cycles, particularly for new customers, to continue to be impacted as a result of the COVID-19 pandemic, and we have observed continued volatility in YUPELRI sales. Sales momentum has been affected by COVID-19 and may continue to be in the future. W</w:t>
      </w:r>
      <w:r>
        <w:rPr>
          <w:sz w:val="20"/>
          <w:szCs w:val="20"/>
        </w:rPr>
        <w:t xml:space="preserve">e market YUPELRI in the hospital setting, where healthcare workers are prioritizing the treatment of patients with or suspected of COVID-19 disease. In mid-March 2020, we suspended in-person sales calls to accounts in response to the COVID-19 pandemic. We </w:t>
      </w:r>
      <w:r>
        <w:rPr>
          <w:sz w:val="20"/>
          <w:szCs w:val="20"/>
        </w:rPr>
        <w:t>are currently re-engaging with these customers in-person when certain criteria are met and remotely via telephone calls, electronic mail, digital outreach or video conferencing as we seek to continue to support healthcare professionals and patient care. Cu</w:t>
      </w:r>
      <w:r>
        <w:rPr>
          <w:sz w:val="20"/>
          <w:szCs w:val="20"/>
        </w:rPr>
        <w:t>stomer orders or delays in starting new patients on YUPELRI may decline as a result of, among other things, a shift in our marketing efforts to remote communication methods, increased workload of healthcare providers, and the impact of the Center for Disea</w:t>
      </w:r>
      <w:r>
        <w:rPr>
          <w:sz w:val="20"/>
          <w:szCs w:val="20"/>
        </w:rPr>
        <w:t xml:space="preserve">se Control interim guidelines for limiting the exposure of health care workers to the virus that causes COVID-19, in which drug nebulization in COVID-19 positive patients is listed as a high-risk procedure while present in the room for procedures when the </w:t>
      </w:r>
      <w:r>
        <w:rPr>
          <w:sz w:val="20"/>
          <w:szCs w:val="20"/>
        </w:rPr>
        <w:t>healthcare providers’ eyes, nose, or mouth are not protected. We are preparing for continued volatility during the remainder of 2020 as disruptions of day-to-day operations of hospitals and clinics may continue. In addition, while we do not currently antic</w:t>
      </w:r>
      <w:r>
        <w:rPr>
          <w:sz w:val="20"/>
          <w:szCs w:val="20"/>
        </w:rPr>
        <w:t>ipate any supply issues, the COVID-19 pandemic could impact our supply of YUPELRI in the future. At this stage, we are unable to predict with certainty the ultimate disruptive impact of the COVID-19 pandemic on both YUPELRI and the rest of our business.</w:t>
      </w:r>
      <w:r>
        <w:rPr>
          <w:sz w:val="20"/>
          <w:szCs w:val="20"/>
        </w:rPr>
        <w:t xml:space="preserve"> </w:t>
      </w:r>
    </w:p>
    <w:p w:rsidR="00000000" w:rsidRDefault="00B51E11">
      <w:pPr>
        <w:pStyle w:val="a3"/>
        <w:spacing w:before="360" w:beforeAutospacing="0" w:after="0" w:afterAutospacing="0"/>
        <w:jc w:val="center"/>
        <w:divId w:val="2043632126"/>
        <w:rPr>
          <w:sz w:val="20"/>
          <w:szCs w:val="20"/>
        </w:rPr>
      </w:pPr>
      <w:r>
        <w:rPr>
          <w:sz w:val="20"/>
          <w:szCs w:val="20"/>
        </w:rPr>
        <w:t>3</w:t>
      </w:r>
      <w:r>
        <w:rPr>
          <w:sz w:val="20"/>
          <w:szCs w:val="20"/>
        </w:rPr>
        <w:t>9</w:t>
      </w:r>
    </w:p>
    <w:p w:rsidR="00000000" w:rsidRDefault="00B51E11">
      <w:pPr>
        <w:pStyle w:val="a3"/>
        <w:spacing w:before="0" w:beforeAutospacing="0" w:after="600" w:afterAutospacing="0"/>
        <w:divId w:val="736828813"/>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ind w:firstLine="720"/>
        <w:divId w:val="2144929545"/>
        <w:rPr>
          <w:sz w:val="20"/>
          <w:szCs w:val="20"/>
        </w:rPr>
      </w:pPr>
      <w:r>
        <w:rPr>
          <w:sz w:val="20"/>
          <w:szCs w:val="20"/>
        </w:rPr>
        <w:t>In addition, the COVID-19 pandemic makes the conduct of clinical trials more challenging given the paramount importance of adequate safety monitoring, collection of data and distribution of study drug, all of w</w:t>
      </w:r>
      <w:r>
        <w:rPr>
          <w:sz w:val="20"/>
          <w:szCs w:val="20"/>
        </w:rPr>
        <w:t xml:space="preserve">hich are traditionally achieved by in person visits to our study sites. </w:t>
      </w:r>
      <w:r>
        <w:rPr>
          <w:sz w:val="20"/>
          <w:szCs w:val="20"/>
          <w:shd w:val="clear" w:color="auto" w:fill="FFFFFF"/>
        </w:rPr>
        <w:t xml:space="preserve">We expect challenges to continue to arise from </w:t>
      </w:r>
      <w:r>
        <w:rPr>
          <w:sz w:val="20"/>
          <w:szCs w:val="20"/>
        </w:rPr>
        <w:t>quarantines, shelter-in-place or stay-at-home orders</w:t>
      </w:r>
      <w:r>
        <w:rPr>
          <w:sz w:val="20"/>
          <w:szCs w:val="20"/>
          <w:shd w:val="clear" w:color="auto" w:fill="FFFFFF"/>
        </w:rPr>
        <w:t xml:space="preserve">, site closures, travel limitations, potential interruptions to the supply chain for </w:t>
      </w:r>
      <w:r>
        <w:rPr>
          <w:sz w:val="20"/>
          <w:szCs w:val="20"/>
          <w:shd w:val="clear" w:color="auto" w:fill="FFFFFF"/>
        </w:rPr>
        <w:t>investigational products, other measure to help prevent the spread of COVID-19 or other considerations if site personnel or trial participants become infected with COVID-19. These challenges may lead to difficulties in meeting protocol-specified procedures</w:t>
      </w:r>
      <w:r>
        <w:rPr>
          <w:sz w:val="20"/>
          <w:szCs w:val="20"/>
          <w:shd w:val="clear" w:color="auto" w:fill="FFFFFF"/>
        </w:rPr>
        <w:t xml:space="preserve">. </w:t>
      </w:r>
      <w:r>
        <w:rPr>
          <w:sz w:val="20"/>
          <w:szCs w:val="20"/>
        </w:rPr>
        <w:t>In light of the COVID-19 pandemic, the Company is implementing mitigation plans to help ensure patients in the clinical trials have continued access to drug supply and regular visits with their physicians for study visits per trial protocols, but there i</w:t>
      </w:r>
      <w:r>
        <w:rPr>
          <w:sz w:val="20"/>
          <w:szCs w:val="20"/>
        </w:rPr>
        <w:t>s a risk that our trial data could be impacted if our efforts are insufficient. It is also possible that demand for products that we may pursue could be materially and adversely affected as a result of COVID-19 and any related economic impact. Furthermore,</w:t>
      </w:r>
      <w:r>
        <w:rPr>
          <w:sz w:val="20"/>
          <w:szCs w:val="20"/>
        </w:rPr>
        <w:t xml:space="preserve"> we cannot assure you that our publicly-announced initiatives addressing COVID-19 will result in commercially-viable products.</w:t>
      </w:r>
    </w:p>
    <w:p w:rsidR="00000000" w:rsidRDefault="00B51E11">
      <w:pPr>
        <w:pStyle w:val="a3"/>
        <w:spacing w:before="0" w:beforeAutospacing="0" w:after="200" w:afterAutospacing="0"/>
        <w:ind w:firstLine="720"/>
        <w:divId w:val="2144929545"/>
        <w:rPr>
          <w:sz w:val="20"/>
          <w:szCs w:val="20"/>
        </w:rPr>
      </w:pPr>
      <w:r>
        <w:rPr>
          <w:sz w:val="20"/>
          <w:szCs w:val="20"/>
        </w:rPr>
        <w:t>The spread of COVID-19 has caused us to modify our business practices (including employee travel, mandating that all non-essentia</w:t>
      </w:r>
      <w:r>
        <w:rPr>
          <w:sz w:val="20"/>
          <w:szCs w:val="20"/>
        </w:rPr>
        <w:t>l personnel work from home, temporary closures of offices, and reduction of physical participation in commercial activities, meetings, events and conferences), and we may take further actions as may be required by government authorities or that we determin</w:t>
      </w:r>
      <w:r>
        <w:rPr>
          <w:sz w:val="20"/>
          <w:szCs w:val="20"/>
        </w:rPr>
        <w:t>e are in the best interests of our employees, customers and business partners. There is no certainty that such actions will be sufficient to mitigate the risks posed by the virus or otherwise be satisfactory to government authorities. If significant portio</w:t>
      </w:r>
      <w:r>
        <w:rPr>
          <w:sz w:val="20"/>
          <w:szCs w:val="20"/>
        </w:rPr>
        <w:t>ns of our workforce, and particularly our field-based teams and laboratory staff, are unable to work effectively, including due to illness, quarantines, social distancing, government actions or other restrictions in connection with the COVID-19 pandemic, o</w:t>
      </w:r>
      <w:r>
        <w:rPr>
          <w:sz w:val="20"/>
          <w:szCs w:val="20"/>
        </w:rPr>
        <w:t>ur operations will be impacted. The COVID-19 pandemic could limit the ability of our customers, suppliers and business partners to perform under their contracts with us, including third-party payers’ ability to make timely payments to us during and followi</w:t>
      </w:r>
      <w:r>
        <w:rPr>
          <w:sz w:val="20"/>
          <w:szCs w:val="20"/>
        </w:rPr>
        <w:t xml:space="preserve">ng the pandemic. We may also experience a shortage of supplies and materials or a suspension of services from third parties. Additionally, while the potential economic impact brought by, and the duration of, the coronavirus pandemic is difficult to assess </w:t>
      </w:r>
      <w:r>
        <w:rPr>
          <w:sz w:val="20"/>
          <w:szCs w:val="20"/>
        </w:rPr>
        <w:t>or predict, the impact of the coronavirus on the global financial markets may reduce our ability to access capital, which could negatively impact our long-term liquidity. Even after the COVID-19 pandemic has subsided, we may continue to experience an adver</w:t>
      </w:r>
      <w:r>
        <w:rPr>
          <w:sz w:val="20"/>
          <w:szCs w:val="20"/>
        </w:rPr>
        <w:t>se impact to our business as a result of its global economic impact, including any recession that has occurred or may occur in the future.</w:t>
      </w:r>
    </w:p>
    <w:p w:rsidR="00000000" w:rsidRDefault="00B51E11">
      <w:pPr>
        <w:pStyle w:val="a3"/>
        <w:spacing w:before="0" w:beforeAutospacing="0" w:after="200" w:afterAutospacing="0"/>
        <w:ind w:firstLine="720"/>
        <w:divId w:val="2144929545"/>
        <w:rPr>
          <w:sz w:val="20"/>
          <w:szCs w:val="20"/>
        </w:rPr>
      </w:pPr>
      <w:r>
        <w:rPr>
          <w:sz w:val="20"/>
          <w:szCs w:val="20"/>
        </w:rPr>
        <w:t>The extent to which the COVID-19 pandemic impacts our business, results of operations and financial condition will de</w:t>
      </w:r>
      <w:r>
        <w:rPr>
          <w:sz w:val="20"/>
          <w:szCs w:val="20"/>
        </w:rPr>
        <w:t>pend on future developments, which are highly uncertain and difficult to predict, including, but not limited to, the duration and spread of the pandemic, its severity, the actions to contain the virus or address its impact, and how quickly and to what exte</w:t>
      </w:r>
      <w:r>
        <w:rPr>
          <w:sz w:val="20"/>
          <w:szCs w:val="20"/>
        </w:rPr>
        <w:t>nt normal economic and operating activities can resume. There are no comparable recent events which may provide guidance as to the effect of the spread of the COVID-19 pandemic, and, as a result, the ultimate impact of the COVID-19 pandemic or a similar he</w:t>
      </w:r>
      <w:r>
        <w:rPr>
          <w:sz w:val="20"/>
          <w:szCs w:val="20"/>
        </w:rPr>
        <w:t>alth epidemic is highly uncertain and subject to change. We do not yet know the full extent of COVID-19’s impact on our business, our operations, or the global economy as a whole. However, the effects will have a material adverse impact on our future resul</w:t>
      </w:r>
      <w:r>
        <w:rPr>
          <w:sz w:val="20"/>
          <w:szCs w:val="20"/>
        </w:rPr>
        <w:t>ts of operations.</w:t>
      </w:r>
    </w:p>
    <w:p w:rsidR="00000000" w:rsidRDefault="00B51E11">
      <w:pPr>
        <w:pStyle w:val="a3"/>
        <w:spacing w:before="0" w:beforeAutospacing="0" w:after="120" w:afterAutospacing="0"/>
        <w:divId w:val="2144929545"/>
        <w:rPr>
          <w:sz w:val="20"/>
          <w:szCs w:val="20"/>
        </w:rPr>
      </w:pPr>
      <w:r>
        <w:rPr>
          <w:b/>
          <w:bCs/>
          <w:i/>
          <w:iCs/>
          <w:sz w:val="20"/>
          <w:szCs w:val="20"/>
        </w:rPr>
        <w:t xml:space="preserve">Any delay in commencing or completing clinical studies for product candidates and any adverse results from clinical or non-clinical studies or regulatory obstacles product candidates may face, would harm our business and the price of our </w:t>
      </w:r>
      <w:r>
        <w:rPr>
          <w:b/>
          <w:bCs/>
          <w:i/>
          <w:iCs/>
          <w:sz w:val="20"/>
          <w:szCs w:val="20"/>
        </w:rPr>
        <w:t>securities could fall.</w:t>
      </w:r>
    </w:p>
    <w:p w:rsidR="00000000" w:rsidRDefault="00B51E11">
      <w:pPr>
        <w:pStyle w:val="a3"/>
        <w:spacing w:before="0" w:beforeAutospacing="0" w:after="200" w:afterAutospacing="0"/>
        <w:ind w:firstLine="720"/>
        <w:divId w:val="2144929545"/>
        <w:rPr>
          <w:sz w:val="20"/>
          <w:szCs w:val="20"/>
        </w:rPr>
      </w:pPr>
      <w:r>
        <w:rPr>
          <w:sz w:val="20"/>
          <w:szCs w:val="20"/>
        </w:rPr>
        <w:t>Each of our product candidates must undergo extensive non-clinical and clinical studies as a condition to regulatory approval. Non-clinical and clinical studies are expensive, take many years to complete and study results may lead to</w:t>
      </w:r>
      <w:r>
        <w:rPr>
          <w:sz w:val="20"/>
          <w:szCs w:val="20"/>
        </w:rPr>
        <w:t xml:space="preserve"> delays in further studies, new requirements for conducting future studies or decisions to terminate programs. The commencement and completion of clinical studies for our product candidates may be delayed and programs may be terminated due to many factors,</w:t>
      </w:r>
      <w:r>
        <w:rPr>
          <w:sz w:val="20"/>
          <w:szCs w:val="20"/>
        </w:rPr>
        <w:t xml:space="preserve"> including, but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88"/>
      </w:tblGrid>
      <w:tr w:rsidR="00000000">
        <w:trPr>
          <w:divId w:val="2144929545"/>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lack of effectiveness of product candidates during clinical studies;</w:t>
            </w:r>
          </w:p>
        </w:tc>
      </w:tr>
    </w:tbl>
    <w:p w:rsidR="00000000" w:rsidRDefault="00B51E11">
      <w:pPr>
        <w:divId w:val="214492954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4492954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adverse events, safety issues or side effects (or perceived adverse developments or results) relating to the product candidates or their formulation into medicines;</w:t>
            </w:r>
          </w:p>
        </w:tc>
      </w:tr>
    </w:tbl>
    <w:p w:rsidR="00000000" w:rsidRDefault="00B51E11">
      <w:pPr>
        <w:divId w:val="214492954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4492954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inability to raise additional capital in sufficient amounts to continue our developmen</w:t>
            </w:r>
            <w:r>
              <w:rPr>
                <w:sz w:val="20"/>
                <w:szCs w:val="20"/>
              </w:rPr>
              <w:t>t programs, which are very expensive;</w:t>
            </w:r>
          </w:p>
        </w:tc>
      </w:tr>
    </w:tbl>
    <w:p w:rsidR="00000000" w:rsidRDefault="00B51E11">
      <w:pPr>
        <w:pStyle w:val="a3"/>
        <w:spacing w:before="360" w:beforeAutospacing="0" w:after="0" w:afterAutospacing="0"/>
        <w:jc w:val="center"/>
        <w:divId w:val="2101246804"/>
        <w:rPr>
          <w:sz w:val="20"/>
          <w:szCs w:val="20"/>
        </w:rPr>
      </w:pPr>
      <w:r>
        <w:rPr>
          <w:sz w:val="20"/>
          <w:szCs w:val="20"/>
        </w:rPr>
        <w:t>40</w:t>
      </w:r>
    </w:p>
    <w:p w:rsidR="00000000" w:rsidRDefault="00B51E11">
      <w:pPr>
        <w:pStyle w:val="a3"/>
        <w:spacing w:before="0" w:beforeAutospacing="0" w:after="600" w:afterAutospacing="0"/>
        <w:divId w:val="1799832497"/>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53735716"/>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inability to enter into partnering arrangements relating to the development and commercialization of our programs and product candidates or partner decisions not to ma</w:t>
            </w:r>
            <w:r>
              <w:rPr>
                <w:sz w:val="20"/>
                <w:szCs w:val="20"/>
              </w:rPr>
              <w:t>intain a partnership with us;</w:t>
            </w:r>
          </w:p>
        </w:tc>
      </w:tr>
    </w:tbl>
    <w:p w:rsidR="00000000" w:rsidRDefault="00B51E11">
      <w:pPr>
        <w:divId w:val="12537357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53735716"/>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delays in patient enrollment and variability in the number and types of patients available for clinical studies;</w:t>
            </w:r>
          </w:p>
        </w:tc>
      </w:tr>
    </w:tbl>
    <w:p w:rsidR="00000000" w:rsidRDefault="00B51E11">
      <w:pPr>
        <w:divId w:val="12537357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53735716"/>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need to sequence clinical studies as opposed to conducting them concomitantly in order to conserve resources;</w:t>
            </w:r>
          </w:p>
        </w:tc>
      </w:tr>
    </w:tbl>
    <w:p w:rsidR="00000000" w:rsidRDefault="00B51E11">
      <w:pPr>
        <w:divId w:val="12537357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53735716"/>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our inability or the inability of our collaborators or licensees to manufacture or obtain from third parties materials sufficient for use</w:t>
            </w:r>
            <w:r>
              <w:rPr>
                <w:sz w:val="20"/>
                <w:szCs w:val="20"/>
              </w:rPr>
              <w:t xml:space="preserve"> in non-clinical and clinical studies;</w:t>
            </w:r>
          </w:p>
        </w:tc>
      </w:tr>
    </w:tbl>
    <w:p w:rsidR="00000000" w:rsidRDefault="00B51E11">
      <w:pPr>
        <w:divId w:val="12537357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53735716"/>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 xml:space="preserve">governmental or regulatory delays or suspensions of the conduct of the clinical trials and changes in regulatory requirements, policy and guidelines, including as a result of any class-based risks that emerge as </w:t>
            </w:r>
            <w:r>
              <w:rPr>
                <w:sz w:val="20"/>
                <w:szCs w:val="20"/>
              </w:rPr>
              <w:t>an area of FDA or other regulatory agency focus;</w:t>
            </w:r>
          </w:p>
        </w:tc>
      </w:tr>
    </w:tbl>
    <w:p w:rsidR="00000000" w:rsidRDefault="00B51E11">
      <w:pPr>
        <w:divId w:val="12537357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53735716"/>
        </w:trPr>
        <w:tc>
          <w:tcPr>
            <w:tcW w:w="720" w:type="dxa"/>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rPr>
                <w:rFonts w:eastAsia="Times New Roman"/>
                <w:sz w:val="14"/>
                <w:szCs w:val="14"/>
              </w:rPr>
            </w:pPr>
            <w:r>
              <w:rPr>
                <w:rFonts w:eastAsia="Times New Roman"/>
                <w:sz w:val="14"/>
                <w:szCs w:val="14"/>
              </w:rPr>
              <w:t>●</w:t>
            </w:r>
          </w:p>
        </w:tc>
        <w:tc>
          <w:tcPr>
            <w:tcW w:w="0" w:type="auto"/>
            <w:tcMar>
              <w:top w:w="0" w:type="dxa"/>
              <w:left w:w="0" w:type="dxa"/>
              <w:bottom w:w="0" w:type="dxa"/>
              <w:right w:w="0" w:type="dxa"/>
            </w:tcMar>
            <w:vAlign w:val="center"/>
            <w:hideMark/>
          </w:tcPr>
          <w:p w:rsidR="00000000" w:rsidRDefault="00B51E11">
            <w:pPr>
              <w:rPr>
                <w:rFonts w:eastAsia="Times New Roman"/>
                <w:sz w:val="20"/>
                <w:szCs w:val="20"/>
              </w:rPr>
            </w:pPr>
            <w:r>
              <w:rPr>
                <w:rFonts w:eastAsia="Times New Roman"/>
                <w:color w:val="000000"/>
                <w:sz w:val="20"/>
                <w:szCs w:val="20"/>
              </w:rPr>
              <w:t>challenges related to the COVID-19 pandemic, including with recruitment and/or progressing patients through the study;</w:t>
            </w:r>
          </w:p>
        </w:tc>
      </w:tr>
    </w:tbl>
    <w:p w:rsidR="00000000" w:rsidRDefault="00B51E11">
      <w:pPr>
        <w:divId w:val="12537357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81"/>
      </w:tblGrid>
      <w:tr w:rsidR="00000000">
        <w:trPr>
          <w:divId w:val="1253735716"/>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failure of our partners to advance our product candidates through clinical dev</w:t>
            </w:r>
            <w:r>
              <w:rPr>
                <w:sz w:val="20"/>
                <w:szCs w:val="20"/>
              </w:rPr>
              <w:t>elopment;</w:t>
            </w:r>
          </w:p>
        </w:tc>
      </w:tr>
    </w:tbl>
    <w:p w:rsidR="00000000" w:rsidRDefault="00B51E11">
      <w:pPr>
        <w:divId w:val="12537357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53735716"/>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difficulty in maintaining contact with patients after treatment, resulting in incomplete data;</w:t>
            </w:r>
          </w:p>
        </w:tc>
      </w:tr>
    </w:tbl>
    <w:p w:rsidR="00000000" w:rsidRDefault="00B51E11">
      <w:pPr>
        <w:divId w:val="12537357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53735716"/>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varying regulatory requirements or interpretations of data among the FDA and foreign regulatory authorities; and</w:t>
            </w:r>
          </w:p>
        </w:tc>
      </w:tr>
    </w:tbl>
    <w:p w:rsidR="00000000" w:rsidRDefault="00B51E11">
      <w:pPr>
        <w:divId w:val="12537357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53735716"/>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 disturbance where we or our collaborative partners are enrolling patients in clinical trials, such as a pandemic, terrorist activities o</w:t>
            </w:r>
            <w:r>
              <w:rPr>
                <w:sz w:val="20"/>
                <w:szCs w:val="20"/>
              </w:rPr>
              <w:t>r war, political unrest or a natural disaster.</w:t>
            </w:r>
          </w:p>
        </w:tc>
      </w:tr>
    </w:tbl>
    <w:p w:rsidR="00000000" w:rsidRDefault="00B51E11">
      <w:pPr>
        <w:pStyle w:val="a3"/>
        <w:spacing w:before="0" w:beforeAutospacing="0" w:after="200" w:afterAutospacing="0"/>
        <w:ind w:firstLine="720"/>
        <w:divId w:val="1253735716"/>
        <w:rPr>
          <w:sz w:val="20"/>
          <w:szCs w:val="20"/>
        </w:rPr>
      </w:pPr>
      <w:r>
        <w:rPr>
          <w:sz w:val="20"/>
          <w:szCs w:val="20"/>
        </w:rPr>
        <w:t>Any adverse developments or results or perceived adverse developments or results with respect to our clinical programs including, without limitation, any delays in development in our programs as we are curren</w:t>
      </w:r>
      <w:r>
        <w:rPr>
          <w:sz w:val="20"/>
          <w:szCs w:val="20"/>
        </w:rPr>
        <w:t>tly experiencing due to the COVID-19 pandemic, any halting of development in our programs, any difficulties or delays encountered with regard to the FDA or other third country regulatory authorities with respect to our programs, or any indication from clin</w:t>
      </w:r>
      <w:r>
        <w:rPr>
          <w:sz w:val="20"/>
          <w:szCs w:val="20"/>
        </w:rPr>
        <w:t>ical or non-clinical studies that the compounds in our programs are not safe or efficacious, could have a material adverse effect on our business and cause the price of our securities to fall.</w:t>
      </w:r>
    </w:p>
    <w:p w:rsidR="00000000" w:rsidRDefault="00B51E11">
      <w:pPr>
        <w:pStyle w:val="a3"/>
        <w:spacing w:before="0" w:beforeAutospacing="0" w:after="200" w:afterAutospacing="0"/>
        <w:ind w:firstLine="720"/>
        <w:divId w:val="1253735716"/>
        <w:rPr>
          <w:sz w:val="20"/>
          <w:szCs w:val="20"/>
        </w:rPr>
      </w:pPr>
      <w:r>
        <w:rPr>
          <w:sz w:val="20"/>
          <w:szCs w:val="20"/>
        </w:rPr>
        <w:t>In July 2019, the FDA issued a Boxed Warning for a systemically</w:t>
      </w:r>
      <w:r>
        <w:rPr>
          <w:sz w:val="20"/>
          <w:szCs w:val="20"/>
        </w:rPr>
        <w:t xml:space="preserve"> active pan-JAK inhibitor, calling out an increased risk of pulmonary embolism and death following the results of a safety study in patients with rheumatoid arthritis. We are focused on developing pan-JAK inhibitors that are designed to remain organ-select</w:t>
      </w:r>
      <w:r>
        <w:rPr>
          <w:sz w:val="20"/>
          <w:szCs w:val="20"/>
        </w:rPr>
        <w:t xml:space="preserve">ive so that they do not become systemically active in order to minimize the risk of side effects. It is unknown at this time what, if any, additional requirements the FDA may put in place with respect to the development of JAK inhibitors generally or what </w:t>
      </w:r>
      <w:r>
        <w:rPr>
          <w:sz w:val="20"/>
          <w:szCs w:val="20"/>
        </w:rPr>
        <w:t xml:space="preserve">other future FDA actions may have on the prospects for JAK inhibitors. Delays or adverse developments or results or perceived adverse developments or results relating to JAK inhibitors could harm our business and could cause the price of our securities to </w:t>
      </w:r>
      <w:r>
        <w:rPr>
          <w:sz w:val="20"/>
          <w:szCs w:val="20"/>
        </w:rPr>
        <w:t>fall. Examples of such adverse developments include, but are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53735716"/>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FDA and/or other regulatory authorities determining that additional non-clinical or clinical studies are required with respect to our JAK inhibitor programs;</w:t>
            </w:r>
          </w:p>
        </w:tc>
      </w:tr>
    </w:tbl>
    <w:p w:rsidR="00000000" w:rsidRDefault="00B51E11">
      <w:pPr>
        <w:divId w:val="12537357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53735716"/>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safety, efficacy or other concerns relating to our JAK inhibitor programs or JAK inhibitors under development or commercialized by other companies;</w:t>
            </w:r>
          </w:p>
        </w:tc>
      </w:tr>
    </w:tbl>
    <w:p w:rsidR="00000000" w:rsidRDefault="00B51E11">
      <w:pPr>
        <w:divId w:val="12537357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53735716"/>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FDA determining that class-based warnings are required for JAK inhibitors generally; or</w:t>
            </w:r>
          </w:p>
        </w:tc>
      </w:tr>
    </w:tbl>
    <w:p w:rsidR="00000000" w:rsidRDefault="00B51E11">
      <w:pPr>
        <w:divId w:val="12537357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99"/>
      </w:tblGrid>
      <w:tr w:rsidR="00000000">
        <w:trPr>
          <w:divId w:val="1253735716"/>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any ch</w:t>
            </w:r>
            <w:r>
              <w:rPr>
                <w:sz w:val="20"/>
                <w:szCs w:val="20"/>
              </w:rPr>
              <w:t>ange in FDA policy or guidance regarding JAK inhibitors.</w:t>
            </w:r>
          </w:p>
        </w:tc>
      </w:tr>
    </w:tbl>
    <w:p w:rsidR="00000000" w:rsidRDefault="00B51E11">
      <w:pPr>
        <w:pStyle w:val="a3"/>
        <w:spacing w:before="360" w:beforeAutospacing="0" w:after="0" w:afterAutospacing="0"/>
        <w:jc w:val="center"/>
        <w:divId w:val="2087073405"/>
        <w:rPr>
          <w:sz w:val="20"/>
          <w:szCs w:val="20"/>
        </w:rPr>
      </w:pPr>
      <w:r>
        <w:rPr>
          <w:sz w:val="20"/>
          <w:szCs w:val="20"/>
        </w:rPr>
        <w:t>41</w:t>
      </w:r>
    </w:p>
    <w:p w:rsidR="00000000" w:rsidRDefault="00B51E11">
      <w:pPr>
        <w:pStyle w:val="a3"/>
        <w:spacing w:before="0" w:beforeAutospacing="0" w:after="600" w:afterAutospacing="0"/>
        <w:divId w:val="742870932"/>
        <w:rPr>
          <w:sz w:val="20"/>
          <w:szCs w:val="20"/>
        </w:rPr>
      </w:pPr>
      <w:hyperlink w:anchor="TOC" w:history="1">
        <w:r>
          <w:rPr>
            <w:rStyle w:val="a4"/>
            <w:sz w:val="20"/>
            <w:szCs w:val="20"/>
          </w:rPr>
          <w:t>Table of Contents</w:t>
        </w:r>
      </w:hyperlink>
    </w:p>
    <w:p w:rsidR="00000000" w:rsidRDefault="00B51E11">
      <w:pPr>
        <w:pStyle w:val="a3"/>
        <w:spacing w:before="0" w:beforeAutospacing="0" w:after="120" w:afterAutospacing="0"/>
        <w:divId w:val="470636457"/>
        <w:rPr>
          <w:sz w:val="20"/>
          <w:szCs w:val="20"/>
        </w:rPr>
      </w:pPr>
      <w:r>
        <w:rPr>
          <w:b/>
          <w:bCs/>
          <w:i/>
          <w:iCs/>
          <w:sz w:val="20"/>
          <w:szCs w:val="20"/>
        </w:rPr>
        <w:t>If our product candidates are not approved by regulatory authorities, including the FDA, we will be unable to commercialize them.</w:t>
      </w:r>
    </w:p>
    <w:p w:rsidR="00000000" w:rsidRDefault="00B51E11">
      <w:pPr>
        <w:pStyle w:val="a3"/>
        <w:spacing w:before="0" w:beforeAutospacing="0" w:after="200" w:afterAutospacing="0"/>
        <w:ind w:firstLine="720"/>
        <w:divId w:val="470636457"/>
        <w:rPr>
          <w:sz w:val="20"/>
          <w:szCs w:val="20"/>
        </w:rPr>
      </w:pPr>
      <w:r>
        <w:rPr>
          <w:sz w:val="20"/>
          <w:szCs w:val="20"/>
        </w:rPr>
        <w:t>The FDA must approve any new medicine before it can be marketed and sold in the US. We will not obtain this approval for a product candidate unless and until the FDA approves an NDA. We, or our collaborative partners, must provide the FDA and similar forei</w:t>
      </w:r>
      <w:r>
        <w:rPr>
          <w:sz w:val="20"/>
          <w:szCs w:val="20"/>
        </w:rPr>
        <w:t xml:space="preserve">gn regulatory authorities with data from preclinical and clinical studies that demonstrate that our product candidates comply with the regulatory requirements for the quality of medicinal products and are safe and effective for a defined indication before </w:t>
      </w:r>
      <w:r>
        <w:rPr>
          <w:sz w:val="20"/>
          <w:szCs w:val="20"/>
        </w:rPr>
        <w:t>they can be approved for commercial distribution. FDA or foreign regulatory authorities may disagree with our trial design and our interpretation of data from preclinical studies and clinical trials. The processes by which regulatory approvals are obtained</w:t>
      </w:r>
      <w:r>
        <w:rPr>
          <w:sz w:val="20"/>
          <w:szCs w:val="20"/>
        </w:rPr>
        <w:t xml:space="preserve"> from the FDA and foreign regulatory authorities to market and sell a new product are complex, require a number of years, depend upon the type, complexity and novelty of the product candidate and involve the expenditure of substantial resources for researc</w:t>
      </w:r>
      <w:r>
        <w:rPr>
          <w:sz w:val="20"/>
          <w:szCs w:val="20"/>
        </w:rPr>
        <w:t>h, development and testing. The FDA has substantial discretion in the drug approval process and may require us to conduct additional nonclinical and clinical testing or to perform post-marketing studies. Further, the implementation of new laws and regulati</w:t>
      </w:r>
      <w:r>
        <w:rPr>
          <w:sz w:val="20"/>
          <w:szCs w:val="20"/>
        </w:rPr>
        <w:t>ons, and revisions to FDA clinical trial design guidance may lead to increased uncertainty regarding the approvability of new drugs. See the risk factor entitled “</w:t>
      </w:r>
      <w:r>
        <w:rPr>
          <w:i/>
          <w:iCs/>
          <w:sz w:val="20"/>
          <w:szCs w:val="20"/>
        </w:rPr>
        <w:t>Any delay in commencing or completing clinical studies for product candidates and any adverse</w:t>
      </w:r>
      <w:r>
        <w:rPr>
          <w:i/>
          <w:iCs/>
          <w:sz w:val="20"/>
          <w:szCs w:val="20"/>
        </w:rPr>
        <w:t xml:space="preserve"> results from clinical or non-clinical studies or regulatory obstacles product candidates may face, would harm our business and the price of our securities could fall</w:t>
      </w:r>
      <w:r>
        <w:rPr>
          <w:sz w:val="20"/>
          <w:szCs w:val="20"/>
        </w:rPr>
        <w:t>” above for additional information. The rapidly shifting environment surrounding the colle</w:t>
      </w:r>
      <w:r>
        <w:rPr>
          <w:sz w:val="20"/>
          <w:szCs w:val="20"/>
        </w:rPr>
        <w:t xml:space="preserve">ctive response to the COVID-19 pandemic has led to additional guidance from US and foreign regulatory agencies with respect to numerous matters regarding the conduct of clinical trials in general and the development of COVID-19 related therapies, which is </w:t>
      </w:r>
      <w:r>
        <w:rPr>
          <w:sz w:val="20"/>
          <w:szCs w:val="20"/>
        </w:rPr>
        <w:t>subject to the risk of further change, misinterpretation or non-compliance due to the rapidly changing regulatory landscape. In addition, the FDA has additional standards for approval of new drugs, including recommended advisory committee meetings for cert</w:t>
      </w:r>
      <w:r>
        <w:rPr>
          <w:sz w:val="20"/>
          <w:szCs w:val="20"/>
        </w:rPr>
        <w:t>ain new molecular entities, and formal risk evaluation and mitigation requirements at the FDA’s discretion. Even if we receive regulatory approval of a product, the approval may limit the indicated uses for which the drug may be marketed or impose signific</w:t>
      </w:r>
      <w:r>
        <w:rPr>
          <w:sz w:val="20"/>
          <w:szCs w:val="20"/>
        </w:rPr>
        <w:t>ant restrictions or limitations on the use and/or distribution of such product.</w:t>
      </w:r>
    </w:p>
    <w:p w:rsidR="00000000" w:rsidRDefault="00B51E11">
      <w:pPr>
        <w:pStyle w:val="a3"/>
        <w:spacing w:before="0" w:beforeAutospacing="0" w:after="200" w:afterAutospacing="0"/>
        <w:ind w:firstLine="720"/>
        <w:divId w:val="470636457"/>
        <w:rPr>
          <w:sz w:val="20"/>
          <w:szCs w:val="20"/>
        </w:rPr>
      </w:pPr>
      <w:r>
        <w:rPr>
          <w:sz w:val="20"/>
          <w:szCs w:val="20"/>
        </w:rPr>
        <w:t>In addition, in order to market our medicines in foreign jurisdictions, we or our collaborative partners must obtain separate regulatory approvals in each country. The approval</w:t>
      </w:r>
      <w:r>
        <w:rPr>
          <w:sz w:val="20"/>
          <w:szCs w:val="20"/>
        </w:rPr>
        <w:t xml:space="preserve"> procedure varies among countries and can involve additional testing, and the time required to obtain approval may differ from that required to obtain FDA approval. Approval by the FDA does not ensure approval by regulatory authorities in other countries, </w:t>
      </w:r>
      <w:r>
        <w:rPr>
          <w:sz w:val="20"/>
          <w:szCs w:val="20"/>
        </w:rPr>
        <w:t xml:space="preserve">and approval by one foreign regulatory authority does not ensure approval by regulatory authorities in other foreign countries or by the FDA. Conversely, failure to obtain approval in one or more jurisdictions may make approval in other jurisdictions more </w:t>
      </w:r>
      <w:r>
        <w:rPr>
          <w:sz w:val="20"/>
          <w:szCs w:val="20"/>
        </w:rPr>
        <w:t>difficult. These laws, regulations, additional requirements and changes in interpretation could cause non-approval or further delays in the FDA’s or other regulatory authorities’ review and approval of our and our collaborative partner’s product candidates</w:t>
      </w:r>
      <w:r>
        <w:rPr>
          <w:sz w:val="20"/>
          <w:szCs w:val="20"/>
        </w:rPr>
        <w:t>, which would materially harm our business and financial condition and could cause the price of our securities to fall.</w:t>
      </w:r>
    </w:p>
    <w:p w:rsidR="00000000" w:rsidRDefault="00B51E11">
      <w:pPr>
        <w:pStyle w:val="a3"/>
        <w:spacing w:before="0" w:beforeAutospacing="0" w:after="120" w:afterAutospacing="0"/>
        <w:divId w:val="470636457"/>
        <w:rPr>
          <w:sz w:val="20"/>
          <w:szCs w:val="20"/>
        </w:rPr>
      </w:pPr>
      <w:r>
        <w:rPr>
          <w:b/>
          <w:bCs/>
          <w:i/>
          <w:iCs/>
          <w:sz w:val="20"/>
          <w:szCs w:val="20"/>
        </w:rPr>
        <w:t>If additional capital is not available, we may have to curtail operations or we could be forced to share our rights to commercialize our product candidates with third parties on terms that may not be favorable to us.</w:t>
      </w:r>
    </w:p>
    <w:p w:rsidR="00000000" w:rsidRDefault="00B51E11">
      <w:pPr>
        <w:pStyle w:val="a3"/>
        <w:spacing w:before="0" w:beforeAutospacing="0" w:after="200" w:afterAutospacing="0"/>
        <w:ind w:firstLine="720"/>
        <w:divId w:val="470636457"/>
        <w:rPr>
          <w:sz w:val="20"/>
          <w:szCs w:val="20"/>
        </w:rPr>
      </w:pPr>
      <w:r>
        <w:rPr>
          <w:sz w:val="20"/>
          <w:szCs w:val="20"/>
        </w:rPr>
        <w:t>Based on our current operating plans an</w:t>
      </w:r>
      <w:r>
        <w:rPr>
          <w:sz w:val="20"/>
          <w:szCs w:val="20"/>
        </w:rPr>
        <w:t>d financial forecasts, we believe that our existing cash, cash equivalents and marketable securities will be sufficient to meet our anticipated operating needs for at least the next twelve months. However, our current operating plans or financial forecasts</w:t>
      </w:r>
      <w:r>
        <w:rPr>
          <w:sz w:val="20"/>
          <w:szCs w:val="20"/>
        </w:rPr>
        <w:t xml:space="preserve"> occasionally change. For example, in August 2017, we announced an increase in our anticipated operating loss for 2017, primarily driven by our decision to accelerate funding associated with the next phase of development of TD-1473 in our JAK inhibitor pro</w:t>
      </w:r>
      <w:r>
        <w:rPr>
          <w:sz w:val="20"/>
          <w:szCs w:val="20"/>
        </w:rPr>
        <w:t>gram. If our current operating plans or financial forecasts change, we may require or seek additional funding sooner in the form of public or private equity or equity-linked offerings, debt financings or additional collaborations and licensing arrangements</w:t>
      </w:r>
      <w:r>
        <w:rPr>
          <w:sz w:val="20"/>
          <w:szCs w:val="20"/>
        </w:rPr>
        <w:t>.</w:t>
      </w:r>
    </w:p>
    <w:p w:rsidR="00000000" w:rsidRDefault="00B51E11">
      <w:pPr>
        <w:pStyle w:val="a3"/>
        <w:spacing w:before="0" w:beforeAutospacing="0" w:after="200" w:afterAutospacing="0"/>
        <w:ind w:firstLine="720"/>
        <w:divId w:val="470636457"/>
        <w:rPr>
          <w:sz w:val="20"/>
          <w:szCs w:val="20"/>
        </w:rPr>
      </w:pPr>
      <w:r>
        <w:rPr>
          <w:sz w:val="20"/>
          <w:szCs w:val="20"/>
        </w:rPr>
        <w:t>We may need to raise additional capital in the future to, among other things: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21"/>
      </w:tblGrid>
      <w:tr w:rsidR="00000000">
        <w:trPr>
          <w:divId w:val="470636457"/>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fund our discovery efforts and research and development programs;</w:t>
            </w:r>
          </w:p>
        </w:tc>
      </w:tr>
    </w:tbl>
    <w:p w:rsidR="00000000" w:rsidRDefault="00B51E11">
      <w:pPr>
        <w:divId w:val="47063645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70636457"/>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fund our commercialization strategies for any approved products and to prepare for potential product a</w:t>
            </w:r>
            <w:r>
              <w:rPr>
                <w:sz w:val="20"/>
                <w:szCs w:val="20"/>
              </w:rPr>
              <w:t>pprovals;</w:t>
            </w:r>
          </w:p>
        </w:tc>
      </w:tr>
    </w:tbl>
    <w:p w:rsidR="00000000" w:rsidRDefault="00B51E11">
      <w:pPr>
        <w:divId w:val="47063645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709"/>
      </w:tblGrid>
      <w:tr w:rsidR="00000000">
        <w:trPr>
          <w:divId w:val="470636457"/>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support our independent sales and marketing organization and medical affairs team;</w:t>
            </w:r>
          </w:p>
        </w:tc>
      </w:tr>
    </w:tbl>
    <w:p w:rsidR="00000000" w:rsidRDefault="00B51E11">
      <w:pPr>
        <w:divId w:val="47063645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70636457"/>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support our additional investments in YUPELRI, including potential post-marketing clinical studies;</w:t>
            </w:r>
          </w:p>
        </w:tc>
      </w:tr>
    </w:tbl>
    <w:p w:rsidR="00000000" w:rsidRDefault="00B51E11">
      <w:pPr>
        <w:pStyle w:val="a3"/>
        <w:spacing w:before="360" w:beforeAutospacing="0" w:after="0" w:afterAutospacing="0"/>
        <w:jc w:val="center"/>
        <w:divId w:val="2109495451"/>
        <w:rPr>
          <w:sz w:val="20"/>
          <w:szCs w:val="20"/>
        </w:rPr>
      </w:pPr>
      <w:r>
        <w:rPr>
          <w:sz w:val="20"/>
          <w:szCs w:val="20"/>
        </w:rPr>
        <w:t>42</w:t>
      </w:r>
    </w:p>
    <w:p w:rsidR="00000000" w:rsidRDefault="00B51E11">
      <w:pPr>
        <w:pStyle w:val="a3"/>
        <w:spacing w:before="0" w:beforeAutospacing="0" w:after="600" w:afterAutospacing="0"/>
        <w:divId w:val="473908794"/>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55415035"/>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progress any additional product candidates into later-stage development without funding from a collaborat</w:t>
            </w:r>
            <w:r>
              <w:rPr>
                <w:sz w:val="20"/>
                <w:szCs w:val="20"/>
              </w:rPr>
              <w:t>ion partner;</w:t>
            </w:r>
          </w:p>
        </w:tc>
      </w:tr>
    </w:tbl>
    <w:p w:rsidR="00000000" w:rsidRDefault="00B51E11">
      <w:pPr>
        <w:divId w:val="11554150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87"/>
      </w:tblGrid>
      <w:tr w:rsidR="00000000">
        <w:trPr>
          <w:divId w:val="115541503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progress mid-to-late stage product candidates into later-stage development, if warranted;</w:t>
            </w:r>
          </w:p>
        </w:tc>
      </w:tr>
    </w:tbl>
    <w:p w:rsidR="00000000" w:rsidRDefault="00B51E11">
      <w:pPr>
        <w:divId w:val="11554150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022"/>
      </w:tblGrid>
      <w:tr w:rsidR="00000000">
        <w:trPr>
          <w:divId w:val="115541503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respond to competitive pressures; and</w:t>
            </w:r>
          </w:p>
        </w:tc>
      </w:tr>
    </w:tbl>
    <w:p w:rsidR="00000000" w:rsidRDefault="00B51E11">
      <w:pPr>
        <w:divId w:val="11554150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105"/>
      </w:tblGrid>
      <w:tr w:rsidR="00000000">
        <w:trPr>
          <w:divId w:val="115541503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acquire complementary businesses or technologies.</w:t>
            </w:r>
          </w:p>
        </w:tc>
      </w:tr>
    </w:tbl>
    <w:p w:rsidR="00000000" w:rsidRDefault="00B51E11">
      <w:pPr>
        <w:pStyle w:val="a3"/>
        <w:spacing w:before="0" w:beforeAutospacing="0" w:after="200" w:afterAutospacing="0"/>
        <w:ind w:firstLine="720"/>
        <w:divId w:val="1155415035"/>
        <w:rPr>
          <w:sz w:val="20"/>
          <w:szCs w:val="20"/>
        </w:rPr>
      </w:pPr>
      <w:r>
        <w:rPr>
          <w:sz w:val="20"/>
          <w:szCs w:val="20"/>
        </w:rPr>
        <w:t>Our future capital needs depend on many factors,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55415035"/>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scope, duration and expenditures associated with our discovery efforts and research and development programs;</w:t>
            </w:r>
          </w:p>
        </w:tc>
      </w:tr>
    </w:tbl>
    <w:p w:rsidR="00000000" w:rsidRDefault="00B51E11">
      <w:pPr>
        <w:divId w:val="11554150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27"/>
      </w:tblGrid>
      <w:tr w:rsidR="00000000">
        <w:trPr>
          <w:divId w:val="115541503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continued scientific progress in these programs;</w:t>
            </w:r>
          </w:p>
        </w:tc>
      </w:tr>
    </w:tbl>
    <w:p w:rsidR="00000000" w:rsidRDefault="00B51E11">
      <w:pPr>
        <w:divId w:val="11554150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5541503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 xml:space="preserve">the extent to which </w:t>
            </w:r>
            <w:r>
              <w:rPr>
                <w:sz w:val="20"/>
                <w:szCs w:val="20"/>
              </w:rPr>
              <w:t>we encounter technical obstacles in our research and development programs;</w:t>
            </w:r>
          </w:p>
        </w:tc>
      </w:tr>
    </w:tbl>
    <w:p w:rsidR="00000000" w:rsidRDefault="00B51E11">
      <w:pPr>
        <w:divId w:val="11554150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32"/>
      </w:tblGrid>
      <w:tr w:rsidR="00000000">
        <w:trPr>
          <w:divId w:val="115541503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outcome of potential licensing or partnering transactions, if any;</w:t>
            </w:r>
          </w:p>
        </w:tc>
      </w:tr>
    </w:tbl>
    <w:p w:rsidR="00000000" w:rsidRDefault="00B51E11">
      <w:pPr>
        <w:divId w:val="11554150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88"/>
      </w:tblGrid>
      <w:tr w:rsidR="00000000">
        <w:trPr>
          <w:divId w:val="115541503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competing technological developments;</w:t>
            </w:r>
          </w:p>
        </w:tc>
      </w:tr>
    </w:tbl>
    <w:p w:rsidR="00000000" w:rsidRDefault="00B51E11">
      <w:pPr>
        <w:divId w:val="11554150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5541503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extent of our proprietary patent position in any approved products and our product candidates;</w:t>
            </w:r>
          </w:p>
        </w:tc>
      </w:tr>
    </w:tbl>
    <w:p w:rsidR="00000000" w:rsidRDefault="00B51E11">
      <w:pPr>
        <w:divId w:val="11554150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5541503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our facilities expenses, which will vary depending on the time and terms of any facility lease or sublease we may enter into, and other operating expens</w:t>
            </w:r>
            <w:r>
              <w:rPr>
                <w:sz w:val="20"/>
                <w:szCs w:val="20"/>
              </w:rPr>
              <w:t>es;</w:t>
            </w:r>
          </w:p>
        </w:tc>
      </w:tr>
    </w:tbl>
    <w:p w:rsidR="00000000" w:rsidRDefault="00B51E11">
      <w:pPr>
        <w:divId w:val="11554150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799"/>
      </w:tblGrid>
      <w:tr w:rsidR="00000000">
        <w:trPr>
          <w:divId w:val="115541503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scope and extent of the expansion of our sales and marketing efforts;</w:t>
            </w:r>
          </w:p>
        </w:tc>
      </w:tr>
    </w:tbl>
    <w:p w:rsidR="00000000" w:rsidRDefault="00B51E11">
      <w:pPr>
        <w:divId w:val="11554150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16"/>
      </w:tblGrid>
      <w:tr w:rsidR="00000000">
        <w:trPr>
          <w:divId w:val="115541503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potential litigation and other contingencies; and</w:t>
            </w:r>
          </w:p>
        </w:tc>
      </w:tr>
    </w:tbl>
    <w:p w:rsidR="00000000" w:rsidRDefault="00B51E11">
      <w:pPr>
        <w:divId w:val="11554150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721"/>
      </w:tblGrid>
      <w:tr w:rsidR="00000000">
        <w:trPr>
          <w:divId w:val="115541503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regulatory approval process for our product candidates.</w:t>
            </w:r>
          </w:p>
        </w:tc>
      </w:tr>
    </w:tbl>
    <w:p w:rsidR="00000000" w:rsidRDefault="00B51E11">
      <w:pPr>
        <w:pStyle w:val="a3"/>
        <w:spacing w:before="0" w:beforeAutospacing="0" w:after="200" w:afterAutospacing="0"/>
        <w:ind w:firstLine="720"/>
        <w:divId w:val="1155415035"/>
        <w:rPr>
          <w:sz w:val="20"/>
          <w:szCs w:val="20"/>
        </w:rPr>
      </w:pPr>
      <w:r>
        <w:rPr>
          <w:sz w:val="20"/>
          <w:szCs w:val="20"/>
        </w:rPr>
        <w:t>We intend to seek to raise additional capital or obtain future funding through public or private equity offerings, debt financings or additional collaborations and licensing arrangements to meet our capital needs or to take advantage of opportunistic marke</w:t>
      </w:r>
      <w:r>
        <w:rPr>
          <w:sz w:val="20"/>
          <w:szCs w:val="20"/>
        </w:rPr>
        <w:t>t conditions. We may not be able to obtain additional financing on terms favorable to us, if at all. General market conditions may make it difficult for us to seek financing from the capital markets. We may be required to relinquish rights to our technolog</w:t>
      </w:r>
      <w:r>
        <w:rPr>
          <w:sz w:val="20"/>
          <w:szCs w:val="20"/>
        </w:rPr>
        <w:t xml:space="preserve">ies, product candidates or territories, or grant licenses on terms that are not favorable to us, in order to raise additional funds through collaborations or licensing arrangements. We may sequence preclinical and clinical studies as opposed to conducting </w:t>
      </w:r>
      <w:r>
        <w:rPr>
          <w:sz w:val="20"/>
          <w:szCs w:val="20"/>
        </w:rPr>
        <w:t>them concomitantly in order to conserve resources, or delay, reduce or eliminate one or more of our research or development programs and reduce overall overhead expenses. If we are unable to raise additional capital or obtain future funding in sufficient a</w:t>
      </w:r>
      <w:r>
        <w:rPr>
          <w:sz w:val="20"/>
          <w:szCs w:val="20"/>
        </w:rPr>
        <w:t>mounts or on terms acceptable to us, we may have to make reductions in our workforce and may be prevented from continuing our discovery, development and commercialization efforts and exploiting other corporate opportunities. This would likely harm our busi</w:t>
      </w:r>
      <w:r>
        <w:rPr>
          <w:sz w:val="20"/>
          <w:szCs w:val="20"/>
        </w:rPr>
        <w:t>ness, prospects and financial condition and cause the price of our securities to fall.</w:t>
      </w:r>
    </w:p>
    <w:p w:rsidR="00000000" w:rsidRDefault="00B51E11">
      <w:pPr>
        <w:pStyle w:val="a3"/>
        <w:spacing w:before="0" w:beforeAutospacing="0" w:after="140" w:afterAutospacing="0"/>
        <w:divId w:val="1155415035"/>
        <w:rPr>
          <w:sz w:val="20"/>
          <w:szCs w:val="20"/>
        </w:rPr>
      </w:pPr>
      <w:r>
        <w:rPr>
          <w:b/>
          <w:bCs/>
          <w:i/>
          <w:iCs/>
          <w:sz w:val="20"/>
          <w:szCs w:val="20"/>
        </w:rPr>
        <w:t>We may seek to obtain future financing through the issuance of debt or equity, which may have an adverse effect on our shareholders or may otherwise adversely affect our</w:t>
      </w:r>
      <w:r>
        <w:rPr>
          <w:b/>
          <w:bCs/>
          <w:i/>
          <w:iCs/>
          <w:sz w:val="20"/>
          <w:szCs w:val="20"/>
        </w:rPr>
        <w:t xml:space="preserve"> business. </w:t>
      </w:r>
    </w:p>
    <w:p w:rsidR="00000000" w:rsidRDefault="00B51E11">
      <w:pPr>
        <w:pStyle w:val="a3"/>
        <w:spacing w:before="0" w:beforeAutospacing="0" w:after="0" w:afterAutospacing="0"/>
        <w:ind w:firstLine="720"/>
        <w:divId w:val="1155415035"/>
        <w:rPr>
          <w:sz w:val="20"/>
          <w:szCs w:val="20"/>
        </w:rPr>
      </w:pPr>
      <w:r>
        <w:rPr>
          <w:sz w:val="20"/>
          <w:szCs w:val="20"/>
        </w:rPr>
        <w:t>If we raise funds through the issuance of additional debt, including convertible debt or debt secured by some or all of our assets, or equity, any debt securities or preferred shares issued will have rights, preferences and privileges senior to</w:t>
      </w:r>
      <w:r>
        <w:rPr>
          <w:sz w:val="20"/>
          <w:szCs w:val="20"/>
        </w:rPr>
        <w:t xml:space="preserve"> those of holders of our ordinary shares in the event of liquidation. Neither the terms of our $230.0 million of 3.25% convertible senior notes, due 2023 (the “Convertible Senior 2023 Notes”) nor the terms of the Issuer II’s 9.5% Fixed Rate Term Notes due </w:t>
      </w:r>
      <w:r>
        <w:rPr>
          <w:sz w:val="20"/>
          <w:szCs w:val="20"/>
        </w:rPr>
        <w:t>on or before 2035 (the “Non-Recourse 2035 Notes”) restrict our ability to issue additional debt. If additional debt is issued or we otherwise borrow additional funds, there is a possibility that once all senior claims are settled, there may be no assets re</w:t>
      </w:r>
      <w:r>
        <w:rPr>
          <w:sz w:val="20"/>
          <w:szCs w:val="20"/>
        </w:rPr>
        <w:t xml:space="preserve">maining to pay out to the holders of ordinary shares. Moreover, 75% of the income from our investment in TRC, as evidenced by the Issuer II Class C Units, is currently available only for payment of the Non-Recourse 2035 Notes </w:t>
      </w:r>
    </w:p>
    <w:p w:rsidR="00000000" w:rsidRDefault="00B51E11">
      <w:pPr>
        <w:pStyle w:val="a3"/>
        <w:spacing w:before="360" w:beforeAutospacing="0" w:after="0" w:afterAutospacing="0"/>
        <w:jc w:val="center"/>
        <w:divId w:val="589237689"/>
        <w:rPr>
          <w:sz w:val="20"/>
          <w:szCs w:val="20"/>
        </w:rPr>
      </w:pPr>
      <w:r>
        <w:rPr>
          <w:sz w:val="20"/>
          <w:szCs w:val="20"/>
        </w:rPr>
        <w:t>43</w:t>
      </w:r>
    </w:p>
    <w:p w:rsidR="00000000" w:rsidRDefault="00B51E11">
      <w:pPr>
        <w:pStyle w:val="a3"/>
        <w:spacing w:before="0" w:beforeAutospacing="0" w:after="600" w:afterAutospacing="0"/>
        <w:divId w:val="840857595"/>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253364882"/>
        <w:rPr>
          <w:sz w:val="20"/>
          <w:szCs w:val="20"/>
        </w:rPr>
      </w:pPr>
      <w:r>
        <w:rPr>
          <w:sz w:val="20"/>
          <w:szCs w:val="20"/>
        </w:rPr>
        <w:t>and is not available to pay our other obligations or the claims of our other creditors. In addition, if we raise funds through the issuance of additional equity, whether through private placements or public offerings, such an issuance wou</w:t>
      </w:r>
      <w:r>
        <w:rPr>
          <w:sz w:val="20"/>
          <w:szCs w:val="20"/>
        </w:rPr>
        <w:t>ld dilute ownership of our current shareholders that do not participate in the issuance. If we are unable to obtain any needed additional funding, we may be required to reduce the scope of, delay, or eliminate some or all of, our planned research, developm</w:t>
      </w:r>
      <w:r>
        <w:rPr>
          <w:sz w:val="20"/>
          <w:szCs w:val="20"/>
        </w:rPr>
        <w:t>ent and commercialization activities or to license to third parties the rights to develop and/or commercialize products or technologies that we would otherwise seek to develop and/or commercialize ourselves or on terms that are less attractive than they mi</w:t>
      </w:r>
      <w:r>
        <w:rPr>
          <w:sz w:val="20"/>
          <w:szCs w:val="20"/>
        </w:rPr>
        <w:t>ght otherwise be, any of which could materially harm our business.</w:t>
      </w:r>
    </w:p>
    <w:p w:rsidR="00000000" w:rsidRDefault="00B51E11">
      <w:pPr>
        <w:pStyle w:val="a3"/>
        <w:spacing w:before="0" w:beforeAutospacing="0" w:after="200" w:afterAutospacing="0"/>
        <w:ind w:firstLine="720"/>
        <w:divId w:val="253364882"/>
        <w:rPr>
          <w:sz w:val="20"/>
          <w:szCs w:val="20"/>
        </w:rPr>
      </w:pPr>
      <w:r>
        <w:rPr>
          <w:sz w:val="20"/>
          <w:szCs w:val="20"/>
        </w:rPr>
        <w:t>Furthermore, the terms of any additional debt securities we may issue in the future may impose restrictions on our operations, which may include limiting our ability to incur additional ind</w:t>
      </w:r>
      <w:r>
        <w:rPr>
          <w:sz w:val="20"/>
          <w:szCs w:val="20"/>
        </w:rPr>
        <w:t xml:space="preserve">ebtedness, pay dividends on or repurchase our share capital, or make certain acquisitions or investments. In addition, we may be subject to covenants requiring us to satisfy certain financial tests and ratios, and our ability to satisfy such covenants may </w:t>
      </w:r>
      <w:r>
        <w:rPr>
          <w:sz w:val="20"/>
          <w:szCs w:val="20"/>
        </w:rPr>
        <w:t>be affected by events outside of our control.</w:t>
      </w:r>
    </w:p>
    <w:p w:rsidR="00000000" w:rsidRDefault="00B51E11">
      <w:pPr>
        <w:pStyle w:val="a3"/>
        <w:spacing w:before="0" w:beforeAutospacing="0" w:after="140" w:afterAutospacing="0"/>
        <w:divId w:val="253364882"/>
        <w:rPr>
          <w:sz w:val="20"/>
          <w:szCs w:val="20"/>
        </w:rPr>
      </w:pPr>
      <w:r>
        <w:rPr>
          <w:b/>
          <w:bCs/>
          <w:i/>
          <w:iCs/>
          <w:sz w:val="20"/>
          <w:szCs w:val="20"/>
        </w:rPr>
        <w:t xml:space="preserve">If our partners do not satisfy their obligations under our agreements with them, or if they terminate our partnerships with them, we may not be able to develop or commercialize our partnered product candidates </w:t>
      </w:r>
      <w:r>
        <w:rPr>
          <w:b/>
          <w:bCs/>
          <w:i/>
          <w:iCs/>
          <w:sz w:val="20"/>
          <w:szCs w:val="20"/>
        </w:rPr>
        <w:t>as planned.</w:t>
      </w:r>
    </w:p>
    <w:p w:rsidR="00000000" w:rsidRDefault="00B51E11">
      <w:pPr>
        <w:pStyle w:val="a3"/>
        <w:spacing w:before="0" w:beforeAutospacing="0" w:after="200" w:afterAutospacing="0"/>
        <w:ind w:firstLine="720"/>
        <w:divId w:val="253364882"/>
        <w:rPr>
          <w:sz w:val="20"/>
          <w:szCs w:val="20"/>
        </w:rPr>
      </w:pPr>
      <w:r>
        <w:rPr>
          <w:sz w:val="20"/>
          <w:szCs w:val="20"/>
        </w:rPr>
        <w:t>We have an exclusive development and commercialization agreement with Alfasigma for velusetrag, our internally discovered 5-HT4 agonist for the treatment of gastromotility disorders, under which we have transferred to Alfasigma global rights fo</w:t>
      </w:r>
      <w:r>
        <w:rPr>
          <w:sz w:val="20"/>
          <w:szCs w:val="20"/>
        </w:rPr>
        <w:t>r velusetrag. In January 2015, we entered into a collaboration agreement with Mylan for the development and commercialization of a nebulized formulation of our LAMA revefenacin, including YUPELRI. Under the terms of the agreement, we and Mylan will co-deve</w:t>
      </w:r>
      <w:r>
        <w:rPr>
          <w:sz w:val="20"/>
          <w:szCs w:val="20"/>
        </w:rPr>
        <w:t>lop nebulized revefenacin, including YUPELRI, for COPD and other respiratory diseases. In June 2016, we entered into a License and Collaboration Agreement with Millennium Pharmaceuticals, Inc., an indirect wholly-owned subsidiary of Takeda Pharmaceutical C</w:t>
      </w:r>
      <w:r>
        <w:rPr>
          <w:sz w:val="20"/>
          <w:szCs w:val="20"/>
        </w:rPr>
        <w:t>ompany Limited (collectively with Millennium, “Takeda”) in order to establish a collaboration for the development and commercialization of TD-8954, a selective 5-HT4 receptor agonist in development for gastrointestinal motility disorders. Under the terms o</w:t>
      </w:r>
      <w:r>
        <w:rPr>
          <w:sz w:val="20"/>
          <w:szCs w:val="20"/>
        </w:rPr>
        <w:t>f the agreement, Takeda is responsible for worldwide development and commercialization of TD-8954. In February 2018, we announced a global co-development and commercialization agreement with Janssen for TD-1473 and related back-up compounds for inflammator</w:t>
      </w:r>
      <w:r>
        <w:rPr>
          <w:sz w:val="20"/>
          <w:szCs w:val="20"/>
        </w:rPr>
        <w:t>y intestinal diseases, including ulcerative colitis and Crohn’s disease. In December 2019, we entered into a License Agreement with Pfizer Inc. (“Pfizer”). Under the license agreement, we provide Pfizer with an exclusive global license to develop, manufact</w:t>
      </w:r>
      <w:r>
        <w:rPr>
          <w:sz w:val="20"/>
          <w:szCs w:val="20"/>
        </w:rPr>
        <w:t>ure and commercialize compounds from our preclinical program for skin-targeted, locally-acting pan-Janus kinase (JAK) inhibitors that can be rapidly metabolized. In connection with these agreements, these parties have certain rights regarding the use of pa</w:t>
      </w:r>
      <w:r>
        <w:rPr>
          <w:sz w:val="20"/>
          <w:szCs w:val="20"/>
        </w:rPr>
        <w:t>tents and technology with respect to the compounds in our development programs, including development and marketing rights.</w:t>
      </w:r>
    </w:p>
    <w:p w:rsidR="00000000" w:rsidRDefault="00B51E11">
      <w:pPr>
        <w:pStyle w:val="a3"/>
        <w:spacing w:before="0" w:beforeAutospacing="0" w:after="200" w:afterAutospacing="0"/>
        <w:ind w:firstLine="720"/>
        <w:divId w:val="253364882"/>
        <w:rPr>
          <w:sz w:val="20"/>
          <w:szCs w:val="20"/>
        </w:rPr>
      </w:pPr>
      <w:r>
        <w:rPr>
          <w:sz w:val="20"/>
          <w:szCs w:val="20"/>
        </w:rPr>
        <w:t>Our partners have in the past and may in the future not fulfill all of their obligations under these agreements, and, in certain circumstances, they or we may terminate our partnership with them. In addition, our partners may also be facing significant bus</w:t>
      </w:r>
      <w:r>
        <w:rPr>
          <w:sz w:val="20"/>
          <w:szCs w:val="20"/>
        </w:rPr>
        <w:t xml:space="preserve">iness interruptions as a result of the COVID-19 pandemic. In either event, we may be unable to assume the development and commercialization responsibilities covered by the agreements or enter into alternative arrangements with a third-party to develop and </w:t>
      </w:r>
      <w:r>
        <w:rPr>
          <w:sz w:val="20"/>
          <w:szCs w:val="20"/>
        </w:rPr>
        <w:t>commercialize such product candidates. If a partner elected to promote alternative products and product candidates such as its own products and product candidates in preference to those licensed from us, does not devote an adequate amount of time and resou</w:t>
      </w:r>
      <w:r>
        <w:rPr>
          <w:sz w:val="20"/>
          <w:szCs w:val="20"/>
        </w:rPr>
        <w:t xml:space="preserve">rces to our product candidates or is otherwise unsuccessful in its efforts with respect to our products or product candidates, the development and commercialization of product candidates covered by the agreements could be delayed or terminated, and future </w:t>
      </w:r>
      <w:r>
        <w:rPr>
          <w:sz w:val="20"/>
          <w:szCs w:val="20"/>
        </w:rPr>
        <w:t>payments to us could be delayed, reduced or eliminated and our business and financial condition could be materially and adversely affected. Accordingly, our ability to receive any revenue from the product candidates covered by these agreements is dependent</w:t>
      </w:r>
      <w:r>
        <w:rPr>
          <w:sz w:val="20"/>
          <w:szCs w:val="20"/>
        </w:rPr>
        <w:t xml:space="preserve"> on the efforts of our partners. If a partner terminates or breaches its agreements with us, otherwise fails to complete its obligations in a timely manner or alleges that we have breached our contractual obligations under these agreements, the chances of </w:t>
      </w:r>
      <w:r>
        <w:rPr>
          <w:sz w:val="20"/>
          <w:szCs w:val="20"/>
        </w:rPr>
        <w:t>successfully developing or commercializing product candidates under the collaboration could be materially and adversely affected. In addition, effective collaboration with a partner requires coordination to achieve complex and detail-intensive goals betwee</w:t>
      </w:r>
      <w:r>
        <w:rPr>
          <w:sz w:val="20"/>
          <w:szCs w:val="20"/>
        </w:rPr>
        <w:t xml:space="preserve">n entities that potentially have different priorities, capabilities and processes and successful navigation of the challenges such coordination entails. We could also become involved in disputes with a partner, which could lead to delays in or termination </w:t>
      </w:r>
      <w:r>
        <w:rPr>
          <w:sz w:val="20"/>
          <w:szCs w:val="20"/>
        </w:rPr>
        <w:t>of our development and commercialization programs and time-consuming and expensive litigation or arbitration. Furthermore, termination of an agreement by a partner could have an adverse effect on the price of our ordinary shares or other securities even if</w:t>
      </w:r>
      <w:r>
        <w:rPr>
          <w:sz w:val="20"/>
          <w:szCs w:val="20"/>
        </w:rPr>
        <w:t xml:space="preserve"> not material to our business.</w:t>
      </w:r>
    </w:p>
    <w:p w:rsidR="00000000" w:rsidRDefault="00B51E11">
      <w:pPr>
        <w:pStyle w:val="a3"/>
        <w:spacing w:before="360" w:beforeAutospacing="0" w:after="0" w:afterAutospacing="0"/>
        <w:jc w:val="center"/>
        <w:divId w:val="150751935"/>
        <w:rPr>
          <w:sz w:val="20"/>
          <w:szCs w:val="20"/>
        </w:rPr>
      </w:pPr>
      <w:r>
        <w:rPr>
          <w:sz w:val="20"/>
          <w:szCs w:val="20"/>
        </w:rPr>
        <w:t>44</w:t>
      </w:r>
    </w:p>
    <w:p w:rsidR="00000000" w:rsidRDefault="00B51E11">
      <w:pPr>
        <w:pStyle w:val="a3"/>
        <w:spacing w:before="0" w:beforeAutospacing="0" w:after="600" w:afterAutospacing="0"/>
        <w:divId w:val="714348446"/>
        <w:rPr>
          <w:sz w:val="20"/>
          <w:szCs w:val="20"/>
        </w:rPr>
      </w:pPr>
      <w:hyperlink w:anchor="TOC" w:history="1">
        <w:r>
          <w:rPr>
            <w:rStyle w:val="a4"/>
            <w:sz w:val="20"/>
            <w:szCs w:val="20"/>
          </w:rPr>
          <w:t>Table of Contents</w:t>
        </w:r>
      </w:hyperlink>
    </w:p>
    <w:p w:rsidR="00000000" w:rsidRDefault="00B51E11">
      <w:pPr>
        <w:pStyle w:val="a3"/>
        <w:spacing w:before="0" w:beforeAutospacing="0" w:after="120" w:afterAutospacing="0"/>
        <w:divId w:val="776369245"/>
        <w:rPr>
          <w:sz w:val="20"/>
          <w:szCs w:val="20"/>
        </w:rPr>
      </w:pPr>
      <w:r>
        <w:rPr>
          <w:b/>
          <w:bCs/>
          <w:i/>
          <w:iCs/>
          <w:sz w:val="20"/>
          <w:szCs w:val="20"/>
        </w:rPr>
        <w:t>We do not control TRC and, in particular, have no control over the GSK-Partnered Respiratory Programs or access to non-public information regarding the development of the GSK-Par</w:t>
      </w:r>
      <w:r>
        <w:rPr>
          <w:b/>
          <w:bCs/>
          <w:i/>
          <w:iCs/>
          <w:sz w:val="20"/>
          <w:szCs w:val="20"/>
        </w:rPr>
        <w:t>tnered Respiratory Programs.</w:t>
      </w:r>
    </w:p>
    <w:p w:rsidR="00000000" w:rsidRDefault="00B51E11">
      <w:pPr>
        <w:pStyle w:val="a3"/>
        <w:spacing w:before="0" w:beforeAutospacing="0" w:after="200" w:afterAutospacing="0"/>
        <w:ind w:firstLine="720"/>
        <w:divId w:val="776369245"/>
        <w:rPr>
          <w:sz w:val="20"/>
          <w:szCs w:val="20"/>
        </w:rPr>
      </w:pPr>
      <w:r>
        <w:rPr>
          <w:sz w:val="20"/>
          <w:szCs w:val="20"/>
        </w:rPr>
        <w:t>Innoviva assigned to TRC its strategic alliance agreement with GSK and all of its rights and obligations under its LABA collaboration agreement other than with respect to RELVAR ELLIPTA/BREO ELLIPTA, ANORO ELLIPTA and vilantero</w:t>
      </w:r>
      <w:r>
        <w:rPr>
          <w:sz w:val="20"/>
          <w:szCs w:val="20"/>
        </w:rPr>
        <w:t xml:space="preserve">l monotherapy. Our equity interest in TRC entitles us to an 85% economic interest in any future payments made by GSK under the strategic alliance agreement and under the portion of the collaboration agreement assigned to TRC (the “GSK Agreements”) (net of </w:t>
      </w:r>
      <w:r>
        <w:rPr>
          <w:sz w:val="20"/>
          <w:szCs w:val="20"/>
        </w:rPr>
        <w:t>TRC expenses paid and the amount of cash, if any, expected to be used by TRC pursuant to the TRC LLC Agreement over the next four fiscal quarters), which agreements govern Innoviva’s and GSK’s respective interests in the GSK-Partnered Respiratory Programs.</w:t>
      </w:r>
      <w:r>
        <w:rPr>
          <w:sz w:val="20"/>
          <w:szCs w:val="20"/>
        </w:rPr>
        <w:t xml:space="preserve"> Our equity interest primarily covers TRELEGY (the combination of fluticasone furoate, umeclidinium, and vilanterol in a single ELLIPTA inhaler, previously referred to as the Closed Triple) products. Our economic interest does not include any payments by G</w:t>
      </w:r>
      <w:r>
        <w:rPr>
          <w:sz w:val="20"/>
          <w:szCs w:val="20"/>
        </w:rPr>
        <w:t>SK associated with RELVAR ELLIPTA/BREO ELLIPTA, ANORO ELLIPTA or vilanterol monotherapy. Innoviva controls TRC and, except for certain consent rights, we have no right to participate in the business and affairs of TRC. Innoviva has the exclusive right to a</w:t>
      </w:r>
      <w:r>
        <w:rPr>
          <w:sz w:val="20"/>
          <w:szCs w:val="20"/>
        </w:rPr>
        <w:t xml:space="preserve">ppoint TRC’s manager who, among other things, is responsible for the day-to-day management of the GSK-Partnered Respiratory Programs and exercises the rights relating to the GSK-Partnered Respiratory Programs. As a result, we have no rights to participate </w:t>
      </w:r>
      <w:r>
        <w:rPr>
          <w:sz w:val="20"/>
          <w:szCs w:val="20"/>
        </w:rPr>
        <w:t>in, or access to non-public information about, the development and commercialization work GSK and Innoviva are undertaking with respect to the GSK-Partnered Respiratory Programs and no right to enforce rights under the GSK Agreements assigned to TRC. We ha</w:t>
      </w:r>
      <w:r>
        <w:rPr>
          <w:sz w:val="20"/>
          <w:szCs w:val="20"/>
        </w:rPr>
        <w:t xml:space="preserve">ve had, currently have and may in the future have disagreements with Innoviva and TRC regarding Innoviva’s decisions regarding the management of TRC that could require invoking the dispute resolution procedures set forth in the TRC LLC Agreement and that, </w:t>
      </w:r>
      <w:r>
        <w:rPr>
          <w:sz w:val="20"/>
          <w:szCs w:val="20"/>
        </w:rPr>
        <w:t>if resolved in a manner adverse to our interests, could have a material impact on our operations. See</w:t>
      </w:r>
      <w:r>
        <w:rPr>
          <w:i/>
          <w:iCs/>
          <w:sz w:val="20"/>
          <w:szCs w:val="20"/>
        </w:rPr>
        <w:t xml:space="preserve"> Part II, Item 1 “Legal Proceedings.”</w:t>
      </w:r>
      <w:r>
        <w:rPr>
          <w:sz w:val="20"/>
          <w:szCs w:val="20"/>
        </w:rPr>
        <w:t xml:space="preserve"> Moreover, we have many of the same risks with respect to our and TRC’s dependence on GSK as we have with respect to o</w:t>
      </w:r>
      <w:r>
        <w:rPr>
          <w:sz w:val="20"/>
          <w:szCs w:val="20"/>
        </w:rPr>
        <w:t>ur dependence on our own partners, including any adverse impacts on GSK’s operations as a result of the COVID-19 pandemic.</w:t>
      </w:r>
    </w:p>
    <w:p w:rsidR="00000000" w:rsidRDefault="00B51E11">
      <w:pPr>
        <w:pStyle w:val="a3"/>
        <w:spacing w:before="0" w:beforeAutospacing="0" w:after="120" w:afterAutospacing="0"/>
        <w:divId w:val="776369245"/>
        <w:rPr>
          <w:sz w:val="20"/>
          <w:szCs w:val="20"/>
        </w:rPr>
      </w:pPr>
      <w:r>
        <w:rPr>
          <w:b/>
          <w:bCs/>
          <w:i/>
          <w:iCs/>
          <w:sz w:val="20"/>
          <w:szCs w:val="20"/>
        </w:rPr>
        <w:t>If there are any adverse developments or perceived adverse developments with respect to the GSK-Partnered Respiratory Programs in whi</w:t>
      </w:r>
      <w:r>
        <w:rPr>
          <w:b/>
          <w:bCs/>
          <w:i/>
          <w:iCs/>
          <w:sz w:val="20"/>
          <w:szCs w:val="20"/>
        </w:rPr>
        <w:t>ch we have a substantial economic interest, including TRELEGY, our business will be harmed, and the price of our securities could fall.</w:t>
      </w:r>
    </w:p>
    <w:p w:rsidR="00000000" w:rsidRDefault="00B51E11">
      <w:pPr>
        <w:pStyle w:val="a3"/>
        <w:spacing w:before="0" w:beforeAutospacing="0" w:after="200" w:afterAutospacing="0"/>
        <w:ind w:firstLine="720"/>
        <w:divId w:val="776369245"/>
        <w:rPr>
          <w:sz w:val="20"/>
          <w:szCs w:val="20"/>
        </w:rPr>
      </w:pPr>
      <w:r>
        <w:rPr>
          <w:sz w:val="20"/>
          <w:szCs w:val="20"/>
        </w:rPr>
        <w:t>We have no access to non-public information regarding the development progress of, or plans for, the GSK-Partnered Respi</w:t>
      </w:r>
      <w:r>
        <w:rPr>
          <w:sz w:val="20"/>
          <w:szCs w:val="20"/>
        </w:rPr>
        <w:t>ratory Programs, including TRELEGY, and we have little, if any, ability to influence the progress of those programs because our interest in these programs is only through our ownership interest in TRC, which is controlled by Innoviva. However, if any of th</w:t>
      </w:r>
      <w:r>
        <w:rPr>
          <w:sz w:val="20"/>
          <w:szCs w:val="20"/>
        </w:rPr>
        <w:t>e GSK-Partnered Respiratory Programs in which we have a substantial economic interest encounter delays, do not demonstrate required quality, safety and efficacy, are terminated, or if there are any adverse developments or perceived adverse developments wit</w:t>
      </w:r>
      <w:r>
        <w:rPr>
          <w:sz w:val="20"/>
          <w:szCs w:val="20"/>
        </w:rPr>
        <w:t>h respect to such programs, our business will be harmed, and the price of our securities could fall. Examples of such adverse developments include, but are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638"/>
      </w:tblGrid>
      <w:tr w:rsidR="00000000">
        <w:trPr>
          <w:divId w:val="776369245"/>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disappointing or lower than expected sales of TRELEGY;</w:t>
            </w:r>
          </w:p>
        </w:tc>
      </w:tr>
    </w:tbl>
    <w:p w:rsidR="00000000" w:rsidRDefault="00B51E11">
      <w:pPr>
        <w:divId w:val="77636924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7636924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any regulatory diffic</w:t>
            </w:r>
            <w:r>
              <w:rPr>
                <w:sz w:val="20"/>
                <w:szCs w:val="20"/>
              </w:rPr>
              <w:t>ulty in seeking approval of an asthma indication for TRELEGY, which GSK is undertaking following its successful Phase 3 clinical program in asthma patients;</w:t>
            </w:r>
          </w:p>
        </w:tc>
      </w:tr>
    </w:tbl>
    <w:p w:rsidR="00000000" w:rsidRDefault="00B51E11">
      <w:pPr>
        <w:divId w:val="77636924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7636924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 xml:space="preserve">disputes between GSK and Innoviva or between us and Innoviva, such as our 2019 arbitration and our current dispute with Innoviva (See </w:t>
            </w:r>
            <w:r>
              <w:rPr>
                <w:i/>
                <w:iCs/>
                <w:sz w:val="20"/>
                <w:szCs w:val="20"/>
              </w:rPr>
              <w:t>Part II, Item 1 “Legal Proceedings”</w:t>
            </w:r>
            <w:r>
              <w:rPr>
                <w:sz w:val="20"/>
                <w:szCs w:val="20"/>
              </w:rPr>
              <w:t>), each of which concern the withholding of royalty payments we believe are due to us u</w:t>
            </w:r>
            <w:r>
              <w:rPr>
                <w:sz w:val="20"/>
                <w:szCs w:val="20"/>
              </w:rPr>
              <w:t>nder the TRC LLC Agreement;</w:t>
            </w:r>
          </w:p>
        </w:tc>
      </w:tr>
    </w:tbl>
    <w:p w:rsidR="00000000" w:rsidRDefault="00B51E11">
      <w:pPr>
        <w:divId w:val="77636924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7636924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emergence of new closed triple or other alternative therapies or any developments regarding competitive therapies, including comparative price or efficacy of competitive therapies;</w:t>
            </w:r>
          </w:p>
        </w:tc>
      </w:tr>
    </w:tbl>
    <w:p w:rsidR="00000000" w:rsidRDefault="00B51E11">
      <w:pPr>
        <w:divId w:val="77636924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7636924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GSK deciding to delay or halt any</w:t>
            </w:r>
            <w:r>
              <w:rPr>
                <w:sz w:val="20"/>
                <w:szCs w:val="20"/>
              </w:rPr>
              <w:t xml:space="preserve"> of the GSK-Partnered Respiratory Programs in which we have a substantial economic interest;</w:t>
            </w:r>
          </w:p>
        </w:tc>
      </w:tr>
    </w:tbl>
    <w:p w:rsidR="00000000" w:rsidRDefault="00B51E11">
      <w:pPr>
        <w:divId w:val="77636924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7636924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FDA and/or other national or foreign regulatory authorities determining that any of the studies under these programs do not demonstrate the required quali</w:t>
            </w:r>
            <w:r>
              <w:rPr>
                <w:sz w:val="20"/>
                <w:szCs w:val="20"/>
              </w:rPr>
              <w:t>ty, safety or efficacy, or that additional non-clinical or clinical studies are required with respect to such programs;</w:t>
            </w:r>
          </w:p>
        </w:tc>
      </w:tr>
    </w:tbl>
    <w:p w:rsidR="00000000" w:rsidRDefault="00B51E11">
      <w:pPr>
        <w:pStyle w:val="a3"/>
        <w:spacing w:before="360" w:beforeAutospacing="0" w:after="0" w:afterAutospacing="0"/>
        <w:jc w:val="center"/>
        <w:divId w:val="912204659"/>
        <w:rPr>
          <w:sz w:val="20"/>
          <w:szCs w:val="20"/>
        </w:rPr>
      </w:pPr>
      <w:r>
        <w:rPr>
          <w:sz w:val="20"/>
          <w:szCs w:val="20"/>
        </w:rPr>
        <w:t>45</w:t>
      </w:r>
    </w:p>
    <w:p w:rsidR="00000000" w:rsidRDefault="00B51E11">
      <w:pPr>
        <w:pStyle w:val="a3"/>
        <w:spacing w:before="0" w:beforeAutospacing="0" w:after="600" w:afterAutospacing="0"/>
        <w:divId w:val="1780946530"/>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21107933"/>
        </w:trPr>
        <w:tc>
          <w:tcPr>
            <w:tcW w:w="720" w:type="dxa"/>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rPr>
                <w:rFonts w:eastAsia="Times New Roman"/>
                <w:sz w:val="14"/>
                <w:szCs w:val="14"/>
              </w:rPr>
            </w:pPr>
            <w:r>
              <w:rPr>
                <w:rFonts w:eastAsia="Times New Roman"/>
                <w:sz w:val="14"/>
                <w:szCs w:val="14"/>
              </w:rPr>
              <w:t>●</w:t>
            </w:r>
          </w:p>
        </w:tc>
        <w:tc>
          <w:tcPr>
            <w:tcW w:w="0" w:type="auto"/>
            <w:tcMar>
              <w:top w:w="0" w:type="dxa"/>
              <w:left w:w="0" w:type="dxa"/>
              <w:bottom w:w="0" w:type="dxa"/>
              <w:right w:w="0" w:type="dxa"/>
            </w:tcMar>
            <w:vAlign w:val="center"/>
            <w:hideMark/>
          </w:tcPr>
          <w:p w:rsidR="00000000" w:rsidRDefault="00B51E11">
            <w:pPr>
              <w:rPr>
                <w:rFonts w:eastAsia="Times New Roman"/>
                <w:sz w:val="20"/>
                <w:szCs w:val="20"/>
              </w:rPr>
            </w:pPr>
            <w:r>
              <w:rPr>
                <w:rFonts w:eastAsia="Times New Roman"/>
                <w:color w:val="000000"/>
                <w:sz w:val="20"/>
                <w:szCs w:val="20"/>
              </w:rPr>
              <w:t>any adverse effects resulting from the COVID-19 pandemic;</w:t>
            </w:r>
          </w:p>
        </w:tc>
      </w:tr>
    </w:tbl>
    <w:p w:rsidR="00000000" w:rsidRDefault="00B51E11">
      <w:pPr>
        <w:divId w:val="621107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21107933"/>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any safety, efficacy or other concerns regarding any of the GSK-Partnered Respiratory Programs in which we have a substantial economic interest; or</w:t>
            </w:r>
          </w:p>
        </w:tc>
      </w:tr>
    </w:tbl>
    <w:p w:rsidR="00000000" w:rsidRDefault="00B51E11">
      <w:pPr>
        <w:divId w:val="621107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21107933"/>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any particular FDA requirements or chang</w:t>
            </w:r>
            <w:r>
              <w:rPr>
                <w:sz w:val="20"/>
                <w:szCs w:val="20"/>
              </w:rPr>
              <w:t>es in FDA policy or guidance regarding these programs or any particular regulatory requirements in other jurisdictions or changes in the policies or guidance adopted by foreign regulatory authorities.</w:t>
            </w:r>
          </w:p>
        </w:tc>
      </w:tr>
    </w:tbl>
    <w:p w:rsidR="00000000" w:rsidRDefault="00B51E11">
      <w:pPr>
        <w:pStyle w:val="a3"/>
        <w:spacing w:before="0" w:beforeAutospacing="0" w:after="120" w:afterAutospacing="0"/>
        <w:divId w:val="621107933"/>
        <w:rPr>
          <w:sz w:val="20"/>
          <w:szCs w:val="20"/>
        </w:rPr>
      </w:pPr>
      <w:r>
        <w:rPr>
          <w:b/>
          <w:bCs/>
          <w:i/>
          <w:iCs/>
          <w:sz w:val="20"/>
          <w:szCs w:val="20"/>
        </w:rPr>
        <w:t>Because GSK is a strategic partner of Innoviva, a stra</w:t>
      </w:r>
      <w:r>
        <w:rPr>
          <w:b/>
          <w:bCs/>
          <w:i/>
          <w:iCs/>
          <w:sz w:val="20"/>
          <w:szCs w:val="20"/>
        </w:rPr>
        <w:t>tegic partner of TRC and a significant shareholder of us, it may take actions that in certain cases are materially harmful to our business and to our other shareholders.</w:t>
      </w:r>
    </w:p>
    <w:p w:rsidR="00000000" w:rsidRDefault="00B51E11">
      <w:pPr>
        <w:pStyle w:val="a3"/>
        <w:spacing w:before="0" w:beforeAutospacing="0" w:after="200" w:afterAutospacing="0"/>
        <w:ind w:firstLine="720"/>
        <w:divId w:val="621107933"/>
        <w:rPr>
          <w:sz w:val="20"/>
          <w:szCs w:val="20"/>
        </w:rPr>
      </w:pPr>
      <w:r>
        <w:rPr>
          <w:sz w:val="20"/>
          <w:szCs w:val="20"/>
        </w:rPr>
        <w:t>Based on our review of publicly available filings, as of September 30, 2020, GSK benef</w:t>
      </w:r>
      <w:r>
        <w:rPr>
          <w:sz w:val="20"/>
          <w:szCs w:val="20"/>
        </w:rPr>
        <w:t>icially owned 15.1% of our outstanding ordinary shares (although GSK has issued exchangeable notes that are exchangeable for up to 9,644,792 of our ordinary shares). GSK is also a strategic partner to Innoviva with rights and obligations under the GSK Agre</w:t>
      </w:r>
      <w:r>
        <w:rPr>
          <w:sz w:val="20"/>
          <w:szCs w:val="20"/>
        </w:rPr>
        <w:t>ements, which include the strategic alliance agreement and the collaboration agreement assigned to TRC, that may cause GSK’s interests to differ from our interests and those of our other shareholders. For example, GSK’s commercialization efforts are guided</w:t>
      </w:r>
      <w:r>
        <w:rPr>
          <w:sz w:val="20"/>
          <w:szCs w:val="20"/>
        </w:rPr>
        <w:t xml:space="preserve"> by a portfolio approach across products in which we have an indirect interest through TRC and products in which we have no interest. Accordingly, GSK’s commercialization efforts may have the effect of reducing the value of our interest in TRC. Furthermore</w:t>
      </w:r>
      <w:r>
        <w:rPr>
          <w:sz w:val="20"/>
          <w:szCs w:val="20"/>
        </w:rPr>
        <w:t xml:space="preserve">, GSK has a substantial respiratory product portfolio in addition to the products covered by the GSK Agreements. GSK may make respiratory product portfolio decisions or statements about its portfolio which may be, or may be perceived to be, harmful to the </w:t>
      </w:r>
      <w:r>
        <w:rPr>
          <w:sz w:val="20"/>
          <w:szCs w:val="20"/>
        </w:rPr>
        <w:t>respiratory products partnered with Innoviva and TRC. For example, GSK could promote its own respiratory products and/or delay or terminate the development or commercialization of the respiratory programs covered by the GSK Agreements. Also, given the pote</w:t>
      </w:r>
      <w:r>
        <w:rPr>
          <w:sz w:val="20"/>
          <w:szCs w:val="20"/>
        </w:rPr>
        <w:t xml:space="preserve">ntial future royalty payments GSK may be obligated to pay under the GSK Agreements, GSK may seek to acquire us or acquire our interests in TRC in order to effectively reduce those payment obligations and the price at which GSK might seek to acquire us may </w:t>
      </w:r>
      <w:r>
        <w:rPr>
          <w:sz w:val="20"/>
          <w:szCs w:val="20"/>
        </w:rPr>
        <w:t>not reflect our true value. As a result of these differing interests, GSK may take actions that it believes are in its best interest but which might not be in the best interests of either us or our other shareholders. In addition, GSK could also seek to ch</w:t>
      </w:r>
      <w:r>
        <w:rPr>
          <w:sz w:val="20"/>
          <w:szCs w:val="20"/>
        </w:rPr>
        <w:t>allenge our or Innoviva’s post-Spin-Off operations as violating or allowing it to terminate the GSK Agreements, including by violating the confidentiality provisions of those agreements or the master agreement between GSK, Innoviva and us entered into in c</w:t>
      </w:r>
      <w:r>
        <w:rPr>
          <w:sz w:val="20"/>
          <w:szCs w:val="20"/>
        </w:rPr>
        <w:t>onnection with the Spin-Off (the “Master Agreement”), or otherwise violating its legal rights. While we believe our operations fully comply with the GSK Agreements, the Master Agreement and applicable law, there can be no assurance that we or Innoviva will</w:t>
      </w:r>
      <w:r>
        <w:rPr>
          <w:sz w:val="20"/>
          <w:szCs w:val="20"/>
        </w:rPr>
        <w:t xml:space="preserve"> prevail against any such claims by GSK. Moreover, regardless of the merit of any claims by GSK, we may incur significant cost and diversion of resources in defending them. In addition, any other action or inaction by either GSK or Innoviva that results in</w:t>
      </w:r>
      <w:r>
        <w:rPr>
          <w:sz w:val="20"/>
          <w:szCs w:val="20"/>
        </w:rPr>
        <w:t xml:space="preserve"> a material dispute, allegation of breach, litigation, arbitration, or significant disagreement between those parties or between us and either of those parties may be interpreted negatively by the market or by our investors, could harm our business and cau</w:t>
      </w:r>
      <w:r>
        <w:rPr>
          <w:sz w:val="20"/>
          <w:szCs w:val="20"/>
        </w:rPr>
        <w:t xml:space="preserve">se the price of our securities to fall. Other examples of these kinds of issues include but are not limited to non-performance of other contractual obligations and allegations of non-performance, disagreements over the relative marketing and sales efforts </w:t>
      </w:r>
      <w:r>
        <w:rPr>
          <w:sz w:val="20"/>
          <w:szCs w:val="20"/>
        </w:rPr>
        <w:t>for Innoviva’s partnered products and other GSK respiratory products, disputes over public statements, and similar matters. In general, any uncertainty about the respiratory programs partnered with GSK, the enforceability of the GSK Agreements or the relat</w:t>
      </w:r>
      <w:r>
        <w:rPr>
          <w:sz w:val="20"/>
          <w:szCs w:val="20"/>
        </w:rPr>
        <w:t>ionship/partnership between Innoviva and GSK or between us and Innoviva could result in significant reduction in the market price of our securities and other material harm to our business.</w:t>
      </w:r>
    </w:p>
    <w:p w:rsidR="00000000" w:rsidRDefault="00B51E11">
      <w:pPr>
        <w:pStyle w:val="a3"/>
        <w:spacing w:before="0" w:beforeAutospacing="0" w:after="120" w:afterAutospacing="0"/>
        <w:divId w:val="621107933"/>
        <w:rPr>
          <w:sz w:val="20"/>
          <w:szCs w:val="20"/>
        </w:rPr>
      </w:pPr>
      <w:r>
        <w:rPr>
          <w:b/>
          <w:bCs/>
          <w:i/>
          <w:iCs/>
          <w:sz w:val="20"/>
          <w:szCs w:val="20"/>
        </w:rPr>
        <w:t>We do not control the commercialization of TRELEGY and we do not co</w:t>
      </w:r>
      <w:r>
        <w:rPr>
          <w:b/>
          <w:bCs/>
          <w:i/>
          <w:iCs/>
          <w:sz w:val="20"/>
          <w:szCs w:val="20"/>
        </w:rPr>
        <w:t>ntrol TRC; accordingly the amount of royalties we receive will depend on, among other factors, GSK’s ability to further commercialize TRELEGY and TRC’s decisions concerning use of cash in accordance with the TRC LLC Agreement.</w:t>
      </w:r>
    </w:p>
    <w:p w:rsidR="00000000" w:rsidRDefault="00B51E11">
      <w:pPr>
        <w:pStyle w:val="a3"/>
        <w:spacing w:before="0" w:beforeAutospacing="0" w:after="0" w:afterAutospacing="0"/>
        <w:ind w:firstLine="720"/>
        <w:divId w:val="621107933"/>
        <w:rPr>
          <w:sz w:val="20"/>
          <w:szCs w:val="20"/>
        </w:rPr>
      </w:pPr>
      <w:r>
        <w:rPr>
          <w:sz w:val="20"/>
          <w:szCs w:val="20"/>
        </w:rPr>
        <w:t>We only receive revenues from</w:t>
      </w:r>
      <w:r>
        <w:rPr>
          <w:sz w:val="20"/>
          <w:szCs w:val="20"/>
        </w:rPr>
        <w:t xml:space="preserve"> TRELEGY based on the amount of sales of this product by GSK in the form of our economic interest in the royalties paid by GSK to TRC, which is managed by Innoviva. There are no required minimum future payments associated with the product and any royalties</w:t>
      </w:r>
      <w:r>
        <w:rPr>
          <w:sz w:val="20"/>
          <w:szCs w:val="20"/>
        </w:rPr>
        <w:t xml:space="preserve"> we receive will depend on GSK’s ability to commercialize the product, the future payments, if any, made by GSK under the strategic alliance agreement and under the portion of the collaboration agreement assigned to TRC, TRC’s expenses, and the amount of c</w:t>
      </w:r>
      <w:r>
        <w:rPr>
          <w:sz w:val="20"/>
          <w:szCs w:val="20"/>
        </w:rPr>
        <w:t>ash, if any, expected to be used by TRC pursuant to the TRC LLC Agreement. Following our 2019 arbitration with Innoviva concerning its withholding of certain royalty distributions to the TRC members, the arbitrator ruled, among other things, that in the fu</w:t>
      </w:r>
      <w:r>
        <w:rPr>
          <w:sz w:val="20"/>
          <w:szCs w:val="20"/>
        </w:rPr>
        <w:t>ture if Innoviva desires to invest TRC funds in any initiatives that require the consent of GSK under the collaboration agreement, Innoviva must first obtain the consent of GSK. The timeframe for seeking GSK’s consent for these initiatives and the associat</w:t>
      </w:r>
      <w:r>
        <w:rPr>
          <w:sz w:val="20"/>
          <w:szCs w:val="20"/>
        </w:rPr>
        <w:t xml:space="preserve">ed dates by which </w:t>
      </w:r>
    </w:p>
    <w:p w:rsidR="00000000" w:rsidRDefault="00B51E11">
      <w:pPr>
        <w:pStyle w:val="a3"/>
        <w:spacing w:before="360" w:beforeAutospacing="0" w:after="0" w:afterAutospacing="0"/>
        <w:jc w:val="center"/>
        <w:divId w:val="2125269061"/>
        <w:rPr>
          <w:sz w:val="20"/>
          <w:szCs w:val="20"/>
        </w:rPr>
      </w:pPr>
      <w:r>
        <w:rPr>
          <w:sz w:val="20"/>
          <w:szCs w:val="20"/>
        </w:rPr>
        <w:t>46</w:t>
      </w:r>
    </w:p>
    <w:p w:rsidR="00000000" w:rsidRDefault="00B51E11">
      <w:pPr>
        <w:pStyle w:val="a3"/>
        <w:spacing w:before="0" w:beforeAutospacing="0" w:after="600" w:afterAutospacing="0"/>
        <w:divId w:val="1357852560"/>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694117610"/>
        <w:rPr>
          <w:sz w:val="20"/>
          <w:szCs w:val="20"/>
        </w:rPr>
      </w:pPr>
      <w:r>
        <w:rPr>
          <w:sz w:val="20"/>
          <w:szCs w:val="20"/>
        </w:rPr>
        <w:t>GSK’</w:t>
      </w:r>
      <w:r>
        <w:rPr>
          <w:sz w:val="20"/>
          <w:szCs w:val="20"/>
        </w:rPr>
        <w:t>s consent must be received means that royalty distributions could be delayed for several quarters (if GSK ultimately does not consent) or perhaps not made at all until the completion of the initiatives (to the extent that GSK does consent and agrees with T</w:t>
      </w:r>
      <w:r>
        <w:rPr>
          <w:sz w:val="20"/>
          <w:szCs w:val="20"/>
        </w:rPr>
        <w:t>RC that TRC funding will be used for such initiatives). This involves a number of risks and uncertainties,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39"/>
      </w:tblGrid>
      <w:tr w:rsidR="00000000">
        <w:trPr>
          <w:divId w:val="694117610"/>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any future withholding by Innoviva or TRC of royalty distributions;</w:t>
            </w:r>
          </w:p>
        </w:tc>
      </w:tr>
    </w:tbl>
    <w:p w:rsidR="00000000" w:rsidRDefault="00B51E11">
      <w:pPr>
        <w:divId w:val="6941176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532"/>
      </w:tblGrid>
      <w:tr w:rsidR="00000000">
        <w:trPr>
          <w:divId w:val="694117610"/>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GSK’</w:t>
            </w:r>
            <w:r>
              <w:rPr>
                <w:sz w:val="20"/>
                <w:szCs w:val="20"/>
              </w:rPr>
              <w:t>s ability to have an adequate supply of their respective product;</w:t>
            </w:r>
          </w:p>
        </w:tc>
      </w:tr>
    </w:tbl>
    <w:p w:rsidR="00000000" w:rsidRDefault="00B51E11">
      <w:pPr>
        <w:divId w:val="6941176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4117610"/>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ongoing compliance by GSK or its suppliers with the FDA’s current Good Manufacturing Practice;</w:t>
            </w:r>
          </w:p>
        </w:tc>
      </w:tr>
    </w:tbl>
    <w:p w:rsidR="00000000" w:rsidRDefault="00B51E11">
      <w:pPr>
        <w:divId w:val="6941176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4117610"/>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compliance with other applicable FDA and other regulatory requirements in the US or o</w:t>
            </w:r>
            <w:r>
              <w:rPr>
                <w:sz w:val="20"/>
                <w:szCs w:val="20"/>
              </w:rPr>
              <w:t>ther foreign jurisdictions, including those described elsewhere in this report;</w:t>
            </w:r>
          </w:p>
        </w:tc>
      </w:tr>
    </w:tbl>
    <w:p w:rsidR="00000000" w:rsidRDefault="00B51E11">
      <w:pPr>
        <w:divId w:val="6941176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4117610"/>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competition, whether from current competitors or new products developed by others in the future;</w:t>
            </w:r>
          </w:p>
        </w:tc>
      </w:tr>
    </w:tbl>
    <w:p w:rsidR="00000000" w:rsidRDefault="00B51E11">
      <w:pPr>
        <w:divId w:val="6941176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11"/>
      </w:tblGrid>
      <w:tr w:rsidR="00000000">
        <w:trPr>
          <w:divId w:val="694117610"/>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claims relating to intellectual property;</w:t>
            </w:r>
          </w:p>
        </w:tc>
      </w:tr>
    </w:tbl>
    <w:p w:rsidR="00000000" w:rsidRDefault="00B51E11">
      <w:pPr>
        <w:divId w:val="6941176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4117610"/>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any future disruptions in GSK’s business which would affect its ability to commercialize the product, inclu</w:t>
            </w:r>
            <w:r>
              <w:rPr>
                <w:sz w:val="20"/>
                <w:szCs w:val="20"/>
              </w:rPr>
              <w:t>ding, disruptions due to the COVID-19 pandemic;</w:t>
            </w:r>
          </w:p>
        </w:tc>
      </w:tr>
    </w:tbl>
    <w:p w:rsidR="00000000" w:rsidRDefault="00B51E11">
      <w:pPr>
        <w:divId w:val="6941176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4117610"/>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ability of TRELEGY to achieve wider acceptance among physicians, patients, third-party payors, or the medical community in general;</w:t>
            </w:r>
          </w:p>
        </w:tc>
      </w:tr>
    </w:tbl>
    <w:p w:rsidR="00000000" w:rsidRDefault="00B51E11">
      <w:pPr>
        <w:divId w:val="6941176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4117610"/>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amount of cash associated with any additional future TRELEGY commercialization initiatives that Innoviva proposes to GSK for TRC to pursue, the time it may take to present those initiatives to GSK for approval and the time it takes for GSK to consent o</w:t>
            </w:r>
            <w:r>
              <w:rPr>
                <w:sz w:val="20"/>
                <w:szCs w:val="20"/>
              </w:rPr>
              <w:t>r not consent;</w:t>
            </w:r>
          </w:p>
        </w:tc>
      </w:tr>
    </w:tbl>
    <w:p w:rsidR="00000000" w:rsidRDefault="00B51E11">
      <w:pPr>
        <w:divId w:val="6941176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267"/>
      </w:tblGrid>
      <w:tr w:rsidR="00000000">
        <w:trPr>
          <w:divId w:val="694117610"/>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global economic conditions;</w:t>
            </w:r>
          </w:p>
        </w:tc>
      </w:tr>
    </w:tbl>
    <w:p w:rsidR="00000000" w:rsidRDefault="00B51E11">
      <w:pPr>
        <w:divId w:val="69411761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4117610"/>
        </w:trPr>
        <w:tc>
          <w:tcPr>
            <w:tcW w:w="720" w:type="dxa"/>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51E11">
            <w:pPr>
              <w:rPr>
                <w:rFonts w:eastAsia="Times New Roman"/>
                <w:sz w:val="20"/>
                <w:szCs w:val="20"/>
              </w:rPr>
            </w:pPr>
            <w:r>
              <w:rPr>
                <w:rFonts w:eastAsia="Times New Roman"/>
                <w:color w:val="000000"/>
                <w:sz w:val="20"/>
                <w:szCs w:val="20"/>
              </w:rPr>
              <w:t>decisions made by Innoviva, as TRC’s manager, regarding the timing and amount of distributions;</w:t>
            </w:r>
          </w:p>
        </w:tc>
      </w:tr>
    </w:tbl>
    <w:p w:rsidR="00000000" w:rsidRDefault="00B51E11">
      <w:pPr>
        <w:divId w:val="6941176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4117610"/>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resolution of any disputes between Innoviva and TRC, on the one hand, and us, on the other, regard</w:t>
            </w:r>
            <w:r>
              <w:rPr>
                <w:sz w:val="20"/>
                <w:szCs w:val="20"/>
              </w:rPr>
              <w:t>ing the timing of distributions, the amount of distributions, and the proper business activities of TRC, including the current dispute with Innoviva and TRC described below; and</w:t>
            </w:r>
          </w:p>
        </w:tc>
      </w:tr>
    </w:tbl>
    <w:p w:rsidR="00000000" w:rsidRDefault="00B51E11">
      <w:pPr>
        <w:divId w:val="6941176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4117610"/>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any of the other risks relating to commercialization of products describe</w:t>
            </w:r>
            <w:r>
              <w:rPr>
                <w:sz w:val="20"/>
                <w:szCs w:val="20"/>
              </w:rPr>
              <w:t>d elsewhere in this section.</w:t>
            </w:r>
          </w:p>
        </w:tc>
      </w:tr>
    </w:tbl>
    <w:p w:rsidR="00000000" w:rsidRDefault="00B51E11">
      <w:pPr>
        <w:pStyle w:val="a3"/>
        <w:spacing w:before="0" w:beforeAutospacing="0" w:after="200" w:afterAutospacing="0"/>
        <w:ind w:firstLine="720"/>
        <w:divId w:val="694117610"/>
        <w:rPr>
          <w:sz w:val="20"/>
          <w:szCs w:val="20"/>
        </w:rPr>
      </w:pPr>
      <w:r>
        <w:rPr>
          <w:sz w:val="20"/>
          <w:szCs w:val="20"/>
        </w:rPr>
        <w:t>These risks and uncertainties could materially impact the amount and timing of future royalties or other revenues we may receive from sales of TRELEGY, which could have a material adverse effect on our future revenues, other f</w:t>
      </w:r>
      <w:r>
        <w:rPr>
          <w:sz w:val="20"/>
          <w:szCs w:val="20"/>
        </w:rPr>
        <w:t>inancial results and our financial position and cause the price of our securities to fall.</w:t>
      </w:r>
      <w:r>
        <w:rPr>
          <w:i/>
          <w:iCs/>
          <w:color w:val="FF0000"/>
          <w:sz w:val="20"/>
          <w:szCs w:val="20"/>
        </w:rPr>
        <w:t xml:space="preserve"> </w:t>
      </w:r>
    </w:p>
    <w:p w:rsidR="00000000" w:rsidRDefault="00B51E11">
      <w:pPr>
        <w:pStyle w:val="a3"/>
        <w:spacing w:before="0" w:beforeAutospacing="0" w:after="200" w:afterAutospacing="0"/>
        <w:divId w:val="694117610"/>
        <w:rPr>
          <w:sz w:val="20"/>
          <w:szCs w:val="20"/>
        </w:rPr>
      </w:pPr>
      <w:r>
        <w:rPr>
          <w:sz w:val="20"/>
          <w:szCs w:val="20"/>
        </w:rPr>
        <w:t>On June 10, 2020, we disclosed in a Form 8-K that we had formally objected to TRC and Innoviva, as the manager of TRC, regarding their proposed plan to use TRELEGY royalties to invest in certain privately-held companies, funds that would otherwise be avail</w:t>
      </w:r>
      <w:r>
        <w:rPr>
          <w:sz w:val="20"/>
          <w:szCs w:val="20"/>
        </w:rPr>
        <w:t>able for distribution to us under the terms of the TRC LLC Agreement. We intend to continue to seek to protect our interests in this matter consistent with the dispute resolution procedures of the TRC LLC Agreement. In this regard, we initiated an arbitrat</w:t>
      </w:r>
      <w:r>
        <w:rPr>
          <w:sz w:val="20"/>
          <w:szCs w:val="20"/>
        </w:rPr>
        <w:t xml:space="preserve">ion proceeding against Innoviva and TRC in October 2020 challenging the authority of Innoviva and TRC to pursue such a business plan rather than distribute such funds to us in a manner consistent with the TRC LLC Agreement and our 85% economic interest in </w:t>
      </w:r>
      <w:r>
        <w:rPr>
          <w:sz w:val="20"/>
          <w:szCs w:val="20"/>
        </w:rPr>
        <w:t>TRC. An arbitration hearing is scheduled for the first quarter of 2021. Such arbitration proceeding could divert the attention of management, cause us to incur significant costs (regardless of the outcome, which we cannot predict) and there can be no assur</w:t>
      </w:r>
      <w:r>
        <w:rPr>
          <w:sz w:val="20"/>
          <w:szCs w:val="20"/>
        </w:rPr>
        <w:t>ance that these proceedings will result in us receiving additional distributions from TRC. An adverse result could materially and adversely affect the funds that our affiliates would otherwise expect to receive from TRC in the future.</w:t>
      </w:r>
      <w:r>
        <w:rPr>
          <w:color w:val="FF0000"/>
          <w:sz w:val="20"/>
          <w:szCs w:val="20"/>
        </w:rPr>
        <w:t xml:space="preserve"> </w:t>
      </w:r>
    </w:p>
    <w:p w:rsidR="00000000" w:rsidRDefault="00B51E11">
      <w:pPr>
        <w:pStyle w:val="a3"/>
        <w:spacing w:before="0" w:beforeAutospacing="0" w:after="0" w:afterAutospacing="0"/>
        <w:divId w:val="694117610"/>
        <w:rPr>
          <w:sz w:val="20"/>
          <w:szCs w:val="20"/>
        </w:rPr>
      </w:pPr>
      <w:r>
        <w:rPr>
          <w:sz w:val="20"/>
          <w:szCs w:val="20"/>
        </w:rPr>
        <w:t>In the future, Innov</w:t>
      </w:r>
      <w:r>
        <w:rPr>
          <w:sz w:val="20"/>
          <w:szCs w:val="20"/>
        </w:rPr>
        <w:t xml:space="preserve">iva may cause TRC to withhold funds from distribution to its members, including our affiliates, for additional TRELEGY development or commercialization initiatives that may be proposed, which would need to be </w:t>
      </w:r>
    </w:p>
    <w:p w:rsidR="00000000" w:rsidRDefault="00B51E11">
      <w:pPr>
        <w:pStyle w:val="a3"/>
        <w:spacing w:before="360" w:beforeAutospacing="0" w:after="0" w:afterAutospacing="0"/>
        <w:jc w:val="center"/>
        <w:divId w:val="269048784"/>
        <w:rPr>
          <w:sz w:val="20"/>
          <w:szCs w:val="20"/>
        </w:rPr>
      </w:pPr>
      <w:r>
        <w:rPr>
          <w:sz w:val="20"/>
          <w:szCs w:val="20"/>
        </w:rPr>
        <w:t>47</w:t>
      </w:r>
    </w:p>
    <w:p w:rsidR="00000000" w:rsidRDefault="00B51E11">
      <w:pPr>
        <w:pStyle w:val="a3"/>
        <w:spacing w:before="0" w:beforeAutospacing="0" w:after="600" w:afterAutospacing="0"/>
        <w:divId w:val="1403287424"/>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1920869341"/>
        <w:rPr>
          <w:sz w:val="20"/>
          <w:szCs w:val="20"/>
        </w:rPr>
      </w:pPr>
      <w:r>
        <w:rPr>
          <w:sz w:val="20"/>
          <w:szCs w:val="20"/>
        </w:rPr>
        <w:t>approved by GSK in order to be implemented, or for other purposes. To the extent any TRELEGY development or commercialization initiatives are timely approved by GSK and implemented, such initiatives may require funding beyond the amount withheld by TRC, a</w:t>
      </w:r>
      <w:r>
        <w:rPr>
          <w:sz w:val="20"/>
          <w:szCs w:val="20"/>
        </w:rPr>
        <w:t>nd TRC may withhold additional amounts in subsequent quarters with respect to these initiatives. Accordingly, we cannot predict the amount of the funds that our affiliates would otherwise expect to receive from TRC that TRC may withhold in the future, or t</w:t>
      </w:r>
      <w:r>
        <w:rPr>
          <w:sz w:val="20"/>
          <w:szCs w:val="20"/>
        </w:rPr>
        <w:t>he timing of any such withholding.</w:t>
      </w:r>
    </w:p>
    <w:p w:rsidR="00000000" w:rsidRDefault="00B51E11">
      <w:pPr>
        <w:pStyle w:val="a3"/>
        <w:spacing w:before="0" w:beforeAutospacing="0" w:after="120" w:afterAutospacing="0"/>
        <w:divId w:val="1920869341"/>
        <w:rPr>
          <w:sz w:val="20"/>
          <w:szCs w:val="20"/>
        </w:rPr>
      </w:pPr>
      <w:r>
        <w:rPr>
          <w:b/>
          <w:bCs/>
          <w:i/>
          <w:iCs/>
          <w:sz w:val="20"/>
          <w:szCs w:val="20"/>
        </w:rPr>
        <w:t>Our ongoing drug discovery and development efforts might not generate additional successful product candidates or approvable drugs.</w:t>
      </w:r>
    </w:p>
    <w:p w:rsidR="00000000" w:rsidRDefault="00B51E11">
      <w:pPr>
        <w:pStyle w:val="a3"/>
        <w:spacing w:before="0" w:beforeAutospacing="0" w:after="200" w:afterAutospacing="0"/>
        <w:ind w:firstLine="720"/>
        <w:divId w:val="1920869341"/>
        <w:rPr>
          <w:sz w:val="20"/>
          <w:szCs w:val="20"/>
        </w:rPr>
      </w:pPr>
      <w:r>
        <w:rPr>
          <w:sz w:val="20"/>
          <w:szCs w:val="20"/>
        </w:rPr>
        <w:t>Our compounds in clinical trials and our future leads for potential drug compounds are su</w:t>
      </w:r>
      <w:r>
        <w:rPr>
          <w:sz w:val="20"/>
          <w:szCs w:val="20"/>
        </w:rPr>
        <w:t>bject to the risks and failures inherent in the development of pharmaceutical products. These risks include, but are not limited to, the inherent difficulty in selecting the right drug and drug target and avoiding unwanted side effects, as well as unantici</w:t>
      </w:r>
      <w:r>
        <w:rPr>
          <w:sz w:val="20"/>
          <w:szCs w:val="20"/>
        </w:rPr>
        <w:t>pated problems relating to product development, testing, enrollment, obtaining regulatory approvals, maintaining regulatory compliance, manufacturing, competition and costs and expenses that may exceed current estimates.</w:t>
      </w:r>
    </w:p>
    <w:p w:rsidR="00000000" w:rsidRDefault="00B51E11">
      <w:pPr>
        <w:pStyle w:val="a3"/>
        <w:spacing w:before="0" w:beforeAutospacing="0" w:after="200" w:afterAutospacing="0"/>
        <w:ind w:firstLine="720"/>
        <w:divId w:val="1920869341"/>
        <w:rPr>
          <w:sz w:val="20"/>
          <w:szCs w:val="20"/>
        </w:rPr>
      </w:pPr>
      <w:r>
        <w:rPr>
          <w:sz w:val="20"/>
          <w:szCs w:val="20"/>
        </w:rPr>
        <w:t>Clinical studies involving our prod</w:t>
      </w:r>
      <w:r>
        <w:rPr>
          <w:sz w:val="20"/>
          <w:szCs w:val="20"/>
        </w:rPr>
        <w:t>uct candidates may reveal that those candidates are ineffective, inferior to existing approved medicines, unacceptably toxic, or that they have other unacceptable side effects. In addition, the results of preclinical studies do not necessarily predict clin</w:t>
      </w:r>
      <w:r>
        <w:rPr>
          <w:sz w:val="20"/>
          <w:szCs w:val="20"/>
        </w:rPr>
        <w:t>ical success, and larger and later-stage clinical studies may not produce the same results as earlier-stage clinical studies.</w:t>
      </w:r>
    </w:p>
    <w:p w:rsidR="00000000" w:rsidRDefault="00B51E11">
      <w:pPr>
        <w:pStyle w:val="a3"/>
        <w:spacing w:before="0" w:beforeAutospacing="0" w:after="200" w:afterAutospacing="0"/>
        <w:ind w:firstLine="720"/>
        <w:divId w:val="1920869341"/>
        <w:rPr>
          <w:sz w:val="20"/>
          <w:szCs w:val="20"/>
        </w:rPr>
      </w:pPr>
      <w:r>
        <w:rPr>
          <w:sz w:val="20"/>
          <w:szCs w:val="20"/>
        </w:rPr>
        <w:t>Frequently, product candidates that have shown promising results in early preclinical or clinical studies have subsequently suffer</w:t>
      </w:r>
      <w:r>
        <w:rPr>
          <w:sz w:val="20"/>
          <w:szCs w:val="20"/>
        </w:rPr>
        <w:t>ed significant setbacks or failed in later non-clinical or clinical studies. In some instances, there can be significant variability in safety and/or efficacy results between different trials of the same product candidate due to numerous factors, including</w:t>
      </w:r>
      <w:r>
        <w:rPr>
          <w:sz w:val="20"/>
          <w:szCs w:val="20"/>
        </w:rPr>
        <w:t xml:space="preserve"> changes in trial protocols, differences in size and type of the patient populations, varying levels of adherence to the dosing regimen and other trial protocols and the rate of dropout among clinical trial participants. Clinical and non-clinical studies o</w:t>
      </w:r>
      <w:r>
        <w:rPr>
          <w:sz w:val="20"/>
          <w:szCs w:val="20"/>
        </w:rPr>
        <w:t>f product candidates often reveal that it is not possible or practical to continue development efforts for these product candidates. In addition, the design of a clinical trial can determine whether its results will support regulatory approval and flaws in</w:t>
      </w:r>
      <w:r>
        <w:rPr>
          <w:sz w:val="20"/>
          <w:szCs w:val="20"/>
        </w:rPr>
        <w:t xml:space="preserve"> the design of a clinical trial may not become apparent until the clinical trial is well underway or completed. If our clinical studies for our current product candidates, such as the clinical studies for our JAK inhibitor programs or ampreloxetine in pati</w:t>
      </w:r>
      <w:r>
        <w:rPr>
          <w:sz w:val="20"/>
          <w:szCs w:val="20"/>
        </w:rPr>
        <w:t>ents with nOH, are substantially delayed or suggest that any of our product candidates may not be efficacious or well tolerated, we could choose to cease development of these product candidates. In addition, our product candidates may have undesirable side</w:t>
      </w:r>
      <w:r>
        <w:rPr>
          <w:sz w:val="20"/>
          <w:szCs w:val="20"/>
        </w:rPr>
        <w:t xml:space="preserve"> effects or other unexpected characteristics that could cause us or regulatory authorities to interrupt, delay or halt clinical trials and could result in a more restricted label or the delay or denial of regulatory approval by regulatory authorities.</w:t>
      </w:r>
    </w:p>
    <w:p w:rsidR="00000000" w:rsidRDefault="00B51E11">
      <w:pPr>
        <w:pStyle w:val="a3"/>
        <w:spacing w:before="0" w:beforeAutospacing="0" w:after="120" w:afterAutospacing="0"/>
        <w:divId w:val="1920869341"/>
        <w:rPr>
          <w:sz w:val="20"/>
          <w:szCs w:val="20"/>
        </w:rPr>
      </w:pPr>
      <w:r>
        <w:rPr>
          <w:b/>
          <w:bCs/>
          <w:i/>
          <w:iCs/>
          <w:sz w:val="20"/>
          <w:szCs w:val="20"/>
        </w:rPr>
        <w:t>We f</w:t>
      </w:r>
      <w:r>
        <w:rPr>
          <w:b/>
          <w:bCs/>
          <w:i/>
          <w:iCs/>
          <w:sz w:val="20"/>
          <w:szCs w:val="20"/>
        </w:rPr>
        <w:t>ace substantial competition from companies with more resources and experience than we have, which may result in others discovering, developing, receiving approval for or commercializing products before or more successfully than we do.</w:t>
      </w:r>
    </w:p>
    <w:p w:rsidR="00000000" w:rsidRDefault="00B51E11">
      <w:pPr>
        <w:pStyle w:val="a3"/>
        <w:spacing w:before="0" w:beforeAutospacing="0" w:after="200" w:afterAutospacing="0"/>
        <w:ind w:firstLine="720"/>
        <w:divId w:val="1920869341"/>
        <w:rPr>
          <w:sz w:val="20"/>
          <w:szCs w:val="20"/>
        </w:rPr>
      </w:pPr>
      <w:r>
        <w:rPr>
          <w:sz w:val="20"/>
          <w:szCs w:val="20"/>
        </w:rPr>
        <w:t>Our ability to succee</w:t>
      </w:r>
      <w:r>
        <w:rPr>
          <w:sz w:val="20"/>
          <w:szCs w:val="20"/>
        </w:rPr>
        <w:t>d in the future depends on our ability to demonstrate and maintain a competitive advantage with respect to our approach to the discovery, development and commercialization of medicines. Our objective is to discover, develop and commercialize new small mole</w:t>
      </w:r>
      <w:r>
        <w:rPr>
          <w:sz w:val="20"/>
          <w:szCs w:val="20"/>
        </w:rPr>
        <w:t>cule medicines with superior efficacy, convenience, tolerability and/or safety using our proprietary insight in chemistry, biology and multivalency, where applicable. We expect that any medicines that we commercialize with or without our collaborative part</w:t>
      </w:r>
      <w:r>
        <w:rPr>
          <w:sz w:val="20"/>
          <w:szCs w:val="20"/>
        </w:rPr>
        <w:t>ners will compete with existing or future market-leading medicines.</w:t>
      </w:r>
    </w:p>
    <w:p w:rsidR="00000000" w:rsidRDefault="00B51E11">
      <w:pPr>
        <w:pStyle w:val="a3"/>
        <w:spacing w:before="0" w:beforeAutospacing="0" w:after="200" w:afterAutospacing="0"/>
        <w:ind w:firstLine="720"/>
        <w:divId w:val="1920869341"/>
        <w:rPr>
          <w:sz w:val="20"/>
          <w:szCs w:val="20"/>
        </w:rPr>
      </w:pPr>
      <w:r>
        <w:rPr>
          <w:sz w:val="20"/>
          <w:szCs w:val="20"/>
        </w:rPr>
        <w:t>Many of our current and potential competitors have substantially greater financial, technical and personnel resources than we have. In addition, many of these competitors have significantl</w:t>
      </w:r>
      <w:r>
        <w:rPr>
          <w:sz w:val="20"/>
          <w:szCs w:val="20"/>
        </w:rPr>
        <w:t>y greater commercial infrastructures than we have. Our ability to compete successfully will depend largely on our ability to leverage our experience in drug discovery and development, and, more recently, commercialization,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476"/>
      </w:tblGrid>
      <w:tr w:rsidR="00000000">
        <w:trPr>
          <w:divId w:val="1920869341"/>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discover and develop medic</w:t>
            </w:r>
            <w:r>
              <w:rPr>
                <w:sz w:val="20"/>
                <w:szCs w:val="20"/>
              </w:rPr>
              <w:t>ines that are superior to other products in the market;</w:t>
            </w:r>
          </w:p>
        </w:tc>
      </w:tr>
    </w:tbl>
    <w:p w:rsidR="00000000" w:rsidRDefault="00B51E11">
      <w:pPr>
        <w:divId w:val="192086934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88"/>
      </w:tblGrid>
      <w:tr w:rsidR="00000000">
        <w:trPr>
          <w:divId w:val="1920869341"/>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attract and retain qualified personnel;</w:t>
            </w:r>
          </w:p>
        </w:tc>
      </w:tr>
    </w:tbl>
    <w:p w:rsidR="00000000" w:rsidRDefault="00B51E11">
      <w:pPr>
        <w:divId w:val="192086934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20869341"/>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obtain and enforce patent and/or other proprietary protection for our medicines and technologies;</w:t>
            </w:r>
          </w:p>
        </w:tc>
      </w:tr>
    </w:tbl>
    <w:p w:rsidR="00000000" w:rsidRDefault="00B51E11">
      <w:pPr>
        <w:pStyle w:val="a3"/>
        <w:spacing w:before="360" w:beforeAutospacing="0" w:after="0" w:afterAutospacing="0"/>
        <w:jc w:val="center"/>
        <w:divId w:val="2008704426"/>
        <w:rPr>
          <w:sz w:val="20"/>
          <w:szCs w:val="20"/>
        </w:rPr>
      </w:pPr>
      <w:r>
        <w:rPr>
          <w:sz w:val="20"/>
          <w:szCs w:val="20"/>
        </w:rPr>
        <w:t>48</w:t>
      </w:r>
    </w:p>
    <w:p w:rsidR="00000000" w:rsidRDefault="00B51E11">
      <w:pPr>
        <w:pStyle w:val="a3"/>
        <w:spacing w:before="0" w:beforeAutospacing="0" w:after="600" w:afterAutospacing="0"/>
        <w:divId w:val="559633768"/>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831"/>
      </w:tblGrid>
      <w:tr w:rsidR="00000000">
        <w:trPr>
          <w:divId w:val="1601912327"/>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conduct effective clinical trials and obtain required regulatory approvals;</w:t>
            </w:r>
          </w:p>
        </w:tc>
      </w:tr>
    </w:tbl>
    <w:p w:rsidR="00000000" w:rsidRDefault="00B51E11">
      <w:pPr>
        <w:divId w:val="160191232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01912327"/>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develop and effectively im</w:t>
            </w:r>
            <w:r>
              <w:rPr>
                <w:sz w:val="20"/>
                <w:szCs w:val="20"/>
              </w:rPr>
              <w:t>plement commercialization strategies, with or without collaborative partners; and</w:t>
            </w:r>
          </w:p>
        </w:tc>
      </w:tr>
    </w:tbl>
    <w:p w:rsidR="00000000" w:rsidRDefault="00B51E11">
      <w:pPr>
        <w:divId w:val="160191232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01912327"/>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successfully collaborate with pharmaceutical companies in the discovery, development and commercialization of new medicines.</w:t>
            </w:r>
          </w:p>
        </w:tc>
      </w:tr>
    </w:tbl>
    <w:p w:rsidR="00000000" w:rsidRDefault="00B51E11">
      <w:pPr>
        <w:pStyle w:val="a3"/>
        <w:spacing w:before="0" w:beforeAutospacing="0" w:after="200" w:afterAutospacing="0"/>
        <w:ind w:firstLine="720"/>
        <w:divId w:val="1601912327"/>
        <w:rPr>
          <w:sz w:val="20"/>
          <w:szCs w:val="20"/>
        </w:rPr>
      </w:pPr>
      <w:r>
        <w:rPr>
          <w:sz w:val="20"/>
          <w:szCs w:val="20"/>
        </w:rPr>
        <w:t>Pharmaceutical companies, including companies with which we collaborate, may invest heavily to quickly discover and develop or in-</w:t>
      </w:r>
      <w:r>
        <w:rPr>
          <w:sz w:val="20"/>
          <w:szCs w:val="20"/>
        </w:rPr>
        <w:t xml:space="preserve">license novel compounds that could make our product candidates obsolete. Accordingly, our competitors may succeed in obtaining patent protection, receiving FDA or equivalent regulatory approval outside the US or discovering, developing and commercializing </w:t>
      </w:r>
      <w:r>
        <w:rPr>
          <w:sz w:val="20"/>
          <w:szCs w:val="20"/>
        </w:rPr>
        <w:t>medicines before we do. Other companies are engaged in the discovery of medicines that would compete with the product candidates that we are developing.</w:t>
      </w:r>
    </w:p>
    <w:p w:rsidR="00000000" w:rsidRDefault="00B51E11">
      <w:pPr>
        <w:pStyle w:val="a3"/>
        <w:spacing w:before="0" w:beforeAutospacing="0" w:after="200" w:afterAutospacing="0"/>
        <w:ind w:firstLine="720"/>
        <w:divId w:val="1601912327"/>
        <w:rPr>
          <w:sz w:val="20"/>
          <w:szCs w:val="20"/>
        </w:rPr>
      </w:pPr>
      <w:r>
        <w:rPr>
          <w:sz w:val="20"/>
          <w:szCs w:val="20"/>
        </w:rPr>
        <w:t>Any new medicine that competes with a generic or proprietary market leading medicine must demonstrate c</w:t>
      </w:r>
      <w:r>
        <w:rPr>
          <w:sz w:val="20"/>
          <w:szCs w:val="20"/>
        </w:rPr>
        <w:t>ompelling advantages in efficacy, convenience, tolerability and/or safety in order to overcome severe price competition and be commercially successful. For example, YUPELRI competes predominantly with short-acting nebulized bronchodilators used three to fo</w:t>
      </w:r>
      <w:r>
        <w:rPr>
          <w:sz w:val="20"/>
          <w:szCs w:val="20"/>
        </w:rPr>
        <w:t>ur times per day and the nebulized LAMA Lonhal</w:t>
      </w:r>
      <w:r>
        <w:rPr>
          <w:sz w:val="20"/>
          <w:szCs w:val="20"/>
        </w:rPr>
        <w:t>a</w:t>
      </w:r>
      <w:r>
        <w:rPr>
          <w:sz w:val="15"/>
          <w:szCs w:val="15"/>
          <w:vertAlign w:val="superscript"/>
        </w:rPr>
        <w:t>TM</w:t>
      </w:r>
      <w:r>
        <w:rPr>
          <w:sz w:val="20"/>
          <w:szCs w:val="20"/>
        </w:rPr>
        <w:t xml:space="preserve"> Magnai</w:t>
      </w:r>
      <w:r>
        <w:rPr>
          <w:sz w:val="20"/>
          <w:szCs w:val="20"/>
        </w:rPr>
        <w:t>r</w:t>
      </w:r>
      <w:r>
        <w:rPr>
          <w:sz w:val="15"/>
          <w:szCs w:val="15"/>
          <w:vertAlign w:val="superscript"/>
        </w:rPr>
        <w:t>TM</w:t>
      </w:r>
      <w:r>
        <w:rPr>
          <w:sz w:val="20"/>
          <w:szCs w:val="20"/>
        </w:rPr>
        <w:t xml:space="preserve"> (SUN-101/eFlo</w:t>
      </w:r>
      <w:r>
        <w:rPr>
          <w:sz w:val="20"/>
          <w:szCs w:val="20"/>
        </w:rPr>
        <w:t>w</w:t>
      </w:r>
      <w:r>
        <w:rPr>
          <w:sz w:val="15"/>
          <w:szCs w:val="15"/>
          <w:vertAlign w:val="superscript"/>
        </w:rPr>
        <w:t>®</w:t>
      </w:r>
      <w:r>
        <w:rPr>
          <w:sz w:val="20"/>
          <w:szCs w:val="20"/>
        </w:rPr>
        <w:t>) used twice per day. If we are not able to compete effectively against our current and future competitors, our business will not grow, our financial condition and operations will s</w:t>
      </w:r>
      <w:r>
        <w:rPr>
          <w:sz w:val="20"/>
          <w:szCs w:val="20"/>
        </w:rPr>
        <w:t>uffer and the price of our securities could fall.</w:t>
      </w:r>
    </w:p>
    <w:p w:rsidR="00000000" w:rsidRDefault="00B51E11">
      <w:pPr>
        <w:pStyle w:val="a3"/>
        <w:spacing w:before="0" w:beforeAutospacing="0" w:after="120" w:afterAutospacing="0"/>
        <w:divId w:val="1601912327"/>
        <w:rPr>
          <w:sz w:val="20"/>
          <w:szCs w:val="20"/>
        </w:rPr>
      </w:pPr>
      <w:r>
        <w:rPr>
          <w:b/>
          <w:bCs/>
          <w:i/>
          <w:iCs/>
          <w:sz w:val="20"/>
          <w:szCs w:val="20"/>
        </w:rPr>
        <w:t>If we are unable to enter into future collaboration arrangements or if any such collaborations with third parties are unsuccessful, we will be unable to fully develop and commercialize all of our product ca</w:t>
      </w:r>
      <w:r>
        <w:rPr>
          <w:b/>
          <w:bCs/>
          <w:i/>
          <w:iCs/>
          <w:sz w:val="20"/>
          <w:szCs w:val="20"/>
        </w:rPr>
        <w:t>ndidates and our business will be adversely affected.</w:t>
      </w:r>
    </w:p>
    <w:p w:rsidR="00000000" w:rsidRDefault="00B51E11">
      <w:pPr>
        <w:pStyle w:val="a3"/>
        <w:spacing w:before="0" w:beforeAutospacing="0" w:after="200" w:afterAutospacing="0"/>
        <w:ind w:firstLine="720"/>
        <w:divId w:val="1601912327"/>
        <w:rPr>
          <w:sz w:val="20"/>
          <w:szCs w:val="20"/>
        </w:rPr>
      </w:pPr>
      <w:r>
        <w:rPr>
          <w:sz w:val="20"/>
          <w:szCs w:val="20"/>
        </w:rPr>
        <w:t>We have collaborations with a number of third parties including Janssen for TD-1473 and related back-up compounds for inflammatory intestinal diseases, including ulcerative colitis and Crohn’s disease a</w:t>
      </w:r>
      <w:r>
        <w:rPr>
          <w:sz w:val="20"/>
          <w:szCs w:val="20"/>
        </w:rPr>
        <w:t>nd Mylan for the development and commercialization of a nebulized formulation of revefenacin, our LAMA compound (including YUPELRI). Also, through our interest in TRC we may participate economically in Innoviva’s collaborations with GSK with respect to the</w:t>
      </w:r>
      <w:r>
        <w:rPr>
          <w:sz w:val="20"/>
          <w:szCs w:val="20"/>
        </w:rPr>
        <w:t xml:space="preserve"> GSK-Partnered Respiratory Programs. Additional collaborations will likely be needed to fund later-stage development of certain programs that have not been licensed to a collaborator and to commercialize the product candidates in our programs if approved b</w:t>
      </w:r>
      <w:r>
        <w:rPr>
          <w:sz w:val="20"/>
          <w:szCs w:val="20"/>
        </w:rPr>
        <w:t>y the necessary regulatory authorities. We evaluate commercial strategy on a product by product basis either to engage pharmaceutical or other healthcare companies with an existing sales and marketing organization and distribution system to market, sell an</w:t>
      </w:r>
      <w:r>
        <w:rPr>
          <w:sz w:val="20"/>
          <w:szCs w:val="20"/>
        </w:rPr>
        <w:t>d distribute our products or to commercialize a product ourselves. However, we may not be able to establish these sales and distribution relationships on acceptable terms, or at all, or may encounter difficulties in commercializing a product ourselves. For</w:t>
      </w:r>
      <w:r>
        <w:rPr>
          <w:sz w:val="20"/>
          <w:szCs w:val="20"/>
        </w:rPr>
        <w:t xml:space="preserve"> any of our product candidates that receive regulatory approval in the future and are not covered by our current collaboration agreements, we will need a partner in order to commercialize such products unless we establish independent sales, marketing and d</w:t>
      </w:r>
      <w:r>
        <w:rPr>
          <w:sz w:val="20"/>
          <w:szCs w:val="20"/>
        </w:rPr>
        <w:t>istribution capabilities with appropriate technical expertise and supporting infrastructure.</w:t>
      </w:r>
    </w:p>
    <w:p w:rsidR="00000000" w:rsidRDefault="00B51E11">
      <w:pPr>
        <w:pStyle w:val="a3"/>
        <w:spacing w:before="0" w:beforeAutospacing="0" w:after="200" w:afterAutospacing="0"/>
        <w:ind w:firstLine="720"/>
        <w:divId w:val="1601912327"/>
        <w:rPr>
          <w:sz w:val="20"/>
          <w:szCs w:val="20"/>
        </w:rPr>
      </w:pPr>
      <w:r>
        <w:rPr>
          <w:sz w:val="20"/>
          <w:szCs w:val="20"/>
        </w:rPr>
        <w:t>Collaborations with third parties regarding our programs may require us to relinquish material rights, including revenue from commercialization of our medicines, o</w:t>
      </w:r>
      <w:r>
        <w:rPr>
          <w:sz w:val="20"/>
          <w:szCs w:val="20"/>
        </w:rPr>
        <w:t xml:space="preserve">r to assume material ongoing development obligations that we would have to fund. These collaboration arrangements are complex and time-consuming to negotiate, and if we are unable to reach agreements with third-party collaborators, we may fail to meet our </w:t>
      </w:r>
      <w:r>
        <w:rPr>
          <w:sz w:val="20"/>
          <w:szCs w:val="20"/>
        </w:rPr>
        <w:t>business objectives and our financial condition may be adversely affected. We face significant competition in seeking third-party collaborators. We may be unable to find third parties to pursue product collaborations on a timely basis or on acceptable term</w:t>
      </w:r>
      <w:r>
        <w:rPr>
          <w:sz w:val="20"/>
          <w:szCs w:val="20"/>
        </w:rPr>
        <w:t>s. Furthermore, for any collaboration, we may not be able to control the amount of time and resources that our partners devote to our product candidates and our partners may choose to prioritize alternative programs or otherwise be unsuccessful in their ef</w:t>
      </w:r>
      <w:r>
        <w:rPr>
          <w:sz w:val="20"/>
          <w:szCs w:val="20"/>
        </w:rPr>
        <w:t xml:space="preserve">forts with respect to our products or product candidates. In addition, effective collaboration with a partner requires coordination to achieve complex and detail-intensive goals between entities that potentially have different priorities, capabilities and </w:t>
      </w:r>
      <w:r>
        <w:rPr>
          <w:sz w:val="20"/>
          <w:szCs w:val="20"/>
        </w:rPr>
        <w:t>processes and successful navigation of the challenges such coordination entails. For example, Mylan has a substantial existing product portfolio and other considerations that influence its resource allocation, and other priorities and internal organization</w:t>
      </w:r>
      <w:r>
        <w:rPr>
          <w:sz w:val="20"/>
          <w:szCs w:val="20"/>
        </w:rPr>
        <w:t>al processes that differ from our own. As a result of these differing interests and processes, Mylan may take actions that it believes are in its best interest but which might not be in the best interests of either us or our other shareholders. Our inabili</w:t>
      </w:r>
      <w:r>
        <w:rPr>
          <w:sz w:val="20"/>
          <w:szCs w:val="20"/>
        </w:rPr>
        <w:t>ty to successfully collaborate with third parties would increase our development costs and may cause us to choose not to continue development of certain product candidates, would limit the likelihood of successful commercialization of some of our product c</w:t>
      </w:r>
      <w:r>
        <w:rPr>
          <w:sz w:val="20"/>
          <w:szCs w:val="20"/>
        </w:rPr>
        <w:t>andidates, may cause us not to continue commercialization of our authorized products and could cause the price of our securities to fall.</w:t>
      </w:r>
    </w:p>
    <w:p w:rsidR="00000000" w:rsidRDefault="00B51E11">
      <w:pPr>
        <w:pStyle w:val="a3"/>
        <w:spacing w:before="360" w:beforeAutospacing="0" w:after="0" w:afterAutospacing="0"/>
        <w:jc w:val="center"/>
        <w:divId w:val="1074007891"/>
        <w:rPr>
          <w:sz w:val="20"/>
          <w:szCs w:val="20"/>
        </w:rPr>
      </w:pPr>
      <w:r>
        <w:rPr>
          <w:sz w:val="20"/>
          <w:szCs w:val="20"/>
        </w:rPr>
        <w:t>49</w:t>
      </w:r>
    </w:p>
    <w:p w:rsidR="00000000" w:rsidRDefault="00B51E11">
      <w:pPr>
        <w:pStyle w:val="a3"/>
        <w:spacing w:before="0" w:beforeAutospacing="0" w:after="600" w:afterAutospacing="0"/>
        <w:divId w:val="1461454856"/>
        <w:rPr>
          <w:sz w:val="20"/>
          <w:szCs w:val="20"/>
        </w:rPr>
      </w:pPr>
      <w:hyperlink w:anchor="TOC" w:history="1">
        <w:r>
          <w:rPr>
            <w:rStyle w:val="a4"/>
            <w:sz w:val="20"/>
            <w:szCs w:val="20"/>
          </w:rPr>
          <w:t>Table of Contents</w:t>
        </w:r>
      </w:hyperlink>
    </w:p>
    <w:p w:rsidR="00000000" w:rsidRDefault="00B51E11">
      <w:pPr>
        <w:pStyle w:val="a3"/>
        <w:spacing w:before="0" w:beforeAutospacing="0" w:after="120" w:afterAutospacing="0"/>
        <w:divId w:val="17583098"/>
        <w:rPr>
          <w:sz w:val="20"/>
          <w:szCs w:val="20"/>
        </w:rPr>
      </w:pPr>
      <w:r>
        <w:rPr>
          <w:b/>
          <w:bCs/>
          <w:i/>
          <w:iCs/>
          <w:sz w:val="20"/>
          <w:szCs w:val="20"/>
        </w:rPr>
        <w:t>We depend on third parties in the conduct of our non-clinical and clini</w:t>
      </w:r>
      <w:r>
        <w:rPr>
          <w:b/>
          <w:bCs/>
          <w:i/>
          <w:iCs/>
          <w:sz w:val="20"/>
          <w:szCs w:val="20"/>
        </w:rPr>
        <w:t>cal studies for our product candidates.</w:t>
      </w:r>
    </w:p>
    <w:p w:rsidR="00000000" w:rsidRDefault="00B51E11">
      <w:pPr>
        <w:pStyle w:val="a3"/>
        <w:spacing w:before="0" w:beforeAutospacing="0" w:after="200" w:afterAutospacing="0"/>
        <w:ind w:firstLine="720"/>
        <w:divId w:val="17583098"/>
        <w:rPr>
          <w:sz w:val="20"/>
          <w:szCs w:val="20"/>
        </w:rPr>
      </w:pPr>
      <w:r>
        <w:rPr>
          <w:sz w:val="20"/>
          <w:szCs w:val="20"/>
        </w:rPr>
        <w:t>We depend on independent clinical investigators, contract research and manufacturing organizations and other third-party service providers in the conduct of our non-clinical and clinical studies for our product candi</w:t>
      </w:r>
      <w:r>
        <w:rPr>
          <w:sz w:val="20"/>
          <w:szCs w:val="20"/>
        </w:rPr>
        <w:t>dates. We rely heavily on these parties for execution of our non-clinical and clinical studies, and control only certain aspects of their activities. Nevertheless, we are responsible for ensuring that our clinical studies are conducted in accordance with g</w:t>
      </w:r>
      <w:r>
        <w:rPr>
          <w:sz w:val="20"/>
          <w:szCs w:val="20"/>
        </w:rPr>
        <w:t>ood clinical, laboratory and manufacturing practices (“GXPs”) and other regulations as required by the FDA and foreign regulatory authorities, and the applicable protocol. Failure by these parties to comply with applicable regulations and practices in cond</w:t>
      </w:r>
      <w:r>
        <w:rPr>
          <w:sz w:val="20"/>
          <w:szCs w:val="20"/>
        </w:rPr>
        <w:t xml:space="preserve">ucting studies of our product candidates can result in a delay in our development programs or non-approval of our product candidates by regulatory authorities. Furthermore, to the extent the operations of these third parties are disrupted as result of the </w:t>
      </w:r>
      <w:r>
        <w:rPr>
          <w:sz w:val="20"/>
          <w:szCs w:val="20"/>
        </w:rPr>
        <w:t>COVID-19 pandemic or otherwise, our development programs could be delayed.</w:t>
      </w:r>
    </w:p>
    <w:p w:rsidR="00000000" w:rsidRDefault="00B51E11">
      <w:pPr>
        <w:pStyle w:val="a3"/>
        <w:spacing w:before="0" w:beforeAutospacing="0" w:after="200" w:afterAutospacing="0"/>
        <w:ind w:firstLine="720"/>
        <w:divId w:val="17583098"/>
        <w:rPr>
          <w:sz w:val="20"/>
          <w:szCs w:val="20"/>
        </w:rPr>
      </w:pPr>
      <w:r>
        <w:rPr>
          <w:sz w:val="20"/>
          <w:szCs w:val="20"/>
        </w:rPr>
        <w:t>The FDA, and equivalent authorities in third countries, enforces GXPs and other regulations through periodic inspections of trial sponsors, clinical research organizations (“CROs”),</w:t>
      </w:r>
      <w:r>
        <w:rPr>
          <w:sz w:val="20"/>
          <w:szCs w:val="20"/>
        </w:rPr>
        <w:t xml:space="preserve"> principal investigators and trial sites. If we or any of the third parties on which we have relied to conduct our clinical studies are determined to have failed to comply with GXPs (or other equivalent regulations outside the US), the study protocol or ap</w:t>
      </w:r>
      <w:r>
        <w:rPr>
          <w:sz w:val="20"/>
          <w:szCs w:val="20"/>
        </w:rPr>
        <w:t>plicable regulations, the clinical data generated in our studies may be deemed unreliable. This could result in non-approval of our product candidates by the FDA, or equivalent authorities in other countries, or we, the FDA, or equivalent authorities in ot</w:t>
      </w:r>
      <w:r>
        <w:rPr>
          <w:sz w:val="20"/>
          <w:szCs w:val="20"/>
        </w:rPr>
        <w:t>her countries may decide to conduct additional audits or require additional clinical studies, which would delay our development programs, could result in significant additional costs and cause the price of our securities to fall.</w:t>
      </w:r>
    </w:p>
    <w:p w:rsidR="00000000" w:rsidRDefault="00B51E11">
      <w:pPr>
        <w:pStyle w:val="a3"/>
        <w:spacing w:before="0" w:beforeAutospacing="0" w:after="120" w:afterAutospacing="0"/>
        <w:divId w:val="17583098"/>
        <w:rPr>
          <w:sz w:val="20"/>
          <w:szCs w:val="20"/>
        </w:rPr>
      </w:pPr>
      <w:r>
        <w:rPr>
          <w:b/>
          <w:bCs/>
          <w:i/>
          <w:iCs/>
          <w:sz w:val="20"/>
          <w:szCs w:val="20"/>
        </w:rPr>
        <w:t>We rely on a single source</w:t>
      </w:r>
      <w:r>
        <w:rPr>
          <w:b/>
          <w:bCs/>
          <w:i/>
          <w:iCs/>
          <w:sz w:val="20"/>
          <w:szCs w:val="20"/>
        </w:rPr>
        <w:t xml:space="preserve"> of supply for a number of our product candidates, and our business will be harmed if any of these single-source manufacturers are not able to satisfy demand and alternative sources are not available.</w:t>
      </w:r>
    </w:p>
    <w:p w:rsidR="00000000" w:rsidRDefault="00B51E11">
      <w:pPr>
        <w:pStyle w:val="a3"/>
        <w:spacing w:before="0" w:beforeAutospacing="0" w:after="200" w:afterAutospacing="0"/>
        <w:ind w:firstLine="720"/>
        <w:divId w:val="17583098"/>
        <w:rPr>
          <w:sz w:val="20"/>
          <w:szCs w:val="20"/>
        </w:rPr>
      </w:pPr>
      <w:r>
        <w:rPr>
          <w:sz w:val="20"/>
          <w:szCs w:val="20"/>
        </w:rPr>
        <w:t>We have limited in-house production capabilities for pr</w:t>
      </w:r>
      <w:r>
        <w:rPr>
          <w:sz w:val="20"/>
          <w:szCs w:val="20"/>
        </w:rPr>
        <w:t>eclinical and clinical study purposes and depend primarily on a number of third-party Active Pharmaceutical Ingredient (“API”) and drug product manufacturers. We may not have long-term agreements with these third parties and our agreements with these parti</w:t>
      </w:r>
      <w:r>
        <w:rPr>
          <w:sz w:val="20"/>
          <w:szCs w:val="20"/>
        </w:rPr>
        <w:t>es may be terminable at will by either party at any time. If, for any reason, these third parties are unable or unwilling to perform, or if their performance does not meet regulatory requirements, we may not be able to locate alternative manufacturers or e</w:t>
      </w:r>
      <w:r>
        <w:rPr>
          <w:sz w:val="20"/>
          <w:szCs w:val="20"/>
        </w:rPr>
        <w:t>nter into acceptable agreements with them. Any inability to acquire sufficient quantities of API and drug product in a timely manner from these third parties could delay preclinical and clinical studies and prevent us from developing our product candidates</w:t>
      </w:r>
      <w:r>
        <w:rPr>
          <w:sz w:val="20"/>
          <w:szCs w:val="20"/>
        </w:rPr>
        <w:t xml:space="preserve"> in a cost-effective manner or on a timely basis. In addition, manufacturers of our API and drug product are subject to the FDA’s current Good Manufacturing Practice (“cGMP”) regulations and similar foreign standards and we do not have control over complia</w:t>
      </w:r>
      <w:r>
        <w:rPr>
          <w:sz w:val="20"/>
          <w:szCs w:val="20"/>
        </w:rPr>
        <w:t>nce with these regulations by our manufacturers.</w:t>
      </w:r>
    </w:p>
    <w:p w:rsidR="00000000" w:rsidRDefault="00B51E11">
      <w:pPr>
        <w:pStyle w:val="a3"/>
        <w:spacing w:before="0" w:beforeAutospacing="0" w:after="200" w:afterAutospacing="0"/>
        <w:ind w:firstLine="720"/>
        <w:divId w:val="17583098"/>
        <w:rPr>
          <w:sz w:val="20"/>
          <w:szCs w:val="20"/>
        </w:rPr>
      </w:pPr>
      <w:r>
        <w:rPr>
          <w:sz w:val="20"/>
          <w:szCs w:val="20"/>
        </w:rPr>
        <w:t>Our manufacturing strategy presents the following additional risks: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583098"/>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because of the complex nature of many of our compounds, our manufacturers may not be able to successfully manufacture our APIs and/or drug products in a cost-effective and/or timely manner and changing manufacturers for our APIs or drug products could invo</w:t>
            </w:r>
            <w:r>
              <w:rPr>
                <w:sz w:val="20"/>
                <w:szCs w:val="20"/>
              </w:rPr>
              <w:t>lve lengthy technology transfer, validation and regulatory qualification activities for the new manufacturer;</w:t>
            </w:r>
          </w:p>
        </w:tc>
      </w:tr>
    </w:tbl>
    <w:p w:rsidR="00000000" w:rsidRDefault="00B51E11">
      <w:pPr>
        <w:divId w:val="1758309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58309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processes required to manufacture certain of our APIs and drug products are specialized and available only from a limited number of third</w:t>
            </w:r>
            <w:r>
              <w:rPr>
                <w:sz w:val="20"/>
                <w:szCs w:val="20"/>
              </w:rPr>
              <w:t>-party manufacturers;</w:t>
            </w:r>
          </w:p>
        </w:tc>
      </w:tr>
    </w:tbl>
    <w:p w:rsidR="00000000" w:rsidRDefault="00B51E11">
      <w:pPr>
        <w:divId w:val="1758309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58309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some of the manufacturing processes for our APIs and drug products have not been scaled to quantities needed for continued clinical studies or commercial sales, and delays in scale-up to higher quantities could delay clinical stu</w:t>
            </w:r>
            <w:r>
              <w:rPr>
                <w:sz w:val="20"/>
                <w:szCs w:val="20"/>
              </w:rPr>
              <w:t>dies, regulatory submissions and commercialization of our product candidates; and</w:t>
            </w:r>
          </w:p>
        </w:tc>
      </w:tr>
    </w:tbl>
    <w:p w:rsidR="00000000" w:rsidRDefault="00B51E11">
      <w:pPr>
        <w:divId w:val="1758309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58309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because some of the third-party manufacturers are located outside of the US, there may be difficulties in importing our APIs and drug products or their components into t</w:t>
            </w:r>
            <w:r>
              <w:rPr>
                <w:sz w:val="20"/>
                <w:szCs w:val="20"/>
              </w:rPr>
              <w:t>he US as a result of, among other things, FDA import inspections, incomplete or inaccurate import documentation or defective packaging.</w:t>
            </w:r>
          </w:p>
        </w:tc>
      </w:tr>
    </w:tbl>
    <w:p w:rsidR="00000000" w:rsidRDefault="00B51E11">
      <w:pPr>
        <w:pStyle w:val="a3"/>
        <w:spacing w:before="360" w:beforeAutospacing="0" w:after="0" w:afterAutospacing="0"/>
        <w:jc w:val="center"/>
        <w:divId w:val="1625309629"/>
        <w:rPr>
          <w:sz w:val="20"/>
          <w:szCs w:val="20"/>
        </w:rPr>
      </w:pPr>
      <w:r>
        <w:rPr>
          <w:sz w:val="20"/>
          <w:szCs w:val="20"/>
        </w:rPr>
        <w:t>50</w:t>
      </w:r>
    </w:p>
    <w:p w:rsidR="00000000" w:rsidRDefault="00B51E11">
      <w:pPr>
        <w:pStyle w:val="a3"/>
        <w:spacing w:before="0" w:beforeAutospacing="0" w:after="600" w:afterAutospacing="0"/>
        <w:divId w:val="1960989850"/>
        <w:rPr>
          <w:sz w:val="20"/>
          <w:szCs w:val="20"/>
        </w:rPr>
      </w:pPr>
      <w:hyperlink w:anchor="TOC" w:history="1">
        <w:r>
          <w:rPr>
            <w:rStyle w:val="a4"/>
            <w:sz w:val="20"/>
            <w:szCs w:val="20"/>
          </w:rPr>
          <w:t>Table of Contents</w:t>
        </w:r>
      </w:hyperlink>
    </w:p>
    <w:p w:rsidR="00000000" w:rsidRDefault="00B51E11">
      <w:pPr>
        <w:pStyle w:val="a3"/>
        <w:spacing w:before="0" w:beforeAutospacing="0" w:after="120" w:afterAutospacing="0"/>
        <w:divId w:val="1053240097"/>
        <w:rPr>
          <w:sz w:val="20"/>
          <w:szCs w:val="20"/>
        </w:rPr>
      </w:pPr>
      <w:r>
        <w:rPr>
          <w:b/>
          <w:bCs/>
          <w:i/>
          <w:iCs/>
          <w:sz w:val="20"/>
          <w:szCs w:val="20"/>
        </w:rPr>
        <w:t>We have a significant amount of debt, including our Non-Recourse 2035 No</w:t>
      </w:r>
      <w:r>
        <w:rPr>
          <w:b/>
          <w:bCs/>
          <w:i/>
          <w:iCs/>
          <w:sz w:val="20"/>
          <w:szCs w:val="20"/>
        </w:rPr>
        <w:t xml:space="preserve">tes and Convertible Senior 2023 Notes, that are senior in capital structure and cash flow, respectively, to holders of our ordinary shares. Satisfying the obligations relating to our debt could adversely affect the amount or timing of distributions to our </w:t>
      </w:r>
      <w:r>
        <w:rPr>
          <w:b/>
          <w:bCs/>
          <w:i/>
          <w:iCs/>
          <w:sz w:val="20"/>
          <w:szCs w:val="20"/>
        </w:rPr>
        <w:t xml:space="preserve">shareholders. </w:t>
      </w:r>
    </w:p>
    <w:p w:rsidR="00000000" w:rsidRDefault="00B51E11">
      <w:pPr>
        <w:pStyle w:val="a3"/>
        <w:spacing w:before="0" w:beforeAutospacing="0" w:after="200" w:afterAutospacing="0"/>
        <w:ind w:firstLine="720"/>
        <w:divId w:val="1053240097"/>
        <w:rPr>
          <w:sz w:val="20"/>
          <w:szCs w:val="20"/>
        </w:rPr>
      </w:pPr>
      <w:r>
        <w:rPr>
          <w:sz w:val="20"/>
          <w:szCs w:val="20"/>
        </w:rPr>
        <w:t>As of September 30, 2020, we had $669.5 million in total long-term liabilities outstanding, comprised primarily of $390.1 million in net principal that remains outstanding under the Issuer II’s Non-Recourse 2035 Notes and $230.0 million in principal that r</w:t>
      </w:r>
      <w:r>
        <w:rPr>
          <w:sz w:val="20"/>
          <w:szCs w:val="20"/>
        </w:rPr>
        <w:t>emains outstanding under our Convertible Senior 2023 Notes (together with the Non-Recourse 2035 Notes, the “Notes”).</w:t>
      </w:r>
    </w:p>
    <w:p w:rsidR="00000000" w:rsidRDefault="00B51E11">
      <w:pPr>
        <w:pStyle w:val="a3"/>
        <w:spacing w:before="0" w:beforeAutospacing="0" w:after="200" w:afterAutospacing="0"/>
        <w:ind w:firstLine="720"/>
        <w:divId w:val="1053240097"/>
        <w:rPr>
          <w:sz w:val="20"/>
          <w:szCs w:val="20"/>
        </w:rPr>
      </w:pPr>
      <w:r>
        <w:rPr>
          <w:sz w:val="20"/>
          <w:szCs w:val="20"/>
        </w:rPr>
        <w:t xml:space="preserve">The Convertible Senior 2023 Notes are unsecured debt and are not redeemable by us prior to the maturity date except for certain changes in </w:t>
      </w:r>
      <w:r>
        <w:rPr>
          <w:sz w:val="20"/>
          <w:szCs w:val="20"/>
        </w:rPr>
        <w:t>tax law. Holders of the Convertible Senior 2023 Notes may require us to purchase all or any portion of their notes at 100% of their principal amount, plus any unpaid interest, upon a fundamental change such as a change of control of us or the termination o</w:t>
      </w:r>
      <w:r>
        <w:rPr>
          <w:sz w:val="20"/>
          <w:szCs w:val="20"/>
        </w:rPr>
        <w:t>f trading of our ordinary shares in accordance with the indenture governing the Convertible Senior 2023 Notes.</w:t>
      </w:r>
    </w:p>
    <w:p w:rsidR="00000000" w:rsidRDefault="00B51E11">
      <w:pPr>
        <w:pStyle w:val="a3"/>
        <w:spacing w:before="0" w:beforeAutospacing="0" w:after="200" w:afterAutospacing="0"/>
        <w:ind w:firstLine="720"/>
        <w:divId w:val="1053240097"/>
        <w:rPr>
          <w:sz w:val="20"/>
          <w:szCs w:val="20"/>
        </w:rPr>
      </w:pPr>
      <w:r>
        <w:rPr>
          <w:sz w:val="20"/>
          <w:szCs w:val="20"/>
        </w:rPr>
        <w:t>Until the Non-Recourse 2035 Notes are paid in full, holders of the Non-Recourse 2035 Notes have a perfected security interest in the Issuer II Cl</w:t>
      </w:r>
      <w:r>
        <w:rPr>
          <w:sz w:val="20"/>
          <w:szCs w:val="20"/>
        </w:rPr>
        <w:t>ass C Units that represent a 63.75% economic interest in any future payments that may be made by GSK to TRC under the strategic alliance agreement and under the portion of the collaboration agreement assigned to TRC by Innoviva (net of TRC expenses paid an</w:t>
      </w:r>
      <w:r>
        <w:rPr>
          <w:sz w:val="20"/>
          <w:szCs w:val="20"/>
        </w:rPr>
        <w:t>d the amount of cash, if any, expected to be used by TRC pursuant to the TRC LLC Agreement over the next four fiscal quarters) relating to the GSK-Partnered Respiratory Programs, including the TRELEGY program.</w:t>
      </w:r>
    </w:p>
    <w:p w:rsidR="00000000" w:rsidRDefault="00B51E11">
      <w:pPr>
        <w:pStyle w:val="a3"/>
        <w:spacing w:before="0" w:beforeAutospacing="0" w:after="200" w:afterAutospacing="0"/>
        <w:ind w:firstLine="720"/>
        <w:divId w:val="1053240097"/>
        <w:rPr>
          <w:sz w:val="20"/>
          <w:szCs w:val="20"/>
        </w:rPr>
      </w:pPr>
      <w:r>
        <w:rPr>
          <w:sz w:val="20"/>
          <w:szCs w:val="20"/>
        </w:rPr>
        <w:t>Prior to and including the December 5, 2024 pa</w:t>
      </w:r>
      <w:r>
        <w:rPr>
          <w:sz w:val="20"/>
          <w:szCs w:val="20"/>
        </w:rPr>
        <w:t xml:space="preserve">yment date, </w:t>
      </w:r>
      <w:r>
        <w:rPr>
          <w:sz w:val="20"/>
          <w:szCs w:val="20"/>
        </w:rPr>
        <w:t>t</w:t>
      </w:r>
      <w:r>
        <w:rPr>
          <w:sz w:val="20"/>
          <w:szCs w:val="20"/>
        </w:rPr>
        <w:t>he terms of the Non-Recourse 2035 Notes provide that in the event that the distributions received by the Issuer II from TRC in a quarter is less than the interest accrued for that quarter, the principal amount of the Non-Recourse 2035 Notes wi</w:t>
      </w:r>
      <w:r>
        <w:rPr>
          <w:sz w:val="20"/>
          <w:szCs w:val="20"/>
        </w:rPr>
        <w:t>ll increase by the interest shortfall amount for that quarter. The terms of the Non-Recourse 2035 Notes also provide that Theravance Biopharma, at its option, may satisfy the quarterly interest payment obligations by making a capital contribution to the Is</w:t>
      </w:r>
      <w:r>
        <w:rPr>
          <w:sz w:val="20"/>
          <w:szCs w:val="20"/>
        </w:rPr>
        <w:t>suer II.</w:t>
      </w:r>
    </w:p>
    <w:p w:rsidR="00000000" w:rsidRDefault="00B51E11">
      <w:pPr>
        <w:pStyle w:val="a3"/>
        <w:spacing w:before="0" w:beforeAutospacing="0" w:after="200" w:afterAutospacing="0"/>
        <w:ind w:firstLine="720"/>
        <w:divId w:val="1053240097"/>
        <w:rPr>
          <w:sz w:val="20"/>
          <w:szCs w:val="20"/>
        </w:rPr>
      </w:pPr>
      <w:r>
        <w:rPr>
          <w:sz w:val="20"/>
          <w:szCs w:val="20"/>
        </w:rPr>
        <w:t>Satisfying the obligations of these Notes could adversely affect the amount or timing of any distributions to our shareholders. In addition, the Non-Recourse 2035 Notes may be redeemed by Issuer II on and after February 28, 2022, in whole or in pa</w:t>
      </w:r>
      <w:r>
        <w:rPr>
          <w:sz w:val="20"/>
          <w:szCs w:val="20"/>
        </w:rPr>
        <w:t>rt, at specified redemption premiums. We may further choose to satisfy, repurchase, or refinance any Non-Recourse 2035 Notes, to the extent allowable, through public or private equity or debt financings if we deem such financings are available on favorable</w:t>
      </w:r>
      <w:r>
        <w:rPr>
          <w:sz w:val="20"/>
          <w:szCs w:val="20"/>
        </w:rPr>
        <w:t xml:space="preserve"> terms. If any or all of the Convertible Senior 2023 Notes are not converted into our ordinary shares before the maturity date, we will have to pay the holders the full aggregate principal amount of the Convertible Senior 2023 Notes then outstanding. If th</w:t>
      </w:r>
      <w:r>
        <w:rPr>
          <w:sz w:val="20"/>
          <w:szCs w:val="20"/>
        </w:rPr>
        <w:t>e Non-Recourse 2035 Notes are not refinanced or paid in full the holders of the Non-Recourse 2035 Notes will have the right to foreclose on the Issuer II Class C Units that represent a 63.75% economic interest in future royalties due on net sales of TRELEG</w:t>
      </w:r>
      <w:r>
        <w:rPr>
          <w:sz w:val="20"/>
          <w:szCs w:val="20"/>
        </w:rPr>
        <w:t xml:space="preserve">Y and related assets. If the Issuer II Class C Units are foreclosed upon, we will lose any right to receive 75% of the future royalty payments made by GSK in connection with the net sales of TRELEGY and related assets. Any of the above payments could have </w:t>
      </w:r>
      <w:r>
        <w:rPr>
          <w:sz w:val="20"/>
          <w:szCs w:val="20"/>
        </w:rPr>
        <w:t xml:space="preserve">a material adverse effect on our cash position. Our failure to satisfy these obligations may result in a default under the applicable indenture governing these Notes, which could result in a default under certain of our other debt instruments, if any. Any </w:t>
      </w:r>
      <w:r>
        <w:rPr>
          <w:sz w:val="20"/>
          <w:szCs w:val="20"/>
        </w:rPr>
        <w:t>such default would harm our business and the price of our securities could fall.</w:t>
      </w:r>
    </w:p>
    <w:p w:rsidR="00000000" w:rsidRDefault="00B51E11">
      <w:pPr>
        <w:pStyle w:val="a3"/>
        <w:spacing w:before="0" w:beforeAutospacing="0" w:after="120" w:afterAutospacing="0"/>
        <w:divId w:val="1053240097"/>
        <w:rPr>
          <w:sz w:val="20"/>
          <w:szCs w:val="20"/>
        </w:rPr>
      </w:pPr>
      <w:r>
        <w:rPr>
          <w:b/>
          <w:bCs/>
          <w:i/>
          <w:iCs/>
          <w:sz w:val="20"/>
          <w:szCs w:val="20"/>
        </w:rPr>
        <w:t>Servicing our Convertible Senior 2023 Notes requires a significant amount of cash, and we may not have sufficient cash flow from our business to pay our debt. Additionally, ho</w:t>
      </w:r>
      <w:r>
        <w:rPr>
          <w:b/>
          <w:bCs/>
          <w:i/>
          <w:iCs/>
          <w:sz w:val="20"/>
          <w:szCs w:val="20"/>
        </w:rPr>
        <w:t xml:space="preserve">lders may require us to repurchase our Convertible Senior 2023 Notes under certain circumstances, and we may not have sufficient cash to do so. </w:t>
      </w:r>
    </w:p>
    <w:p w:rsidR="00000000" w:rsidRDefault="00B51E11">
      <w:pPr>
        <w:pStyle w:val="a3"/>
        <w:spacing w:before="0" w:beforeAutospacing="0" w:after="0" w:afterAutospacing="0"/>
        <w:ind w:firstLine="720"/>
        <w:divId w:val="1053240097"/>
        <w:rPr>
          <w:sz w:val="20"/>
          <w:szCs w:val="20"/>
        </w:rPr>
      </w:pPr>
      <w:r>
        <w:rPr>
          <w:sz w:val="20"/>
          <w:szCs w:val="20"/>
        </w:rPr>
        <w:t>Our ability to make interest or principal payments when due or to refinance the Convertible Senior 2023 Notes d</w:t>
      </w:r>
      <w:r>
        <w:rPr>
          <w:sz w:val="20"/>
          <w:szCs w:val="20"/>
        </w:rPr>
        <w:t>epends on our future performance, which is subject to economic, financial, competitive and other factors beyond our control. Our business may not generate cash flow from operations sufficient to satisfy our obligations under the Convertible Senior 2023 Not</w:t>
      </w:r>
      <w:r>
        <w:rPr>
          <w:sz w:val="20"/>
          <w:szCs w:val="20"/>
        </w:rPr>
        <w:t>es and any future indebtedness we may incur and to make necessary capital expenditures. In addition, the issuance of the Non-Recourse 2035 Notes reduced the cash available for us to make interest or principal payments on, or to refinance, the Convertible S</w:t>
      </w:r>
      <w:r>
        <w:rPr>
          <w:sz w:val="20"/>
          <w:szCs w:val="20"/>
        </w:rPr>
        <w:t>enior 2023 Notes. We may be required to adopt one or more alternatives, such as reducing or delaying investments or capital expenditures, selling assets, refinancing or obtaining additional equity capital on terms that may be onerous or highly dilutive. Ou</w:t>
      </w:r>
      <w:r>
        <w:rPr>
          <w:sz w:val="20"/>
          <w:szCs w:val="20"/>
        </w:rPr>
        <w:t xml:space="preserve">r ability to refinance the Convertible Senior 2023 Notes or future indebtedness will depend on the capital markets and our financial condition at such time. We may not be able to engage in any of these </w:t>
      </w:r>
    </w:p>
    <w:p w:rsidR="00000000" w:rsidRDefault="00B51E11">
      <w:pPr>
        <w:pStyle w:val="a3"/>
        <w:spacing w:before="360" w:beforeAutospacing="0" w:after="0" w:afterAutospacing="0"/>
        <w:jc w:val="center"/>
        <w:divId w:val="417799540"/>
        <w:rPr>
          <w:sz w:val="20"/>
          <w:szCs w:val="20"/>
        </w:rPr>
      </w:pPr>
      <w:r>
        <w:rPr>
          <w:sz w:val="20"/>
          <w:szCs w:val="20"/>
        </w:rPr>
        <w:t>51</w:t>
      </w:r>
    </w:p>
    <w:p w:rsidR="00000000" w:rsidRDefault="00B51E11">
      <w:pPr>
        <w:pStyle w:val="a3"/>
        <w:spacing w:before="0" w:beforeAutospacing="0" w:after="600" w:afterAutospacing="0"/>
        <w:divId w:val="234780323"/>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1948732622"/>
        <w:rPr>
          <w:sz w:val="20"/>
          <w:szCs w:val="20"/>
        </w:rPr>
      </w:pPr>
      <w:r>
        <w:rPr>
          <w:sz w:val="20"/>
          <w:szCs w:val="20"/>
        </w:rPr>
        <w:t>activi</w:t>
      </w:r>
      <w:r>
        <w:rPr>
          <w:sz w:val="20"/>
          <w:szCs w:val="20"/>
        </w:rPr>
        <w:t>ties on desirable terms or at all, which could result in a default on the Convertible Senior 2023 Notes or future indebtedness.</w:t>
      </w:r>
    </w:p>
    <w:p w:rsidR="00000000" w:rsidRDefault="00B51E11">
      <w:pPr>
        <w:pStyle w:val="a3"/>
        <w:spacing w:before="0" w:beforeAutospacing="0" w:after="200" w:afterAutospacing="0"/>
        <w:ind w:firstLine="720"/>
        <w:divId w:val="1948732622"/>
        <w:rPr>
          <w:sz w:val="20"/>
          <w:szCs w:val="20"/>
        </w:rPr>
      </w:pPr>
      <w:r>
        <w:rPr>
          <w:sz w:val="20"/>
          <w:szCs w:val="20"/>
        </w:rPr>
        <w:t>The holders of the Convertible Senior 2023 Notes may have the right to require us to repurchase the Convertible Senior 2023 Note</w:t>
      </w:r>
      <w:r>
        <w:rPr>
          <w:sz w:val="20"/>
          <w:szCs w:val="20"/>
        </w:rPr>
        <w:t>s upon the occurrence of a “fundamental change” such as a change of control of our Company or the termination of trading of our ordinary shares, as defined in the indenture governing the Convertible Senior 2023 Notes. We may not have sufficient funds to re</w:t>
      </w:r>
      <w:r>
        <w:rPr>
          <w:sz w:val="20"/>
          <w:szCs w:val="20"/>
        </w:rPr>
        <w:t>purchase the Convertible Senior 2023 Notes in cash or have the ability to arrange necessary financing on acceptable terms. Our failure to repurchase the Convertible Senior 2023 Notes when required would result in an event of default with respect to the Con</w:t>
      </w:r>
      <w:r>
        <w:rPr>
          <w:sz w:val="20"/>
          <w:szCs w:val="20"/>
        </w:rPr>
        <w:t xml:space="preserve">vertible Senior 2023 Notes. In addition, any acceleration of the repayment of the Convertible Senior 2023 Notes or future indebtedness after any applicable notice or grace periods could have a material adverse effect on our business, results of operations </w:t>
      </w:r>
      <w:r>
        <w:rPr>
          <w:sz w:val="20"/>
          <w:szCs w:val="20"/>
        </w:rPr>
        <w:t>and financial condition.</w:t>
      </w:r>
    </w:p>
    <w:p w:rsidR="00000000" w:rsidRDefault="00B51E11">
      <w:pPr>
        <w:pStyle w:val="a3"/>
        <w:spacing w:before="0" w:beforeAutospacing="0" w:after="120" w:afterAutospacing="0"/>
        <w:divId w:val="1948732622"/>
        <w:rPr>
          <w:sz w:val="20"/>
          <w:szCs w:val="20"/>
        </w:rPr>
      </w:pPr>
      <w:r>
        <w:rPr>
          <w:b/>
          <w:bCs/>
          <w:i/>
          <w:iCs/>
          <w:sz w:val="20"/>
          <w:szCs w:val="20"/>
        </w:rPr>
        <w:t>Our business and operations would suffer in the event of significant disruptions of information technology systems or security breaches.</w:t>
      </w:r>
    </w:p>
    <w:p w:rsidR="00000000" w:rsidRDefault="00B51E11">
      <w:pPr>
        <w:pStyle w:val="a3"/>
        <w:spacing w:before="0" w:beforeAutospacing="0" w:after="200" w:afterAutospacing="0"/>
        <w:ind w:firstLine="720"/>
        <w:divId w:val="1948732622"/>
        <w:rPr>
          <w:sz w:val="20"/>
          <w:szCs w:val="20"/>
        </w:rPr>
      </w:pPr>
      <w:r>
        <w:rPr>
          <w:sz w:val="20"/>
          <w:szCs w:val="20"/>
        </w:rPr>
        <w:t>We rely extensively on computer systems to maintain information and manage our finances and bu</w:t>
      </w:r>
      <w:r>
        <w:rPr>
          <w:sz w:val="20"/>
          <w:szCs w:val="20"/>
        </w:rPr>
        <w:t xml:space="preserve">siness. In the ordinary course of business, we collect, store and transmit large amounts of confidential information (including but not limited to trade secrets or other intellectual property, proprietary business information and personal information) and </w:t>
      </w:r>
      <w:r>
        <w:rPr>
          <w:sz w:val="20"/>
          <w:szCs w:val="20"/>
        </w:rPr>
        <w:t>it is critical that we maintain the confidentiality and integrity of such confidential information. Although we have security measures in place, our internal information technology systems and those of our CROs and other service providers, including cloud-</w:t>
      </w:r>
      <w:r>
        <w:rPr>
          <w:sz w:val="20"/>
          <w:szCs w:val="20"/>
        </w:rPr>
        <w:t>based and hosted applications, data and services, are vulnerable to service interruptions and security breaches from inadvertent or intentional actions by our employees, service providers and/or business partners, from cyber-attacks by malicious third part</w:t>
      </w:r>
      <w:r>
        <w:rPr>
          <w:sz w:val="20"/>
          <w:szCs w:val="20"/>
        </w:rPr>
        <w:t xml:space="preserve">ies, and/or from, natural disasters, terrorism, war and telecommunication and electrical failures. Cyber-attacks are increasing in their frequency, sophistication, and intensity, and have become increasingly difficult to detect. Significant disruptions of </w:t>
      </w:r>
      <w:r>
        <w:rPr>
          <w:sz w:val="20"/>
          <w:szCs w:val="20"/>
        </w:rPr>
        <w:t>information technology systems or security breaches could adversely affect our business operations and result in financial, legal, business and reputational harm to us, including significant liability and/or significant disruption to our business. If a dis</w:t>
      </w:r>
      <w:r>
        <w:rPr>
          <w:sz w:val="20"/>
          <w:szCs w:val="20"/>
        </w:rPr>
        <w:t>ruption of information technology systems or security breach results in a loss of or damage to our data or regulatory applications, unauthorized access, use, or disclosure of, or the prevention of access to, confidential information, or other harm to our b</w:t>
      </w:r>
      <w:r>
        <w:rPr>
          <w:sz w:val="20"/>
          <w:szCs w:val="20"/>
        </w:rPr>
        <w:t>usiness, we could incur liability and reputational harm, we could be required to comply with federal and/or state breach notification laws and foreign law equivalents, we may incur legal expenses to protect our confidential information, the further develop</w:t>
      </w:r>
      <w:r>
        <w:rPr>
          <w:sz w:val="20"/>
          <w:szCs w:val="20"/>
        </w:rPr>
        <w:t>ment of our product candidates could be delayed and the price of our securities could fall. For example, the loss of clinical trial data from completed or ongoing clinical trials of our product candidates could result in delays in our regulatory approval e</w:t>
      </w:r>
      <w:r>
        <w:rPr>
          <w:sz w:val="20"/>
          <w:szCs w:val="20"/>
        </w:rPr>
        <w:t xml:space="preserve">fforts and significantly increase our costs to recover or reproduce the data. As another example, we may incur penalties imposed by the competent authorities in the EU Member States in case of breach of the EU rules governing the collection and processing </w:t>
      </w:r>
      <w:r>
        <w:rPr>
          <w:sz w:val="20"/>
          <w:szCs w:val="20"/>
        </w:rPr>
        <w:t>of personal data, including unauthorized access to or disclosure of personal data. Although we have security and fraud prevention measures in place, we have been subject to immaterial payment fraud activity. In 2017, we filed a lawsuit (which has since bee</w:t>
      </w:r>
      <w:r>
        <w:rPr>
          <w:sz w:val="20"/>
          <w:szCs w:val="20"/>
        </w:rPr>
        <w:t>n resolved) against a former employee for misappropriation of our confidential, proprietary and trade secret information. Moreover, there can be no assurance that such security measures will prevent service interruptions or security breaches that could adv</w:t>
      </w:r>
      <w:r>
        <w:rPr>
          <w:sz w:val="20"/>
          <w:szCs w:val="20"/>
        </w:rPr>
        <w:t>ersely affect our business. These same risks also apply to our partners and vendors, who similarly hold sensitive and critical information related to our business in computer systems and are similarly potentially vulnerable to attack.</w:t>
      </w:r>
    </w:p>
    <w:p w:rsidR="00000000" w:rsidRDefault="00B51E11">
      <w:pPr>
        <w:pStyle w:val="a3"/>
        <w:spacing w:before="0" w:beforeAutospacing="0" w:after="120" w:afterAutospacing="0"/>
        <w:divId w:val="1948732622"/>
        <w:rPr>
          <w:sz w:val="20"/>
          <w:szCs w:val="20"/>
        </w:rPr>
      </w:pPr>
      <w:r>
        <w:rPr>
          <w:b/>
          <w:bCs/>
          <w:i/>
          <w:iCs/>
          <w:sz w:val="20"/>
          <w:szCs w:val="20"/>
        </w:rPr>
        <w:t>If we lose key manage</w:t>
      </w:r>
      <w:r>
        <w:rPr>
          <w:b/>
          <w:bCs/>
          <w:i/>
          <w:iCs/>
          <w:sz w:val="20"/>
          <w:szCs w:val="20"/>
        </w:rPr>
        <w:t>ment or scientific personnel, or if we fail to attract and retain key employees, our ability to discover and develop our product candidates and commercialize our products, if any, will be impaired.</w:t>
      </w:r>
    </w:p>
    <w:p w:rsidR="00000000" w:rsidRDefault="00B51E11">
      <w:pPr>
        <w:pStyle w:val="a3"/>
        <w:spacing w:before="0" w:beforeAutospacing="0" w:after="200" w:afterAutospacing="0"/>
        <w:ind w:firstLine="720"/>
        <w:divId w:val="1948732622"/>
        <w:rPr>
          <w:sz w:val="20"/>
          <w:szCs w:val="20"/>
        </w:rPr>
      </w:pPr>
      <w:r>
        <w:rPr>
          <w:sz w:val="20"/>
          <w:szCs w:val="20"/>
        </w:rPr>
        <w:t>We are highly dependent on principal members of our manage</w:t>
      </w:r>
      <w:r>
        <w:rPr>
          <w:sz w:val="20"/>
          <w:szCs w:val="20"/>
        </w:rPr>
        <w:t>ment team and scientific staff, and in particular, our Chief Executive Officer, Rick E Winningham, to operate our business. Mr. Winningham has significant pharmaceutical industry experience. The loss of Mr. Winningham’s services could impair our ability to</w:t>
      </w:r>
      <w:r>
        <w:rPr>
          <w:sz w:val="20"/>
          <w:szCs w:val="20"/>
        </w:rPr>
        <w:t xml:space="preserve"> discover, develop and commercialize new medicines.</w:t>
      </w:r>
    </w:p>
    <w:p w:rsidR="00000000" w:rsidRDefault="00B51E11">
      <w:pPr>
        <w:pStyle w:val="a3"/>
        <w:spacing w:before="0" w:beforeAutospacing="0" w:after="200" w:afterAutospacing="0"/>
        <w:ind w:firstLine="720"/>
        <w:divId w:val="1948732622"/>
        <w:rPr>
          <w:sz w:val="20"/>
          <w:szCs w:val="20"/>
        </w:rPr>
      </w:pPr>
      <w:r>
        <w:rPr>
          <w:sz w:val="20"/>
          <w:szCs w:val="20"/>
        </w:rPr>
        <w:t>If we fail to retain our qualified personnel or replace them when they leave, we may be unable to continue our discovery, development and commercialization activities, which may cause the price of our sec</w:t>
      </w:r>
      <w:r>
        <w:rPr>
          <w:sz w:val="20"/>
          <w:szCs w:val="20"/>
        </w:rPr>
        <w:t>urities to fall.</w:t>
      </w:r>
    </w:p>
    <w:p w:rsidR="00000000" w:rsidRDefault="00B51E11">
      <w:pPr>
        <w:pStyle w:val="a3"/>
        <w:spacing w:before="0" w:beforeAutospacing="0" w:after="0" w:afterAutospacing="0"/>
        <w:ind w:firstLine="720"/>
        <w:divId w:val="1948732622"/>
        <w:rPr>
          <w:sz w:val="20"/>
          <w:szCs w:val="20"/>
        </w:rPr>
      </w:pPr>
      <w:r>
        <w:rPr>
          <w:sz w:val="20"/>
          <w:szCs w:val="20"/>
        </w:rPr>
        <w:t>In addition, our US operating subsidiary’s facility and most of its employees are located in northern California, headquarters to many other biotechnology and biopharmaceutical companies and many academic and research institutions. As a re</w:t>
      </w:r>
      <w:r>
        <w:rPr>
          <w:sz w:val="20"/>
          <w:szCs w:val="20"/>
        </w:rPr>
        <w:t xml:space="preserve">sult, competition for certain skilled personnel in our market is intense. None of our employees have employment </w:t>
      </w:r>
    </w:p>
    <w:p w:rsidR="00000000" w:rsidRDefault="00B51E11">
      <w:pPr>
        <w:pStyle w:val="a3"/>
        <w:spacing w:before="360" w:beforeAutospacing="0" w:after="0" w:afterAutospacing="0"/>
        <w:jc w:val="center"/>
        <w:divId w:val="553153767"/>
        <w:rPr>
          <w:sz w:val="20"/>
          <w:szCs w:val="20"/>
        </w:rPr>
      </w:pPr>
      <w:r>
        <w:rPr>
          <w:sz w:val="20"/>
          <w:szCs w:val="20"/>
        </w:rPr>
        <w:t>52</w:t>
      </w:r>
    </w:p>
    <w:p w:rsidR="00000000" w:rsidRDefault="00B51E11">
      <w:pPr>
        <w:pStyle w:val="a3"/>
        <w:spacing w:before="0" w:beforeAutospacing="0" w:after="600" w:afterAutospacing="0"/>
        <w:divId w:val="223489628"/>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343094208"/>
        <w:rPr>
          <w:sz w:val="20"/>
          <w:szCs w:val="20"/>
        </w:rPr>
      </w:pPr>
      <w:r>
        <w:rPr>
          <w:sz w:val="20"/>
          <w:szCs w:val="20"/>
        </w:rPr>
        <w:t>commitments for any fixed period of time and they all may leave our employment at will. If we fa</w:t>
      </w:r>
      <w:r>
        <w:rPr>
          <w:sz w:val="20"/>
          <w:szCs w:val="20"/>
        </w:rPr>
        <w:t>il to retain our qualified personnel or replace them when they leave, we may be unable to continue our development and commercialization activities and the price of our securities could fall.</w:t>
      </w:r>
    </w:p>
    <w:p w:rsidR="00000000" w:rsidRDefault="00B51E11">
      <w:pPr>
        <w:pStyle w:val="a3"/>
        <w:spacing w:before="0" w:beforeAutospacing="0" w:after="120" w:afterAutospacing="0"/>
        <w:divId w:val="343094208"/>
        <w:rPr>
          <w:sz w:val="20"/>
          <w:szCs w:val="20"/>
        </w:rPr>
      </w:pPr>
      <w:r>
        <w:rPr>
          <w:b/>
          <w:bCs/>
          <w:i/>
          <w:iCs/>
          <w:sz w:val="20"/>
          <w:szCs w:val="20"/>
        </w:rPr>
        <w:t>Global economic, political and social conditions may harm our ab</w:t>
      </w:r>
      <w:r>
        <w:rPr>
          <w:b/>
          <w:bCs/>
          <w:i/>
          <w:iCs/>
          <w:sz w:val="20"/>
          <w:szCs w:val="20"/>
        </w:rPr>
        <w:t>ility to do business, increase our costs and negatively affect our stock price.</w:t>
      </w:r>
    </w:p>
    <w:p w:rsidR="00000000" w:rsidRDefault="00B51E11">
      <w:pPr>
        <w:pStyle w:val="a3"/>
        <w:spacing w:before="0" w:beforeAutospacing="0" w:after="200" w:afterAutospacing="0"/>
        <w:ind w:firstLine="720"/>
        <w:divId w:val="343094208"/>
        <w:rPr>
          <w:sz w:val="20"/>
          <w:szCs w:val="20"/>
        </w:rPr>
      </w:pPr>
      <w:r>
        <w:rPr>
          <w:sz w:val="20"/>
          <w:szCs w:val="20"/>
        </w:rPr>
        <w:t>Worldwide economic conditions remain uncertain due to the decision by the United Kingdom (“UK”) to withdraw from the EU (often referred to as “Brexit”), current global economic</w:t>
      </w:r>
      <w:r>
        <w:rPr>
          <w:sz w:val="20"/>
          <w:szCs w:val="20"/>
        </w:rPr>
        <w:t xml:space="preserve"> challenges, the COVID-19 pandemic, and other disruptions to global and regional economies and markets.</w:t>
      </w:r>
    </w:p>
    <w:p w:rsidR="00000000" w:rsidRDefault="00B51E11">
      <w:pPr>
        <w:pStyle w:val="a3"/>
        <w:spacing w:before="0" w:beforeAutospacing="0" w:after="200" w:afterAutospacing="0"/>
        <w:ind w:firstLine="720"/>
        <w:divId w:val="343094208"/>
        <w:rPr>
          <w:sz w:val="20"/>
          <w:szCs w:val="20"/>
        </w:rPr>
      </w:pPr>
      <w:r>
        <w:rPr>
          <w:sz w:val="20"/>
          <w:szCs w:val="20"/>
        </w:rPr>
        <w:t xml:space="preserve">Brexit has created significant uncertainty about the future relationship between the UK and the EU, including with respect to the laws and regulations that will apply as the UK determines which EU laws to replace or replicate in the event of a withdrawal. </w:t>
      </w:r>
      <w:r>
        <w:rPr>
          <w:sz w:val="20"/>
          <w:szCs w:val="20"/>
        </w:rPr>
        <w:t>From a regulatory perspective, the UK’s withdrawal could bear significant complexity and risks. In addition, the exact terms of the UK’s withdrawal and the laws and regulations that will apply after the UK withdraws from the EU affect manufacturing sites t</w:t>
      </w:r>
      <w:r>
        <w:rPr>
          <w:sz w:val="20"/>
          <w:szCs w:val="20"/>
        </w:rPr>
        <w:t>hat hold an EU manufacturing authorization issued by the UK competent authorities.</w:t>
      </w:r>
    </w:p>
    <w:p w:rsidR="00000000" w:rsidRDefault="00B51E11">
      <w:pPr>
        <w:pStyle w:val="a3"/>
        <w:spacing w:before="0" w:beforeAutospacing="0" w:after="200" w:afterAutospacing="0"/>
        <w:ind w:firstLine="720"/>
        <w:divId w:val="343094208"/>
        <w:rPr>
          <w:sz w:val="20"/>
          <w:szCs w:val="20"/>
        </w:rPr>
      </w:pPr>
      <w:r>
        <w:rPr>
          <w:sz w:val="20"/>
          <w:szCs w:val="20"/>
        </w:rPr>
        <w:t>In light of the fact that a significant portion of the regulatory framework in the UK is derived from EU laws, Brexit could materially impact the EU regulatory regime govern</w:t>
      </w:r>
      <w:r>
        <w:rPr>
          <w:sz w:val="20"/>
          <w:szCs w:val="20"/>
        </w:rPr>
        <w:t xml:space="preserve">ing development, manufacture, importation, approval and commercialization of our product candidates in the UK or the EU. For example, there is a risk that the scope of a marketing authorization for a medicinal product granted by the European Commission or </w:t>
      </w:r>
      <w:r>
        <w:rPr>
          <w:sz w:val="20"/>
          <w:szCs w:val="20"/>
        </w:rPr>
        <w:t xml:space="preserve">by the competent authorities of EU member states will not encompass the UK. In these circumstances, a separate authorization granted by the UK competent authorities will be required to place medicinal products on the UK market. In addition, our ability to </w:t>
      </w:r>
      <w:r>
        <w:rPr>
          <w:sz w:val="20"/>
          <w:szCs w:val="20"/>
        </w:rPr>
        <w:t>rely on UK manufacturing sites to supply medicinal products intended for the EU market will depend on the terms of the UK’s withdrawal from the EU and, potentially, on the ability to obtain relevant exemptions under EU law to supply the EU market with medi</w:t>
      </w:r>
      <w:r>
        <w:rPr>
          <w:sz w:val="20"/>
          <w:szCs w:val="20"/>
        </w:rPr>
        <w:t>cinal products manufactured at UK-certified sites. There is also a risk that if batch release and quality control testing sites for our products are located only in the UK, manufacturers will be required to use sites in other EU member states to manufactur</w:t>
      </w:r>
      <w:r>
        <w:rPr>
          <w:sz w:val="20"/>
          <w:szCs w:val="20"/>
        </w:rPr>
        <w:t>e products for supply to the EU market. All of these changes, if they occur, could increase our costs and otherwise adversely affect our business. In addition, currency exchange rates for the British Pound and the Euro with respect to each other and to the</w:t>
      </w:r>
      <w:r>
        <w:rPr>
          <w:sz w:val="20"/>
          <w:szCs w:val="20"/>
        </w:rPr>
        <w:t xml:space="preserve"> US dollar have already been, and may be continue to be, negatively affected by Brexit, which could cause volatility in our quarterly financial results.</w:t>
      </w:r>
    </w:p>
    <w:p w:rsidR="00000000" w:rsidRDefault="00B51E11">
      <w:pPr>
        <w:pStyle w:val="a3"/>
        <w:spacing w:before="0" w:beforeAutospacing="0" w:after="200" w:afterAutospacing="0"/>
        <w:ind w:firstLine="720"/>
        <w:divId w:val="343094208"/>
        <w:rPr>
          <w:sz w:val="20"/>
          <w:szCs w:val="20"/>
        </w:rPr>
      </w:pPr>
      <w:r>
        <w:rPr>
          <w:sz w:val="20"/>
          <w:szCs w:val="20"/>
        </w:rPr>
        <w:t>Further, development of our product candidates and/or regulatory approval may be delayed for other poli</w:t>
      </w:r>
      <w:r>
        <w:rPr>
          <w:sz w:val="20"/>
          <w:szCs w:val="20"/>
        </w:rPr>
        <w:t>tical events beyond our control. For example, a US federal government shutdown or budget sequestration, such as ones that occurred during 2013, 2018, and 2019, may result in significant reductions to the FDA’s budget, employees and operations, which may le</w:t>
      </w:r>
      <w:r>
        <w:rPr>
          <w:sz w:val="20"/>
          <w:szCs w:val="20"/>
        </w:rPr>
        <w:t>ad to slower response times and longer review periods, potentially affecting our ability to progress development of our product candidates or obtain regulatory approval for our product candidates. Further, future government shutdowns could impact our abili</w:t>
      </w:r>
      <w:r>
        <w:rPr>
          <w:sz w:val="20"/>
          <w:szCs w:val="20"/>
        </w:rPr>
        <w:t>ty to access the public markets and obtain necessary capital in order to properly capitalize and continue our operations.</w:t>
      </w:r>
    </w:p>
    <w:p w:rsidR="00000000" w:rsidRDefault="00B51E11">
      <w:pPr>
        <w:pStyle w:val="a3"/>
        <w:spacing w:before="0" w:beforeAutospacing="0" w:after="200" w:afterAutospacing="0"/>
        <w:ind w:firstLine="720"/>
        <w:divId w:val="343094208"/>
        <w:rPr>
          <w:sz w:val="20"/>
          <w:szCs w:val="20"/>
        </w:rPr>
      </w:pPr>
      <w:r>
        <w:rPr>
          <w:sz w:val="20"/>
          <w:szCs w:val="20"/>
        </w:rPr>
        <w:t xml:space="preserve">Our operations also depend upon favorable trade relations between the US and those foreign countries in which our materials suppliers </w:t>
      </w:r>
      <w:r>
        <w:rPr>
          <w:sz w:val="20"/>
          <w:szCs w:val="20"/>
        </w:rPr>
        <w:t>have operations. A protectionist trade environment in either the US or those foreign countries in which we do business, such as a change in the current tariff structures, export compliance or other trade policies, may materially and adversely affect our op</w:t>
      </w:r>
      <w:r>
        <w:rPr>
          <w:sz w:val="20"/>
          <w:szCs w:val="20"/>
        </w:rPr>
        <w:t>erations.</w:t>
      </w:r>
    </w:p>
    <w:p w:rsidR="00000000" w:rsidRDefault="00B51E11">
      <w:pPr>
        <w:pStyle w:val="a3"/>
        <w:spacing w:before="0" w:beforeAutospacing="0" w:after="200" w:afterAutospacing="0"/>
        <w:ind w:firstLine="720"/>
        <w:divId w:val="343094208"/>
        <w:rPr>
          <w:sz w:val="20"/>
          <w:szCs w:val="20"/>
        </w:rPr>
      </w:pPr>
      <w:r>
        <w:rPr>
          <w:sz w:val="20"/>
          <w:szCs w:val="20"/>
        </w:rPr>
        <w:t>External factors, such as potential terrorist attacks, acts of war, geopolitical and social turmoil or similar events in many parts of the world, could also prevent or hinder our ability to do business, increase our costs and negatively affect ou</w:t>
      </w:r>
      <w:r>
        <w:rPr>
          <w:sz w:val="20"/>
          <w:szCs w:val="20"/>
        </w:rPr>
        <w:t>r stock price. These geopolitical, social and economic conditions could harm our business.</w:t>
      </w:r>
    </w:p>
    <w:p w:rsidR="00000000" w:rsidRDefault="00B51E11">
      <w:pPr>
        <w:pStyle w:val="a3"/>
        <w:spacing w:before="0" w:beforeAutospacing="0" w:after="120" w:afterAutospacing="0"/>
        <w:divId w:val="343094208"/>
        <w:rPr>
          <w:sz w:val="20"/>
          <w:szCs w:val="20"/>
        </w:rPr>
      </w:pPr>
      <w:r>
        <w:rPr>
          <w:b/>
          <w:bCs/>
          <w:i/>
          <w:iCs/>
          <w:sz w:val="20"/>
          <w:szCs w:val="20"/>
        </w:rPr>
        <w:t>Our US operating subsidiary’s facility is located near known earthquake fault zones, and the occurrence of an earthquake, extremist attack or other catastrophic disa</w:t>
      </w:r>
      <w:r>
        <w:rPr>
          <w:b/>
          <w:bCs/>
          <w:i/>
          <w:iCs/>
          <w:sz w:val="20"/>
          <w:szCs w:val="20"/>
        </w:rPr>
        <w:t>ster could cause damage to our facilities and equipment, which could require us to cease or curtail operations.</w:t>
      </w:r>
    </w:p>
    <w:p w:rsidR="00000000" w:rsidRDefault="00B51E11">
      <w:pPr>
        <w:pStyle w:val="a3"/>
        <w:spacing w:before="0" w:beforeAutospacing="0" w:after="0" w:afterAutospacing="0"/>
        <w:ind w:firstLine="720"/>
        <w:divId w:val="343094208"/>
        <w:rPr>
          <w:sz w:val="20"/>
          <w:szCs w:val="20"/>
        </w:rPr>
      </w:pPr>
      <w:r>
        <w:rPr>
          <w:sz w:val="20"/>
          <w:szCs w:val="20"/>
        </w:rPr>
        <w:t>Our US operating subsidiary’s facility is located in the San Francisco Bay Area near known earthquake fault zones and therefore will be vulnerab</w:t>
      </w:r>
      <w:r>
        <w:rPr>
          <w:sz w:val="20"/>
          <w:szCs w:val="20"/>
        </w:rPr>
        <w:t xml:space="preserve">le to damage from earthquakes. In October 1989, a major earthquake struck this area and caused significant property damage and a number of fatalities. We are also vulnerable to damage from other types of </w:t>
      </w:r>
    </w:p>
    <w:p w:rsidR="00000000" w:rsidRDefault="00B51E11">
      <w:pPr>
        <w:pStyle w:val="a3"/>
        <w:spacing w:before="360" w:beforeAutospacing="0" w:after="0" w:afterAutospacing="0"/>
        <w:jc w:val="center"/>
        <w:divId w:val="1484930134"/>
        <w:rPr>
          <w:sz w:val="20"/>
          <w:szCs w:val="20"/>
        </w:rPr>
      </w:pPr>
      <w:r>
        <w:rPr>
          <w:sz w:val="20"/>
          <w:szCs w:val="20"/>
        </w:rPr>
        <w:t>53</w:t>
      </w:r>
    </w:p>
    <w:p w:rsidR="00000000" w:rsidRDefault="00B51E11">
      <w:pPr>
        <w:pStyle w:val="a3"/>
        <w:spacing w:before="0" w:beforeAutospacing="0" w:after="600" w:afterAutospacing="0"/>
        <w:divId w:val="1220556622"/>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1621689887"/>
        <w:rPr>
          <w:sz w:val="20"/>
          <w:szCs w:val="20"/>
        </w:rPr>
      </w:pPr>
      <w:r>
        <w:rPr>
          <w:sz w:val="20"/>
          <w:szCs w:val="20"/>
        </w:rPr>
        <w:t xml:space="preserve">disasters, including power loss, attacks from extremist organizations, fire, floods, communications failures and similar events. If any disaster were to occur, our ability to operate our business could be seriously impaired. In addition, </w:t>
      </w:r>
      <w:r>
        <w:rPr>
          <w:sz w:val="20"/>
          <w:szCs w:val="20"/>
        </w:rPr>
        <w:t>the unique nature of our research activities and of much of our equipment could make it difficult and costly for us to recover from this type of disaster. We may not have adequate insurance to cover our losses resulting from disasters or other similar sign</w:t>
      </w:r>
      <w:r>
        <w:rPr>
          <w:sz w:val="20"/>
          <w:szCs w:val="20"/>
        </w:rPr>
        <w:t>ificant business interruptions and we do not plan to purchase additional insurance to cover such losses due to the cost of obtaining such coverage. Any significant losses that are not recoverable under our insurance policies could seriously impair our busi</w:t>
      </w:r>
      <w:r>
        <w:rPr>
          <w:sz w:val="20"/>
          <w:szCs w:val="20"/>
        </w:rPr>
        <w:t>ness and financial condition, which could cause the price of our securities to fall.</w:t>
      </w:r>
    </w:p>
    <w:p w:rsidR="00000000" w:rsidRDefault="00B51E11">
      <w:pPr>
        <w:pStyle w:val="a3"/>
        <w:spacing w:before="0" w:beforeAutospacing="0" w:after="120" w:afterAutospacing="0"/>
        <w:divId w:val="1621689887"/>
        <w:rPr>
          <w:sz w:val="20"/>
          <w:szCs w:val="20"/>
        </w:rPr>
      </w:pPr>
      <w:r>
        <w:rPr>
          <w:b/>
          <w:bCs/>
          <w:i/>
          <w:iCs/>
          <w:sz w:val="20"/>
          <w:szCs w:val="20"/>
        </w:rPr>
        <w:t>If YUPELRI does not continue to be accepted by physicians, patients, third-party payors, or the medical community in general, we may not receive significant additional rev</w:t>
      </w:r>
      <w:r>
        <w:rPr>
          <w:b/>
          <w:bCs/>
          <w:i/>
          <w:iCs/>
          <w:sz w:val="20"/>
          <w:szCs w:val="20"/>
        </w:rPr>
        <w:t>enues from sales of this product.</w:t>
      </w:r>
    </w:p>
    <w:p w:rsidR="00000000" w:rsidRDefault="00B51E11">
      <w:pPr>
        <w:pStyle w:val="a3"/>
        <w:spacing w:before="0" w:beforeAutospacing="0" w:after="200" w:afterAutospacing="0"/>
        <w:ind w:firstLine="720"/>
        <w:divId w:val="1621689887"/>
        <w:rPr>
          <w:sz w:val="20"/>
          <w:szCs w:val="20"/>
        </w:rPr>
      </w:pPr>
      <w:r>
        <w:rPr>
          <w:sz w:val="20"/>
          <w:szCs w:val="20"/>
        </w:rPr>
        <w:t>The commercial success of YUPELRI depends upon its acceptance by physicians, patients, third-party payors and the medical community in general. YUPELRI may not continue to be accepted by these parties. YUPELRI competes pre</w:t>
      </w:r>
      <w:r>
        <w:rPr>
          <w:sz w:val="20"/>
          <w:szCs w:val="20"/>
        </w:rPr>
        <w:t>dominantly with short-acting nebulized bronchodilators used three to four times per day and the nebulized LAMA Lonhal</w:t>
      </w:r>
      <w:r>
        <w:rPr>
          <w:sz w:val="20"/>
          <w:szCs w:val="20"/>
        </w:rPr>
        <w:t>a</w:t>
      </w:r>
      <w:r>
        <w:rPr>
          <w:sz w:val="15"/>
          <w:szCs w:val="15"/>
          <w:vertAlign w:val="superscript"/>
        </w:rPr>
        <w:t>TM</w:t>
      </w:r>
      <w:r>
        <w:rPr>
          <w:sz w:val="20"/>
          <w:szCs w:val="20"/>
        </w:rPr>
        <w:t xml:space="preserve"> Magnai</w:t>
      </w:r>
      <w:r>
        <w:rPr>
          <w:sz w:val="20"/>
          <w:szCs w:val="20"/>
        </w:rPr>
        <w:t>r</w:t>
      </w:r>
      <w:r>
        <w:rPr>
          <w:sz w:val="15"/>
          <w:szCs w:val="15"/>
          <w:vertAlign w:val="superscript"/>
        </w:rPr>
        <w:t>TM</w:t>
      </w:r>
      <w:r>
        <w:rPr>
          <w:sz w:val="20"/>
          <w:szCs w:val="20"/>
        </w:rPr>
        <w:t xml:space="preserve"> (SUN-101/eFlo</w:t>
      </w:r>
      <w:r>
        <w:rPr>
          <w:sz w:val="20"/>
          <w:szCs w:val="20"/>
        </w:rPr>
        <w:t>w</w:t>
      </w:r>
      <w:r>
        <w:rPr>
          <w:sz w:val="15"/>
          <w:szCs w:val="15"/>
          <w:vertAlign w:val="superscript"/>
        </w:rPr>
        <w:t>®</w:t>
      </w:r>
      <w:r>
        <w:rPr>
          <w:sz w:val="20"/>
          <w:szCs w:val="20"/>
        </w:rPr>
        <w:t xml:space="preserve">) used twice per day. We have seen increased volatility in sales of YUPELRI coinciding with the suspension of </w:t>
      </w:r>
      <w:r>
        <w:rPr>
          <w:sz w:val="20"/>
          <w:szCs w:val="20"/>
        </w:rPr>
        <w:t>in person sales calls, having less access to physicians and other healthcare providers and the progression of the COVID-19 pandemic and, if physicians, patients, third party payors, or the medical community in general believe that nebulized therapy present</w:t>
      </w:r>
      <w:r>
        <w:rPr>
          <w:sz w:val="20"/>
          <w:szCs w:val="20"/>
        </w:rPr>
        <w:t>s a risk of further spreading the SARS-COV-2 virus or that YUPELRI is otherwise not a preferred treatment option for those with COPD, we may see declines. Shifts to novel marketing tactics are being deployed in an effort to keep awareness levels and busine</w:t>
      </w:r>
      <w:r>
        <w:rPr>
          <w:sz w:val="20"/>
          <w:szCs w:val="20"/>
        </w:rPr>
        <w:t>ss generation positive, but these untested and unvalidated tactics may not be effective at maintaining YUPELRI brand growth. If YUPELRI’s acceptance does not continue to grow, or declines from previous levels, our business and financial results could be ma</w:t>
      </w:r>
      <w:r>
        <w:rPr>
          <w:sz w:val="20"/>
          <w:szCs w:val="20"/>
        </w:rPr>
        <w:t>terially harmed.</w:t>
      </w:r>
    </w:p>
    <w:p w:rsidR="00000000" w:rsidRDefault="00B51E11">
      <w:pPr>
        <w:pStyle w:val="a3"/>
        <w:spacing w:before="0" w:beforeAutospacing="0" w:after="120" w:afterAutospacing="0"/>
        <w:divId w:val="1621689887"/>
        <w:rPr>
          <w:sz w:val="20"/>
          <w:szCs w:val="20"/>
        </w:rPr>
      </w:pPr>
      <w:r>
        <w:rPr>
          <w:b/>
          <w:bCs/>
          <w:i/>
          <w:iCs/>
          <w:sz w:val="20"/>
          <w:szCs w:val="20"/>
        </w:rPr>
        <w:t>In collaboration with Mylan, we are responsible for marketing and sales of YUPELRI in the US, which subjects us to certain risks.</w:t>
      </w:r>
    </w:p>
    <w:p w:rsidR="00000000" w:rsidRDefault="00B51E11">
      <w:pPr>
        <w:pStyle w:val="a3"/>
        <w:spacing w:before="0" w:beforeAutospacing="0" w:after="200" w:afterAutospacing="0"/>
        <w:ind w:firstLine="720"/>
        <w:divId w:val="1621689887"/>
        <w:rPr>
          <w:sz w:val="20"/>
          <w:szCs w:val="20"/>
        </w:rPr>
      </w:pPr>
      <w:r>
        <w:rPr>
          <w:sz w:val="20"/>
          <w:szCs w:val="20"/>
        </w:rPr>
        <w:t>We currently maintain a sales force in the US and plan to continue to augment our sales and marketing personn</w:t>
      </w:r>
      <w:r>
        <w:rPr>
          <w:sz w:val="20"/>
          <w:szCs w:val="20"/>
        </w:rPr>
        <w:t>el to support our co-promotion obligations for YUPELRI under our agreement with Mylan. The risks of fulfilling our US co-promotion obligations to Mylan include:</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1689887"/>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costs and expenses associated with maintaining an independent sales and marketing organizati</w:t>
            </w:r>
            <w:r>
              <w:rPr>
                <w:sz w:val="20"/>
                <w:szCs w:val="20"/>
              </w:rPr>
              <w:t xml:space="preserve">on with appropriate technical expertise and supporting infrastructure, including third-party vendor logistics and consultant support, which costs and expenses could, depending on the scope and method of the marketing effort, exceed any product revenue for </w:t>
            </w:r>
            <w:r>
              <w:rPr>
                <w:sz w:val="20"/>
                <w:szCs w:val="20"/>
              </w:rPr>
              <w:t>several years;</w:t>
            </w:r>
          </w:p>
        </w:tc>
      </w:tr>
    </w:tbl>
    <w:p w:rsidR="00000000" w:rsidRDefault="00B51E11">
      <w:pPr>
        <w:divId w:val="162168988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1689887"/>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our ability to retain effective sales and marketing personnel and medical science liaisons in the US;</w:t>
            </w:r>
          </w:p>
        </w:tc>
      </w:tr>
    </w:tbl>
    <w:p w:rsidR="00000000" w:rsidRDefault="00B51E11">
      <w:pPr>
        <w:divId w:val="162168988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1689887"/>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ability of our sales and marketing personnel to obtain access to and educate adequate numbers of physicians about prescribing YUPELRI, in appropriate clinical situations; and</w:t>
            </w:r>
          </w:p>
        </w:tc>
      </w:tr>
    </w:tbl>
    <w:p w:rsidR="00000000" w:rsidRDefault="00B51E11">
      <w:pPr>
        <w:divId w:val="162168988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1689887"/>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lack of complementary products to be offered by sales personnel, whi</w:t>
            </w:r>
            <w:r>
              <w:rPr>
                <w:sz w:val="20"/>
                <w:szCs w:val="20"/>
              </w:rPr>
              <w:t>ch may put us at a competitive disadvantage relative to companies with more extensive product lines.</w:t>
            </w:r>
          </w:p>
        </w:tc>
      </w:tr>
    </w:tbl>
    <w:p w:rsidR="00000000" w:rsidRDefault="00B51E11">
      <w:pPr>
        <w:pStyle w:val="a3"/>
        <w:spacing w:before="0" w:beforeAutospacing="0" w:after="200" w:afterAutospacing="0"/>
        <w:ind w:firstLine="720"/>
        <w:divId w:val="1621689887"/>
        <w:rPr>
          <w:sz w:val="20"/>
          <w:szCs w:val="20"/>
        </w:rPr>
      </w:pPr>
      <w:r>
        <w:rPr>
          <w:sz w:val="20"/>
          <w:szCs w:val="20"/>
        </w:rPr>
        <w:t>If we are not successful in maintaining a sales and marketing organization with appropriate experience, technical expertise, supporting infrastructure and</w:t>
      </w:r>
      <w:r>
        <w:rPr>
          <w:sz w:val="20"/>
          <w:szCs w:val="20"/>
        </w:rPr>
        <w:t xml:space="preserve"> the ability to obtain access to and educate adequate numbers of physicians about prescribing YUPELRI in appropriate clinical situations, we will have difficulty maintaining effective commercialization of YUPELRI in the hospital setting, which would advers</w:t>
      </w:r>
      <w:r>
        <w:rPr>
          <w:sz w:val="20"/>
          <w:szCs w:val="20"/>
        </w:rPr>
        <w:t>ely affect our business and financial results and the condition and the price of our securities could fall.</w:t>
      </w:r>
    </w:p>
    <w:p w:rsidR="00000000" w:rsidRDefault="00B51E11">
      <w:pPr>
        <w:pStyle w:val="a3"/>
        <w:spacing w:before="0" w:beforeAutospacing="0" w:after="120" w:afterAutospacing="0"/>
        <w:divId w:val="1621689887"/>
        <w:rPr>
          <w:sz w:val="20"/>
          <w:szCs w:val="20"/>
        </w:rPr>
      </w:pPr>
      <w:r>
        <w:rPr>
          <w:b/>
          <w:bCs/>
          <w:i/>
          <w:iCs/>
          <w:sz w:val="20"/>
          <w:szCs w:val="20"/>
        </w:rPr>
        <w:t>We are subject to extensive and ongoing regulation, oversight and other requirements by the FDA and failure to comply with these regulations and req</w:t>
      </w:r>
      <w:r>
        <w:rPr>
          <w:b/>
          <w:bCs/>
          <w:i/>
          <w:iCs/>
          <w:sz w:val="20"/>
          <w:szCs w:val="20"/>
        </w:rPr>
        <w:t>uirements may subject us to penalties that may adversely affect our financial condition or our ability to commercialize any approved products.</w:t>
      </w:r>
    </w:p>
    <w:p w:rsidR="00000000" w:rsidRDefault="00B51E11">
      <w:pPr>
        <w:pStyle w:val="a3"/>
        <w:spacing w:before="0" w:beforeAutospacing="0" w:after="0" w:afterAutospacing="0"/>
        <w:ind w:firstLine="720"/>
        <w:divId w:val="1621689887"/>
        <w:rPr>
          <w:sz w:val="20"/>
          <w:szCs w:val="20"/>
        </w:rPr>
      </w:pPr>
      <w:r>
        <w:rPr>
          <w:sz w:val="20"/>
          <w:szCs w:val="20"/>
        </w:rPr>
        <w:t>Prescription drug advertising and promotion are closely scrutinized by the FDA, including substantiation of promo</w:t>
      </w:r>
      <w:r>
        <w:rPr>
          <w:sz w:val="20"/>
          <w:szCs w:val="20"/>
        </w:rPr>
        <w:t xml:space="preserve">tional claims, disclosure of risks and safety information, and the use of themes and imagery in advertising and promotional materials. As with all companies selling and marketing products regulated by the FDA in the US, we are </w:t>
      </w:r>
    </w:p>
    <w:p w:rsidR="00000000" w:rsidRDefault="00B51E11">
      <w:pPr>
        <w:pStyle w:val="a3"/>
        <w:spacing w:before="360" w:beforeAutospacing="0" w:after="0" w:afterAutospacing="0"/>
        <w:jc w:val="center"/>
        <w:divId w:val="1623875948"/>
        <w:rPr>
          <w:sz w:val="20"/>
          <w:szCs w:val="20"/>
        </w:rPr>
      </w:pPr>
      <w:r>
        <w:rPr>
          <w:sz w:val="20"/>
          <w:szCs w:val="20"/>
        </w:rPr>
        <w:t>54</w:t>
      </w:r>
    </w:p>
    <w:p w:rsidR="00000000" w:rsidRDefault="00B51E11">
      <w:pPr>
        <w:pStyle w:val="a3"/>
        <w:spacing w:before="0" w:beforeAutospacing="0" w:after="600" w:afterAutospacing="0"/>
        <w:divId w:val="1452936035"/>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1360816779"/>
        <w:rPr>
          <w:sz w:val="20"/>
          <w:szCs w:val="20"/>
        </w:rPr>
      </w:pPr>
      <w:r>
        <w:rPr>
          <w:sz w:val="20"/>
          <w:szCs w:val="20"/>
        </w:rPr>
        <w:t>prohibited from promoting any uses of an approved product, such as YUPELRI, that are outside the scope of those uses that have been expressly approved by the FDA as safe and effective on the product’s label.</w:t>
      </w:r>
    </w:p>
    <w:p w:rsidR="00000000" w:rsidRDefault="00B51E11">
      <w:pPr>
        <w:pStyle w:val="a3"/>
        <w:spacing w:before="0" w:beforeAutospacing="0" w:after="200" w:afterAutospacing="0"/>
        <w:ind w:firstLine="720"/>
        <w:divId w:val="1360816779"/>
        <w:rPr>
          <w:sz w:val="20"/>
          <w:szCs w:val="20"/>
        </w:rPr>
      </w:pPr>
      <w:r>
        <w:rPr>
          <w:sz w:val="20"/>
          <w:szCs w:val="20"/>
        </w:rPr>
        <w:t xml:space="preserve">The </w:t>
      </w:r>
      <w:r>
        <w:rPr>
          <w:sz w:val="20"/>
          <w:szCs w:val="20"/>
        </w:rPr>
        <w:t>manufacturing, labeling, packaging, adverse event reporting, advertising, promotion and recordkeeping for an approved product remain subject to extensive and ongoing regulatory requirements. If we become aware of previously unknown problems with an approve</w:t>
      </w:r>
      <w:r>
        <w:rPr>
          <w:sz w:val="20"/>
          <w:szCs w:val="20"/>
        </w:rPr>
        <w:t>d product in the US or overseas or at a contract manufacturer’s facilities, a regulatory authority may impose restrictions on the product, the contract manufacturers or on us, including requiring us to reformulate the product, conduct additional clinical s</w:t>
      </w:r>
      <w:r>
        <w:rPr>
          <w:sz w:val="20"/>
          <w:szCs w:val="20"/>
        </w:rPr>
        <w:t>tudies, change the labeling of the product, withdraw the product from the market or require the contract manufacturer to implement changes to its facilities.</w:t>
      </w:r>
    </w:p>
    <w:p w:rsidR="00000000" w:rsidRDefault="00B51E11">
      <w:pPr>
        <w:pStyle w:val="a3"/>
        <w:spacing w:before="0" w:beforeAutospacing="0" w:after="200" w:afterAutospacing="0"/>
        <w:ind w:firstLine="720"/>
        <w:divId w:val="1360816779"/>
        <w:rPr>
          <w:sz w:val="20"/>
          <w:szCs w:val="20"/>
        </w:rPr>
      </w:pPr>
      <w:r>
        <w:rPr>
          <w:sz w:val="20"/>
          <w:szCs w:val="20"/>
        </w:rPr>
        <w:t>We are also subject to regulation by regional, national, state and local agencies, including the D</w:t>
      </w:r>
      <w:r>
        <w:rPr>
          <w:sz w:val="20"/>
          <w:szCs w:val="20"/>
        </w:rPr>
        <w:t>epartment of Justice, the Federal Trade Commission, the Office of Inspector General of the US Department of Health and Human Services (“OIG”) and other regulatory bodies with respect to any approved product, such as YUPELRI, as well as governmental authori</w:t>
      </w:r>
      <w:r>
        <w:rPr>
          <w:sz w:val="20"/>
          <w:szCs w:val="20"/>
        </w:rPr>
        <w:t>ties in those foreign countries in which any product is approved for commercialization. The Federal Food, Drug, and Cosmetic Act, the Public Health Service Act and other federal and state statutes and regulations govern to varying degrees the research, dev</w:t>
      </w:r>
      <w:r>
        <w:rPr>
          <w:sz w:val="20"/>
          <w:szCs w:val="20"/>
        </w:rPr>
        <w:t>elopment, manufacturing and commercial activities relating to prescription pharmaceutical products, including non-clinical and clinical testing, approval, production, labeling, sale, distribution, import, export, post-market surveillance, advertising, diss</w:t>
      </w:r>
      <w:r>
        <w:rPr>
          <w:sz w:val="20"/>
          <w:szCs w:val="20"/>
        </w:rPr>
        <w:t>emination of information and promotion. If we or any third parties that provide these services for us are unable to comply, we may be subject to regulatory or civil actions or penalties that could significantly and adversely affect our business.</w:t>
      </w:r>
    </w:p>
    <w:p w:rsidR="00000000" w:rsidRDefault="00B51E11">
      <w:pPr>
        <w:pStyle w:val="a3"/>
        <w:spacing w:before="0" w:beforeAutospacing="0" w:after="200" w:afterAutospacing="0"/>
        <w:ind w:firstLine="720"/>
        <w:divId w:val="1360816779"/>
        <w:rPr>
          <w:sz w:val="20"/>
          <w:szCs w:val="20"/>
        </w:rPr>
      </w:pPr>
      <w:r>
        <w:rPr>
          <w:sz w:val="20"/>
          <w:szCs w:val="20"/>
        </w:rPr>
        <w:t>Regulatory</w:t>
      </w:r>
      <w:r>
        <w:rPr>
          <w:sz w:val="20"/>
          <w:szCs w:val="20"/>
        </w:rPr>
        <w:t xml:space="preserve"> approval for our product candidates, if any, may include similar or other limitations on the indicated uses for which we can market our medicines or the patient population that may utilize our medicines, which may limit the market for our medicines or put</w:t>
      </w:r>
      <w:r>
        <w:rPr>
          <w:sz w:val="20"/>
          <w:szCs w:val="20"/>
        </w:rPr>
        <w:t xml:space="preserve"> us at a competitive disadvantage relative to alternative therapies.</w:t>
      </w:r>
    </w:p>
    <w:p w:rsidR="00000000" w:rsidRDefault="00B51E11">
      <w:pPr>
        <w:pStyle w:val="a3"/>
        <w:spacing w:before="0" w:beforeAutospacing="0" w:after="200" w:afterAutospacing="0"/>
        <w:ind w:firstLine="720"/>
        <w:divId w:val="1360816779"/>
        <w:rPr>
          <w:sz w:val="20"/>
          <w:szCs w:val="20"/>
        </w:rPr>
      </w:pPr>
      <w:r>
        <w:rPr>
          <w:sz w:val="20"/>
          <w:szCs w:val="20"/>
        </w:rPr>
        <w:t>Failure to satisfy required post-approval requirements and/or commitments may have implications for a product’s approval and may carry civil monetary penalties. Any failure to maintain re</w:t>
      </w:r>
      <w:r>
        <w:rPr>
          <w:sz w:val="20"/>
          <w:szCs w:val="20"/>
        </w:rPr>
        <w:t>gulatory approval will materially limit the ability to commercialize a product or any future product candidates and if we fail to comply with FDA regulations and requirements, the FDA could potentially take a number of enforcement actions against us, inclu</w:t>
      </w:r>
      <w:r>
        <w:rPr>
          <w:sz w:val="20"/>
          <w:szCs w:val="20"/>
        </w:rPr>
        <w:t xml:space="preserve">ding the issuance of untitled letters, warning letters, preventing the introduction or delivery of the product into interstate commerce in the US, misbranding charges, product seizures, injunctions, and civil monetary penalties, which would materially and </w:t>
      </w:r>
      <w:r>
        <w:rPr>
          <w:sz w:val="20"/>
          <w:szCs w:val="20"/>
        </w:rPr>
        <w:t>adversely affect our business and financial condition and may cause the price of our securities to fall.</w:t>
      </w:r>
    </w:p>
    <w:p w:rsidR="00000000" w:rsidRDefault="00B51E11">
      <w:pPr>
        <w:pStyle w:val="a3"/>
        <w:spacing w:before="0" w:beforeAutospacing="0" w:after="200" w:afterAutospacing="0"/>
        <w:ind w:firstLine="720"/>
        <w:divId w:val="1360816779"/>
        <w:rPr>
          <w:sz w:val="20"/>
          <w:szCs w:val="20"/>
        </w:rPr>
      </w:pPr>
      <w:r>
        <w:rPr>
          <w:sz w:val="20"/>
          <w:szCs w:val="20"/>
        </w:rPr>
        <w:t xml:space="preserve">The risks identified in this risk factor relating to regulatory actions and oversight by agencies in the US and throughout the world also apply to the </w:t>
      </w:r>
      <w:r>
        <w:rPr>
          <w:sz w:val="20"/>
          <w:szCs w:val="20"/>
        </w:rPr>
        <w:t>commercialization of any partnered products by our collaboration partners and those commercializing products with respect to which we have an economic interest or right to receive royalties, including GSK and Cumberland, and such regulatory actions and ove</w:t>
      </w:r>
      <w:r>
        <w:rPr>
          <w:sz w:val="20"/>
          <w:szCs w:val="20"/>
        </w:rPr>
        <w:t>rsight may limit those parties’ ability to commercialize such products, which could materially and adversely affect our business and financial condition, and which may cause the price of our securities to fall.</w:t>
      </w:r>
    </w:p>
    <w:p w:rsidR="00000000" w:rsidRDefault="00B51E11">
      <w:pPr>
        <w:pStyle w:val="a3"/>
        <w:spacing w:before="0" w:beforeAutospacing="0" w:after="120" w:afterAutospacing="0"/>
        <w:divId w:val="1360816779"/>
        <w:rPr>
          <w:sz w:val="20"/>
          <w:szCs w:val="20"/>
        </w:rPr>
      </w:pPr>
      <w:r>
        <w:rPr>
          <w:b/>
          <w:bCs/>
          <w:i/>
          <w:iCs/>
          <w:sz w:val="20"/>
          <w:szCs w:val="20"/>
        </w:rPr>
        <w:t>We and/or our collaboration partners and thos</w:t>
      </w:r>
      <w:r>
        <w:rPr>
          <w:b/>
          <w:bCs/>
          <w:i/>
          <w:iCs/>
          <w:sz w:val="20"/>
          <w:szCs w:val="20"/>
        </w:rPr>
        <w:t>e commercializing products with respect to which we have an economic interest or right to receive royalties may face competition from companies seeking to market generic versions of any approved products in which we have an interest, such as TRELEGY or YUP</w:t>
      </w:r>
      <w:r>
        <w:rPr>
          <w:b/>
          <w:bCs/>
          <w:i/>
          <w:iCs/>
          <w:sz w:val="20"/>
          <w:szCs w:val="20"/>
        </w:rPr>
        <w:t>ELRI.</w:t>
      </w:r>
    </w:p>
    <w:p w:rsidR="00000000" w:rsidRDefault="00B51E11">
      <w:pPr>
        <w:pStyle w:val="a3"/>
        <w:spacing w:before="0" w:beforeAutospacing="0" w:after="0" w:afterAutospacing="0"/>
        <w:ind w:firstLine="720"/>
        <w:divId w:val="1360816779"/>
        <w:rPr>
          <w:sz w:val="20"/>
          <w:szCs w:val="20"/>
        </w:rPr>
      </w:pPr>
      <w:r>
        <w:rPr>
          <w:sz w:val="20"/>
          <w:szCs w:val="20"/>
        </w:rPr>
        <w:t>Under the Drug Price Competition and Patent Term Restoration Act of 1984, a company may submit an abbreviated new drug application (“ANDA”) under section 505(j) of the Federal Food, Drug, and Cosmetic Act to market a generic version of an approved dr</w:t>
      </w:r>
      <w:r>
        <w:rPr>
          <w:sz w:val="20"/>
          <w:szCs w:val="20"/>
        </w:rPr>
        <w:t xml:space="preserve">ug. Because a generic applicant does not conduct its own clinical studies, but instead relies on the FDA’s finding of safety and effectiveness for the approved drug, it is able to introduce a competing product into the market at a cost significantly below </w:t>
      </w:r>
      <w:r>
        <w:rPr>
          <w:sz w:val="20"/>
          <w:szCs w:val="20"/>
        </w:rPr>
        <w:t>that of the original drug. Although we have multiple patents protecting YUPELRI until at least 2025 that are listed in the FDA’s Approved Drug Products with Therapeutic Equivalence Evaluations, commonly known as the Orange Book, and those commercializing p</w:t>
      </w:r>
      <w:r>
        <w:rPr>
          <w:sz w:val="20"/>
          <w:szCs w:val="20"/>
        </w:rPr>
        <w:t>roducts with respect to which we have an economic interest or right to receive royalties similarly have patents protecting their products, such as TRELEGY and VIBATIV, generic applicants could potentially submit “paragraph IV certifications” to FDA stating</w:t>
      </w:r>
      <w:r>
        <w:rPr>
          <w:sz w:val="20"/>
          <w:szCs w:val="20"/>
        </w:rPr>
        <w:t xml:space="preserve"> that such patents are invalid or will not be infringed by the applicant’s product. We have not received any such paragraph IV notifications nor are we aware of any with respect to products in which we have an economic interest or right to receive royaltie</w:t>
      </w:r>
      <w:r>
        <w:rPr>
          <w:sz w:val="20"/>
          <w:szCs w:val="20"/>
        </w:rPr>
        <w:t xml:space="preserve">s, but if any competitors successfully challenge the patents related to these products, we and/or our collaboration partners and those commercializing products with respect to </w:t>
      </w:r>
    </w:p>
    <w:p w:rsidR="00000000" w:rsidRDefault="00B51E11">
      <w:pPr>
        <w:pStyle w:val="a3"/>
        <w:spacing w:before="360" w:beforeAutospacing="0" w:after="0" w:afterAutospacing="0"/>
        <w:jc w:val="center"/>
        <w:divId w:val="168638306"/>
        <w:rPr>
          <w:sz w:val="20"/>
          <w:szCs w:val="20"/>
        </w:rPr>
      </w:pPr>
      <w:r>
        <w:rPr>
          <w:sz w:val="20"/>
          <w:szCs w:val="20"/>
        </w:rPr>
        <w:t>55</w:t>
      </w:r>
    </w:p>
    <w:p w:rsidR="00000000" w:rsidRDefault="00B51E11">
      <w:pPr>
        <w:pStyle w:val="a3"/>
        <w:spacing w:before="0" w:beforeAutospacing="0" w:after="600" w:afterAutospacing="0"/>
        <w:divId w:val="528295728"/>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1762144495"/>
        <w:rPr>
          <w:sz w:val="20"/>
          <w:szCs w:val="20"/>
        </w:rPr>
      </w:pPr>
      <w:r>
        <w:rPr>
          <w:sz w:val="20"/>
          <w:szCs w:val="20"/>
        </w:rPr>
        <w:t>which we have an economic intere</w:t>
      </w:r>
      <w:r>
        <w:rPr>
          <w:sz w:val="20"/>
          <w:szCs w:val="20"/>
        </w:rPr>
        <w:t>st or right to receive royalties would face substantial competition. If we are not able to compete effectively against such future competition, our business will not grow, our financial condition and operations will suffer and the price of our securities c</w:t>
      </w:r>
      <w:r>
        <w:rPr>
          <w:sz w:val="20"/>
          <w:szCs w:val="20"/>
        </w:rPr>
        <w:t>ould fall.</w:t>
      </w:r>
    </w:p>
    <w:p w:rsidR="00000000" w:rsidRDefault="00B51E11">
      <w:pPr>
        <w:pStyle w:val="a3"/>
        <w:spacing w:before="0" w:beforeAutospacing="0" w:after="200" w:afterAutospacing="0"/>
        <w:ind w:firstLine="720"/>
        <w:divId w:val="1762144495"/>
        <w:rPr>
          <w:sz w:val="20"/>
          <w:szCs w:val="20"/>
        </w:rPr>
      </w:pPr>
      <w:r>
        <w:rPr>
          <w:sz w:val="20"/>
          <w:szCs w:val="20"/>
        </w:rPr>
        <w:t>For additional discussion of the risk of generic competition to YUPELRI, please see the following risk factor below “</w:t>
      </w:r>
      <w:r>
        <w:rPr>
          <w:i/>
          <w:iCs/>
          <w:sz w:val="20"/>
          <w:szCs w:val="20"/>
        </w:rPr>
        <w:t>If our efforts to protect the proprietary nature of the intellectual property related to our technologies are not adequate, we m</w:t>
      </w:r>
      <w:r>
        <w:rPr>
          <w:i/>
          <w:iCs/>
          <w:sz w:val="20"/>
          <w:szCs w:val="20"/>
        </w:rPr>
        <w:t>ay not be able to compete effectively in our current or future markets</w:t>
      </w:r>
      <w:r>
        <w:rPr>
          <w:sz w:val="20"/>
          <w:szCs w:val="20"/>
        </w:rPr>
        <w:t>.”</w:t>
      </w:r>
    </w:p>
    <w:p w:rsidR="00000000" w:rsidRDefault="00B51E11">
      <w:pPr>
        <w:pStyle w:val="a3"/>
        <w:spacing w:before="0" w:beforeAutospacing="0" w:after="120" w:afterAutospacing="0"/>
        <w:divId w:val="1762144495"/>
        <w:rPr>
          <w:sz w:val="20"/>
          <w:szCs w:val="20"/>
        </w:rPr>
      </w:pPr>
      <w:r>
        <w:rPr>
          <w:b/>
          <w:bCs/>
          <w:i/>
          <w:iCs/>
          <w:sz w:val="20"/>
          <w:szCs w:val="20"/>
        </w:rPr>
        <w:t>We may be treated as a US corporation for US federal income tax purposes.</w:t>
      </w:r>
    </w:p>
    <w:p w:rsidR="00000000" w:rsidRDefault="00B51E11">
      <w:pPr>
        <w:pStyle w:val="a3"/>
        <w:spacing w:before="0" w:beforeAutospacing="0" w:after="200" w:afterAutospacing="0"/>
        <w:ind w:firstLine="720"/>
        <w:divId w:val="1762144495"/>
        <w:rPr>
          <w:sz w:val="20"/>
          <w:szCs w:val="20"/>
        </w:rPr>
      </w:pPr>
      <w:r>
        <w:rPr>
          <w:sz w:val="20"/>
          <w:szCs w:val="20"/>
        </w:rPr>
        <w:t>For US federal income tax purposes, a corporation generally is considered tax resident in the place of its in</w:t>
      </w:r>
      <w:r>
        <w:rPr>
          <w:sz w:val="20"/>
          <w:szCs w:val="20"/>
        </w:rPr>
        <w:t xml:space="preserve">corporation. Theravance Biopharma is incorporated under Cayman Islands law and established tax residency in Ireland effective July 1, 2015. Therefore, it should be a non-US corporation under this general rule. However, Section 7874 of the Internal Revenue </w:t>
      </w:r>
      <w:r>
        <w:rPr>
          <w:sz w:val="20"/>
          <w:szCs w:val="20"/>
        </w:rPr>
        <w:t>Code of 1986, as amended (the “Code”), contains rules that may result in a foreign corporation being treated as a US corporation for US federal income tax purposes. The application of these rules is complex and there is little guidance regarding certain as</w:t>
      </w:r>
      <w:r>
        <w:rPr>
          <w:sz w:val="20"/>
          <w:szCs w:val="20"/>
        </w:rPr>
        <w:t>pects of their application.</w:t>
      </w:r>
    </w:p>
    <w:p w:rsidR="00000000" w:rsidRDefault="00B51E11">
      <w:pPr>
        <w:pStyle w:val="a3"/>
        <w:spacing w:before="0" w:beforeAutospacing="0" w:after="200" w:afterAutospacing="0"/>
        <w:ind w:firstLine="720"/>
        <w:divId w:val="1762144495"/>
        <w:rPr>
          <w:sz w:val="20"/>
          <w:szCs w:val="20"/>
        </w:rPr>
      </w:pPr>
      <w:r>
        <w:rPr>
          <w:sz w:val="20"/>
          <w:szCs w:val="20"/>
        </w:rPr>
        <w:t>Under Section 7874 of the Code, a corporation created or organized outside the US will be treated as a US corporation for US federal tax purposes if (i) the foreign corporation directly or indirectly acquires substantially all o</w:t>
      </w:r>
      <w:r>
        <w:rPr>
          <w:sz w:val="20"/>
          <w:szCs w:val="20"/>
        </w:rPr>
        <w:t>f the properties held directly or indirectly by a US corporation, (ii) the former shareholders of the acquired US corporation hold at least 80% of the vote or value of the shares of the foreign acquiring corporation by reason of holding stock in the US acq</w:t>
      </w:r>
      <w:r>
        <w:rPr>
          <w:sz w:val="20"/>
          <w:szCs w:val="20"/>
        </w:rPr>
        <w:t>uired corporation, and (iii) the foreign corporation’s “expanded affiliated group” does not have “substantial business activities” in the foreign corporation’s country of incorporation relative to its expanded affiliated group’s worldwide activities. For t</w:t>
      </w:r>
      <w:r>
        <w:rPr>
          <w:sz w:val="20"/>
          <w:szCs w:val="20"/>
        </w:rPr>
        <w:t>his purpose, “expanded affiliated group” generally means the foreign corporation and all subsidiaries in which the foreign corporation, directly or indirectly, owns more than 50% of the stock by vote and value, and “substantial business activities” general</w:t>
      </w:r>
      <w:r>
        <w:rPr>
          <w:sz w:val="20"/>
          <w:szCs w:val="20"/>
        </w:rPr>
        <w:t>ly means at least 25% of employees (by number and compensation), assets and gross income of our expanded affiliated group are based, located and derived, respectively, in the country of incorporation.</w:t>
      </w:r>
    </w:p>
    <w:p w:rsidR="00000000" w:rsidRDefault="00B51E11">
      <w:pPr>
        <w:pStyle w:val="a3"/>
        <w:spacing w:before="0" w:beforeAutospacing="0" w:after="200" w:afterAutospacing="0"/>
        <w:ind w:firstLine="720"/>
        <w:divId w:val="1762144495"/>
        <w:rPr>
          <w:sz w:val="20"/>
          <w:szCs w:val="20"/>
        </w:rPr>
      </w:pPr>
      <w:r>
        <w:rPr>
          <w:sz w:val="20"/>
          <w:szCs w:val="20"/>
        </w:rPr>
        <w:t>We do not expect to be treated as a US corporation unde</w:t>
      </w:r>
      <w:r>
        <w:rPr>
          <w:sz w:val="20"/>
          <w:szCs w:val="20"/>
        </w:rPr>
        <w:t>r Section 7874 of the Code, because we do not believe that the assets contributed to us by Innoviva constituted “substantially all” of the properties of Innoviva (as determined on both a gross and net fair market value basis). However, the Internal Revenue</w:t>
      </w:r>
      <w:r>
        <w:rPr>
          <w:sz w:val="20"/>
          <w:szCs w:val="20"/>
        </w:rPr>
        <w:t xml:space="preserve"> Service may disagree with our conclusion on this point and assert that, in its view, the assets contributed to us by Innoviva did constitute “substantially all” of the properties of Innoviva. In addition, there could be legislative proposals to expand the</w:t>
      </w:r>
      <w:r>
        <w:rPr>
          <w:sz w:val="20"/>
          <w:szCs w:val="20"/>
        </w:rPr>
        <w:t xml:space="preserve"> scope of US corporate tax residence and there could be changes to Section 7874 of the Code or the Treasury Regulations promulgated thereunder that could apply retroactively and could result in Theravance Biopharma being treated as a US corporation.</w:t>
      </w:r>
    </w:p>
    <w:p w:rsidR="00000000" w:rsidRDefault="00B51E11">
      <w:pPr>
        <w:pStyle w:val="a3"/>
        <w:spacing w:before="0" w:beforeAutospacing="0" w:after="200" w:afterAutospacing="0"/>
        <w:ind w:firstLine="720"/>
        <w:divId w:val="1762144495"/>
        <w:rPr>
          <w:sz w:val="20"/>
          <w:szCs w:val="20"/>
        </w:rPr>
      </w:pPr>
      <w:r>
        <w:rPr>
          <w:sz w:val="20"/>
          <w:szCs w:val="20"/>
        </w:rPr>
        <w:t xml:space="preserve">If it </w:t>
      </w:r>
      <w:r>
        <w:rPr>
          <w:sz w:val="20"/>
          <w:szCs w:val="20"/>
        </w:rPr>
        <w:t>were determined that we should be treated as a US corporation for US federal income tax purposes, we could be liable for substantial additional US federal income tax on our post-Spin-Off taxable income. In addition, though we have no current plans to pay a</w:t>
      </w:r>
      <w:r>
        <w:rPr>
          <w:sz w:val="20"/>
          <w:szCs w:val="20"/>
        </w:rPr>
        <w:t>ny dividends, payments of any dividends to non-US holders may be subject to US withholding tax.</w:t>
      </w:r>
    </w:p>
    <w:p w:rsidR="00000000" w:rsidRDefault="00B51E11">
      <w:pPr>
        <w:pStyle w:val="a3"/>
        <w:spacing w:before="0" w:beforeAutospacing="0" w:after="120" w:afterAutospacing="0"/>
        <w:divId w:val="1762144495"/>
        <w:rPr>
          <w:sz w:val="20"/>
          <w:szCs w:val="20"/>
        </w:rPr>
      </w:pPr>
      <w:r>
        <w:rPr>
          <w:b/>
          <w:bCs/>
          <w:i/>
          <w:iCs/>
          <w:sz w:val="20"/>
          <w:szCs w:val="20"/>
        </w:rPr>
        <w:t>Taxing authorities may challenge our structure and transfer pricing arrangements.</w:t>
      </w:r>
    </w:p>
    <w:p w:rsidR="00000000" w:rsidRDefault="00B51E11">
      <w:pPr>
        <w:pStyle w:val="a3"/>
        <w:spacing w:before="0" w:beforeAutospacing="0" w:after="0" w:afterAutospacing="0"/>
        <w:ind w:firstLine="720"/>
        <w:divId w:val="1762144495"/>
        <w:rPr>
          <w:sz w:val="20"/>
          <w:szCs w:val="20"/>
        </w:rPr>
      </w:pPr>
      <w:r>
        <w:rPr>
          <w:sz w:val="20"/>
          <w:szCs w:val="20"/>
        </w:rPr>
        <w:t>We are incorporated in the Cayman Islands, maintain subsidiaries in the Cayman</w:t>
      </w:r>
      <w:r>
        <w:rPr>
          <w:sz w:val="20"/>
          <w:szCs w:val="20"/>
        </w:rPr>
        <w:t xml:space="preserve"> Islands, the US, the UK and Ireland, and effective July 1, 2015, we migrated our tax residency from the Cayman Islands to Ireland. Due to economic and political conditions, various countries are actively considering changes to existing tax laws. We cannot</w:t>
      </w:r>
      <w:r>
        <w:rPr>
          <w:sz w:val="20"/>
          <w:szCs w:val="20"/>
        </w:rPr>
        <w:t xml:space="preserve"> predict the form or timing of potential legislative changes that could have a material adverse impact on our results of operations. We are aware that Ireland has implemented certain tax law changes and is expected to implement additional tax law changes t</w:t>
      </w:r>
      <w:r>
        <w:rPr>
          <w:sz w:val="20"/>
          <w:szCs w:val="20"/>
        </w:rPr>
        <w:t xml:space="preserve">o comply with the European Union Anti-Tax Avoidance Directives. These changes include the first ever Irish controlled foreign company (“CFC”) rules which came into effect on January 1, 2019. Due to provisions in </w:t>
      </w:r>
      <w:r>
        <w:rPr>
          <w:i/>
          <w:iCs/>
          <w:sz w:val="20"/>
          <w:szCs w:val="20"/>
        </w:rPr>
        <w:t>Finance Bill 2019</w:t>
      </w:r>
      <w:r>
        <w:rPr>
          <w:sz w:val="20"/>
          <w:szCs w:val="20"/>
        </w:rPr>
        <w:t>, Ireland will also impleme</w:t>
      </w:r>
      <w:r>
        <w:rPr>
          <w:sz w:val="20"/>
          <w:szCs w:val="20"/>
        </w:rPr>
        <w:t xml:space="preserve">nt certain transfer pricing rule changes, with effect from 2020. We are continuing to evaluate and monitor the applicability of the CFC rules published in </w:t>
      </w:r>
      <w:r>
        <w:rPr>
          <w:i/>
          <w:iCs/>
          <w:sz w:val="20"/>
          <w:szCs w:val="20"/>
        </w:rPr>
        <w:t>Finance Act 2018</w:t>
      </w:r>
      <w:r>
        <w:rPr>
          <w:sz w:val="20"/>
          <w:szCs w:val="20"/>
        </w:rPr>
        <w:t>, but our current assessment, based on the rules and guidance published to date, is t</w:t>
      </w:r>
      <w:r>
        <w:rPr>
          <w:sz w:val="20"/>
          <w:szCs w:val="20"/>
        </w:rPr>
        <w:t>hat the rules are unlikely to have a material impact on our operations. Statutory language has been provided for the transfer pricing rule changes, and we believe that the transfer pricing rules are unlikely to have a material impact on our operations. New</w:t>
      </w:r>
      <w:r>
        <w:rPr>
          <w:sz w:val="20"/>
          <w:szCs w:val="20"/>
        </w:rPr>
        <w:t xml:space="preserve"> UK tax legislation was introduced by the </w:t>
      </w:r>
      <w:r>
        <w:rPr>
          <w:i/>
          <w:iCs/>
          <w:sz w:val="20"/>
          <w:szCs w:val="20"/>
        </w:rPr>
        <w:t>Finance Act 2019</w:t>
      </w:r>
      <w:r>
        <w:rPr>
          <w:sz w:val="20"/>
          <w:szCs w:val="20"/>
        </w:rPr>
        <w:t xml:space="preserve"> (“FA 2019”) that imposes a tax related to offshore receipts in respect of intangible property held in low tax jurisdictions (“ORIP”) and became effective in April 2019. FA 2019 also included a powe</w:t>
      </w:r>
      <w:r>
        <w:rPr>
          <w:sz w:val="20"/>
          <w:szCs w:val="20"/>
        </w:rPr>
        <w:t xml:space="preserve">r for amendments to the ORIP legislation to be made by regulation by </w:t>
      </w:r>
    </w:p>
    <w:p w:rsidR="00000000" w:rsidRDefault="00B51E11">
      <w:pPr>
        <w:pStyle w:val="a3"/>
        <w:spacing w:before="360" w:beforeAutospacing="0" w:after="0" w:afterAutospacing="0"/>
        <w:jc w:val="center"/>
        <w:divId w:val="1450052928"/>
        <w:rPr>
          <w:sz w:val="20"/>
          <w:szCs w:val="20"/>
        </w:rPr>
      </w:pPr>
      <w:r>
        <w:rPr>
          <w:sz w:val="20"/>
          <w:szCs w:val="20"/>
        </w:rPr>
        <w:t>56</w:t>
      </w:r>
    </w:p>
    <w:p w:rsidR="00000000" w:rsidRDefault="00B51E11">
      <w:pPr>
        <w:pStyle w:val="a3"/>
        <w:spacing w:before="0" w:beforeAutospacing="0" w:after="600" w:afterAutospacing="0"/>
        <w:divId w:val="892691961"/>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825706597"/>
        <w:rPr>
          <w:sz w:val="20"/>
          <w:szCs w:val="20"/>
        </w:rPr>
      </w:pPr>
      <w:r>
        <w:rPr>
          <w:sz w:val="20"/>
          <w:szCs w:val="20"/>
        </w:rPr>
        <w:t>December 31, 2019. On October </w:t>
      </w:r>
      <w:r>
        <w:rPr>
          <w:sz w:val="20"/>
          <w:szCs w:val="20"/>
        </w:rPr>
        <w:t>15, 2019, the UK published further guidance intended to facilitate the administration of the ORIP regime. However, a number of issues and areas of uncertainty remain. We have reviewed the original legislation in conjunction with the guidance and believe th</w:t>
      </w:r>
      <w:r>
        <w:rPr>
          <w:sz w:val="20"/>
          <w:szCs w:val="20"/>
        </w:rPr>
        <w:t xml:space="preserve">at the ORIP regime may apply to certain cash receipts. Based on this analysis, we believe that the ORIP charge on UK-derived cash receipts through 2020 is not material. </w:t>
      </w:r>
    </w:p>
    <w:p w:rsidR="00000000" w:rsidRDefault="00B51E11">
      <w:pPr>
        <w:pStyle w:val="a3"/>
        <w:spacing w:before="0" w:beforeAutospacing="0" w:after="200" w:afterAutospacing="0"/>
        <w:ind w:firstLine="720"/>
        <w:divId w:val="825706597"/>
        <w:rPr>
          <w:rFonts w:ascii="Calibri" w:hAnsi="Calibri" w:cs="Calibri"/>
          <w:sz w:val="20"/>
          <w:szCs w:val="20"/>
        </w:rPr>
      </w:pPr>
      <w:r>
        <w:rPr>
          <w:sz w:val="20"/>
          <w:szCs w:val="20"/>
        </w:rPr>
        <w:t>In April 2020, we became aware of a withholding tax regulation that could be interpret</w:t>
      </w:r>
      <w:r>
        <w:rPr>
          <w:sz w:val="20"/>
          <w:szCs w:val="20"/>
        </w:rPr>
        <w:t>ed to apply to certain of our previous intra-group transactions. We are evaluating whether the current interpretation of this regulation could apply to our facts and circumstances, and we may establish a reserve related to this matter upon conclusion of ou</w:t>
      </w:r>
      <w:r>
        <w:rPr>
          <w:sz w:val="20"/>
          <w:szCs w:val="20"/>
        </w:rPr>
        <w:t>r analysis during the second quarter of 2020. Based on our initial analysis, we do not believe that a reserve would be material. However, additional guidance on this regulation could change this analysis and consequently impact our condensed consolidated f</w:t>
      </w:r>
      <w:r>
        <w:rPr>
          <w:sz w:val="20"/>
          <w:szCs w:val="20"/>
        </w:rPr>
        <w:t>inancial statements.</w:t>
      </w:r>
    </w:p>
    <w:p w:rsidR="00000000" w:rsidRDefault="00B51E11">
      <w:pPr>
        <w:pStyle w:val="a3"/>
        <w:spacing w:before="0" w:beforeAutospacing="0" w:after="200" w:afterAutospacing="0"/>
        <w:ind w:firstLine="720"/>
        <w:divId w:val="825706597"/>
        <w:rPr>
          <w:sz w:val="20"/>
          <w:szCs w:val="20"/>
        </w:rPr>
      </w:pPr>
      <w:r>
        <w:rPr>
          <w:sz w:val="20"/>
          <w:szCs w:val="20"/>
        </w:rPr>
        <w:t>In addition, significant judgment is required in determining our worldwide provision for income taxes. Various factors may have favorable or unfavorable effects on our income tax rate including, but not limited to the performance of ce</w:t>
      </w:r>
      <w:r>
        <w:rPr>
          <w:sz w:val="20"/>
          <w:szCs w:val="20"/>
        </w:rPr>
        <w:t>rtain functions and ownership of certain assets in tax-efficient jurisdictions such as the Cayman Islands and Ireland, together with intra-group transfer pricing agreements. Taxing authorities may challenge our structure and transfer pricing arrangements t</w:t>
      </w:r>
      <w:r>
        <w:rPr>
          <w:sz w:val="20"/>
          <w:szCs w:val="20"/>
        </w:rPr>
        <w:t>hrough an audit or lawsuit. Responding to or defending such a challenge could be expensive and consume time and other resources, and divert management’s time and focus from operating our business. We cannot predict whether taxing authorities will conduct a</w:t>
      </w:r>
      <w:r>
        <w:rPr>
          <w:sz w:val="20"/>
          <w:szCs w:val="20"/>
        </w:rPr>
        <w:t>n audit or file a lawsuit challenging this structure, the cost involved in responding to any such audit or lawsuit, or the outcome. We may be required to pay taxes for prior periods, interest, fines or penalties, and may be obligated to pay increased taxes</w:t>
      </w:r>
      <w:r>
        <w:rPr>
          <w:sz w:val="20"/>
          <w:szCs w:val="20"/>
        </w:rPr>
        <w:t xml:space="preserve"> in the future which could result in reduced cash flows and have a material adverse effect on our business, financial condition and growth prospects.</w:t>
      </w:r>
    </w:p>
    <w:p w:rsidR="00000000" w:rsidRDefault="00B51E11">
      <w:pPr>
        <w:pStyle w:val="a3"/>
        <w:spacing w:before="0" w:beforeAutospacing="0" w:after="120" w:afterAutospacing="0"/>
        <w:divId w:val="825706597"/>
        <w:rPr>
          <w:sz w:val="20"/>
          <w:szCs w:val="20"/>
        </w:rPr>
      </w:pPr>
      <w:r>
        <w:rPr>
          <w:b/>
          <w:bCs/>
          <w:i/>
          <w:iCs/>
          <w:sz w:val="20"/>
          <w:szCs w:val="20"/>
        </w:rPr>
        <w:t>We were a passive foreign investment company, or “PFIC,” for 2014, but we were not a PFIC from 2015 throug</w:t>
      </w:r>
      <w:r>
        <w:rPr>
          <w:b/>
          <w:bCs/>
          <w:i/>
          <w:iCs/>
          <w:sz w:val="20"/>
          <w:szCs w:val="20"/>
        </w:rPr>
        <w:t>h 2019, and we do not expect to be a PFIC for the foreseeable future.</w:t>
      </w:r>
    </w:p>
    <w:p w:rsidR="00000000" w:rsidRDefault="00B51E11">
      <w:pPr>
        <w:pStyle w:val="a3"/>
        <w:spacing w:before="0" w:beforeAutospacing="0" w:after="240" w:afterAutospacing="0"/>
        <w:ind w:firstLine="720"/>
        <w:divId w:val="825706597"/>
        <w:rPr>
          <w:sz w:val="20"/>
          <w:szCs w:val="20"/>
        </w:rPr>
      </w:pPr>
      <w:r>
        <w:rPr>
          <w:sz w:val="20"/>
          <w:szCs w:val="20"/>
        </w:rPr>
        <w:t>For US federal income tax purposes, we generally would be classified as a PFIC for any taxable year if either (i) 75% or more of our gross income (including gross income of certain 25% o</w:t>
      </w:r>
      <w:r>
        <w:rPr>
          <w:sz w:val="20"/>
          <w:szCs w:val="20"/>
        </w:rPr>
        <w:t>r more owned corporate subsidiaries) is “passive income” (as defined for such purposes) or (ii) the average percentage of our assets (including the assets of certain 25% or more owned corporate subsidiaries) that produce passive income or that are held for</w:t>
      </w:r>
      <w:r>
        <w:rPr>
          <w:sz w:val="20"/>
          <w:szCs w:val="20"/>
        </w:rPr>
        <w:t xml:space="preserve"> the production of passive income is at least 50%. In addition, whether our Company will be a PFIC for any taxable year depends on our assets and income over the course of each such taxable year and, as a result, cannot be predicted with certainty until af</w:t>
      </w:r>
      <w:r>
        <w:rPr>
          <w:sz w:val="20"/>
          <w:szCs w:val="20"/>
        </w:rPr>
        <w:t>ter the end of the year.</w:t>
      </w:r>
    </w:p>
    <w:p w:rsidR="00000000" w:rsidRDefault="00B51E11">
      <w:pPr>
        <w:pStyle w:val="a3"/>
        <w:spacing w:before="0" w:beforeAutospacing="0" w:after="200" w:afterAutospacing="0"/>
        <w:ind w:firstLine="720"/>
        <w:divId w:val="825706597"/>
        <w:rPr>
          <w:sz w:val="20"/>
          <w:szCs w:val="20"/>
        </w:rPr>
      </w:pPr>
      <w:r>
        <w:rPr>
          <w:sz w:val="20"/>
          <w:szCs w:val="20"/>
        </w:rPr>
        <w:t>Based upon our assets and income during the course of 2014, we believe that our Company and one of our Company’s wholly-owned subsidiaries, Theravance Biopharma R&amp;D, Inc. was a PFIC for 2014. Based upon our assets and income from 2</w:t>
      </w:r>
      <w:r>
        <w:rPr>
          <w:sz w:val="20"/>
          <w:szCs w:val="20"/>
        </w:rPr>
        <w:t xml:space="preserve">015 through 2019, we do not believe that our Company is a PFIC since 2015. Based on existing tax law, we do not expect to be a PFIC for the foreseeable future based on our current business plans and current business model. For any taxable year (or portion </w:t>
      </w:r>
      <w:r>
        <w:rPr>
          <w:sz w:val="20"/>
          <w:szCs w:val="20"/>
        </w:rPr>
        <w:t xml:space="preserve">thereof) in which our Company is a PFIC that is included in the holding period of a US holder, the US holder is generally subject to additional US federal income taxes plus an interest charge with respect to certain distributions from Theravance Biopharma </w:t>
      </w:r>
      <w:r>
        <w:rPr>
          <w:sz w:val="20"/>
          <w:szCs w:val="20"/>
        </w:rPr>
        <w:t>or gain recognized on a sale of Theravance Biopharma shares. Similar rules would apply with respect to distributions from or gain recognized on an indirect sale of Theravance Biopharma Ireland Limited. US holders of our ordinary shares may have filed an el</w:t>
      </w:r>
      <w:r>
        <w:rPr>
          <w:sz w:val="20"/>
          <w:szCs w:val="20"/>
        </w:rPr>
        <w:t>ection with respect to Company shares held at any time during 2014 to be treated as owning an interest in a “qualified electing fund” (“QEF”) or to “mark to market” their ordinary shares to avoid the otherwise applicable interest charge consequences of PFI</w:t>
      </w:r>
      <w:r>
        <w:rPr>
          <w:sz w:val="20"/>
          <w:szCs w:val="20"/>
        </w:rPr>
        <w:t>C treatment with respect to our ordinary shares. A foreign corporation will not be treated as a QEF for any taxable year in which such foreign corporation is not treated as a PFIC. QEF and mark to market elections generally apply to the taxable year for wh</w:t>
      </w:r>
      <w:r>
        <w:rPr>
          <w:sz w:val="20"/>
          <w:szCs w:val="20"/>
        </w:rPr>
        <w:t>ich the election is made and all subsequent taxable years unless the election is revoked with consent of the Secretary of Treasury. US holders of our ordinary shares should consult their tax advisers regarding the tax reporting implications with respect to</w:t>
      </w:r>
      <w:r>
        <w:rPr>
          <w:sz w:val="20"/>
          <w:szCs w:val="20"/>
        </w:rPr>
        <w:t xml:space="preserve"> any QEF and mark to market elections made with respect to our Company and with respect to their indirect interests in Theravance Biopharma R&amp;D, Inc.</w:t>
      </w:r>
    </w:p>
    <w:p w:rsidR="00000000" w:rsidRDefault="00B51E11">
      <w:pPr>
        <w:pStyle w:val="a3"/>
        <w:spacing w:before="0" w:beforeAutospacing="0" w:after="120" w:afterAutospacing="0"/>
        <w:divId w:val="825706597"/>
        <w:rPr>
          <w:sz w:val="20"/>
          <w:szCs w:val="20"/>
        </w:rPr>
      </w:pPr>
      <w:r>
        <w:rPr>
          <w:b/>
          <w:bCs/>
          <w:i/>
          <w:iCs/>
          <w:sz w:val="20"/>
          <w:szCs w:val="20"/>
        </w:rPr>
        <w:t xml:space="preserve">If we are unable to maintain effective internal controls, our business, financial position and results of </w:t>
      </w:r>
      <w:r>
        <w:rPr>
          <w:b/>
          <w:bCs/>
          <w:i/>
          <w:iCs/>
          <w:sz w:val="20"/>
          <w:szCs w:val="20"/>
        </w:rPr>
        <w:t>operations could be adversely affected.</w:t>
      </w:r>
    </w:p>
    <w:p w:rsidR="00000000" w:rsidRDefault="00B51E11">
      <w:pPr>
        <w:pStyle w:val="a3"/>
        <w:spacing w:before="0" w:beforeAutospacing="0" w:after="0" w:afterAutospacing="0"/>
        <w:ind w:firstLine="720"/>
        <w:divId w:val="825706597"/>
        <w:rPr>
          <w:sz w:val="20"/>
          <w:szCs w:val="20"/>
        </w:rPr>
      </w:pPr>
      <w:r>
        <w:rPr>
          <w:sz w:val="20"/>
          <w:szCs w:val="20"/>
        </w:rPr>
        <w:t>If we are unable to maintain effective internal controls, our business, financial position and results of operations could be adversely affected. We are subject to the reporting and other obligations under the Exchan</w:t>
      </w:r>
      <w:r>
        <w:rPr>
          <w:sz w:val="20"/>
          <w:szCs w:val="20"/>
        </w:rPr>
        <w:t xml:space="preserve">ge Act, including the requirements of Section 404 of the Sarbanes-Oxley Act of 2002, which require annual management assessments of the </w:t>
      </w:r>
    </w:p>
    <w:p w:rsidR="00000000" w:rsidRDefault="00B51E11">
      <w:pPr>
        <w:pStyle w:val="a3"/>
        <w:spacing w:before="360" w:beforeAutospacing="0" w:after="0" w:afterAutospacing="0"/>
        <w:jc w:val="center"/>
        <w:divId w:val="1427386695"/>
        <w:rPr>
          <w:sz w:val="20"/>
          <w:szCs w:val="20"/>
        </w:rPr>
      </w:pPr>
      <w:r>
        <w:rPr>
          <w:sz w:val="20"/>
          <w:szCs w:val="20"/>
        </w:rPr>
        <w:t>57</w:t>
      </w:r>
    </w:p>
    <w:p w:rsidR="00000000" w:rsidRDefault="00B51E11">
      <w:pPr>
        <w:pStyle w:val="a3"/>
        <w:spacing w:before="0" w:beforeAutospacing="0" w:after="600" w:afterAutospacing="0"/>
        <w:divId w:val="938871635"/>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31273968"/>
        <w:rPr>
          <w:sz w:val="20"/>
          <w:szCs w:val="20"/>
        </w:rPr>
      </w:pPr>
      <w:r>
        <w:rPr>
          <w:sz w:val="20"/>
          <w:szCs w:val="20"/>
        </w:rPr>
        <w:t>effectiveness of our internal control over financial reporting. Our mana</w:t>
      </w:r>
      <w:r>
        <w:rPr>
          <w:sz w:val="20"/>
          <w:szCs w:val="20"/>
        </w:rPr>
        <w:t>gement is responsible for establishing and maintaining adequate internal control over financial reporting as defined in Rules 13a-15(f) under the Exchange Act. Our internal control over financial reporting is a process designed to provide reasonable assura</w:t>
      </w:r>
      <w:r>
        <w:rPr>
          <w:sz w:val="20"/>
          <w:szCs w:val="20"/>
        </w:rPr>
        <w:t>nce regarding the reliability of financial reporting and the preparation of financial statements for external purposes in accordance with accounting principles generally accepted in the US. Any failure to achieve and maintain effective internal controls co</w:t>
      </w:r>
      <w:r>
        <w:rPr>
          <w:sz w:val="20"/>
          <w:szCs w:val="20"/>
        </w:rPr>
        <w:t>uld have an adverse effect on our business, financial position and results of operations. In addition, our independent registered public accounting firm is required to attest to the effectiveness of our internal control over financial reporting annually. I</w:t>
      </w:r>
      <w:r>
        <w:rPr>
          <w:sz w:val="20"/>
          <w:szCs w:val="20"/>
        </w:rPr>
        <w:t>f our independent registered public accounting firm is unable to attest to the effectiveness of our internal control over financial reporting, investor confidence in our reported results will be harmed and the price of our securities may fall. These report</w:t>
      </w:r>
      <w:r>
        <w:rPr>
          <w:sz w:val="20"/>
          <w:szCs w:val="20"/>
        </w:rPr>
        <w:t>ing and other obligations place significant demands on our management and administrative and operational resources, including accounting resources.</w:t>
      </w:r>
    </w:p>
    <w:p w:rsidR="00000000" w:rsidRDefault="00B51E11">
      <w:pPr>
        <w:pStyle w:val="a3"/>
        <w:spacing w:before="0" w:beforeAutospacing="0" w:after="120" w:afterAutospacing="0"/>
        <w:divId w:val="31273968"/>
        <w:rPr>
          <w:sz w:val="20"/>
          <w:szCs w:val="20"/>
        </w:rPr>
      </w:pPr>
      <w:r>
        <w:rPr>
          <w:b/>
          <w:bCs/>
          <w:i/>
          <w:iCs/>
          <w:sz w:val="20"/>
          <w:szCs w:val="20"/>
        </w:rPr>
        <w:t>Agreements entered into with or for the benefit of GSK in connection with the Spin-Off may significantly res</w:t>
      </w:r>
      <w:r>
        <w:rPr>
          <w:b/>
          <w:bCs/>
          <w:i/>
          <w:iCs/>
          <w:sz w:val="20"/>
          <w:szCs w:val="20"/>
        </w:rPr>
        <w:t>trict our business and affairs.</w:t>
      </w:r>
    </w:p>
    <w:p w:rsidR="00000000" w:rsidRDefault="00B51E11">
      <w:pPr>
        <w:pStyle w:val="a3"/>
        <w:spacing w:before="0" w:beforeAutospacing="0" w:after="200" w:afterAutospacing="0"/>
        <w:ind w:firstLine="720"/>
        <w:divId w:val="31273968"/>
        <w:rPr>
          <w:sz w:val="20"/>
          <w:szCs w:val="20"/>
        </w:rPr>
      </w:pPr>
      <w:r>
        <w:rPr>
          <w:sz w:val="20"/>
          <w:szCs w:val="20"/>
        </w:rPr>
        <w:t>On March </w:t>
      </w:r>
      <w:r>
        <w:rPr>
          <w:sz w:val="20"/>
          <w:szCs w:val="20"/>
        </w:rPr>
        <w:t>3, 2014, in connection with the Spin-Off, we, Innoviva and GSK entered into a number of agreements that may significantly restrict our business and affairs. In particular, we, Innoviva and GSK entered into the Master Agreement which, among other things, re</w:t>
      </w:r>
      <w:r>
        <w:rPr>
          <w:sz w:val="20"/>
          <w:szCs w:val="20"/>
        </w:rPr>
        <w:t>quires GSK’s consent to make any changes to (i) a Separation and Distribution Agreement and ancillary agreements that would, individually or in the aggregate, reasonably be expected to adversely affect GSK in any material respect or (ii) the TRC LLC Agreem</w:t>
      </w:r>
      <w:r>
        <w:rPr>
          <w:sz w:val="20"/>
          <w:szCs w:val="20"/>
        </w:rPr>
        <w:t>ent, which consent is not to be unreasonably withheld, conditioned or delayed, provided that GSK may withhold, condition or delay such consent in its sole discretion with respect to certain sections of the TRC LLC Agreement and any changes to the governanc</w:t>
      </w:r>
      <w:r>
        <w:rPr>
          <w:sz w:val="20"/>
          <w:szCs w:val="20"/>
        </w:rPr>
        <w:t>e structure of TRC, the confidentiality restrictions, the consent rights, and the transfer restrictions in the TRC LLC Agreement. We and GSK also entered into (i) the Governance Agreement that expired on December 31, 2017, (ii) a registration rights agreem</w:t>
      </w:r>
      <w:r>
        <w:rPr>
          <w:sz w:val="20"/>
          <w:szCs w:val="20"/>
        </w:rPr>
        <w:t xml:space="preserve">ent that gives GSK certain registration rights with respect to our ordinary shares held by GSK and (iii) an extension agreement that extends to us certain restrictive covenants similar to those applicable to Innoviva under the GSK Agreements. There can be </w:t>
      </w:r>
      <w:r>
        <w:rPr>
          <w:sz w:val="20"/>
          <w:szCs w:val="20"/>
        </w:rPr>
        <w:t>no assurance that these restrictions will not materially harm our business, particularly given that GSK’s interests may not be aligned with the interests of our business or our other shareholders.</w:t>
      </w:r>
    </w:p>
    <w:p w:rsidR="00000000" w:rsidRDefault="00B51E11">
      <w:pPr>
        <w:pStyle w:val="a3"/>
        <w:spacing w:before="0" w:beforeAutospacing="0" w:after="120" w:afterAutospacing="0"/>
        <w:divId w:val="31273968"/>
        <w:rPr>
          <w:sz w:val="20"/>
          <w:szCs w:val="20"/>
        </w:rPr>
      </w:pPr>
      <w:r>
        <w:rPr>
          <w:b/>
          <w:bCs/>
          <w:i/>
          <w:iCs/>
          <w:sz w:val="20"/>
          <w:szCs w:val="20"/>
        </w:rPr>
        <w:t>Certain of our directors and officers may have actual or po</w:t>
      </w:r>
      <w:r>
        <w:rPr>
          <w:b/>
          <w:bCs/>
          <w:i/>
          <w:iCs/>
          <w:sz w:val="20"/>
          <w:szCs w:val="20"/>
        </w:rPr>
        <w:t>tential conflicts of interest because of their equity ownership in Innoviva, which actual or potential conflicts may harm our business, prospects and financial condition and result in the diversion of corporate opportunities to Innoviva.</w:t>
      </w:r>
    </w:p>
    <w:p w:rsidR="00000000" w:rsidRDefault="00B51E11">
      <w:pPr>
        <w:pStyle w:val="a3"/>
        <w:spacing w:before="0" w:beforeAutospacing="0" w:after="200" w:afterAutospacing="0"/>
        <w:ind w:firstLine="720"/>
        <w:divId w:val="31273968"/>
        <w:rPr>
          <w:sz w:val="20"/>
          <w:szCs w:val="20"/>
        </w:rPr>
      </w:pPr>
      <w:r>
        <w:rPr>
          <w:sz w:val="20"/>
          <w:szCs w:val="20"/>
        </w:rPr>
        <w:t>Certain of our dir</w:t>
      </w:r>
      <w:r>
        <w:rPr>
          <w:sz w:val="20"/>
          <w:szCs w:val="20"/>
        </w:rPr>
        <w:t>ectors and officers hold shares of Innoviva’s common stock or rights to acquire such shares, and these holdings may be significant for some of these individuals compared to their total assets. This ownership of Innoviva common stock by certain of our direc</w:t>
      </w:r>
      <w:r>
        <w:rPr>
          <w:sz w:val="20"/>
          <w:szCs w:val="20"/>
        </w:rPr>
        <w:t>tors and officers may create, or may create the appearance of, conflicts of interest when these directors and officers are faced with decisions that could have different implications for Innoviva and for us. For example, potential or actual conflicts could</w:t>
      </w:r>
      <w:r>
        <w:rPr>
          <w:sz w:val="20"/>
          <w:szCs w:val="20"/>
        </w:rPr>
        <w:t xml:space="preserve"> arise relating to: our relationship with Innoviva, including Innoviva’s and our respective rights and obligations under agreements entered into in connection with the Spin-Off; Innoviva’s management of TRC, particularly given that we and Innoviva have dif</w:t>
      </w:r>
      <w:r>
        <w:rPr>
          <w:sz w:val="20"/>
          <w:szCs w:val="20"/>
        </w:rPr>
        <w:t>ferent economic interests in TRC; and corporate opportunities that may be available to both companies in the future. Although we and Innoviva have implemented policies and procedures to identify and properly address such potential and actual conflicts of i</w:t>
      </w:r>
      <w:r>
        <w:rPr>
          <w:sz w:val="20"/>
          <w:szCs w:val="20"/>
        </w:rPr>
        <w:t>nterest, there can be no assurance that, when such conflicts are resolved in accordance with applicable laws, such conflicts of interest will not harm our business, prospects and financial condition and result in the diversion of corporate opportunities to</w:t>
      </w:r>
      <w:r>
        <w:rPr>
          <w:sz w:val="20"/>
          <w:szCs w:val="20"/>
        </w:rPr>
        <w:t xml:space="preserve"> Innoviva.</w:t>
      </w:r>
    </w:p>
    <w:p w:rsidR="00000000" w:rsidRDefault="00B51E11">
      <w:pPr>
        <w:pStyle w:val="a3"/>
        <w:spacing w:before="0" w:beforeAutospacing="0" w:after="120" w:afterAutospacing="0"/>
        <w:divId w:val="31273968"/>
        <w:rPr>
          <w:sz w:val="20"/>
          <w:szCs w:val="20"/>
        </w:rPr>
      </w:pPr>
      <w:r>
        <w:rPr>
          <w:b/>
          <w:bCs/>
          <w:i/>
          <w:iCs/>
          <w:sz w:val="20"/>
          <w:szCs w:val="20"/>
        </w:rPr>
        <w:t>If we are required to indemnify Innoviva or Cumberland, or if we are not able to enforce our indemnification rights against Innoviva or Cumberland, our business prospects and financial condition may be harmed.</w:t>
      </w:r>
    </w:p>
    <w:p w:rsidR="00000000" w:rsidRDefault="00B51E11">
      <w:pPr>
        <w:pStyle w:val="a3"/>
        <w:spacing w:before="0" w:beforeAutospacing="0" w:after="0" w:afterAutospacing="0"/>
        <w:ind w:firstLine="720"/>
        <w:divId w:val="31273968"/>
        <w:rPr>
          <w:sz w:val="20"/>
          <w:szCs w:val="20"/>
        </w:rPr>
      </w:pPr>
      <w:r>
        <w:rPr>
          <w:sz w:val="20"/>
          <w:szCs w:val="20"/>
        </w:rPr>
        <w:t>We agreed to indemnify Innoviva fro</w:t>
      </w:r>
      <w:r>
        <w:rPr>
          <w:sz w:val="20"/>
          <w:szCs w:val="20"/>
        </w:rPr>
        <w:t>m and after the Spin-Off with respect to (i) all debts, liabilities and obligations transferred to us in connection with the Spin-Off (including our failure to pay, perform or otherwise promptly discharge any such debts, liabilities or obligations after th</w:t>
      </w:r>
      <w:r>
        <w:rPr>
          <w:sz w:val="20"/>
          <w:szCs w:val="20"/>
        </w:rPr>
        <w:t>e Spin-Off), (ii) any misstatement or omission of a material fact resulting in a misleading statement in our Information Statement distributed to Innoviva stockholders in connection with the Spin-Off and (iii) any breach by us of certain agreements entered</w:t>
      </w:r>
      <w:r>
        <w:rPr>
          <w:sz w:val="20"/>
          <w:szCs w:val="20"/>
        </w:rPr>
        <w:t xml:space="preserve"> into with Innoviva in connection with the Spin-Off (namely, the Separation and Distribution Agreement, a Transition Services Agreement, an Employee Matters Agreement, a Tax Matters Agreement, and a Facility Sublease Agreement). We are not aware of any exi</w:t>
      </w:r>
      <w:r>
        <w:rPr>
          <w:sz w:val="20"/>
          <w:szCs w:val="20"/>
        </w:rPr>
        <w:t>sting indemnification obligations at this time, but any such indemnification obligations that may arise could be significant. Under the terms of the Separation and Distribution Agreement, Innoviva agreed to indemnify us from and after the Spin-Off with res</w:t>
      </w:r>
      <w:r>
        <w:rPr>
          <w:sz w:val="20"/>
          <w:szCs w:val="20"/>
        </w:rPr>
        <w:t xml:space="preserve">pect to (i) all debts, liabilities </w:t>
      </w:r>
    </w:p>
    <w:p w:rsidR="00000000" w:rsidRDefault="00B51E11">
      <w:pPr>
        <w:pStyle w:val="a3"/>
        <w:spacing w:before="360" w:beforeAutospacing="0" w:after="0" w:afterAutospacing="0"/>
        <w:jc w:val="center"/>
        <w:divId w:val="604271876"/>
        <w:rPr>
          <w:sz w:val="20"/>
          <w:szCs w:val="20"/>
        </w:rPr>
      </w:pPr>
      <w:r>
        <w:rPr>
          <w:sz w:val="20"/>
          <w:szCs w:val="20"/>
        </w:rPr>
        <w:t>58</w:t>
      </w:r>
    </w:p>
    <w:p w:rsidR="00000000" w:rsidRDefault="00B51E11">
      <w:pPr>
        <w:pStyle w:val="a3"/>
        <w:spacing w:before="0" w:beforeAutospacing="0" w:after="600" w:afterAutospacing="0"/>
        <w:divId w:val="1043823406"/>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1114985816"/>
        <w:rPr>
          <w:sz w:val="20"/>
          <w:szCs w:val="20"/>
        </w:rPr>
      </w:pPr>
      <w:r>
        <w:rPr>
          <w:sz w:val="20"/>
          <w:szCs w:val="20"/>
        </w:rPr>
        <w:t>and obligations retained by Innoviva after the Spin-Off (including its failure to pay, perform or otherwise promptly discharge any such debts, liabilities or obligations aft</w:t>
      </w:r>
      <w:r>
        <w:rPr>
          <w:sz w:val="20"/>
          <w:szCs w:val="20"/>
        </w:rPr>
        <w:t xml:space="preserve">er the Spin-Off) and (ii) any breach by Innoviva of the Separation and Distribution Agreement, the Transition Services Agreement, the Employee Matters Agreement, the Tax Matters Agreement, and the Facility Sublease Agreement. Our and Innoviva’s ability to </w:t>
      </w:r>
      <w:r>
        <w:rPr>
          <w:sz w:val="20"/>
          <w:szCs w:val="20"/>
        </w:rPr>
        <w:t>satisfy these indemnities, if called upon to do so, will depend upon our and Innoviva’s future financial strength. If we are required to indemnify Innoviva, or if we are not able to enforce our indemnification rights against Innoviva, our business prospect</w:t>
      </w:r>
      <w:r>
        <w:rPr>
          <w:sz w:val="20"/>
          <w:szCs w:val="20"/>
        </w:rPr>
        <w:t>s and financial condition may be harmed.</w:t>
      </w:r>
    </w:p>
    <w:p w:rsidR="00000000" w:rsidRDefault="00B51E11">
      <w:pPr>
        <w:pStyle w:val="a3"/>
        <w:spacing w:before="0" w:beforeAutospacing="0" w:after="200" w:afterAutospacing="0"/>
        <w:ind w:firstLine="720"/>
        <w:divId w:val="1114985816"/>
        <w:rPr>
          <w:sz w:val="20"/>
          <w:szCs w:val="20"/>
        </w:rPr>
      </w:pPr>
      <w:r>
        <w:rPr>
          <w:sz w:val="20"/>
          <w:szCs w:val="20"/>
        </w:rPr>
        <w:t>In addition, the agreement relating to the sale of VIBATIV to Cumberland contains indemnification obligations of both us and Cumberland. If we are required to indemnify Cumberland or if we are unable to enforce our indemnification rights against Cumberland</w:t>
      </w:r>
      <w:r>
        <w:rPr>
          <w:sz w:val="20"/>
          <w:szCs w:val="20"/>
        </w:rPr>
        <w:t xml:space="preserve"> for any reason, our business and financial condition may be harmed.</w:t>
      </w:r>
    </w:p>
    <w:p w:rsidR="00000000" w:rsidRDefault="00B51E11">
      <w:pPr>
        <w:pStyle w:val="a3"/>
        <w:spacing w:before="0" w:beforeAutospacing="0" w:after="120" w:afterAutospacing="0"/>
        <w:ind w:hanging="202"/>
        <w:divId w:val="1114985816"/>
        <w:rPr>
          <w:sz w:val="20"/>
          <w:szCs w:val="20"/>
        </w:rPr>
      </w:pPr>
      <w:r>
        <w:rPr>
          <w:b/>
          <w:bCs/>
          <w:sz w:val="20"/>
          <w:szCs w:val="20"/>
        </w:rPr>
        <w:t xml:space="preserve">RISKS RELATED TO LEGAL AND REGULATORY UNCERTAINTY </w:t>
      </w:r>
    </w:p>
    <w:p w:rsidR="00000000" w:rsidRDefault="00B51E11">
      <w:pPr>
        <w:pStyle w:val="a3"/>
        <w:spacing w:before="0" w:beforeAutospacing="0" w:after="120" w:afterAutospacing="0"/>
        <w:divId w:val="1114985816"/>
        <w:rPr>
          <w:sz w:val="20"/>
          <w:szCs w:val="20"/>
        </w:rPr>
      </w:pPr>
      <w:r>
        <w:rPr>
          <w:b/>
          <w:bCs/>
          <w:i/>
          <w:iCs/>
          <w:sz w:val="20"/>
          <w:szCs w:val="20"/>
        </w:rPr>
        <w:t>If our efforts to protect the proprietary nature of the intellectual property related to our technologies are not adequate, we may not b</w:t>
      </w:r>
      <w:r>
        <w:rPr>
          <w:b/>
          <w:bCs/>
          <w:i/>
          <w:iCs/>
          <w:sz w:val="20"/>
          <w:szCs w:val="20"/>
        </w:rPr>
        <w:t>e able to compete effectively in our current or future markets.</w:t>
      </w:r>
    </w:p>
    <w:p w:rsidR="00000000" w:rsidRDefault="00B51E11">
      <w:pPr>
        <w:pStyle w:val="a3"/>
        <w:spacing w:before="0" w:beforeAutospacing="0" w:after="200" w:afterAutospacing="0"/>
        <w:ind w:firstLine="720"/>
        <w:divId w:val="1114985816"/>
        <w:rPr>
          <w:sz w:val="20"/>
          <w:szCs w:val="20"/>
        </w:rPr>
      </w:pPr>
      <w:r>
        <w:rPr>
          <w:sz w:val="20"/>
          <w:szCs w:val="20"/>
        </w:rPr>
        <w:t>We rely upon a combination of patents, patent applications, trade secret protection and confidentiality agreements to protect the intellectual property related to our technologies. Any involun</w:t>
      </w:r>
      <w:r>
        <w:rPr>
          <w:sz w:val="20"/>
          <w:szCs w:val="20"/>
        </w:rPr>
        <w:t>tary disclosure to or misappropriation by third parties of this proprietary information could enable competitors to quickly duplicate or surpass our technological achievements, thus eroding our competitive position in our market. The status of patents in t</w:t>
      </w:r>
      <w:r>
        <w:rPr>
          <w:sz w:val="20"/>
          <w:szCs w:val="20"/>
        </w:rPr>
        <w:t>he biotechnology and pharmaceutical field involves complex legal and scientific questions and is very uncertain. As of September 30, 2020, we owned 466 issued US patents and 1,779 granted foreign patents, as well as additional pending US and foreign patent</w:t>
      </w:r>
      <w:r>
        <w:rPr>
          <w:sz w:val="20"/>
          <w:szCs w:val="20"/>
        </w:rPr>
        <w:t xml:space="preserve"> applications. Our patent applications may be challenged or fail to result in issued patents and our existing or future patents may be invalidated or be too narrow to prevent third parties from developing or designing around these patents. If the sufficien</w:t>
      </w:r>
      <w:r>
        <w:rPr>
          <w:sz w:val="20"/>
          <w:szCs w:val="20"/>
        </w:rPr>
        <w:t xml:space="preserve">cy of the breadth or strength of protection provided by our patents with respect to a product candidate is threatened, it could dissuade companies from collaborating with us to develop product candidates and threaten our ability to commercialize products. </w:t>
      </w:r>
      <w:r>
        <w:rPr>
          <w:sz w:val="20"/>
          <w:szCs w:val="20"/>
        </w:rPr>
        <w:t>Further, if we encounter delays in our clinical trials or in obtaining regulatory approval of our product candidates, the patent lives of the related product candidates would be reduced.</w:t>
      </w:r>
    </w:p>
    <w:p w:rsidR="00000000" w:rsidRDefault="00B51E11">
      <w:pPr>
        <w:pStyle w:val="a3"/>
        <w:spacing w:before="0" w:beforeAutospacing="0" w:after="200" w:afterAutospacing="0"/>
        <w:ind w:firstLine="720"/>
        <w:divId w:val="1114985816"/>
        <w:rPr>
          <w:sz w:val="20"/>
          <w:szCs w:val="20"/>
        </w:rPr>
      </w:pPr>
      <w:r>
        <w:rPr>
          <w:sz w:val="20"/>
          <w:szCs w:val="20"/>
        </w:rPr>
        <w:t>In addition, we rely on trade secret protection and confidentiality a</w:t>
      </w:r>
      <w:r>
        <w:rPr>
          <w:sz w:val="20"/>
          <w:szCs w:val="20"/>
        </w:rPr>
        <w:t>greements to protect proprietary know-how that is not patentable, for processes for which patents are difficult to enforce and for any other elements of our drug discovery and development processes that involve proprietary know-how, information and technol</w:t>
      </w:r>
      <w:r>
        <w:rPr>
          <w:sz w:val="20"/>
          <w:szCs w:val="20"/>
        </w:rPr>
        <w:t>ogy that is not covered by patent applications. Although we require our employees, consultants, advisors and any third parties who have access to our proprietary know-how, information and technology to enter into confidentiality agreements, we cannot be ce</w:t>
      </w:r>
      <w:r>
        <w:rPr>
          <w:sz w:val="20"/>
          <w:szCs w:val="20"/>
        </w:rPr>
        <w:t>rtain that this know-how, information and technology will not be misappropriated, disclosed or used for unauthorized purposes or that competitors will not otherwise gain access to our trade secrets or independently develop substantially equivalent informat</w:t>
      </w:r>
      <w:r>
        <w:rPr>
          <w:sz w:val="20"/>
          <w:szCs w:val="20"/>
        </w:rPr>
        <w:t>ion and techniques. Further, the laws of some foreign countries do not protect proprietary rights to the same extent as the laws of the US. As a result, we may encounter significant problems in protecting and defending our intellectual property both in the</w:t>
      </w:r>
      <w:r>
        <w:rPr>
          <w:sz w:val="20"/>
          <w:szCs w:val="20"/>
        </w:rPr>
        <w:t xml:space="preserve"> US and abroad. If we are unable to prevent material disclosure of the intellectual property related to our technologies to third parties, we will not be able to establish or, if established, maintain a competitive advantage in our market, which could mate</w:t>
      </w:r>
      <w:r>
        <w:rPr>
          <w:sz w:val="20"/>
          <w:szCs w:val="20"/>
        </w:rPr>
        <w:t>rially adversely affect our business, financial condition and results of operations, which could cause the price of our securities to fall.</w:t>
      </w:r>
    </w:p>
    <w:p w:rsidR="00000000" w:rsidRDefault="00B51E11">
      <w:pPr>
        <w:pStyle w:val="a3"/>
        <w:spacing w:before="0" w:beforeAutospacing="0" w:after="120" w:afterAutospacing="0"/>
        <w:divId w:val="1114985816"/>
        <w:rPr>
          <w:sz w:val="20"/>
          <w:szCs w:val="20"/>
        </w:rPr>
      </w:pPr>
      <w:r>
        <w:rPr>
          <w:b/>
          <w:bCs/>
          <w:i/>
          <w:iCs/>
          <w:sz w:val="20"/>
          <w:szCs w:val="20"/>
        </w:rPr>
        <w:t>Litigation to protect or defend our intellectual property or third-party claims of intellectual property infringemen</w:t>
      </w:r>
      <w:r>
        <w:rPr>
          <w:b/>
          <w:bCs/>
          <w:i/>
          <w:iCs/>
          <w:sz w:val="20"/>
          <w:szCs w:val="20"/>
        </w:rPr>
        <w:t>t would require us to divert resources and may prevent or delay our drug discovery and development efforts.</w:t>
      </w:r>
    </w:p>
    <w:p w:rsidR="00000000" w:rsidRDefault="00B51E11">
      <w:pPr>
        <w:pStyle w:val="a3"/>
        <w:spacing w:before="0" w:beforeAutospacing="0" w:after="200" w:afterAutospacing="0"/>
        <w:ind w:firstLine="720"/>
        <w:divId w:val="1114985816"/>
        <w:rPr>
          <w:sz w:val="20"/>
          <w:szCs w:val="20"/>
        </w:rPr>
      </w:pPr>
      <w:r>
        <w:rPr>
          <w:sz w:val="20"/>
          <w:szCs w:val="20"/>
        </w:rPr>
        <w:t xml:space="preserve">Our commercial success depends in part on us and our partners not infringing the patents and proprietary rights of third parties. Third parties may </w:t>
      </w:r>
      <w:r>
        <w:rPr>
          <w:sz w:val="20"/>
          <w:szCs w:val="20"/>
        </w:rPr>
        <w:t>assert that we or our partners are using their proprietary rights without authorization. There are third-party patents that may cover materials or methods for treatment related to our product candidates. At present, we are not aware of any patent infringem</w:t>
      </w:r>
      <w:r>
        <w:rPr>
          <w:sz w:val="20"/>
          <w:szCs w:val="20"/>
        </w:rPr>
        <w:t>ent claims with merit that would adversely and materially affect our ability to develop our product candidates, but nevertheless the possibility of third-party allegations cannot be ruled out. In addition, third parties may obtain patents in the future and</w:t>
      </w:r>
      <w:r>
        <w:rPr>
          <w:sz w:val="20"/>
          <w:szCs w:val="20"/>
        </w:rPr>
        <w:t xml:space="preserve"> claim that use of our technologies infringes upon these patents. Furthermore, parties making claims against us or our partners may obtain injunctive or other equitable relief, which could effectively block our ability to further develop and commercialize </w:t>
      </w:r>
      <w:r>
        <w:rPr>
          <w:sz w:val="20"/>
          <w:szCs w:val="20"/>
        </w:rPr>
        <w:t>one or more of our product candidates. Defense against these claims, regardless of their merit, would involve substantial litigation expense and would be a substantial diversion of employee resources from our business.</w:t>
      </w:r>
    </w:p>
    <w:p w:rsidR="00000000" w:rsidRDefault="00B51E11">
      <w:pPr>
        <w:pStyle w:val="a3"/>
        <w:spacing w:before="360" w:beforeAutospacing="0" w:after="0" w:afterAutospacing="0"/>
        <w:jc w:val="center"/>
        <w:divId w:val="1066341630"/>
        <w:rPr>
          <w:sz w:val="20"/>
          <w:szCs w:val="20"/>
        </w:rPr>
      </w:pPr>
      <w:r>
        <w:rPr>
          <w:sz w:val="20"/>
          <w:szCs w:val="20"/>
        </w:rPr>
        <w:t>59</w:t>
      </w:r>
    </w:p>
    <w:p w:rsidR="00000000" w:rsidRDefault="00B51E11">
      <w:pPr>
        <w:pStyle w:val="a3"/>
        <w:spacing w:before="0" w:beforeAutospacing="0" w:after="600" w:afterAutospacing="0"/>
        <w:divId w:val="648749326"/>
        <w:rPr>
          <w:sz w:val="20"/>
          <w:szCs w:val="20"/>
        </w:rPr>
      </w:pPr>
      <w:hyperlink w:anchor="TOC" w:history="1">
        <w:r>
          <w:rPr>
            <w:rStyle w:val="a4"/>
            <w:sz w:val="20"/>
            <w:szCs w:val="20"/>
          </w:rPr>
          <w:t>Table of</w:t>
        </w:r>
        <w:r>
          <w:rPr>
            <w:rStyle w:val="a4"/>
            <w:sz w:val="20"/>
            <w:szCs w:val="20"/>
          </w:rPr>
          <w:t xml:space="preserve"> Contents</w:t>
        </w:r>
      </w:hyperlink>
    </w:p>
    <w:p w:rsidR="00000000" w:rsidRDefault="00B51E11">
      <w:pPr>
        <w:pStyle w:val="a3"/>
        <w:spacing w:before="0" w:beforeAutospacing="0" w:after="200" w:afterAutospacing="0"/>
        <w:ind w:firstLine="720"/>
        <w:divId w:val="905726994"/>
        <w:rPr>
          <w:sz w:val="20"/>
          <w:szCs w:val="20"/>
        </w:rPr>
      </w:pPr>
      <w:r>
        <w:rPr>
          <w:sz w:val="20"/>
          <w:szCs w:val="20"/>
        </w:rPr>
        <w:t>In the event of a successful claim of infringement against us, we may have to pay substantial damages, obtain one or more licenses from third parties or pay royalties. In addition, even in the absence of litigation, we may need to obtain licenses</w:t>
      </w:r>
      <w:r>
        <w:rPr>
          <w:sz w:val="20"/>
          <w:szCs w:val="20"/>
        </w:rPr>
        <w:t xml:space="preserve"> from third parties to advance our research or allow commercialization of our product candidates, and we have done so from time to time. We may fail to obtain any of these licenses at a reasonable cost or on reasonable terms, if at all. In that event, we w</w:t>
      </w:r>
      <w:r>
        <w:rPr>
          <w:sz w:val="20"/>
          <w:szCs w:val="20"/>
        </w:rPr>
        <w:t>ould be unable to further develop and commercialize one or more of our product candidates, which could harm our business significantly.</w:t>
      </w:r>
    </w:p>
    <w:p w:rsidR="00000000" w:rsidRDefault="00B51E11">
      <w:pPr>
        <w:pStyle w:val="a3"/>
        <w:spacing w:before="0" w:beforeAutospacing="0" w:after="200" w:afterAutospacing="0"/>
        <w:ind w:firstLine="720"/>
        <w:divId w:val="905726994"/>
        <w:rPr>
          <w:sz w:val="20"/>
          <w:szCs w:val="20"/>
        </w:rPr>
      </w:pPr>
      <w:r>
        <w:rPr>
          <w:sz w:val="20"/>
          <w:szCs w:val="20"/>
        </w:rPr>
        <w:t>In addition, in the future we could be required to initiate litigation to enforce our proprietary rights against infring</w:t>
      </w:r>
      <w:r>
        <w:rPr>
          <w:sz w:val="20"/>
          <w:szCs w:val="20"/>
        </w:rPr>
        <w:t xml:space="preserve">ement by third parties, prevent the unauthorized use or disclosure of our trade secrets and confidential information, or defend the validity of our patents. For example, in 2017, we filed a lawsuit against a former employee for misappropriation of certain </w:t>
      </w:r>
      <w:r>
        <w:rPr>
          <w:sz w:val="20"/>
          <w:szCs w:val="20"/>
        </w:rPr>
        <w:t>of our confidential, proprietary and trade secret information. While this litigation has since been resolved, prosecution of claims to enforce or defend our rights against others involve substantial litigation expenses and divert substantial employee resou</w:t>
      </w:r>
      <w:r>
        <w:rPr>
          <w:sz w:val="20"/>
          <w:szCs w:val="20"/>
        </w:rPr>
        <w:t>rces from our business but may not result in adequate remedy to us or sufficiently mitigate the harm to our business caused by any intellectual property infringement, unauthorized access, use or disclosure of trade secrets. If we fail to effectively enforc</w:t>
      </w:r>
      <w:r>
        <w:rPr>
          <w:sz w:val="20"/>
          <w:szCs w:val="20"/>
        </w:rPr>
        <w:t>e our proprietary rights against others, our business will be harmed and the price of our securities could fall.</w:t>
      </w:r>
    </w:p>
    <w:p w:rsidR="00000000" w:rsidRDefault="00B51E11">
      <w:pPr>
        <w:pStyle w:val="a3"/>
        <w:spacing w:before="0" w:beforeAutospacing="0" w:after="120" w:afterAutospacing="0"/>
        <w:divId w:val="905726994"/>
        <w:rPr>
          <w:sz w:val="20"/>
          <w:szCs w:val="20"/>
        </w:rPr>
      </w:pPr>
      <w:r>
        <w:rPr>
          <w:b/>
          <w:bCs/>
          <w:i/>
          <w:iCs/>
          <w:sz w:val="20"/>
          <w:szCs w:val="20"/>
        </w:rPr>
        <w:t>If the efforts of our partners or future partners to protect the proprietary nature of the intellectual property related to collaboration asset</w:t>
      </w:r>
      <w:r>
        <w:rPr>
          <w:b/>
          <w:bCs/>
          <w:i/>
          <w:iCs/>
          <w:sz w:val="20"/>
          <w:szCs w:val="20"/>
        </w:rPr>
        <w:t>s are not adequate, the future commercialization of any medicines resulting from collaborations could be delayed or prevented, which would materially harm our business and could cause the price of our securities to fall.</w:t>
      </w:r>
    </w:p>
    <w:p w:rsidR="00000000" w:rsidRDefault="00B51E11">
      <w:pPr>
        <w:pStyle w:val="a3"/>
        <w:spacing w:before="0" w:beforeAutospacing="0" w:after="200" w:afterAutospacing="0"/>
        <w:ind w:firstLine="720"/>
        <w:divId w:val="905726994"/>
        <w:rPr>
          <w:sz w:val="20"/>
          <w:szCs w:val="20"/>
        </w:rPr>
      </w:pPr>
      <w:r>
        <w:rPr>
          <w:sz w:val="20"/>
          <w:szCs w:val="20"/>
        </w:rPr>
        <w:t>The risks identified in the two pre</w:t>
      </w:r>
      <w:r>
        <w:rPr>
          <w:sz w:val="20"/>
          <w:szCs w:val="20"/>
        </w:rPr>
        <w:t>ceding risk factors may also apply to the intellectual property protection efforts of our partners or future partners and to GSK with respect to the GSK-Partnered Respiratory Programs in which we hold an economic interest. To the extent the intellectual pr</w:t>
      </w:r>
      <w:r>
        <w:rPr>
          <w:sz w:val="20"/>
          <w:szCs w:val="20"/>
        </w:rPr>
        <w:t>operty protection of any partnered assets are successfully challenged or encounter problems with the US Patent and Trademark Office or other comparable agencies throughout the world, the future commercialization of these potential medicines could be delaye</w:t>
      </w:r>
      <w:r>
        <w:rPr>
          <w:sz w:val="20"/>
          <w:szCs w:val="20"/>
        </w:rPr>
        <w:t xml:space="preserve">d or prevented. Any challenge to the intellectual property protection of a late-stage development asset, particularly those of the GSK-Partnered Respiratory Programs in which we hold an economic interest, could harm our business and cause the price of our </w:t>
      </w:r>
      <w:r>
        <w:rPr>
          <w:sz w:val="20"/>
          <w:szCs w:val="20"/>
        </w:rPr>
        <w:t>securities to fall.</w:t>
      </w:r>
    </w:p>
    <w:p w:rsidR="00000000" w:rsidRDefault="00B51E11">
      <w:pPr>
        <w:pStyle w:val="a3"/>
        <w:spacing w:before="0" w:beforeAutospacing="0" w:after="120" w:afterAutospacing="0"/>
        <w:divId w:val="905726994"/>
        <w:rPr>
          <w:sz w:val="20"/>
          <w:szCs w:val="20"/>
        </w:rPr>
      </w:pPr>
      <w:r>
        <w:rPr>
          <w:b/>
          <w:bCs/>
          <w:i/>
          <w:iCs/>
          <w:sz w:val="20"/>
          <w:szCs w:val="20"/>
        </w:rPr>
        <w:t>Product liability and other lawsuits could divert our resources, result in substantial liabilities and reduce the commercial potential of our medicines.</w:t>
      </w:r>
    </w:p>
    <w:p w:rsidR="00000000" w:rsidRDefault="00B51E11">
      <w:pPr>
        <w:pStyle w:val="a3"/>
        <w:spacing w:before="0" w:beforeAutospacing="0" w:after="200" w:afterAutospacing="0"/>
        <w:ind w:firstLine="720"/>
        <w:divId w:val="905726994"/>
        <w:rPr>
          <w:sz w:val="20"/>
          <w:szCs w:val="20"/>
        </w:rPr>
      </w:pPr>
      <w:r>
        <w:rPr>
          <w:sz w:val="20"/>
          <w:szCs w:val="20"/>
        </w:rPr>
        <w:t>The risk that we may be sued on product liability claims is inherent in the develop</w:t>
      </w:r>
      <w:r>
        <w:rPr>
          <w:sz w:val="20"/>
          <w:szCs w:val="20"/>
        </w:rPr>
        <w:t xml:space="preserve">ment and commercialization of pharmaceutical products. Side effects of, or manufacturing defects in, products that we or our partners develop or commercialize could result in the deterioration of a patient’s condition, injury or even death. Once a product </w:t>
      </w:r>
      <w:r>
        <w:rPr>
          <w:sz w:val="20"/>
          <w:szCs w:val="20"/>
        </w:rPr>
        <w:t>is approved for sale and commercialized, the likelihood of product liability lawsuits tends to increase. Claims may be brought by individuals seeking relief for themselves or by individuals or groups seeking to represent a class, asserting injuries based b</w:t>
      </w:r>
      <w:r>
        <w:rPr>
          <w:sz w:val="20"/>
          <w:szCs w:val="20"/>
        </w:rPr>
        <w:t xml:space="preserve">oth on potential adverse effects described in the label as well as adverse events not yet observed. We also face an inherent risk of product liability exposure related to the testing of our product candidates in human clinical trials. In addition, changes </w:t>
      </w:r>
      <w:r>
        <w:rPr>
          <w:sz w:val="20"/>
          <w:szCs w:val="20"/>
        </w:rPr>
        <w:t>in laws outside the US are expanding our potential liability for injuries that occur during clinical trials. Product liability claims could harm our reputation, regardless of the merit or ultimate success of the claim, which may adversely affect our and ou</w:t>
      </w:r>
      <w:r>
        <w:rPr>
          <w:sz w:val="20"/>
          <w:szCs w:val="20"/>
        </w:rPr>
        <w:t>r partners’ ability to commercialize our products and cause the price of our securities to fall. These lawsuits may divert our management from pursuing our business strategy and may be costly to defend. In addition, if we are held liable in any of these la</w:t>
      </w:r>
      <w:r>
        <w:rPr>
          <w:sz w:val="20"/>
          <w:szCs w:val="20"/>
        </w:rPr>
        <w:t>wsuits, we may incur substantial liabilities and may be forced to limit or forgo further commercialization of the applicable products.</w:t>
      </w:r>
    </w:p>
    <w:p w:rsidR="00000000" w:rsidRDefault="00B51E11">
      <w:pPr>
        <w:pStyle w:val="a3"/>
        <w:spacing w:before="0" w:beforeAutospacing="0" w:after="200" w:afterAutospacing="0"/>
        <w:ind w:firstLine="720"/>
        <w:divId w:val="905726994"/>
        <w:rPr>
          <w:sz w:val="20"/>
          <w:szCs w:val="20"/>
        </w:rPr>
      </w:pPr>
      <w:r>
        <w:rPr>
          <w:sz w:val="20"/>
          <w:szCs w:val="20"/>
        </w:rPr>
        <w:t>Although we maintain general liability and product liability insurance, this insurance may not fully cover potential liab</w:t>
      </w:r>
      <w:r>
        <w:rPr>
          <w:sz w:val="20"/>
          <w:szCs w:val="20"/>
        </w:rPr>
        <w:t>ilities and we cannot be sure that our insurer will not disclaim coverage as to a future claim. In addition, inability to obtain or maintain sufficient insurance coverage at an acceptable cost or to otherwise protect against potential product liability cla</w:t>
      </w:r>
      <w:r>
        <w:rPr>
          <w:sz w:val="20"/>
          <w:szCs w:val="20"/>
        </w:rPr>
        <w:t>ims could prevent or inhibit the commercial production and sale of our products, which could adversely affect our business.</w:t>
      </w:r>
    </w:p>
    <w:p w:rsidR="00000000" w:rsidRDefault="00B51E11">
      <w:pPr>
        <w:pStyle w:val="a3"/>
        <w:spacing w:before="0" w:beforeAutospacing="0" w:after="200" w:afterAutospacing="0"/>
        <w:ind w:firstLine="720"/>
        <w:divId w:val="905726994"/>
        <w:rPr>
          <w:sz w:val="20"/>
          <w:szCs w:val="20"/>
        </w:rPr>
      </w:pPr>
      <w:r>
        <w:rPr>
          <w:sz w:val="20"/>
          <w:szCs w:val="20"/>
        </w:rPr>
        <w:t xml:space="preserve">We may also be required to prosecute or defend general commercial, intellectual property, securities and other lawsuits. Litigation </w:t>
      </w:r>
      <w:r>
        <w:rPr>
          <w:sz w:val="20"/>
          <w:szCs w:val="20"/>
        </w:rPr>
        <w:t xml:space="preserve">typically involves substantial expenses and diverts substantial employee resources from our business. The cost of defending any product liability litigation or engaging in any other legal proceeding, even if resolved in our favor, could be substantial and </w:t>
      </w:r>
      <w:r>
        <w:rPr>
          <w:sz w:val="20"/>
          <w:szCs w:val="20"/>
        </w:rPr>
        <w:t>uncertainties resulting from the initiation and continuation of the litigation or other proceedings could have a material adverse effect on our ability to compete in the marketplace and achieve our business goals.</w:t>
      </w:r>
    </w:p>
    <w:p w:rsidR="00000000" w:rsidRDefault="00B51E11">
      <w:pPr>
        <w:pStyle w:val="a3"/>
        <w:spacing w:before="360" w:beforeAutospacing="0" w:after="0" w:afterAutospacing="0"/>
        <w:jc w:val="center"/>
        <w:divId w:val="1627849460"/>
        <w:rPr>
          <w:sz w:val="20"/>
          <w:szCs w:val="20"/>
        </w:rPr>
      </w:pPr>
      <w:r>
        <w:rPr>
          <w:sz w:val="20"/>
          <w:szCs w:val="20"/>
        </w:rPr>
        <w:t>60</w:t>
      </w:r>
    </w:p>
    <w:p w:rsidR="00000000" w:rsidRDefault="00B51E11">
      <w:pPr>
        <w:pStyle w:val="a3"/>
        <w:spacing w:before="0" w:beforeAutospacing="0" w:after="600" w:afterAutospacing="0"/>
        <w:divId w:val="1664162020"/>
        <w:rPr>
          <w:sz w:val="20"/>
          <w:szCs w:val="20"/>
        </w:rPr>
      </w:pPr>
      <w:hyperlink w:anchor="TOC" w:history="1">
        <w:r>
          <w:rPr>
            <w:rStyle w:val="a4"/>
            <w:sz w:val="20"/>
            <w:szCs w:val="20"/>
          </w:rPr>
          <w:t>Table of Cont</w:t>
        </w:r>
        <w:r>
          <w:rPr>
            <w:rStyle w:val="a4"/>
            <w:sz w:val="20"/>
            <w:szCs w:val="20"/>
          </w:rPr>
          <w:t>ents</w:t>
        </w:r>
      </w:hyperlink>
    </w:p>
    <w:p w:rsidR="00000000" w:rsidRDefault="00B51E11">
      <w:pPr>
        <w:pStyle w:val="a3"/>
        <w:spacing w:before="0" w:beforeAutospacing="0" w:after="120" w:afterAutospacing="0"/>
        <w:divId w:val="2007896764"/>
        <w:rPr>
          <w:sz w:val="20"/>
          <w:szCs w:val="20"/>
        </w:rPr>
      </w:pPr>
      <w:r>
        <w:rPr>
          <w:b/>
          <w:bCs/>
          <w:i/>
          <w:iCs/>
          <w:sz w:val="20"/>
          <w:szCs w:val="20"/>
        </w:rPr>
        <w:t>If we fail to comply with data protection laws and regulations, we could be subject to government enforcement actions (which could include civil or criminal penalties), private litigation and/or adverse publicity, which could negatively affect our ope</w:t>
      </w:r>
      <w:r>
        <w:rPr>
          <w:b/>
          <w:bCs/>
          <w:i/>
          <w:iCs/>
          <w:sz w:val="20"/>
          <w:szCs w:val="20"/>
        </w:rPr>
        <w:t>rating results and business.</w:t>
      </w:r>
    </w:p>
    <w:p w:rsidR="00000000" w:rsidRDefault="00B51E11">
      <w:pPr>
        <w:pStyle w:val="a3"/>
        <w:spacing w:before="0" w:beforeAutospacing="0" w:after="200" w:afterAutospacing="0"/>
        <w:ind w:firstLine="720"/>
        <w:divId w:val="2007896764"/>
        <w:rPr>
          <w:sz w:val="20"/>
          <w:szCs w:val="20"/>
        </w:rPr>
      </w:pPr>
      <w:r>
        <w:rPr>
          <w:sz w:val="20"/>
          <w:szCs w:val="20"/>
        </w:rPr>
        <w:t>We are subject to data protection laws and regulations (i.e., laws and regulations that address privacy and data security). In the US, numerous federal and state laws and regulations, including state data breach notification la</w:t>
      </w:r>
      <w:r>
        <w:rPr>
          <w:sz w:val="20"/>
          <w:szCs w:val="20"/>
        </w:rPr>
        <w:t>ws, state health information privacy laws, and federal and state consumer protection laws (e.g., Section 5 of the FTC Act), govern the collection, use, disclosure, and protection of health related and other personal information. In California, the Californ</w:t>
      </w:r>
      <w:r>
        <w:rPr>
          <w:sz w:val="20"/>
          <w:szCs w:val="20"/>
        </w:rPr>
        <w:t>ia Consumer Privacy Act (“CCPA”) took effect on January 1, 2020. The CCPA establishes certain requirements for data use and sharing transparency and creates new data privacy rights for consumers. These laws and regulations are evolving and subject to inter</w:t>
      </w:r>
      <w:r>
        <w:rPr>
          <w:sz w:val="20"/>
          <w:szCs w:val="20"/>
        </w:rPr>
        <w:t>pretation and may impose limitations on our activities or otherwise adversely affect our business. Failure to comply with data protection laws and regulations could result in government enforcement actions and create liability for us (which could include c</w:t>
      </w:r>
      <w:r>
        <w:rPr>
          <w:sz w:val="20"/>
          <w:szCs w:val="20"/>
        </w:rPr>
        <w:t>ivil and/or criminal penalties), private litigation and/or adverse publicity that could negatively affect our operating results and business. In addition, we may obtain health information from third parties (e.g., healthcare providers who prescribe our pro</w:t>
      </w:r>
      <w:r>
        <w:rPr>
          <w:sz w:val="20"/>
          <w:szCs w:val="20"/>
        </w:rPr>
        <w:t>ducts) that are subject to privacy and security requirements under the Health Insurance Portability and Accountability Act of 1996, as amended by the Health Information Technology for Economic and Clinical Health Act (“HIPAA”). Although we are not directly</w:t>
      </w:r>
      <w:r>
        <w:rPr>
          <w:sz w:val="20"/>
          <w:szCs w:val="20"/>
        </w:rPr>
        <w:t xml:space="preserve"> subject to HIPAA—other than with respect to providing certain employee benefits—we could be subject to criminal penalties if we knowingly obtain or disclose individually identifiable health information maintained by a HIPAA covered entity in a manner that</w:t>
      </w:r>
      <w:r>
        <w:rPr>
          <w:sz w:val="20"/>
          <w:szCs w:val="20"/>
        </w:rPr>
        <w:t xml:space="preserve"> is not authorized or permitted by HIPAA. HIPAA generally requires that healthcare providers and other covered entities obtain written authorizations from patients prior to disclosing protected health information of the patient (unless an exception to the </w:t>
      </w:r>
      <w:r>
        <w:rPr>
          <w:sz w:val="20"/>
          <w:szCs w:val="20"/>
        </w:rPr>
        <w:t xml:space="preserve">authorization requirement applies). If authorization is required and the patient fails to execute an authorization or the authorization fails to contain all required provisions, then we may not be allowed access to and use of the patient’s information and </w:t>
      </w:r>
      <w:r>
        <w:rPr>
          <w:sz w:val="20"/>
          <w:szCs w:val="20"/>
        </w:rPr>
        <w:t>our research efforts could be impaired or delayed. Furthermore, use of protected health information that is provided to us pursuant to a valid patient authorization is subject to the limits set forth in the authorization (e.g., for use in research and in s</w:t>
      </w:r>
      <w:r>
        <w:rPr>
          <w:sz w:val="20"/>
          <w:szCs w:val="20"/>
        </w:rPr>
        <w:t>ubmissions to regulatory authorities for product approvals). In addition, HIPAA does not replace federal, state, international or other laws that may grant individuals even greater privacy protections.</w:t>
      </w:r>
    </w:p>
    <w:p w:rsidR="00000000" w:rsidRDefault="00B51E11">
      <w:pPr>
        <w:pStyle w:val="a3"/>
        <w:spacing w:before="0" w:beforeAutospacing="0" w:after="200" w:afterAutospacing="0"/>
        <w:ind w:firstLine="720"/>
        <w:divId w:val="2007896764"/>
        <w:rPr>
          <w:sz w:val="20"/>
          <w:szCs w:val="20"/>
        </w:rPr>
      </w:pPr>
      <w:r>
        <w:rPr>
          <w:sz w:val="20"/>
          <w:szCs w:val="20"/>
        </w:rPr>
        <w:t>EU Member States and other jurisdictions where we oper</w:t>
      </w:r>
      <w:r>
        <w:rPr>
          <w:sz w:val="20"/>
          <w:szCs w:val="20"/>
        </w:rPr>
        <w:t>ate have adopted data protection laws and regulations, which impose significant compliance obligations. For example, the General Data Protection Regulation (“GDPR”) which became applicable on May 25, 2018, replacing the EU Data Protection Directive, impose</w:t>
      </w:r>
      <w:r>
        <w:rPr>
          <w:sz w:val="20"/>
          <w:szCs w:val="20"/>
        </w:rPr>
        <w:t>s strict obligations and restrictions on the ability to collect, analyze and transfer personal data, including health data from clinical trials and adverse event reporting.</w:t>
      </w:r>
    </w:p>
    <w:p w:rsidR="00000000" w:rsidRDefault="00B51E11">
      <w:pPr>
        <w:pStyle w:val="a3"/>
        <w:spacing w:before="0" w:beforeAutospacing="0" w:after="200" w:afterAutospacing="0"/>
        <w:ind w:firstLine="720"/>
        <w:divId w:val="2007896764"/>
        <w:rPr>
          <w:sz w:val="20"/>
          <w:szCs w:val="20"/>
        </w:rPr>
      </w:pPr>
      <w:r>
        <w:rPr>
          <w:sz w:val="20"/>
          <w:szCs w:val="20"/>
        </w:rPr>
        <w:t>Switzerland has adopted laws that impose restrictions and obligations similar to the GDPR. These obligations and restrictions concern, in particular, the consent of the individuals to whom the personal data relate, the information provided to the individua</w:t>
      </w:r>
      <w:r>
        <w:rPr>
          <w:sz w:val="20"/>
          <w:szCs w:val="20"/>
        </w:rPr>
        <w:t>ls, the transfer of personal data out of the European Economic Area (“EEA”) or Switzerland, security breach notifications, security and confidentiality of the personal data, as well as substantial potential fines for breaches of the data protection obligat</w:t>
      </w:r>
      <w:r>
        <w:rPr>
          <w:sz w:val="20"/>
          <w:szCs w:val="20"/>
        </w:rPr>
        <w:t>ions. Data protection authorities from the different EU Member States may interpret the GDPR and applicable related national laws differently and impose requirements additional to those provided in the GDPR. In addition, guidance on implementation and comp</w:t>
      </w:r>
      <w:r>
        <w:rPr>
          <w:sz w:val="20"/>
          <w:szCs w:val="20"/>
        </w:rPr>
        <w:t xml:space="preserve">liance practices may be updated or otherwise revised, which adds to the complexity of processing personal data in the EU. When processing personal data of subjects in the EU, we have to comply with the applicable data protection laws. In particular, as we </w:t>
      </w:r>
      <w:r>
        <w:rPr>
          <w:sz w:val="20"/>
          <w:szCs w:val="20"/>
        </w:rPr>
        <w:t>rely on services providers processing personal data of subjects in the EU, we have to enter into suitable contract terms with such providers and receive sufficient guarantees that such providers meet the requirements of the applicable data protection laws,</w:t>
      </w:r>
      <w:r>
        <w:rPr>
          <w:sz w:val="20"/>
          <w:szCs w:val="20"/>
        </w:rPr>
        <w:t xml:space="preserve"> particularly the GDPR which imposes specific and relevant obligations.</w:t>
      </w:r>
    </w:p>
    <w:p w:rsidR="00000000" w:rsidRDefault="00B51E11">
      <w:pPr>
        <w:pStyle w:val="a3"/>
        <w:spacing w:before="0" w:beforeAutospacing="0" w:after="0" w:afterAutospacing="0"/>
        <w:ind w:firstLine="720"/>
        <w:divId w:val="2007896764"/>
        <w:rPr>
          <w:sz w:val="20"/>
          <w:szCs w:val="20"/>
        </w:rPr>
      </w:pPr>
      <w:r>
        <w:rPr>
          <w:sz w:val="20"/>
          <w:szCs w:val="20"/>
        </w:rPr>
        <w:t>Legal mechanisms to allow for the transfer of personal data from the EEA to the US have been challenged in the European Court of Justice, which generally increases uncertainty around c</w:t>
      </w:r>
      <w:r>
        <w:rPr>
          <w:sz w:val="20"/>
          <w:szCs w:val="20"/>
        </w:rPr>
        <w:t>ompliance with EU privacy law requirements as these relate to transfer of data from the EU to the US. In 2016, the European Commission and the US Department of Commerce (“DOC”) put in place the EU US “Privacy Shield,” which has been relied on by some US co</w:t>
      </w:r>
      <w:r>
        <w:rPr>
          <w:sz w:val="20"/>
          <w:szCs w:val="20"/>
        </w:rPr>
        <w:t>mpanies since that time to transfer data to the US, and, in its third annual review of the Privacy Shield in October 2019, the European Commission concluded that the US continues to ensure an adequate level of protection for personal data transferred under</w:t>
      </w:r>
      <w:r>
        <w:rPr>
          <w:sz w:val="20"/>
          <w:szCs w:val="20"/>
        </w:rPr>
        <w:t xml:space="preserve"> the Privacy Shield. However, on July 16, 2020, the European Court of Justice ruled that the Privacy Shield is invalid. As a result, from July 16, 2020 companies may no longer rely on the Privacy Shield as a basis on which to transfer personal data from th</w:t>
      </w:r>
      <w:r>
        <w:rPr>
          <w:sz w:val="20"/>
          <w:szCs w:val="20"/>
        </w:rPr>
        <w:t xml:space="preserve">e </w:t>
      </w:r>
    </w:p>
    <w:p w:rsidR="00000000" w:rsidRDefault="00B51E11">
      <w:pPr>
        <w:pStyle w:val="a3"/>
        <w:spacing w:before="360" w:beforeAutospacing="0" w:after="0" w:afterAutospacing="0"/>
        <w:jc w:val="center"/>
        <w:divId w:val="1140533752"/>
        <w:rPr>
          <w:sz w:val="20"/>
          <w:szCs w:val="20"/>
        </w:rPr>
      </w:pPr>
      <w:r>
        <w:rPr>
          <w:sz w:val="20"/>
          <w:szCs w:val="20"/>
        </w:rPr>
        <w:t>61</w:t>
      </w:r>
    </w:p>
    <w:p w:rsidR="00000000" w:rsidRDefault="00B51E11">
      <w:pPr>
        <w:pStyle w:val="a3"/>
        <w:spacing w:before="0" w:beforeAutospacing="0" w:after="600" w:afterAutospacing="0"/>
        <w:divId w:val="1545293773"/>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1314482118"/>
        <w:rPr>
          <w:sz w:val="20"/>
          <w:szCs w:val="20"/>
        </w:rPr>
      </w:pPr>
      <w:r>
        <w:rPr>
          <w:sz w:val="20"/>
          <w:szCs w:val="20"/>
        </w:rPr>
        <w:t>EU to the US. US based companies are permitted to rely on other authorized means and procedures to transfer personal data provided by the GDPR. However, the most common authorized procedure to transfer pers</w:t>
      </w:r>
      <w:r>
        <w:rPr>
          <w:sz w:val="20"/>
          <w:szCs w:val="20"/>
        </w:rPr>
        <w:t>onal data out of the EU, the European Commission’s Standard Contractual Clauses may, as a result of the Court judgement of July 16 2020, also come under increased scrutiny. Following the Court’s ruling, the European Data Protection Board issued a statement</w:t>
      </w:r>
      <w:r>
        <w:rPr>
          <w:sz w:val="20"/>
          <w:szCs w:val="20"/>
        </w:rPr>
        <w:t xml:space="preserve"> providing among other things that it is a primary responsibility of the exporter and the importer, when considering whether to rely on Standard Contractual Clauses to export data from the EU to third countries, to ensure that these third countries maintai</w:t>
      </w:r>
      <w:r>
        <w:rPr>
          <w:sz w:val="20"/>
          <w:szCs w:val="20"/>
        </w:rPr>
        <w:t>n a level of protection that is essentially equivalent to that guaranteed by the GDPR in light of the EU Charter of Human Rights. Companies may need to revise their Standard Contractual Clauses in light of the July 16, 2020 judgement. Companies that have n</w:t>
      </w:r>
      <w:r>
        <w:rPr>
          <w:sz w:val="20"/>
          <w:szCs w:val="20"/>
        </w:rPr>
        <w:t>ot taken steps to demonstrate that their Standard Contractual Clauses and personal data recipients in the US are suitable to transfer to receive the personal data may be subject to enforcement actions by competent authorities in the EU for failure to compl</w:t>
      </w:r>
      <w:r>
        <w:rPr>
          <w:sz w:val="20"/>
          <w:szCs w:val="20"/>
        </w:rPr>
        <w:t>y with related data privacy rules.</w:t>
      </w:r>
      <w:r>
        <w:rPr>
          <w:sz w:val="20"/>
          <w:szCs w:val="20"/>
        </w:rPr>
        <w:t xml:space="preserve"> </w:t>
      </w:r>
    </w:p>
    <w:p w:rsidR="00000000" w:rsidRDefault="00B51E11">
      <w:pPr>
        <w:pStyle w:val="a3"/>
        <w:spacing w:before="0" w:beforeAutospacing="0" w:after="200" w:afterAutospacing="0"/>
        <w:ind w:firstLine="720"/>
        <w:divId w:val="1314482118"/>
        <w:rPr>
          <w:sz w:val="20"/>
          <w:szCs w:val="20"/>
        </w:rPr>
      </w:pPr>
      <w:r>
        <w:rPr>
          <w:sz w:val="20"/>
          <w:szCs w:val="20"/>
        </w:rPr>
        <w:t>In addition, the privacy and data security landscape in the EU continues to remain in flux. The agreement that will hopefully be concluded between the EU and the UK following the UK’s withdrawal from the EU on January 31</w:t>
      </w:r>
      <w:r>
        <w:rPr>
          <w:sz w:val="20"/>
          <w:szCs w:val="20"/>
        </w:rPr>
        <w:t xml:space="preserve">, 2020 may require organizations to revisit the way they transfer personal data from and to the UK from the EU. The GDPR has introduced additional data protection obligations that can have specific impact on the conduct of clinical trials in the EEA. This </w:t>
      </w:r>
      <w:r>
        <w:rPr>
          <w:sz w:val="20"/>
          <w:szCs w:val="20"/>
        </w:rPr>
        <w:t xml:space="preserve">includes obligations concerning the rights of patients in relation to their personal data collected during the clinical trials and the need to conclude arrangements with clinical trials sites concerning data processing activities. Any perceived failure to </w:t>
      </w:r>
      <w:r>
        <w:rPr>
          <w:sz w:val="20"/>
          <w:szCs w:val="20"/>
        </w:rPr>
        <w:t>ensure protection of patients’ rights during clinical trials or to ensure that sites fulfil obligations imposed by GDPR concerning their related processing activities could undermine the validity of the results of these clinical trials.</w:t>
      </w:r>
    </w:p>
    <w:p w:rsidR="00000000" w:rsidRDefault="00B51E11">
      <w:pPr>
        <w:pStyle w:val="a3"/>
        <w:spacing w:before="0" w:beforeAutospacing="0" w:after="200" w:afterAutospacing="0"/>
        <w:ind w:firstLine="720"/>
        <w:divId w:val="1314482118"/>
        <w:rPr>
          <w:sz w:val="20"/>
          <w:szCs w:val="20"/>
        </w:rPr>
      </w:pPr>
      <w:r>
        <w:rPr>
          <w:sz w:val="20"/>
          <w:szCs w:val="20"/>
        </w:rPr>
        <w:t>If we or our vendor</w:t>
      </w:r>
      <w:r>
        <w:rPr>
          <w:sz w:val="20"/>
          <w:szCs w:val="20"/>
        </w:rPr>
        <w:t>s fail to comply with applicable data privacy laws, or if the legal mechanisms we or our vendors rely upon to allow for the transfer of personal data from the EEA or Switzerland to the US (or other countries not considered by the European Commission to pro</w:t>
      </w:r>
      <w:r>
        <w:rPr>
          <w:sz w:val="20"/>
          <w:szCs w:val="20"/>
        </w:rPr>
        <w:t xml:space="preserve">vide an adequate level of data protection) are not considered adequate, we could be subject to government enforcement actions, including an order to stop transferring the personal data outside of the EEA and significant penalties against us. Moreover, our </w:t>
      </w:r>
      <w:r>
        <w:rPr>
          <w:sz w:val="20"/>
          <w:szCs w:val="20"/>
        </w:rPr>
        <w:t>business could be adversely impacted if our ability to transfer personal data out of the EEA or Switzerland to the US is restricted, which could adversely impact our operating results.</w:t>
      </w:r>
    </w:p>
    <w:p w:rsidR="00000000" w:rsidRDefault="00B51E11">
      <w:pPr>
        <w:pStyle w:val="a3"/>
        <w:spacing w:before="0" w:beforeAutospacing="0" w:after="120" w:afterAutospacing="0"/>
        <w:divId w:val="1314482118"/>
        <w:rPr>
          <w:sz w:val="20"/>
          <w:szCs w:val="20"/>
        </w:rPr>
      </w:pPr>
      <w:r>
        <w:rPr>
          <w:b/>
          <w:bCs/>
          <w:i/>
          <w:iCs/>
          <w:sz w:val="20"/>
          <w:szCs w:val="20"/>
        </w:rPr>
        <w:t>Changes in healthcare law and implementing regulations, including gover</w:t>
      </w:r>
      <w:r>
        <w:rPr>
          <w:b/>
          <w:bCs/>
          <w:i/>
          <w:iCs/>
          <w:sz w:val="20"/>
          <w:szCs w:val="20"/>
        </w:rPr>
        <w:t xml:space="preserve">nment restrictions on pricing and reimbursement, as well as healthcare policy and other healthcare payor cost-containment initiatives, may negatively impact us, our collaboration partners, or those commercializing products with respect to which we have an </w:t>
      </w:r>
      <w:r>
        <w:rPr>
          <w:b/>
          <w:bCs/>
          <w:i/>
          <w:iCs/>
          <w:sz w:val="20"/>
          <w:szCs w:val="20"/>
        </w:rPr>
        <w:t>economic interest or right to receive royalties.</w:t>
      </w:r>
    </w:p>
    <w:p w:rsidR="00000000" w:rsidRDefault="00B51E11">
      <w:pPr>
        <w:pStyle w:val="a3"/>
        <w:spacing w:before="0" w:beforeAutospacing="0" w:after="200" w:afterAutospacing="0"/>
        <w:ind w:firstLine="720"/>
        <w:divId w:val="1314482118"/>
        <w:rPr>
          <w:sz w:val="20"/>
          <w:szCs w:val="20"/>
        </w:rPr>
      </w:pPr>
      <w:r>
        <w:rPr>
          <w:sz w:val="20"/>
          <w:szCs w:val="20"/>
        </w:rPr>
        <w:t>The continuing efforts of the government, insurance companies, managed care organizations and other payors of health care costs to contain or reduce costs of health care may adversely affect us, our collabor</w:t>
      </w:r>
      <w:r>
        <w:rPr>
          <w:sz w:val="20"/>
          <w:szCs w:val="20"/>
        </w:rPr>
        <w:t>ation partners, or those commercializing products with respect to which we have an economic interest or right to receive royalties in regard to one or more of the following: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8"/>
      </w:tblGrid>
      <w:tr w:rsidR="00000000">
        <w:trPr>
          <w:divId w:val="1314482118"/>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ability to set and collect a price believed to be reasonable for products;</w:t>
            </w:r>
          </w:p>
        </w:tc>
      </w:tr>
    </w:tbl>
    <w:p w:rsidR="00000000" w:rsidRDefault="00B51E11">
      <w:pPr>
        <w:divId w:val="13144821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99"/>
      </w:tblGrid>
      <w:tr w:rsidR="00000000">
        <w:trPr>
          <w:divId w:val="131448211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ability to generate revenues and achieve profitability; and</w:t>
            </w:r>
          </w:p>
        </w:tc>
      </w:tr>
    </w:tbl>
    <w:p w:rsidR="00000000" w:rsidRDefault="00B51E11">
      <w:pPr>
        <w:divId w:val="13144821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044"/>
      </w:tblGrid>
      <w:tr w:rsidR="00000000">
        <w:trPr>
          <w:divId w:val="131448211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availability of capital.</w:t>
            </w:r>
          </w:p>
        </w:tc>
      </w:tr>
    </w:tbl>
    <w:p w:rsidR="00000000" w:rsidRDefault="00B51E11">
      <w:pPr>
        <w:pStyle w:val="a3"/>
        <w:spacing w:before="0" w:beforeAutospacing="0" w:after="0" w:afterAutospacing="0"/>
        <w:ind w:firstLine="720"/>
        <w:divId w:val="1314482118"/>
        <w:rPr>
          <w:sz w:val="20"/>
          <w:szCs w:val="20"/>
        </w:rPr>
      </w:pPr>
      <w:r>
        <w:rPr>
          <w:sz w:val="20"/>
          <w:szCs w:val="20"/>
        </w:rPr>
        <w:t>The pricing and reimbursement environment for products may change in the future and become more challenging due to, among other reasons, policies advanced by the current or new presidential administrations, federal agencies, new healthcare legislation pass</w:t>
      </w:r>
      <w:r>
        <w:rPr>
          <w:sz w:val="20"/>
          <w:szCs w:val="20"/>
        </w:rPr>
        <w:t xml:space="preserve">ed by Congress or fiscal challenges faced by all levels of government health administration authorities. Among policy makers and payors in the US and elsewhere, there is significant interest in promoting changes in healthcare systems with the stated goals </w:t>
      </w:r>
      <w:r>
        <w:rPr>
          <w:sz w:val="20"/>
          <w:szCs w:val="20"/>
        </w:rPr>
        <w:t>of containing healthcare costs, improving quality and expanding access to healthcare. In the US, the pharmaceutical industry has been a particular focus of these efforts and has been and may in the future be significantly affected by major legislative init</w:t>
      </w:r>
      <w:r>
        <w:rPr>
          <w:sz w:val="20"/>
          <w:szCs w:val="20"/>
        </w:rPr>
        <w:t xml:space="preserve">iatives. For instance, in the fourth quarter of 2018, the Centers for Medicare &amp; Medicaid Services (“CMS”), the federal agency that administers the Medicare and Medicaid programs, released an advance notice of proposed rule-making to solicit feedback on a </w:t>
      </w:r>
      <w:r>
        <w:rPr>
          <w:sz w:val="20"/>
          <w:szCs w:val="20"/>
        </w:rPr>
        <w:t>potential change in the way Medicare Part B pays for certain physician-administered drugs. Under Part B’s current reimbursement policy, for most drugs, Medicare pays providers the average sales price of the drug plus 6% (reduced to 4.3% as a result of sequ</w:t>
      </w:r>
      <w:r>
        <w:rPr>
          <w:sz w:val="20"/>
          <w:szCs w:val="20"/>
        </w:rPr>
        <w:t xml:space="preserve">estration). CMS is considering a methodology that would more closely align payment for these drugs with prices in certain countries (such as Canada, the UK, Japan, and </w:t>
      </w:r>
    </w:p>
    <w:p w:rsidR="00000000" w:rsidRDefault="00B51E11">
      <w:pPr>
        <w:pStyle w:val="a3"/>
        <w:spacing w:before="360" w:beforeAutospacing="0" w:after="0" w:afterAutospacing="0"/>
        <w:jc w:val="center"/>
        <w:divId w:val="1089346814"/>
        <w:rPr>
          <w:sz w:val="20"/>
          <w:szCs w:val="20"/>
        </w:rPr>
      </w:pPr>
      <w:r>
        <w:rPr>
          <w:sz w:val="20"/>
          <w:szCs w:val="20"/>
        </w:rPr>
        <w:t>62</w:t>
      </w:r>
    </w:p>
    <w:p w:rsidR="00000000" w:rsidRDefault="00B51E11">
      <w:pPr>
        <w:pStyle w:val="a3"/>
        <w:spacing w:before="0" w:beforeAutospacing="0" w:after="600" w:afterAutospacing="0"/>
        <w:divId w:val="302082775"/>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1734347742"/>
        <w:rPr>
          <w:sz w:val="20"/>
          <w:szCs w:val="20"/>
        </w:rPr>
      </w:pPr>
      <w:r>
        <w:rPr>
          <w:sz w:val="20"/>
          <w:szCs w:val="20"/>
        </w:rPr>
        <w:t>Germany), allow private-sector vendors t</w:t>
      </w:r>
      <w:r>
        <w:rPr>
          <w:sz w:val="20"/>
          <w:szCs w:val="20"/>
        </w:rPr>
        <w:t>o negotiate prices, and pay providers a flat add-on payment not tied to the price of the drug. We expect we, our collaboration partners or those commercializing products with respect to which we have an economic interest or right to receive royalties may e</w:t>
      </w:r>
      <w:r>
        <w:rPr>
          <w:sz w:val="20"/>
          <w:szCs w:val="20"/>
        </w:rPr>
        <w:t>xperience pricing pressures in connection with the sale of drug products, due to the trend toward managed healthcare, the increasing influence of health maintenance organizations and additional legislative enactments.</w:t>
      </w:r>
    </w:p>
    <w:p w:rsidR="00000000" w:rsidRDefault="00B51E11">
      <w:pPr>
        <w:pStyle w:val="a3"/>
        <w:spacing w:before="0" w:beforeAutospacing="0" w:after="200" w:afterAutospacing="0"/>
        <w:ind w:firstLine="720"/>
        <w:divId w:val="1734347742"/>
        <w:rPr>
          <w:sz w:val="20"/>
          <w:szCs w:val="20"/>
        </w:rPr>
      </w:pPr>
      <w:r>
        <w:rPr>
          <w:sz w:val="20"/>
          <w:szCs w:val="20"/>
        </w:rPr>
        <w:t xml:space="preserve">The Patient Protection and Affordable </w:t>
      </w:r>
      <w:r>
        <w:rPr>
          <w:sz w:val="20"/>
          <w:szCs w:val="20"/>
        </w:rPr>
        <w:t>Care Act, as amended by the Health Care and Education Reconciliation Act of 2010 (together the “Healthcare Reform Act”), is a sweeping measure intended to expand healthcare coverage within the US, primarily through the imposition of health insurance mandat</w:t>
      </w:r>
      <w:r>
        <w:rPr>
          <w:sz w:val="20"/>
          <w:szCs w:val="20"/>
        </w:rPr>
        <w:t>es on employers and individuals, the provision of subsidies to eligible individuals enrolled in plans offered on the health insurance exchanges, and expansion of the Medicaid program. This law has substantially changed the way healthcare is financed by bot</w:t>
      </w:r>
      <w:r>
        <w:rPr>
          <w:sz w:val="20"/>
          <w:szCs w:val="20"/>
        </w:rPr>
        <w:t>h governmental and private insurers and has significantly impacted the pharmaceutical industry. The Healthcare Reform Act contains a number of provisions that impact our business and operations, including those governing enrollment in federal healthcare pr</w:t>
      </w:r>
      <w:r>
        <w:rPr>
          <w:sz w:val="20"/>
          <w:szCs w:val="20"/>
        </w:rPr>
        <w:t>ograms, reimbursement changes, benefits for patients within a coverage gap in the Medicare Part D prescription drug program (commonly known as the “donut hole”), rules regarding prescription drug benefits under the health insurance exchanges, changes to th</w:t>
      </w:r>
      <w:r>
        <w:rPr>
          <w:sz w:val="20"/>
          <w:szCs w:val="20"/>
        </w:rPr>
        <w:t xml:space="preserve">e Medicare Drug Rebate program, expansion of the Public Health Service Act’s 340B drug pricing program, fraud and abuse and enforcement. These changes have impacted previously existing government healthcare programs and have resulted in the development of </w:t>
      </w:r>
      <w:r>
        <w:rPr>
          <w:sz w:val="20"/>
          <w:szCs w:val="20"/>
        </w:rPr>
        <w:t>new programs, including Medicare payment for performance initiatives and improvements to the physician quality reporting system and feedback program.</w:t>
      </w:r>
    </w:p>
    <w:p w:rsidR="00000000" w:rsidRDefault="00B51E11">
      <w:pPr>
        <w:pStyle w:val="a3"/>
        <w:spacing w:before="0" w:beforeAutospacing="0" w:after="200" w:afterAutospacing="0"/>
        <w:ind w:firstLine="720"/>
        <w:divId w:val="1734347742"/>
        <w:rPr>
          <w:sz w:val="20"/>
          <w:szCs w:val="20"/>
        </w:rPr>
      </w:pPr>
      <w:r>
        <w:rPr>
          <w:sz w:val="20"/>
          <w:szCs w:val="20"/>
        </w:rPr>
        <w:t>In particular, CMS issued final regulations to implement the changes to the Medicaid Drug Rebate program u</w:t>
      </w:r>
      <w:r>
        <w:rPr>
          <w:sz w:val="20"/>
          <w:szCs w:val="20"/>
        </w:rPr>
        <w:t>nder the Healthcare Reform Act. These regulations became effective on April 1, 2016. Congress could enact additional legislation that further increases Medicaid drug rebates or other costs and charges associated with participating in the Medicaid Drug Reba</w:t>
      </w:r>
      <w:r>
        <w:rPr>
          <w:sz w:val="20"/>
          <w:szCs w:val="20"/>
        </w:rPr>
        <w:t>te program. The issuance of regulations and coverage expansion by various governmental agencies relating to the Medicaid Drug Rebate program has increased and will continue to increase the costs and the complexity of compliance, has been and will be time-c</w:t>
      </w:r>
      <w:r>
        <w:rPr>
          <w:sz w:val="20"/>
          <w:szCs w:val="20"/>
        </w:rPr>
        <w:t>onsuming to implement, and could have a material adverse effect on results of operations for us, our collaboration partners, or those commercializing products with respect to which we have an economic interest or right to receive royalties, particularly if</w:t>
      </w:r>
      <w:r>
        <w:rPr>
          <w:sz w:val="20"/>
          <w:szCs w:val="20"/>
        </w:rPr>
        <w:t xml:space="preserve"> CMS challenges the approach we take in our implementation of the final regulation.</w:t>
      </w:r>
    </w:p>
    <w:p w:rsidR="00000000" w:rsidRDefault="00B51E11">
      <w:pPr>
        <w:pStyle w:val="a3"/>
        <w:spacing w:before="0" w:beforeAutospacing="0" w:after="200" w:afterAutospacing="0"/>
        <w:ind w:firstLine="720"/>
        <w:divId w:val="1734347742"/>
        <w:rPr>
          <w:sz w:val="20"/>
          <w:szCs w:val="20"/>
        </w:rPr>
      </w:pPr>
      <w:r>
        <w:rPr>
          <w:sz w:val="20"/>
          <w:szCs w:val="20"/>
        </w:rPr>
        <w:t>Some states have elected not to expand their Medicaid programs by raising the income limit to 133% of the federal poverty level, as is permitted under the Healthcare Reform</w:t>
      </w:r>
      <w:r>
        <w:rPr>
          <w:sz w:val="20"/>
          <w:szCs w:val="20"/>
        </w:rPr>
        <w:t xml:space="preserve"> Act. For each state that does not choose to expand its Medicaid program, there may be fewer insured patients overall, which could impact the sales, business and financial condition of us, our collaboration partners, or those commercializing products with </w:t>
      </w:r>
      <w:r>
        <w:rPr>
          <w:sz w:val="20"/>
          <w:szCs w:val="20"/>
        </w:rPr>
        <w:t>respect to which we have an economic interest or right to receive royalties. Where Medicaid patients receive insurance coverage under any of the new options made available through the Healthcare Reform Act, manufacturers may be required to pay Medicaid reb</w:t>
      </w:r>
      <w:r>
        <w:rPr>
          <w:sz w:val="20"/>
          <w:szCs w:val="20"/>
        </w:rPr>
        <w:t>ates on drugs used under these circumstances, which could impact manufacturer revenues.</w:t>
      </w:r>
    </w:p>
    <w:p w:rsidR="00000000" w:rsidRDefault="00B51E11">
      <w:pPr>
        <w:pStyle w:val="a3"/>
        <w:spacing w:before="0" w:beforeAutospacing="0" w:after="200" w:afterAutospacing="0"/>
        <w:ind w:firstLine="720"/>
        <w:divId w:val="1734347742"/>
        <w:rPr>
          <w:sz w:val="20"/>
          <w:szCs w:val="20"/>
        </w:rPr>
      </w:pPr>
      <w:r>
        <w:rPr>
          <w:sz w:val="20"/>
          <w:szCs w:val="20"/>
        </w:rPr>
        <w:t>Certain provisions of the Healthcare Reform Act have been subject to judicial challenges as well as efforts to repeal or replace them or to alter their interpretation o</w:t>
      </w:r>
      <w:r>
        <w:rPr>
          <w:sz w:val="20"/>
          <w:szCs w:val="20"/>
        </w:rPr>
        <w:t xml:space="preserve">r implementation. For example, the Tax Cuts and Jobs Act enacted on December 22, 2017 (the “Tax Act”), eliminated the shared responsibility payment for individuals who fail to maintain minimum essential coverage under section 5000A of the Internal Revenue </w:t>
      </w:r>
      <w:r>
        <w:rPr>
          <w:sz w:val="20"/>
          <w:szCs w:val="20"/>
        </w:rPr>
        <w:t>Code of 1986, commonly referred to as the individual mandate, effective January 1, 2019. In December 2018, a United States District Court Judge for the Northern District of Texas ruled (i) that the “individual mandate” was unconstitutional as a result of t</w:t>
      </w:r>
      <w:r>
        <w:rPr>
          <w:sz w:val="20"/>
          <w:szCs w:val="20"/>
        </w:rPr>
        <w:t>he associated tax penalty being repealed by Congress as part of the Tax Act; and (ii) the individual mandate is not severable from the rest of the ACA, and as a result the entire Healthcare Reform Act is invalid. On December 18, 2019, the US Court of Appea</w:t>
      </w:r>
      <w:r>
        <w:rPr>
          <w:sz w:val="20"/>
          <w:szCs w:val="20"/>
        </w:rPr>
        <w:t>ls for the Fifth Circuit affirmed the district court’s decision that the individual mandate is unconstitutional, but remanded the case to the district court to reconsider the severability question. It is unclear how the ultimate decision in this case, or o</w:t>
      </w:r>
      <w:r>
        <w:rPr>
          <w:sz w:val="20"/>
          <w:szCs w:val="20"/>
        </w:rPr>
        <w:t>ther efforts to repeal, replace, or invalidate the Healthcare Reform Act or its implementing regulations, or portions thereof, will affect the Healthcare Reform Act or our business. Additional legislative changes to and regulatory changes under the Healthc</w:t>
      </w:r>
      <w:r>
        <w:rPr>
          <w:sz w:val="20"/>
          <w:szCs w:val="20"/>
        </w:rPr>
        <w:t xml:space="preserve">are Reform Act remain possible, but the nature and extent of such potential additional changes are uncertain at this time. We expect that the Healthcare Reform Act, its implementation, efforts to repeal or replace, or invalidate the Healthcare Reform Act, </w:t>
      </w:r>
      <w:r>
        <w:rPr>
          <w:sz w:val="20"/>
          <w:szCs w:val="20"/>
        </w:rPr>
        <w:t>or portions thereof, and other healthcare reform measures that may be adopted in the future, could have a material adverse effect on our industry generally and on the ability of us, our collaboration partners, or those commercializing products with respect</w:t>
      </w:r>
      <w:r>
        <w:rPr>
          <w:sz w:val="20"/>
          <w:szCs w:val="20"/>
        </w:rPr>
        <w:t xml:space="preserve"> to which we have an economic interest or right to receive royalties to maintain or increase sales of existing products or to successfully commercialize product candidates, if approved.</w:t>
      </w:r>
    </w:p>
    <w:p w:rsidR="00000000" w:rsidRDefault="00B51E11">
      <w:pPr>
        <w:pStyle w:val="a3"/>
        <w:spacing w:before="360" w:beforeAutospacing="0" w:after="0" w:afterAutospacing="0"/>
        <w:jc w:val="center"/>
        <w:divId w:val="1185709120"/>
        <w:rPr>
          <w:sz w:val="20"/>
          <w:szCs w:val="20"/>
        </w:rPr>
      </w:pPr>
      <w:r>
        <w:rPr>
          <w:sz w:val="20"/>
          <w:szCs w:val="20"/>
        </w:rPr>
        <w:t>63</w:t>
      </w:r>
    </w:p>
    <w:p w:rsidR="00000000" w:rsidRDefault="00B51E11">
      <w:pPr>
        <w:pStyle w:val="a3"/>
        <w:spacing w:before="0" w:beforeAutospacing="0" w:after="600" w:afterAutospacing="0"/>
        <w:divId w:val="1490828435"/>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ind w:firstLine="720"/>
        <w:divId w:val="1997605376"/>
        <w:rPr>
          <w:sz w:val="20"/>
          <w:szCs w:val="20"/>
        </w:rPr>
      </w:pPr>
      <w:r>
        <w:rPr>
          <w:sz w:val="20"/>
          <w:szCs w:val="20"/>
        </w:rPr>
        <w:t>In addition, there have</w:t>
      </w:r>
      <w:r>
        <w:rPr>
          <w:sz w:val="20"/>
          <w:szCs w:val="20"/>
        </w:rPr>
        <w:t xml:space="preserve"> been proposals to modify the Medicare Part D benefit, including by imposing federally-mandated rebates on all drugs dispensed to Medicare Part D enrollees or on only those drugs dispensed to certain groups of lower income beneficiaries. If any of these pr</w:t>
      </w:r>
      <w:r>
        <w:rPr>
          <w:sz w:val="20"/>
          <w:szCs w:val="20"/>
        </w:rPr>
        <w:t>oposals are adopted including any that result in additional rebates, this could have a negative impact on revenues for our collaboration partners, or those commercializing products with respect to which we have an economic interest or right to receive roya</w:t>
      </w:r>
      <w:r>
        <w:rPr>
          <w:sz w:val="20"/>
          <w:szCs w:val="20"/>
        </w:rPr>
        <w:t>lties, which could impact our revenues.</w:t>
      </w:r>
    </w:p>
    <w:p w:rsidR="00000000" w:rsidRDefault="00B51E11">
      <w:pPr>
        <w:pStyle w:val="a3"/>
        <w:spacing w:before="0" w:beforeAutospacing="0" w:after="200" w:afterAutospacing="0"/>
        <w:ind w:firstLine="720"/>
        <w:divId w:val="1997605376"/>
        <w:rPr>
          <w:sz w:val="20"/>
          <w:szCs w:val="20"/>
        </w:rPr>
      </w:pPr>
      <w:r>
        <w:rPr>
          <w:sz w:val="20"/>
          <w:szCs w:val="20"/>
        </w:rPr>
        <w:t>On August </w:t>
      </w:r>
      <w:r>
        <w:rPr>
          <w:sz w:val="20"/>
          <w:szCs w:val="20"/>
        </w:rPr>
        <w:t xml:space="preserve">2, 2011, the Budget Control Act of 2011, among other things, created the Joint Select Committee on Deficit Reduction to recommend to Congress proposals for spending reductions. The Joint Select Committee did not achieve a targeted deficit reduction, which </w:t>
      </w:r>
      <w:r>
        <w:rPr>
          <w:sz w:val="20"/>
          <w:szCs w:val="20"/>
        </w:rPr>
        <w:t>triggered the legislation’s automatic reductions. In concert with subsequent legislation, this has resulted in aggregate reductions to Medicare payments to providers of, on average, 2% per fiscal year through 2027 unless Congress takes additional action. A</w:t>
      </w:r>
      <w:r>
        <w:rPr>
          <w:sz w:val="20"/>
          <w:szCs w:val="20"/>
        </w:rPr>
        <w:t>s long as these cuts remain in effect, they could adversely impact payment for any products that are reimbursed under Medicare. We expect that additional state and federal healthcare reform measures will be adopted in the future, any of which could limit t</w:t>
      </w:r>
      <w:r>
        <w:rPr>
          <w:sz w:val="20"/>
          <w:szCs w:val="20"/>
        </w:rPr>
        <w:t xml:space="preserve">he amounts that federal and state governments will pay for healthcare products and services, which could result in reduced demand for product or additional pricing pressures for our collaboration partners, or those commercializing products with respect to </w:t>
      </w:r>
      <w:r>
        <w:rPr>
          <w:sz w:val="20"/>
          <w:szCs w:val="20"/>
        </w:rPr>
        <w:t>which we have an economic interest or right to receive royalties, which could impact our revenues.</w:t>
      </w:r>
    </w:p>
    <w:p w:rsidR="00000000" w:rsidRDefault="00B51E11">
      <w:pPr>
        <w:pStyle w:val="a3"/>
        <w:spacing w:before="0" w:beforeAutospacing="0" w:after="120" w:afterAutospacing="0"/>
        <w:divId w:val="1997605376"/>
        <w:rPr>
          <w:sz w:val="20"/>
          <w:szCs w:val="20"/>
        </w:rPr>
      </w:pPr>
      <w:r>
        <w:rPr>
          <w:b/>
          <w:bCs/>
          <w:i/>
          <w:iCs/>
          <w:sz w:val="20"/>
          <w:szCs w:val="20"/>
        </w:rPr>
        <w:t xml:space="preserve">If we failed to comply with our reporting and payment obligations under the Medicaid Drug Rebate program or other governmental pricing programs, we could be </w:t>
      </w:r>
      <w:r>
        <w:rPr>
          <w:b/>
          <w:bCs/>
          <w:i/>
          <w:iCs/>
          <w:sz w:val="20"/>
          <w:szCs w:val="20"/>
        </w:rPr>
        <w:t>subject to additional reimbursement requirements, penalties, sanctions and fines, which could have a material adverse effect on our business, financial condition, results of operations and growth prospects.</w:t>
      </w:r>
    </w:p>
    <w:p w:rsidR="00000000" w:rsidRDefault="00B51E11">
      <w:pPr>
        <w:pStyle w:val="a3"/>
        <w:spacing w:before="0" w:beforeAutospacing="0" w:after="200" w:afterAutospacing="0"/>
        <w:ind w:firstLine="720"/>
        <w:divId w:val="1997605376"/>
        <w:rPr>
          <w:sz w:val="20"/>
          <w:szCs w:val="20"/>
        </w:rPr>
      </w:pPr>
      <w:r>
        <w:rPr>
          <w:sz w:val="20"/>
          <w:szCs w:val="20"/>
        </w:rPr>
        <w:t>Prior to the sale of VIBATIV to Cumberland, we ha</w:t>
      </w:r>
      <w:r>
        <w:rPr>
          <w:sz w:val="20"/>
          <w:szCs w:val="20"/>
        </w:rPr>
        <w:t>d certain price reporting obligations to the Medicaid Drug Rebate program and other governmental pricing programs, and we had obligations to report average sales price under the Medicare program. Following the consummation of the transaction with Cumberlan</w:t>
      </w:r>
      <w:r>
        <w:rPr>
          <w:sz w:val="20"/>
          <w:szCs w:val="20"/>
        </w:rPr>
        <w:t>d, our price reporting obligations related to VIBATIV have been transitioned to Cumberland, and price reporting obligations for YUPELRI reside with Mylan. However, we retain liability related to price reporting for VIBATIV for historic periods.</w:t>
      </w:r>
    </w:p>
    <w:p w:rsidR="00000000" w:rsidRDefault="00B51E11">
      <w:pPr>
        <w:pStyle w:val="a3"/>
        <w:spacing w:before="0" w:beforeAutospacing="0" w:after="200" w:afterAutospacing="0"/>
        <w:ind w:firstLine="720"/>
        <w:divId w:val="1997605376"/>
        <w:rPr>
          <w:sz w:val="20"/>
          <w:szCs w:val="20"/>
        </w:rPr>
      </w:pPr>
      <w:r>
        <w:rPr>
          <w:sz w:val="20"/>
          <w:szCs w:val="20"/>
        </w:rPr>
        <w:t>Under the M</w:t>
      </w:r>
      <w:r>
        <w:rPr>
          <w:sz w:val="20"/>
          <w:szCs w:val="20"/>
        </w:rPr>
        <w:t>edicaid Drug Rebate program, a manufacturer is required to pay a rebate to each state Medicaid program for its covered outpatient drugs that are dispensed to Medicaid beneficiaries and paid for by a state Medicaid program as a condition of having federal f</w:t>
      </w:r>
      <w:r>
        <w:rPr>
          <w:sz w:val="20"/>
          <w:szCs w:val="20"/>
        </w:rPr>
        <w:t>unds being made available to the states for our drugs under Medicaid and Medicare Part B. Those rebates are based on pricing data reported by the manufacturer on a monthly and quarterly basis to CMS, the federal agency that administers the Medicaid Drug Re</w:t>
      </w:r>
      <w:r>
        <w:rPr>
          <w:sz w:val="20"/>
          <w:szCs w:val="20"/>
        </w:rPr>
        <w:t>bate program. These data include the average manufacturer price and, in the case of innovator products, the best price for each drug which, in general, represents the lowest price available from the manufacturer to any entity in the US in any pricing struc</w:t>
      </w:r>
      <w:r>
        <w:rPr>
          <w:sz w:val="20"/>
          <w:szCs w:val="20"/>
        </w:rPr>
        <w:t>ture, calculated to include all sales and associated rebates, discounts and other price concessions.</w:t>
      </w:r>
    </w:p>
    <w:p w:rsidR="00000000" w:rsidRDefault="00B51E11">
      <w:pPr>
        <w:pStyle w:val="a3"/>
        <w:spacing w:before="0" w:beforeAutospacing="0" w:after="200" w:afterAutospacing="0"/>
        <w:ind w:firstLine="720"/>
        <w:divId w:val="1997605376"/>
        <w:rPr>
          <w:sz w:val="20"/>
          <w:szCs w:val="20"/>
        </w:rPr>
      </w:pPr>
      <w:r>
        <w:rPr>
          <w:sz w:val="20"/>
          <w:szCs w:val="20"/>
        </w:rPr>
        <w:t>Federal law requires that any company that participates in the Medicaid Drug Rebate program also participate in the Public Health Service’s 340B drug prici</w:t>
      </w:r>
      <w:r>
        <w:rPr>
          <w:sz w:val="20"/>
          <w:szCs w:val="20"/>
        </w:rPr>
        <w:t>ng program in order for federal funds to be available for the manufacturer’s drugs under Medicaid and Medicare Part B. The 340B program requires participating manufacturers to agree to charge no more than the 340B “ceiling price” for the manufacturer’s cov</w:t>
      </w:r>
      <w:r>
        <w:rPr>
          <w:sz w:val="20"/>
          <w:szCs w:val="20"/>
        </w:rPr>
        <w:t>ered outpatient drugs to a variety of community health clinics and other entities that receive health services grants from the Public Health Service, as well as hospitals that serve a disproportionate share of low-income patients. Manufacturers also are re</w:t>
      </w:r>
      <w:r>
        <w:rPr>
          <w:sz w:val="20"/>
          <w:szCs w:val="20"/>
        </w:rPr>
        <w:t>quired to report their 340B ceiling prices to HRSA on a quarterly basis. A final regulation regarding the calculation of the 340B ceiling price and the imposition of civil monetary penalties on manufacturers that knowingly and intentionally overcharge cove</w:t>
      </w:r>
      <w:r>
        <w:rPr>
          <w:sz w:val="20"/>
          <w:szCs w:val="20"/>
        </w:rPr>
        <w:t>red entities became effective on January 1, 2019.</w:t>
      </w:r>
    </w:p>
    <w:p w:rsidR="00000000" w:rsidRDefault="00B51E11">
      <w:pPr>
        <w:pStyle w:val="a3"/>
        <w:spacing w:before="0" w:beforeAutospacing="0" w:after="200" w:afterAutospacing="0"/>
        <w:ind w:firstLine="720"/>
        <w:divId w:val="1997605376"/>
        <w:rPr>
          <w:sz w:val="20"/>
          <w:szCs w:val="20"/>
        </w:rPr>
      </w:pPr>
      <w:r>
        <w:rPr>
          <w:sz w:val="20"/>
          <w:szCs w:val="20"/>
        </w:rPr>
        <w:t xml:space="preserve">Federal law also requires that a company that participates in the Medicaid Drug Rebate program report average sales price information each quarter to CMS for certain categories of drugs that are paid under </w:t>
      </w:r>
      <w:r>
        <w:rPr>
          <w:sz w:val="20"/>
          <w:szCs w:val="20"/>
        </w:rPr>
        <w:t>the Medicare Part B program. Manufacturers calculate the average sales price based on a statutorily defined formula as well as regulations and interpretations of the statute by CMS. CMS uses these submissions to determine payment rates for drugs under Medi</w:t>
      </w:r>
      <w:r>
        <w:rPr>
          <w:sz w:val="20"/>
          <w:szCs w:val="20"/>
        </w:rPr>
        <w:t>care Part B.</w:t>
      </w:r>
    </w:p>
    <w:p w:rsidR="00000000" w:rsidRDefault="00B51E11">
      <w:pPr>
        <w:pStyle w:val="a3"/>
        <w:spacing w:before="0" w:beforeAutospacing="0" w:after="0" w:afterAutospacing="0"/>
        <w:ind w:firstLine="720"/>
        <w:divId w:val="1997605376"/>
        <w:rPr>
          <w:sz w:val="20"/>
          <w:szCs w:val="20"/>
        </w:rPr>
      </w:pPr>
      <w:r>
        <w:rPr>
          <w:sz w:val="20"/>
          <w:szCs w:val="20"/>
        </w:rPr>
        <w:t>Pricing and rebate calculations vary across products and programs, are complex, and are often subject to interpretation by the manufacturer, governmental or regulatory agencies and the courts. A manufacturer that becomes aware that its Medicai</w:t>
      </w:r>
      <w:r>
        <w:rPr>
          <w:sz w:val="20"/>
          <w:szCs w:val="20"/>
        </w:rPr>
        <w:t xml:space="preserve">d reporting for a prior quarter was incorrect, or has changed as a result of recalculation of the pricing data, is </w:t>
      </w:r>
    </w:p>
    <w:p w:rsidR="00000000" w:rsidRDefault="00B51E11">
      <w:pPr>
        <w:pStyle w:val="a3"/>
        <w:spacing w:before="360" w:beforeAutospacing="0" w:after="0" w:afterAutospacing="0"/>
        <w:jc w:val="center"/>
        <w:divId w:val="463616956"/>
        <w:rPr>
          <w:sz w:val="20"/>
          <w:szCs w:val="20"/>
        </w:rPr>
      </w:pPr>
      <w:r>
        <w:rPr>
          <w:sz w:val="20"/>
          <w:szCs w:val="20"/>
        </w:rPr>
        <w:t>64</w:t>
      </w:r>
    </w:p>
    <w:p w:rsidR="00000000" w:rsidRDefault="00B51E11">
      <w:pPr>
        <w:pStyle w:val="a3"/>
        <w:spacing w:before="0" w:beforeAutospacing="0" w:after="600" w:afterAutospacing="0"/>
        <w:divId w:val="1853756896"/>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1124080849"/>
        <w:rPr>
          <w:sz w:val="20"/>
          <w:szCs w:val="20"/>
        </w:rPr>
      </w:pPr>
      <w:r>
        <w:rPr>
          <w:sz w:val="20"/>
          <w:szCs w:val="20"/>
        </w:rPr>
        <w:t>are obligated to resubmit the corrected data for up to three years after those data originall</w:t>
      </w:r>
      <w:r>
        <w:rPr>
          <w:sz w:val="20"/>
          <w:szCs w:val="20"/>
        </w:rPr>
        <w:t>y were due. Such restatements and recalculations increase the costs for complying with the laws and regulations governing the Medicaid Drug Rebate program and could result in an overage or underage in our rebate liability for past quarters. Price recalcula</w:t>
      </w:r>
      <w:r>
        <w:rPr>
          <w:sz w:val="20"/>
          <w:szCs w:val="20"/>
        </w:rPr>
        <w:t>tions also may affect the 340B ceiling price.</w:t>
      </w:r>
    </w:p>
    <w:p w:rsidR="00000000" w:rsidRDefault="00B51E11">
      <w:pPr>
        <w:pStyle w:val="a3"/>
        <w:spacing w:before="0" w:beforeAutospacing="0" w:after="200" w:afterAutospacing="0"/>
        <w:ind w:firstLine="720"/>
        <w:divId w:val="1124080849"/>
        <w:rPr>
          <w:sz w:val="20"/>
          <w:szCs w:val="20"/>
        </w:rPr>
      </w:pPr>
      <w:r>
        <w:rPr>
          <w:sz w:val="20"/>
          <w:szCs w:val="20"/>
        </w:rPr>
        <w:t>We are liable for errors associated with our submission of pricing data. In addition to retroactive rebates and the potential for 340B program refunds, if we are found to have knowingly submitted any false pric</w:t>
      </w:r>
      <w:r>
        <w:rPr>
          <w:sz w:val="20"/>
          <w:szCs w:val="20"/>
        </w:rPr>
        <w:t>e information to the government, we may be liable for significant civil monetary penalties per item of false information. If we are found to have made a misrepresentation in the reporting of our average sales price, the Medicare statute provides for signif</w:t>
      </w:r>
      <w:r>
        <w:rPr>
          <w:sz w:val="20"/>
          <w:szCs w:val="20"/>
        </w:rPr>
        <w:t>icant civil monetary penalties for each misrepresentation for each day in which the misrepresentation was applied. If we are found to have charged 340B covered entities more than the statutorily mandated ceiling price, we could be subject to significant ci</w:t>
      </w:r>
      <w:r>
        <w:rPr>
          <w:sz w:val="20"/>
          <w:szCs w:val="20"/>
        </w:rPr>
        <w:t>vil monetary penalties. Our failure to submit the required price data on a timely basis could result in a significant civil monetary penalty per day for each day the information is late beyond the due date. Such failure also could be grounds for CMS to ter</w:t>
      </w:r>
      <w:r>
        <w:rPr>
          <w:sz w:val="20"/>
          <w:szCs w:val="20"/>
        </w:rPr>
        <w:t>minate our Medicaid drug rebate agreement, pursuant to which we participate in the Medicaid program. In the event that CMS terminates our rebate agreement, federal payments may not be available under Medicaid or Medicare Part B for our covered outpatient d</w:t>
      </w:r>
      <w:r>
        <w:rPr>
          <w:sz w:val="20"/>
          <w:szCs w:val="20"/>
        </w:rPr>
        <w:t>rugs.</w:t>
      </w:r>
    </w:p>
    <w:p w:rsidR="00000000" w:rsidRDefault="00B51E11">
      <w:pPr>
        <w:pStyle w:val="a3"/>
        <w:spacing w:before="0" w:beforeAutospacing="0" w:after="200" w:afterAutospacing="0"/>
        <w:ind w:firstLine="720"/>
        <w:divId w:val="1124080849"/>
        <w:rPr>
          <w:sz w:val="20"/>
          <w:szCs w:val="20"/>
        </w:rPr>
      </w:pPr>
      <w:r>
        <w:rPr>
          <w:sz w:val="20"/>
          <w:szCs w:val="20"/>
        </w:rPr>
        <w:t>In order to be eligible to have its products paid for with federal funds under the Medicaid and Medicare Part B programs and purchased by the Department of Veterans Affairs (“VA”), Department of Defense (“DoD”), Public Health Service, and Coast Guard</w:t>
      </w:r>
      <w:r>
        <w:rPr>
          <w:sz w:val="20"/>
          <w:szCs w:val="20"/>
        </w:rPr>
        <w:t xml:space="preserve"> (the “Big Four agencies”) and certain federal grantees, a manufacturer is required to participate in the VA Federal Supply Schedule (“FSS”) pricing program, established under Section 603 of the Veterans Health Care Act of 1992. Under this program, the man</w:t>
      </w:r>
      <w:r>
        <w:rPr>
          <w:sz w:val="20"/>
          <w:szCs w:val="20"/>
        </w:rPr>
        <w:t>ufacturer is obligated to make its covered drugs available for procurement on an FSS contract and charge a price to the Big Four agencies that is no higher than the Federal Ceiling Price (“FCP”), which is a price calculated pursuant to a statutory formula.</w:t>
      </w:r>
      <w:r>
        <w:rPr>
          <w:sz w:val="20"/>
          <w:szCs w:val="20"/>
        </w:rPr>
        <w:t xml:space="preserve"> The FCP is derived from a calculated price point called the “non-federal average manufacturer price” (“Non-FAMP”), which the manufacturer calculates and reports to the VA on a quarterly and annual basis. Pursuant to applicable law, knowing provision of fa</w:t>
      </w:r>
      <w:r>
        <w:rPr>
          <w:sz w:val="20"/>
          <w:szCs w:val="20"/>
        </w:rPr>
        <w:t>lse information in connection with a Non-FAMP filing can subject a manufacturer to significant penalties for each item of false information. The FSS contract also contains extensive disclosure and certification requirements.</w:t>
      </w:r>
    </w:p>
    <w:p w:rsidR="00000000" w:rsidRDefault="00B51E11">
      <w:pPr>
        <w:pStyle w:val="a3"/>
        <w:spacing w:before="0" w:beforeAutospacing="0" w:after="200" w:afterAutospacing="0"/>
        <w:ind w:firstLine="720"/>
        <w:divId w:val="1124080849"/>
        <w:rPr>
          <w:sz w:val="20"/>
          <w:szCs w:val="20"/>
        </w:rPr>
      </w:pPr>
      <w:r>
        <w:rPr>
          <w:sz w:val="20"/>
          <w:szCs w:val="20"/>
        </w:rPr>
        <w:t>Under Section 703 of the Nation</w:t>
      </w:r>
      <w:r>
        <w:rPr>
          <w:sz w:val="20"/>
          <w:szCs w:val="20"/>
        </w:rPr>
        <w:t>al Defense Authorization Act for FY 2008, the manufacturer is required to pay quarterly rebates to DoD on utilization of its innovator products that are dispensed through DoD’s Tricare network pharmacies to Tricare beneficiaries. The rebates are calculated</w:t>
      </w:r>
      <w:r>
        <w:rPr>
          <w:sz w:val="20"/>
          <w:szCs w:val="20"/>
        </w:rPr>
        <w:t xml:space="preserve"> as the difference between the annual Non-FAMP and FCP for the calendar year that the product was dispensed. A manufacturer that overcharges the government in connection with the FSS contract or Tricare Retail Pharmacy Rebate Program, whether due to a miss</w:t>
      </w:r>
      <w:r>
        <w:rPr>
          <w:sz w:val="20"/>
          <w:szCs w:val="20"/>
        </w:rPr>
        <w:t>tated FCP or otherwise, is required to refund the difference to the government. Failure to make necessary disclosures and/or to identify contract overcharges can result in allegations against us under the False Claims Act and other laws and regulations.</w:t>
      </w:r>
    </w:p>
    <w:p w:rsidR="00000000" w:rsidRDefault="00B51E11">
      <w:pPr>
        <w:pStyle w:val="a3"/>
        <w:spacing w:before="0" w:beforeAutospacing="0" w:after="120" w:afterAutospacing="0"/>
        <w:divId w:val="1124080849"/>
        <w:rPr>
          <w:sz w:val="20"/>
          <w:szCs w:val="20"/>
        </w:rPr>
      </w:pPr>
      <w:r>
        <w:rPr>
          <w:b/>
          <w:bCs/>
          <w:i/>
          <w:iCs/>
          <w:sz w:val="20"/>
          <w:szCs w:val="20"/>
        </w:rPr>
        <w:t>Ou</w:t>
      </w:r>
      <w:r>
        <w:rPr>
          <w:b/>
          <w:bCs/>
          <w:i/>
          <w:iCs/>
          <w:sz w:val="20"/>
          <w:szCs w:val="20"/>
        </w:rPr>
        <w:t>r relationships with customers and third-party payors are subject to applicable anti-kickback, fraud and abuse, transparency and other healthcare laws and regulations, which could expose us to criminal sanctions, civil penalties, exclusion, contractual dam</w:t>
      </w:r>
      <w:r>
        <w:rPr>
          <w:b/>
          <w:bCs/>
          <w:i/>
          <w:iCs/>
          <w:sz w:val="20"/>
          <w:szCs w:val="20"/>
        </w:rPr>
        <w:t>ages, reputational harm and diminished profits and future earnings.</w:t>
      </w:r>
    </w:p>
    <w:p w:rsidR="00000000" w:rsidRDefault="00B51E11">
      <w:pPr>
        <w:pStyle w:val="a3"/>
        <w:spacing w:before="0" w:beforeAutospacing="0" w:after="200" w:afterAutospacing="0"/>
        <w:ind w:firstLine="720"/>
        <w:divId w:val="1124080849"/>
        <w:rPr>
          <w:sz w:val="20"/>
          <w:szCs w:val="20"/>
        </w:rPr>
      </w:pPr>
      <w:r>
        <w:rPr>
          <w:sz w:val="20"/>
          <w:szCs w:val="20"/>
        </w:rPr>
        <w:t>Healthcare providers, physicians, distributors and third-party payors play a primary role in the distribution, recommendation and prescription of any pharmaceutical product for which we ob</w:t>
      </w:r>
      <w:r>
        <w:rPr>
          <w:sz w:val="20"/>
          <w:szCs w:val="20"/>
        </w:rPr>
        <w:t>tain marketing approval. Our arrangements with third-party payors and customers expose us to broadly applicable fraud and abuse and other healthcare laws and regulations that may constrain the business or financial arrangements through which we market, sel</w:t>
      </w:r>
      <w:r>
        <w:rPr>
          <w:sz w:val="20"/>
          <w:szCs w:val="20"/>
        </w:rPr>
        <w:t>l and distribute any products for which we have obtained or may obtain marketing approval. Restrictions under applicable federal and state healthcare laws and regulations include the following: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4080849"/>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The US federal healthcare Anti-Kickback Statute prohibits a</w:t>
            </w:r>
            <w:r>
              <w:rPr>
                <w:sz w:val="20"/>
                <w:szCs w:val="20"/>
              </w:rPr>
              <w:t>ny person from, among other things, knowingly and willfully offering, paying, soliciting, or receiving remuneration, directly or indirectly, in cash or in kind, to induce or reward either the referral of an individual for, or the purchasing, leasing, order</w:t>
            </w:r>
            <w:r>
              <w:rPr>
                <w:sz w:val="20"/>
                <w:szCs w:val="20"/>
              </w:rPr>
              <w:t>ing or arranging for or recommending of any good or service for which payment may be made, in whole or in part, under federal and state healthcare programs such as Medicare and Medicaid. The term “remuneration” has been broadly interpreted to include anyth</w:t>
            </w:r>
            <w:r>
              <w:rPr>
                <w:sz w:val="20"/>
                <w:szCs w:val="20"/>
              </w:rPr>
              <w:t xml:space="preserve">ing of value. The Anti-Kickback Statute is subject to evolving interpretation and has been applied by government enforcement officials to a number of common business arrangements in the </w:t>
            </w:r>
          </w:p>
        </w:tc>
      </w:tr>
    </w:tbl>
    <w:p w:rsidR="00000000" w:rsidRDefault="00B51E11">
      <w:pPr>
        <w:pStyle w:val="a3"/>
        <w:spacing w:before="360" w:beforeAutospacing="0" w:after="0" w:afterAutospacing="0"/>
        <w:jc w:val="center"/>
        <w:divId w:val="453326414"/>
        <w:rPr>
          <w:sz w:val="20"/>
          <w:szCs w:val="20"/>
        </w:rPr>
      </w:pPr>
      <w:r>
        <w:rPr>
          <w:sz w:val="20"/>
          <w:szCs w:val="20"/>
        </w:rPr>
        <w:t>65</w:t>
      </w:r>
    </w:p>
    <w:p w:rsidR="00000000" w:rsidRDefault="00B51E11">
      <w:pPr>
        <w:pStyle w:val="a3"/>
        <w:spacing w:before="0" w:beforeAutospacing="0" w:after="600" w:afterAutospacing="0"/>
        <w:divId w:val="884029119"/>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ind w:left="1080"/>
        <w:divId w:val="270941725"/>
        <w:rPr>
          <w:sz w:val="20"/>
          <w:szCs w:val="20"/>
        </w:rPr>
      </w:pPr>
      <w:r>
        <w:rPr>
          <w:sz w:val="20"/>
          <w:szCs w:val="20"/>
        </w:rPr>
        <w:t>pharmaceutical industry. The government can establish a violation of the Anti-Kickback Statute without proving that a person or entity had actual knowledge of the statute or specific intent to violate it. There are a number of statutory exemptions and regu</w:t>
      </w:r>
      <w:r>
        <w:rPr>
          <w:sz w:val="20"/>
          <w:szCs w:val="20"/>
        </w:rPr>
        <w:t>latory safe harbors protecting some common activities from prosecution; however, those exceptions and safe harbors are drawn narrowly. Failure to meet all of the requirements of a particular statutory exception or regulatory safe harbor does not make the c</w:t>
      </w:r>
      <w:r>
        <w:rPr>
          <w:sz w:val="20"/>
          <w:szCs w:val="20"/>
        </w:rPr>
        <w:t>onduct per se illegal under the Anti-Kickback Statute, but the legality of the arrangement will be evaluated on a case-by-case basis based on the totality of the facts and circumstances. We seek to comply with the available statutory exemptions and safe ha</w:t>
      </w:r>
      <w:r>
        <w:rPr>
          <w:sz w:val="20"/>
          <w:szCs w:val="20"/>
        </w:rPr>
        <w:t>rbors whenever possible, but our practices may not in all cases meet all of the criteria for safe harbor protection from anti-kickback liability. Moreover, there are no safe harbors for many common practices, such as educational and research grants or pati</w:t>
      </w:r>
      <w:r>
        <w:rPr>
          <w:sz w:val="20"/>
          <w:szCs w:val="20"/>
        </w:rPr>
        <w:t>ent or product assistance programs. In October 2019, the federal government published a proposed regulation that would create new safe harbors for (among other things) certain value-based arrangements and patient engagement tools and modify and clarify the</w:t>
      </w:r>
      <w:r>
        <w:rPr>
          <w:sz w:val="20"/>
          <w:szCs w:val="20"/>
        </w:rPr>
        <w:t xml:space="preserve"> scope of existing safe harbors for warranties and personal service agreements; even if it is finalized, the impact of the proposed regulation on our operations is not yet clear.</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70941725"/>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federal civil False Claims Act prohibits, among other things, knowingl</w:t>
            </w:r>
            <w:r>
              <w:rPr>
                <w:sz w:val="20"/>
                <w:szCs w:val="20"/>
              </w:rPr>
              <w:t>y presenting, or causing to be presented, claims for payment of government funds that are false or fraudulent, or knowingly making, or using or causing to be made or used, a false record or statement material to a false or fraudulent claim to avoid, decrea</w:t>
            </w:r>
            <w:r>
              <w:rPr>
                <w:sz w:val="20"/>
                <w:szCs w:val="20"/>
              </w:rPr>
              <w:t xml:space="preserve">se, or conceal an obligation to pay money to the federal government. Private individuals, commonly known as “whistleblowers,” can bring civil False Claims Act </w:t>
            </w:r>
            <w:r>
              <w:rPr>
                <w:i/>
                <w:iCs/>
                <w:sz w:val="20"/>
                <w:szCs w:val="20"/>
              </w:rPr>
              <w:t>qui tam</w:t>
            </w:r>
            <w:r>
              <w:rPr>
                <w:sz w:val="20"/>
                <w:szCs w:val="20"/>
              </w:rPr>
              <w:t xml:space="preserve"> </w:t>
            </w:r>
            <w:r>
              <w:rPr>
                <w:sz w:val="20"/>
                <w:szCs w:val="20"/>
              </w:rPr>
              <w:t>actions, on behalf of the government and such individuals and may share in amounts paid by the entity to the government in recovery or settlement. In recent years, several pharmaceutical and other healthcare companies have faced enforcement actions under t</w:t>
            </w:r>
            <w:r>
              <w:rPr>
                <w:sz w:val="20"/>
                <w:szCs w:val="20"/>
              </w:rPr>
              <w:t>he federal False Claims Act for, among other things, allegedly submitting false or misleading pricing information to government health care programs and providing free product to customers with the expectation that the customers would bill federal programs</w:t>
            </w:r>
            <w:r>
              <w:rPr>
                <w:sz w:val="20"/>
                <w:szCs w:val="20"/>
              </w:rPr>
              <w:t xml:space="preserve"> for the product. Federal enforcement agencies also have showed increased interest in pharmaceutical companies’ product and patient assistance programs, including reimbursement and co-pay support services, and a number of investigations into these programs</w:t>
            </w:r>
            <w:r>
              <w:rPr>
                <w:sz w:val="20"/>
                <w:szCs w:val="20"/>
              </w:rPr>
              <w:t xml:space="preserve"> have resulted in significant civil and criminal settlements. Other companies have faced enforcement actions for causing false claims to be submitted because of the company’s marketing the product for unapproved, and thus non-reimbursable, uses. In additio</w:t>
            </w:r>
            <w:r>
              <w:rPr>
                <w:sz w:val="20"/>
                <w:szCs w:val="20"/>
              </w:rPr>
              <w:t xml:space="preserve">n, a claim including items or services resulting from a violation of the federal Anti-Kickback Statute constitutes a false or fraudulent claim for purposes of the federal civil False Claims Act. False Claims Act liability is potentially significant in the </w:t>
            </w:r>
            <w:r>
              <w:rPr>
                <w:sz w:val="20"/>
                <w:szCs w:val="20"/>
              </w:rPr>
              <w:t>healthcare industry because the statute provides for treble damages and significant mandatory penalties per false claim or statement for violations. Because of the potential for large monetary exposure, healthcare and pharmaceutical companies often resolve</w:t>
            </w:r>
            <w:r>
              <w:rPr>
                <w:sz w:val="20"/>
                <w:szCs w:val="20"/>
              </w:rPr>
              <w:t xml:space="preserve"> allegations without admissions of liability for significant and material amounts to avoid the uncertainty of treble damages and per claim penalties that may be awarded in litigation proceedings. Companies may be required, however, to enter into corporate </w:t>
            </w:r>
            <w:r>
              <w:rPr>
                <w:sz w:val="20"/>
                <w:szCs w:val="20"/>
              </w:rPr>
              <w:t>integrity agreements with the government, which may impose substantial costs on companies to ensure compliance. Criminal penalties, including imprisonment and criminal fines, are also possible for making or presenting a false, fictitious or fraudulent clai</w:t>
            </w:r>
            <w:r>
              <w:rPr>
                <w:sz w:val="20"/>
                <w:szCs w:val="20"/>
              </w:rPr>
              <w:t>m to the federal government.</w:t>
            </w:r>
          </w:p>
        </w:tc>
      </w:tr>
    </w:tbl>
    <w:p w:rsidR="00000000" w:rsidRDefault="00B51E11">
      <w:pPr>
        <w:divId w:val="2709417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7094172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 xml:space="preserve">HIPAA, among other things, imposes criminal and civil liability for knowingly and willfully executing a scheme to defraud any healthcare benefit program, including private third-party payors, and also imposes obligations, </w:t>
            </w:r>
            <w:r>
              <w:rPr>
                <w:sz w:val="20"/>
                <w:szCs w:val="20"/>
              </w:rPr>
              <w:t>including mandatory contractual terms, with respect to safeguarding the privacy, security and transmission of individually identifiable health information. HIPAA also prohibits knowingly and willfully falsifying, concealing or covering up a material fact o</w:t>
            </w:r>
            <w:r>
              <w:rPr>
                <w:sz w:val="20"/>
                <w:szCs w:val="20"/>
              </w:rPr>
              <w:t>r making any materially false, fictitious or fraudulent statement or representation, or making or using any false writing or document knowing the same to contain any materially false fictitious or fraudulent statement or entry in connection with the delive</w:t>
            </w:r>
            <w:r>
              <w:rPr>
                <w:sz w:val="20"/>
                <w:szCs w:val="20"/>
              </w:rPr>
              <w:t>ry of or payment for healthcare benefits, items or services. Similar to the federal healthcare Anti-Kickback Statute, a person or entity does not need to have actual knowledge of the statute or specific intent to violate it to have committed a violation.</w:t>
            </w:r>
          </w:p>
        </w:tc>
      </w:tr>
    </w:tbl>
    <w:p w:rsidR="00000000" w:rsidRDefault="00B51E11">
      <w:pPr>
        <w:divId w:val="2709417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7094172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0" w:afterAutospacing="0"/>
              <w:rPr>
                <w:sz w:val="20"/>
                <w:szCs w:val="20"/>
              </w:rPr>
            </w:pPr>
            <w:r>
              <w:rPr>
                <w:sz w:val="20"/>
                <w:szCs w:val="20"/>
              </w:rPr>
              <w:t>The federal Physician Payment Sunshine Act, being implemented as the Open Payments Program, requires certain manufacturers of drugs, devices, biologics, and medical supplies for which payment is available under Medicare, Medicaid or the Children’s Heal</w:t>
            </w:r>
            <w:r>
              <w:rPr>
                <w:sz w:val="20"/>
                <w:szCs w:val="20"/>
              </w:rPr>
              <w:t xml:space="preserve">th Insurance Program (with certain exceptions) to report annually to the US Department of Health and Human Services, Centers for Medicare and Medicaid Services, information </w:t>
            </w:r>
          </w:p>
        </w:tc>
      </w:tr>
    </w:tbl>
    <w:p w:rsidR="00000000" w:rsidRDefault="00B51E11">
      <w:pPr>
        <w:pStyle w:val="a3"/>
        <w:spacing w:before="360" w:beforeAutospacing="0" w:after="0" w:afterAutospacing="0"/>
        <w:jc w:val="center"/>
        <w:divId w:val="43525189"/>
        <w:rPr>
          <w:sz w:val="20"/>
          <w:szCs w:val="20"/>
        </w:rPr>
      </w:pPr>
      <w:r>
        <w:rPr>
          <w:sz w:val="20"/>
          <w:szCs w:val="20"/>
        </w:rPr>
        <w:t>66</w:t>
      </w:r>
    </w:p>
    <w:p w:rsidR="00000000" w:rsidRDefault="00B51E11">
      <w:pPr>
        <w:pStyle w:val="a3"/>
        <w:spacing w:before="0" w:beforeAutospacing="0" w:after="600" w:afterAutospacing="0"/>
        <w:divId w:val="1717468104"/>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ind w:left="1080"/>
        <w:divId w:val="289630274"/>
        <w:rPr>
          <w:sz w:val="20"/>
          <w:szCs w:val="20"/>
        </w:rPr>
      </w:pPr>
      <w:r>
        <w:rPr>
          <w:sz w:val="20"/>
          <w:szCs w:val="20"/>
        </w:rPr>
        <w:t>related to payments and other transfers of value, directly or indirectly, to physicians (defined to include doctors, dentists, optometrists, podiatrists, and chiropractors) and teaching hospitals, as well as ownership and investment interests held by physi</w:t>
      </w:r>
      <w:r>
        <w:rPr>
          <w:sz w:val="20"/>
          <w:szCs w:val="20"/>
        </w:rPr>
        <w:t>cians and their immediate family members. Beginning in 2022, applicable manufacturers also will be required to report information regarding payments and transfers of value provided to physician assistants, nurse practitioners, clinical nurse specialists, c</w:t>
      </w:r>
      <w:r>
        <w:rPr>
          <w:sz w:val="20"/>
          <w:szCs w:val="20"/>
        </w:rPr>
        <w:t xml:space="preserve">ertified nurse anesthetists, and certified nurse-midwives. A manufacturer’s failure to submit timely, accurately and completely the required information for all payments, transfers of value or ownership or investment interests may result in civil monetary </w:t>
      </w:r>
      <w:r>
        <w:rPr>
          <w:sz w:val="20"/>
          <w:szCs w:val="20"/>
        </w:rPr>
        <w:t>penalties of up to an aggregate of $150,000 per year, and up to an aggregate of $1 million per year for “knowing failures.” Manufacturers must submit reports by the 90th day of each calendar year.</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9630274"/>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Analogous state laws and regulations, such as state anti</w:t>
            </w:r>
            <w:r>
              <w:rPr>
                <w:sz w:val="20"/>
                <w:szCs w:val="20"/>
              </w:rPr>
              <w:t>-kickback and false claims laws, may apply to sales or marketing arrangements and claims involving healthcare items or services reimbursed by any third-party payors, including private insurers or patients. Several states also require pharmaceutical compani</w:t>
            </w:r>
            <w:r>
              <w:rPr>
                <w:sz w:val="20"/>
                <w:szCs w:val="20"/>
              </w:rPr>
              <w:t>es to report expenses relating to the marketing and promotion of pharmaceutical products in those states and to report gifts and payments to individual health care providers in those states. Some of these states also prohibit certain marketing-related acti</w:t>
            </w:r>
            <w:r>
              <w:rPr>
                <w:sz w:val="20"/>
                <w:szCs w:val="20"/>
              </w:rPr>
              <w:t>vities, including the provision of gifts, meals, or other items to certain health care providers, and restrict the ability of manufacturers to offer co-pay support to patients for certain prescription drugs. Some states require the posting of information r</w:t>
            </w:r>
            <w:r>
              <w:rPr>
                <w:sz w:val="20"/>
                <w:szCs w:val="20"/>
              </w:rPr>
              <w:t>elating to clinical studies and their outcomes. Some states and cities require identification or licensing of sales representatives. In addition, several states require pharmaceutical companies to implement compliance programs or marketing codes.</w:t>
            </w:r>
          </w:p>
        </w:tc>
      </w:tr>
    </w:tbl>
    <w:p w:rsidR="00000000" w:rsidRDefault="00B51E11">
      <w:pPr>
        <w:divId w:val="28963027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9630274"/>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Simi</w:t>
            </w:r>
            <w:r>
              <w:rPr>
                <w:sz w:val="20"/>
                <w:szCs w:val="20"/>
              </w:rPr>
              <w:t xml:space="preserve">lar restrictions are imposed on the promotion and marketing of medicinal products in the EU Member States and other countries, including restrictions prohibiting the promotion of a compound prior to its approval. Laws (including those governing promotion, </w:t>
            </w:r>
            <w:r>
              <w:rPr>
                <w:sz w:val="20"/>
                <w:szCs w:val="20"/>
              </w:rPr>
              <w:t>marketing and anti-kickback provisions), industry regulations and professional codes of conduct often are strictly enforced. Even in those countries where we may decide not to directly promote or market our products, inappropriate activity by our internati</w:t>
            </w:r>
            <w:r>
              <w:rPr>
                <w:sz w:val="20"/>
                <w:szCs w:val="20"/>
              </w:rPr>
              <w:t>onal distribution partners could have implications for us.</w:t>
            </w:r>
          </w:p>
        </w:tc>
      </w:tr>
    </w:tbl>
    <w:p w:rsidR="00000000" w:rsidRDefault="00B51E11">
      <w:pPr>
        <w:pStyle w:val="a3"/>
        <w:spacing w:before="0" w:beforeAutospacing="0" w:after="200" w:afterAutospacing="0"/>
        <w:ind w:firstLine="720"/>
        <w:divId w:val="289630274"/>
        <w:rPr>
          <w:sz w:val="20"/>
          <w:szCs w:val="20"/>
        </w:rPr>
      </w:pPr>
      <w:r>
        <w:rPr>
          <w:sz w:val="20"/>
          <w:szCs w:val="20"/>
        </w:rPr>
        <w:t>The shifting commercial compliance environment and the need to build and maintain robust and expandable systems to comply with different compliance or reporting requirements in multiple jurisdicti</w:t>
      </w:r>
      <w:r>
        <w:rPr>
          <w:sz w:val="20"/>
          <w:szCs w:val="20"/>
        </w:rPr>
        <w:t>ons increase the possibility that we or our partners may fail to comply fully with one or more of these requirements. Efforts to ensure that our business arrangements with third parties will comply with applicable healthcare laws and regulations may involv</w:t>
      </w:r>
      <w:r>
        <w:rPr>
          <w:sz w:val="20"/>
          <w:szCs w:val="20"/>
        </w:rPr>
        <w:t xml:space="preserve">e substantial costs. It is possible that governmental authorities will conclude that our business practices may not comply with applicable fraud and abuse or other healthcare laws and regulations or guidance. If our operations are found to be in violation </w:t>
      </w:r>
      <w:r>
        <w:rPr>
          <w:sz w:val="20"/>
          <w:szCs w:val="20"/>
        </w:rPr>
        <w:t>of any of these laws or any other governmental regulations that may apply to us, we may be subject to significant civil, criminal and administrative penalties, damages, fines, disgorgement, exclusion from government funded healthcare programs, such as Medi</w:t>
      </w:r>
      <w:r>
        <w:rPr>
          <w:sz w:val="20"/>
          <w:szCs w:val="20"/>
        </w:rPr>
        <w:t>care and Medicaid in the US and similar programs outside the US, contractual damages, diminished profits and future earnings, and the curtailment or restructuring of our operations, any of which could adversely affect our ability to operate our business an</w:t>
      </w:r>
      <w:r>
        <w:rPr>
          <w:sz w:val="20"/>
          <w:szCs w:val="20"/>
        </w:rPr>
        <w:t xml:space="preserve">d our financial results. If any of the physicians or other providers or entities with whom we do or expect to do business are found to not be in compliance with applicable laws, they may be subject to criminal, civil or administrative sanctions, including </w:t>
      </w:r>
      <w:r>
        <w:rPr>
          <w:sz w:val="20"/>
          <w:szCs w:val="20"/>
        </w:rPr>
        <w:t xml:space="preserve">exclusions from government funded healthcare programs. Even if we are not determined to have violated these laws, government investigations into these issues typically require the expenditure of significant resources and generate negative publicity, which </w:t>
      </w:r>
      <w:r>
        <w:rPr>
          <w:sz w:val="20"/>
          <w:szCs w:val="20"/>
        </w:rPr>
        <w:t>could harm our financial condition and divert resources and the attention of our management from operating our business.</w:t>
      </w:r>
    </w:p>
    <w:p w:rsidR="00000000" w:rsidRDefault="00B51E11">
      <w:pPr>
        <w:pStyle w:val="a3"/>
        <w:spacing w:before="0" w:beforeAutospacing="0" w:after="120" w:afterAutospacing="0"/>
        <w:divId w:val="289630274"/>
        <w:rPr>
          <w:sz w:val="20"/>
          <w:szCs w:val="20"/>
        </w:rPr>
      </w:pPr>
      <w:r>
        <w:rPr>
          <w:b/>
          <w:bCs/>
          <w:i/>
          <w:iCs/>
          <w:sz w:val="20"/>
          <w:szCs w:val="20"/>
        </w:rPr>
        <w:t>Our business and operations, including the use of hazardous and biological materials may result in liabilities with respect to environm</w:t>
      </w:r>
      <w:r>
        <w:rPr>
          <w:b/>
          <w:bCs/>
          <w:i/>
          <w:iCs/>
          <w:sz w:val="20"/>
          <w:szCs w:val="20"/>
        </w:rPr>
        <w:t>ental, health and safety matters.</w:t>
      </w:r>
    </w:p>
    <w:p w:rsidR="00000000" w:rsidRDefault="00B51E11">
      <w:pPr>
        <w:pStyle w:val="a3"/>
        <w:spacing w:before="0" w:beforeAutospacing="0" w:after="0" w:afterAutospacing="0"/>
        <w:ind w:firstLine="720"/>
        <w:divId w:val="289630274"/>
        <w:rPr>
          <w:sz w:val="20"/>
          <w:szCs w:val="20"/>
        </w:rPr>
      </w:pPr>
      <w:r>
        <w:rPr>
          <w:sz w:val="20"/>
          <w:szCs w:val="20"/>
        </w:rPr>
        <w:t>Our research and development activities involve the controlled use of potentially hazardous substances, including chemical, biological and radioactive materials. In addition, our operations produce hazardous waste products</w:t>
      </w:r>
      <w:r>
        <w:rPr>
          <w:sz w:val="20"/>
          <w:szCs w:val="20"/>
        </w:rPr>
        <w:t>, including hazardous waste. Federal, state and local laws and regulations govern the use, manufacture, management, storage, handling and disposal of hazardous materials and wastes. We may incur significant additional costs or liabilities to comply with, o</w:t>
      </w:r>
      <w:r>
        <w:rPr>
          <w:sz w:val="20"/>
          <w:szCs w:val="20"/>
        </w:rPr>
        <w:t>r for violations of, these and other applicable laws in the future. Also, even if we are in compliance with applicable laws, we cannot completely eliminate the risk of contamination or injury resulting from hazardous materials and we may incur liability as</w:t>
      </w:r>
      <w:r>
        <w:rPr>
          <w:sz w:val="20"/>
          <w:szCs w:val="20"/>
        </w:rPr>
        <w:t xml:space="preserve"> a result of any such contamination or injury. Further, in the event of a release of or exposure to hazardous materials, </w:t>
      </w:r>
    </w:p>
    <w:p w:rsidR="00000000" w:rsidRDefault="00B51E11">
      <w:pPr>
        <w:pStyle w:val="a3"/>
        <w:spacing w:before="360" w:beforeAutospacing="0" w:after="0" w:afterAutospacing="0"/>
        <w:jc w:val="center"/>
        <w:divId w:val="1138037389"/>
        <w:rPr>
          <w:sz w:val="20"/>
          <w:szCs w:val="20"/>
        </w:rPr>
      </w:pPr>
      <w:r>
        <w:rPr>
          <w:sz w:val="20"/>
          <w:szCs w:val="20"/>
        </w:rPr>
        <w:t>67</w:t>
      </w:r>
    </w:p>
    <w:p w:rsidR="00000000" w:rsidRDefault="00B51E11">
      <w:pPr>
        <w:pStyle w:val="a3"/>
        <w:spacing w:before="0" w:beforeAutospacing="0" w:after="600" w:afterAutospacing="0"/>
        <w:divId w:val="635647230"/>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divId w:val="1600022499"/>
        <w:rPr>
          <w:sz w:val="20"/>
          <w:szCs w:val="20"/>
        </w:rPr>
      </w:pPr>
      <w:r>
        <w:rPr>
          <w:sz w:val="20"/>
          <w:szCs w:val="20"/>
        </w:rPr>
        <w:t>including at the sites we currently or formerly operate or at sites such as landfills where we send wastes for disposal, we could be held liable for cleanup costs or damages or subject to other costs or penalties and such liability could exceed our resourc</w:t>
      </w:r>
      <w:r>
        <w:rPr>
          <w:sz w:val="20"/>
          <w:szCs w:val="20"/>
        </w:rPr>
        <w:t>es. We do not have any insurance for liabilities arising from hazardous materials or under environmental laws. Compliance with or liability under applicable environmental laws and regulations or with respect to hazardous materials may be expensive, and cur</w:t>
      </w:r>
      <w:r>
        <w:rPr>
          <w:sz w:val="20"/>
          <w:szCs w:val="20"/>
        </w:rPr>
        <w:t>rent or future environmental regulations may impair our research, development and production efforts, which could harm our business, which could cause the price of our securities to fall.</w:t>
      </w:r>
    </w:p>
    <w:p w:rsidR="00000000" w:rsidRDefault="00B51E11">
      <w:pPr>
        <w:pStyle w:val="a3"/>
        <w:spacing w:before="0" w:beforeAutospacing="0" w:after="120" w:afterAutospacing="0"/>
        <w:divId w:val="1600022499"/>
        <w:rPr>
          <w:rFonts w:ascii="Times" w:hAnsi="Times"/>
          <w:b/>
          <w:bCs/>
          <w:sz w:val="20"/>
          <w:szCs w:val="20"/>
        </w:rPr>
      </w:pPr>
      <w:r>
        <w:rPr>
          <w:b/>
          <w:bCs/>
          <w:sz w:val="20"/>
          <w:szCs w:val="20"/>
        </w:rPr>
        <w:t xml:space="preserve">RISKS RELATING TO OUR ORDINARY SHARES </w:t>
      </w:r>
    </w:p>
    <w:p w:rsidR="00000000" w:rsidRDefault="00B51E11">
      <w:pPr>
        <w:pStyle w:val="a3"/>
        <w:spacing w:before="0" w:beforeAutospacing="0" w:after="120" w:afterAutospacing="0"/>
        <w:divId w:val="1600022499"/>
        <w:rPr>
          <w:sz w:val="20"/>
          <w:szCs w:val="20"/>
        </w:rPr>
      </w:pPr>
      <w:r>
        <w:rPr>
          <w:b/>
          <w:bCs/>
          <w:i/>
          <w:iCs/>
          <w:sz w:val="20"/>
          <w:szCs w:val="20"/>
        </w:rPr>
        <w:t>The market price for our shar</w:t>
      </w:r>
      <w:r>
        <w:rPr>
          <w:b/>
          <w:bCs/>
          <w:i/>
          <w:iCs/>
          <w:sz w:val="20"/>
          <w:szCs w:val="20"/>
        </w:rPr>
        <w:t>es has and may continue to fluctuate widely and may result in substantial losses for purchasers of our ordinary shares.</w:t>
      </w:r>
    </w:p>
    <w:p w:rsidR="00000000" w:rsidRDefault="00B51E11">
      <w:pPr>
        <w:pStyle w:val="a3"/>
        <w:spacing w:before="0" w:beforeAutospacing="0" w:after="200" w:afterAutospacing="0"/>
        <w:ind w:firstLine="720"/>
        <w:divId w:val="1600022499"/>
        <w:rPr>
          <w:sz w:val="20"/>
          <w:szCs w:val="20"/>
        </w:rPr>
      </w:pPr>
      <w:r>
        <w:rPr>
          <w:sz w:val="20"/>
          <w:szCs w:val="20"/>
        </w:rPr>
        <w:t>The market price for our shares has and may continue to fluctuate widely and may result in substantial losses for purchasers of our ordi</w:t>
      </w:r>
      <w:r>
        <w:rPr>
          <w:sz w:val="20"/>
          <w:szCs w:val="20"/>
        </w:rPr>
        <w:t>nary shares. To the extent that low trading volumes for our ordinary shares continues, our stock price may fluctuate significantly more than the stock market as a whole or the stock prices of similar companies. Without a larger public float of actively tra</w:t>
      </w:r>
      <w:r>
        <w:rPr>
          <w:sz w:val="20"/>
          <w:szCs w:val="20"/>
        </w:rPr>
        <w:t>ded shares, our ordinary shares are likely to be more sensitive to changes in sales volumes, market fluctuations and events or perceived events with respect to our business, than the shares of common stock of companies with broader public ownership, and as</w:t>
      </w:r>
      <w:r>
        <w:rPr>
          <w:sz w:val="20"/>
          <w:szCs w:val="20"/>
        </w:rPr>
        <w:t xml:space="preserve"> a result, the trading prices for our ordinary shares may be more volatile. Among other things, trading of a relatively small volume of ordinary shares may have a greater effect on the trading price than would be the case if our public float of actively tr</w:t>
      </w:r>
      <w:r>
        <w:rPr>
          <w:sz w:val="20"/>
          <w:szCs w:val="20"/>
        </w:rPr>
        <w:t>aded shares were larger. In addition, as further described below under the risk factor entitled “—</w:t>
      </w:r>
      <w:r>
        <w:rPr>
          <w:i/>
          <w:iCs/>
          <w:sz w:val="20"/>
          <w:szCs w:val="20"/>
        </w:rPr>
        <w:t>Concentration of ownership will limit your ability to influence corporate matters,”</w:t>
      </w:r>
      <w:r>
        <w:rPr>
          <w:sz w:val="20"/>
          <w:szCs w:val="20"/>
        </w:rPr>
        <w:t xml:space="preserve"> a number of shareholders hold large concentrations of our shares which, if</w:t>
      </w:r>
      <w:r>
        <w:rPr>
          <w:sz w:val="20"/>
          <w:szCs w:val="20"/>
        </w:rPr>
        <w:t xml:space="preserve"> sold within a relatively short timeframe, could cause the price of our shares to drop significantly. In addition, as a result of the exchangeable note offering by GSK, up to 9,644,792 ordinary shares held by GSK could become freely tradeable after Septemb</w:t>
      </w:r>
      <w:r>
        <w:rPr>
          <w:sz w:val="20"/>
          <w:szCs w:val="20"/>
        </w:rPr>
        <w:t>er 1, 2020, if holders of the exchangeable notes were to exchange their notes for our ordinary shares.</w:t>
      </w:r>
    </w:p>
    <w:p w:rsidR="00000000" w:rsidRDefault="00B51E11">
      <w:pPr>
        <w:pStyle w:val="a3"/>
        <w:spacing w:before="0" w:beforeAutospacing="0" w:after="200" w:afterAutospacing="0"/>
        <w:ind w:firstLine="720"/>
        <w:divId w:val="1600022499"/>
        <w:rPr>
          <w:sz w:val="20"/>
          <w:szCs w:val="20"/>
        </w:rPr>
      </w:pPr>
      <w:r>
        <w:rPr>
          <w:sz w:val="20"/>
          <w:szCs w:val="20"/>
        </w:rPr>
        <w:t>Market prices for securities of biotechnology and biopharmaceutical companies have been highly volatile, and we expect such volatility to continue for th</w:t>
      </w:r>
      <w:r>
        <w:rPr>
          <w:sz w:val="20"/>
          <w:szCs w:val="20"/>
        </w:rPr>
        <w:t>e foreseeable future, so that investment in our ordinary shares involves substantial risk. Additionally, the stock market from time to time has experienced significant price and volume fluctuations unrelated to the operating performance of particular compa</w:t>
      </w:r>
      <w:r>
        <w:rPr>
          <w:sz w:val="20"/>
          <w:szCs w:val="20"/>
        </w:rPr>
        <w:t>nies.</w:t>
      </w:r>
    </w:p>
    <w:p w:rsidR="00000000" w:rsidRDefault="00B51E11">
      <w:pPr>
        <w:pStyle w:val="a3"/>
        <w:spacing w:before="0" w:beforeAutospacing="0" w:after="200" w:afterAutospacing="0"/>
        <w:ind w:firstLine="720"/>
        <w:divId w:val="1600022499"/>
        <w:rPr>
          <w:sz w:val="20"/>
          <w:szCs w:val="20"/>
        </w:rPr>
      </w:pPr>
      <w:r>
        <w:rPr>
          <w:sz w:val="20"/>
          <w:szCs w:val="20"/>
        </w:rPr>
        <w:t>The following are some of the factors that may have a significant effect on the market price of our ordinary shares: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216"/>
      </w:tblGrid>
      <w:tr w:rsidR="00000000">
        <w:trPr>
          <w:divId w:val="1600022499"/>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lower than expected sales of YUPELRI;</w:t>
            </w:r>
          </w:p>
        </w:tc>
      </w:tr>
    </w:tbl>
    <w:p w:rsidR="00000000" w:rsidRDefault="00B51E11">
      <w:pPr>
        <w:divId w:val="1600022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00022499"/>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any adverse developments or results or perceived adverse developments or results with r</w:t>
            </w:r>
            <w:r>
              <w:rPr>
                <w:sz w:val="20"/>
                <w:szCs w:val="20"/>
              </w:rPr>
              <w:t>espect to the GSK Partnered Respiratory Programs including, without limitation, lower than expected sales of TRELEGY, difficulties or delays encountered with regard to the FDA or other regulatory authorities in these programs or any indication from clinica</w:t>
            </w:r>
            <w:r>
              <w:rPr>
                <w:sz w:val="20"/>
                <w:szCs w:val="20"/>
              </w:rPr>
              <w:t>l or non-clinical studies that the compounds in such programs are not safe or efficacious;</w:t>
            </w:r>
          </w:p>
        </w:tc>
      </w:tr>
    </w:tbl>
    <w:p w:rsidR="00000000" w:rsidRDefault="00B51E11">
      <w:pPr>
        <w:divId w:val="1600022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00022499"/>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any adverse developments or results or perceived adverse developments or results with respect to our key clinical development programs, for example our JAK inhibitor program or ampreloxetine, including, without limitation, any delays in development in thes</w:t>
            </w:r>
            <w:r>
              <w:rPr>
                <w:sz w:val="20"/>
                <w:szCs w:val="20"/>
              </w:rPr>
              <w:t>e programs, any halting of development in these programs, any difficulties or delays encountered with regard to the FDA or other regulatory authorities in these programs (including any class-based risks that emerge as a FDA or other regulatory agency focus</w:t>
            </w:r>
            <w:r>
              <w:rPr>
                <w:sz w:val="20"/>
                <w:szCs w:val="20"/>
              </w:rPr>
              <w:t>), or any indication from clinical or non-clinical studies that the compounds in such programs are not safe or efficacious;</w:t>
            </w:r>
          </w:p>
        </w:tc>
      </w:tr>
    </w:tbl>
    <w:p w:rsidR="00000000" w:rsidRDefault="00B51E11">
      <w:pPr>
        <w:divId w:val="1600022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00022499"/>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 xml:space="preserve">any announcements of developments with, or comments by, the FDA or other regulatory authorities with respect to products we or </w:t>
            </w:r>
            <w:r>
              <w:rPr>
                <w:sz w:val="20"/>
                <w:szCs w:val="20"/>
              </w:rPr>
              <w:t>our partners have under development, are manufacturing or have commercialized;</w:t>
            </w:r>
          </w:p>
        </w:tc>
      </w:tr>
    </w:tbl>
    <w:p w:rsidR="00000000" w:rsidRDefault="00B51E11">
      <w:pPr>
        <w:divId w:val="1600022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00022499"/>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any adverse developments or disagreements or perceived adverse developments or disagreements with respect to our relationship with Innoviva, such as our 2019 arbitration pr</w:t>
            </w:r>
            <w:r>
              <w:rPr>
                <w:sz w:val="20"/>
                <w:szCs w:val="20"/>
              </w:rPr>
              <w:t>oceeding with them or our current arbitration proceeding with them concerning their proposed use of TRC funds to make investments in private companies, or the relationship of Innoviva or TRC on the one hand and GSK on the other hand, including any such dev</w:t>
            </w:r>
            <w:r>
              <w:rPr>
                <w:sz w:val="20"/>
                <w:szCs w:val="20"/>
              </w:rPr>
              <w:t>elopments or disagreements resulting from or relating to the TRC LLC Agreement or to the Spin-Off;</w:t>
            </w:r>
          </w:p>
        </w:tc>
      </w:tr>
    </w:tbl>
    <w:p w:rsidR="00000000" w:rsidRDefault="00B51E11">
      <w:pPr>
        <w:pStyle w:val="a3"/>
        <w:spacing w:before="360" w:beforeAutospacing="0" w:after="0" w:afterAutospacing="0"/>
        <w:jc w:val="center"/>
        <w:divId w:val="469514836"/>
        <w:rPr>
          <w:sz w:val="20"/>
          <w:szCs w:val="20"/>
        </w:rPr>
      </w:pPr>
      <w:r>
        <w:rPr>
          <w:sz w:val="20"/>
          <w:szCs w:val="20"/>
        </w:rPr>
        <w:t>68</w:t>
      </w:r>
    </w:p>
    <w:p w:rsidR="00000000" w:rsidRDefault="00B51E11">
      <w:pPr>
        <w:pStyle w:val="a3"/>
        <w:spacing w:before="0" w:beforeAutospacing="0" w:after="600" w:afterAutospacing="0"/>
        <w:divId w:val="40833201"/>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8180368"/>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any adverse developments or perceived adverse developments with respect to our relationship with any of ou</w:t>
            </w:r>
            <w:r>
              <w:rPr>
                <w:sz w:val="20"/>
                <w:szCs w:val="20"/>
              </w:rPr>
              <w:t>r research, development or commercialization partners, including, without limitation, disagreements that may arise between us and any of those partners;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any adverse developments or perceived adverse developments in our programs with respect to partnering efforts or otherwise;</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announcements of patent issuances or denials, technological innovations or new commercial products by us or our competitors;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publicity regarding actual or potential study results or the outcome of regulatory review relating to products under development by us, our partners or our competitors;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594"/>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regulatory developments in the US and foreign countries;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6"/>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announcements wi</w:t>
            </w:r>
            <w:r>
              <w:rPr>
                <w:sz w:val="20"/>
                <w:szCs w:val="20"/>
              </w:rPr>
              <w:t>th respect to governmental or private insurer reimbursement policies;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561"/>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announcements of equity or debt financings;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55"/>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possible impairment charges on non-marketable equity securities;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economic and other external factors beyond our control, such as the COVID-19 pandemic and fluctuations in interest rates;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750"/>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loss of key personnel;</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likelihood of our ordinary shares to be more sensitive to changes in sales volume, market fluctuations and events or perceived events with respect to our business due to our small public float;</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low public market trading volumes for our ordinary shares</w:t>
            </w:r>
            <w:r>
              <w:rPr>
                <w:sz w:val="20"/>
                <w:szCs w:val="20"/>
              </w:rPr>
              <w:t xml:space="preserve"> related in part to the concentration of ownership of our shares;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the sale of large concentrations of our shares, which may be more likely to occur due to the concentration of ownership of our shares, such as what we experienced when our largest share</w:t>
            </w:r>
            <w:r>
              <w:rPr>
                <w:sz w:val="20"/>
                <w:szCs w:val="20"/>
              </w:rPr>
              <w:t>holder, Woodford Investment Management Limited, divested its holdings in 2019;</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71"/>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developments or disputes as to patent or other proprietary rights;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49"/>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approval or introduction of competing products and technologies;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883"/>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results of clinical trials;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failures or unexpected delays in timelines for our potential products in development, including the obtaining of regulatory approvals;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delays in manufacturing adversely affecting clinical or commercial operations;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00"/>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fluctuations in our operating results;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104"/>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market reaction to announcements by other biotechnology or pharmaceutical companies;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initiation, termination or modification of agreements with our collaborators or disputes or disagreements with collaborators;</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783"/>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litigation or the threat of litigation;</w:t>
            </w:r>
          </w:p>
        </w:tc>
      </w:tr>
    </w:tbl>
    <w:p w:rsidR="00000000" w:rsidRDefault="00B51E11">
      <w:pPr>
        <w:divId w:val="11381803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0"/>
      </w:tblGrid>
      <w:tr w:rsidR="00000000">
        <w:trPr>
          <w:divId w:val="1138180368"/>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 xml:space="preserve">public concern as to the safety of product candidates or medicines developed by </w:t>
            </w:r>
            <w:r>
              <w:rPr>
                <w:sz w:val="20"/>
                <w:szCs w:val="20"/>
              </w:rPr>
              <w:t>us; and</w:t>
            </w:r>
          </w:p>
        </w:tc>
      </w:tr>
    </w:tbl>
    <w:p w:rsidR="00000000" w:rsidRDefault="00B51E11">
      <w:pPr>
        <w:pStyle w:val="a3"/>
        <w:spacing w:before="360" w:beforeAutospacing="0" w:after="0" w:afterAutospacing="0"/>
        <w:jc w:val="center"/>
        <w:divId w:val="472408205"/>
        <w:rPr>
          <w:sz w:val="20"/>
          <w:szCs w:val="20"/>
        </w:rPr>
      </w:pPr>
      <w:r>
        <w:rPr>
          <w:sz w:val="20"/>
          <w:szCs w:val="20"/>
        </w:rPr>
        <w:t>69</w:t>
      </w:r>
    </w:p>
    <w:p w:rsidR="00000000" w:rsidRDefault="00B51E11">
      <w:pPr>
        <w:pStyle w:val="a3"/>
        <w:spacing w:before="0" w:beforeAutospacing="0" w:after="600" w:afterAutospacing="0"/>
        <w:divId w:val="1162047429"/>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71"/>
      </w:tblGrid>
      <w:tr w:rsidR="00000000">
        <w:trPr>
          <w:divId w:val="1845586975"/>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comments and expectations of results made by securities analysts or investors.</w:t>
            </w:r>
          </w:p>
        </w:tc>
      </w:tr>
    </w:tbl>
    <w:p w:rsidR="00000000" w:rsidRDefault="00B51E11">
      <w:pPr>
        <w:pStyle w:val="a3"/>
        <w:spacing w:before="0" w:beforeAutospacing="0" w:after="200" w:afterAutospacing="0"/>
        <w:ind w:firstLine="720"/>
        <w:divId w:val="1845586975"/>
        <w:rPr>
          <w:sz w:val="20"/>
          <w:szCs w:val="20"/>
        </w:rPr>
      </w:pPr>
      <w:r>
        <w:rPr>
          <w:sz w:val="20"/>
          <w:szCs w:val="20"/>
        </w:rPr>
        <w:t>If any of these factors causes us to fail to meet the expectations of securities analysts or investors, or if adverse conditions prevail or are perceived to prevail with respect to our business, the price of the ordinary shares would likely drop significan</w:t>
      </w:r>
      <w:r>
        <w:rPr>
          <w:sz w:val="20"/>
          <w:szCs w:val="20"/>
        </w:rPr>
        <w:t>tly. A significant drop in the price of a company’s securities often leads to the filing of securities class action litigation against the company. This type of litigation against us could result in substantial costs and a diversion of management’s attenti</w:t>
      </w:r>
      <w:r>
        <w:rPr>
          <w:sz w:val="20"/>
          <w:szCs w:val="20"/>
        </w:rPr>
        <w:t>on and resources.</w:t>
      </w:r>
    </w:p>
    <w:p w:rsidR="00000000" w:rsidRDefault="00B51E11">
      <w:pPr>
        <w:pStyle w:val="a3"/>
        <w:spacing w:before="0" w:beforeAutospacing="0" w:after="120" w:afterAutospacing="0"/>
        <w:divId w:val="1845586975"/>
        <w:rPr>
          <w:rFonts w:ascii="Times" w:hAnsi="Times"/>
          <w:b/>
          <w:bCs/>
          <w:i/>
          <w:iCs/>
          <w:sz w:val="20"/>
          <w:szCs w:val="20"/>
        </w:rPr>
      </w:pPr>
      <w:r>
        <w:rPr>
          <w:b/>
          <w:bCs/>
          <w:i/>
          <w:iCs/>
          <w:sz w:val="20"/>
          <w:szCs w:val="20"/>
        </w:rPr>
        <w:t xml:space="preserve">Concentration of ownership will limit your ability to influence corporate matters. </w:t>
      </w:r>
    </w:p>
    <w:p w:rsidR="00000000" w:rsidRDefault="00B51E11">
      <w:pPr>
        <w:pStyle w:val="a3"/>
        <w:spacing w:before="0" w:beforeAutospacing="0" w:after="200" w:afterAutospacing="0"/>
        <w:ind w:firstLine="720"/>
        <w:divId w:val="1845586975"/>
        <w:rPr>
          <w:sz w:val="20"/>
          <w:szCs w:val="20"/>
        </w:rPr>
      </w:pPr>
      <w:r>
        <w:rPr>
          <w:sz w:val="20"/>
          <w:szCs w:val="20"/>
        </w:rPr>
        <w:t>Based on our review of publicly available filings, as of September 30, 2020, our three largest shareholders collectively owned 43.0% of our outstanding or</w:t>
      </w:r>
      <w:r>
        <w:rPr>
          <w:sz w:val="20"/>
          <w:szCs w:val="20"/>
        </w:rPr>
        <w:t>dinary shares. These shareholders could control the outcome of actions taken by us that require shareholder approval, including a transaction in which shareholders might receive a premium over the prevailing market price for their shares.</w:t>
      </w:r>
    </w:p>
    <w:p w:rsidR="00000000" w:rsidRDefault="00B51E11">
      <w:pPr>
        <w:pStyle w:val="a3"/>
        <w:spacing w:before="0" w:beforeAutospacing="0" w:after="120" w:afterAutospacing="0"/>
        <w:divId w:val="1845586975"/>
        <w:rPr>
          <w:sz w:val="20"/>
          <w:szCs w:val="20"/>
        </w:rPr>
      </w:pPr>
      <w:r>
        <w:rPr>
          <w:b/>
          <w:bCs/>
          <w:i/>
          <w:iCs/>
          <w:sz w:val="20"/>
          <w:szCs w:val="20"/>
        </w:rPr>
        <w:t>Certain provision</w:t>
      </w:r>
      <w:r>
        <w:rPr>
          <w:b/>
          <w:bCs/>
          <w:i/>
          <w:iCs/>
          <w:sz w:val="20"/>
          <w:szCs w:val="20"/>
        </w:rPr>
        <w:t>s in our constitutional and other documents may discourage our acquisition by a third-party, which could limit your opportunity to sell shares at a premium.</w:t>
      </w:r>
    </w:p>
    <w:p w:rsidR="00000000" w:rsidRDefault="00B51E11">
      <w:pPr>
        <w:pStyle w:val="a3"/>
        <w:spacing w:before="0" w:beforeAutospacing="0" w:after="200" w:afterAutospacing="0"/>
        <w:ind w:firstLine="720"/>
        <w:divId w:val="1845586975"/>
        <w:rPr>
          <w:sz w:val="20"/>
          <w:szCs w:val="20"/>
        </w:rPr>
      </w:pPr>
      <w:r>
        <w:rPr>
          <w:sz w:val="20"/>
          <w:szCs w:val="20"/>
        </w:rPr>
        <w:t>Our constitutional documents include provisions that could limit the ability of others to acquire c</w:t>
      </w:r>
      <w:r>
        <w:rPr>
          <w:sz w:val="20"/>
          <w:szCs w:val="20"/>
        </w:rPr>
        <w:t>ontrol of us, modify our structure or cause us to engage in change-of-control transactions, including, among other things, provisions that: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45586975"/>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 xml:space="preserve">require supermajority shareholder voting to effect certain amendments to our amended and restated memorandum and </w:t>
            </w:r>
            <w:r>
              <w:rPr>
                <w:sz w:val="20"/>
                <w:szCs w:val="20"/>
              </w:rPr>
              <w:t>articles of association;</w:t>
            </w:r>
          </w:p>
        </w:tc>
      </w:tr>
    </w:tbl>
    <w:p w:rsidR="00000000" w:rsidRDefault="00B51E11">
      <w:pPr>
        <w:divId w:val="184558697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72"/>
      </w:tblGrid>
      <w:tr w:rsidR="00000000">
        <w:trPr>
          <w:divId w:val="184558697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establish a classified board of directors;</w:t>
            </w:r>
          </w:p>
        </w:tc>
      </w:tr>
    </w:tbl>
    <w:p w:rsidR="00000000" w:rsidRDefault="00B51E11">
      <w:pPr>
        <w:divId w:val="184558697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4558697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restrict our shareholders from calling meetings or acting by written consent in lieu of a meeting;</w:t>
            </w:r>
          </w:p>
        </w:tc>
      </w:tr>
    </w:tbl>
    <w:p w:rsidR="00000000" w:rsidRDefault="00B51E11">
      <w:pPr>
        <w:divId w:val="184558697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16"/>
      </w:tblGrid>
      <w:tr w:rsidR="00000000">
        <w:trPr>
          <w:divId w:val="184558697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limit the ability of our shareholders to propose actions at duly convened meetings; and</w:t>
            </w:r>
          </w:p>
        </w:tc>
      </w:tr>
    </w:tbl>
    <w:p w:rsidR="00000000" w:rsidRDefault="00B51E11">
      <w:pPr>
        <w:divId w:val="184558697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4558697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authorize our board of directors, without action by our shareholders, to issue preferred shares and additional ordinary shares.</w:t>
            </w:r>
          </w:p>
        </w:tc>
      </w:tr>
    </w:tbl>
    <w:p w:rsidR="00000000" w:rsidRDefault="00B51E11">
      <w:pPr>
        <w:pStyle w:val="a3"/>
        <w:spacing w:before="0" w:beforeAutospacing="0" w:after="200" w:afterAutospacing="0"/>
        <w:ind w:firstLine="720"/>
        <w:divId w:val="1845586975"/>
        <w:rPr>
          <w:sz w:val="20"/>
          <w:szCs w:val="20"/>
        </w:rPr>
      </w:pPr>
      <w:r>
        <w:rPr>
          <w:sz w:val="20"/>
          <w:szCs w:val="20"/>
        </w:rPr>
        <w:t>In addition, in May 2018, our shar</w:t>
      </w:r>
      <w:r>
        <w:rPr>
          <w:sz w:val="20"/>
          <w:szCs w:val="20"/>
        </w:rPr>
        <w:t>eholders approved a resolution authorizing our board of directors to adopt a shareholder rights plan in the future intended to deter any person from acquiring more than 19.9% of our outstanding ordinary shares without the approval of our board of directors</w:t>
      </w:r>
      <w:r>
        <w:rPr>
          <w:sz w:val="20"/>
          <w:szCs w:val="20"/>
        </w:rPr>
        <w:t>.</w:t>
      </w:r>
    </w:p>
    <w:p w:rsidR="00000000" w:rsidRDefault="00B51E11">
      <w:pPr>
        <w:pStyle w:val="a3"/>
        <w:spacing w:before="0" w:beforeAutospacing="0" w:after="200" w:afterAutospacing="0"/>
        <w:ind w:firstLine="720"/>
        <w:divId w:val="1845586975"/>
        <w:rPr>
          <w:sz w:val="20"/>
          <w:szCs w:val="20"/>
        </w:rPr>
      </w:pPr>
      <w:r>
        <w:rPr>
          <w:sz w:val="20"/>
          <w:szCs w:val="20"/>
        </w:rPr>
        <w:t>These provisions could have the effect of depriving you of an opportunity to sell your ordinary shares at a premium over prevailing market prices by discouraging third parties from seeking to acquire control of us in a tender offer or similar transaction</w:t>
      </w:r>
      <w:r>
        <w:rPr>
          <w:sz w:val="20"/>
          <w:szCs w:val="20"/>
        </w:rPr>
        <w:t>.</w:t>
      </w:r>
    </w:p>
    <w:p w:rsidR="00000000" w:rsidRDefault="00B51E11">
      <w:pPr>
        <w:pStyle w:val="a3"/>
        <w:spacing w:before="0" w:beforeAutospacing="0" w:after="120" w:afterAutospacing="0"/>
        <w:divId w:val="1845586975"/>
        <w:rPr>
          <w:sz w:val="20"/>
          <w:szCs w:val="20"/>
        </w:rPr>
      </w:pPr>
      <w:r>
        <w:rPr>
          <w:b/>
          <w:bCs/>
          <w:i/>
          <w:iCs/>
          <w:sz w:val="20"/>
          <w:szCs w:val="20"/>
        </w:rPr>
        <w:t>Our shareholders may face difficulties in protecting their interests because we are incorporated under Cayman Islands law.</w:t>
      </w:r>
    </w:p>
    <w:p w:rsidR="00000000" w:rsidRDefault="00B51E11">
      <w:pPr>
        <w:pStyle w:val="a3"/>
        <w:spacing w:before="0" w:beforeAutospacing="0" w:after="200" w:afterAutospacing="0"/>
        <w:ind w:firstLine="720"/>
        <w:divId w:val="1845586975"/>
        <w:rPr>
          <w:sz w:val="20"/>
          <w:szCs w:val="20"/>
        </w:rPr>
      </w:pPr>
      <w:r>
        <w:rPr>
          <w:sz w:val="20"/>
          <w:szCs w:val="20"/>
        </w:rPr>
        <w:t>Our corporate affairs are governed by our amended and restated memorandum and articles of association, by the Companies Law (2020 R</w:t>
      </w:r>
      <w:r>
        <w:rPr>
          <w:sz w:val="20"/>
          <w:szCs w:val="20"/>
        </w:rPr>
        <w:t>evision) of the Cayman Islands and by the common law of the Cayman Islands. The rights of our shareholders and the fiduciary responsibilities of our directors under the laws of the Cayman Islands are different from those under statutes or judicial preceden</w:t>
      </w:r>
      <w:r>
        <w:rPr>
          <w:sz w:val="20"/>
          <w:szCs w:val="20"/>
        </w:rPr>
        <w:t>t in existence in jurisdictions in the US. Therefore, you may have more difficulty in protecting your interests than would shareholders of a corporation incorporated in a jurisdiction in the US, due to the different nature of Cayman Islands law in this are</w:t>
      </w:r>
      <w:r>
        <w:rPr>
          <w:sz w:val="20"/>
          <w:szCs w:val="20"/>
        </w:rPr>
        <w:t>a.</w:t>
      </w:r>
    </w:p>
    <w:p w:rsidR="00000000" w:rsidRDefault="00B51E11">
      <w:pPr>
        <w:pStyle w:val="a3"/>
        <w:spacing w:before="0" w:beforeAutospacing="0" w:after="200" w:afterAutospacing="0"/>
        <w:ind w:firstLine="720"/>
        <w:divId w:val="1845586975"/>
        <w:rPr>
          <w:sz w:val="20"/>
          <w:szCs w:val="20"/>
        </w:rPr>
      </w:pPr>
      <w:r>
        <w:rPr>
          <w:sz w:val="20"/>
          <w:szCs w:val="20"/>
        </w:rPr>
        <w:t>Shareholders of Cayman Islands exempted companies such as our company have no general rights under Cayman Islands law to inspect corporate records and accounts or to obtain copies of lists of shareholders. Our directors have discretion under our amended</w:t>
      </w:r>
      <w:r>
        <w:rPr>
          <w:sz w:val="20"/>
          <w:szCs w:val="20"/>
        </w:rPr>
        <w:t xml:space="preserve"> and restated memorandum and articles of association to determine whether or not, and under what conditions, our corporate records may be inspected by our shareholders, but are not obliged to make them available to our shareholders. This may make it more d</w:t>
      </w:r>
      <w:r>
        <w:rPr>
          <w:sz w:val="20"/>
          <w:szCs w:val="20"/>
        </w:rPr>
        <w:t>ifficult for you to obtain the information needed to establish any facts necessary for a shareholder motion or to solicit proxies from other shareholders in connection with a proxy contest.</w:t>
      </w:r>
    </w:p>
    <w:p w:rsidR="00000000" w:rsidRDefault="00B51E11">
      <w:pPr>
        <w:pStyle w:val="a3"/>
        <w:spacing w:before="360" w:beforeAutospacing="0" w:after="0" w:afterAutospacing="0"/>
        <w:jc w:val="center"/>
        <w:divId w:val="2011397950"/>
        <w:rPr>
          <w:sz w:val="20"/>
          <w:szCs w:val="20"/>
        </w:rPr>
      </w:pPr>
      <w:r>
        <w:rPr>
          <w:sz w:val="20"/>
          <w:szCs w:val="20"/>
        </w:rPr>
        <w:t>70</w:t>
      </w:r>
    </w:p>
    <w:p w:rsidR="00000000" w:rsidRDefault="00B51E11">
      <w:pPr>
        <w:pStyle w:val="a3"/>
        <w:spacing w:before="0" w:beforeAutospacing="0" w:after="600" w:afterAutospacing="0"/>
        <w:divId w:val="937327063"/>
        <w:rPr>
          <w:sz w:val="20"/>
          <w:szCs w:val="20"/>
        </w:rPr>
      </w:pPr>
      <w:hyperlink w:anchor="TOC" w:history="1">
        <w:r>
          <w:rPr>
            <w:rStyle w:val="a4"/>
            <w:sz w:val="20"/>
            <w:szCs w:val="20"/>
          </w:rPr>
          <w:t>Table of Contents</w:t>
        </w:r>
      </w:hyperlink>
    </w:p>
    <w:p w:rsidR="00000000" w:rsidRDefault="00B51E11">
      <w:pPr>
        <w:pStyle w:val="a3"/>
        <w:spacing w:before="0" w:beforeAutospacing="0" w:after="200" w:afterAutospacing="0"/>
        <w:ind w:firstLine="720"/>
        <w:divId w:val="1956400125"/>
        <w:rPr>
          <w:sz w:val="20"/>
          <w:szCs w:val="20"/>
        </w:rPr>
      </w:pPr>
      <w:r>
        <w:rPr>
          <w:sz w:val="20"/>
          <w:szCs w:val="20"/>
        </w:rPr>
        <w:t xml:space="preserve">Our Cayman Islands </w:t>
      </w:r>
      <w:r>
        <w:rPr>
          <w:sz w:val="20"/>
          <w:szCs w:val="20"/>
        </w:rPr>
        <w:t>counsel, Maples and Calder, is not aware of any reported class action having been brought in a Cayman Islands court. Derivative actions have been brought in the Cayman Islands courts, and the Cayman Islands courts have confirmed the availability for such a</w:t>
      </w:r>
      <w:r>
        <w:rPr>
          <w:sz w:val="20"/>
          <w:szCs w:val="20"/>
        </w:rPr>
        <w:t>ctions. In most cases, the company will be the proper plaintiff in any claim based on a breach of duty owed to it, and a claim against (for example) our officers or directors usually may not be brought by a shareholder. However, based on English authoritie</w:t>
      </w:r>
      <w:r>
        <w:rPr>
          <w:sz w:val="20"/>
          <w:szCs w:val="20"/>
        </w:rPr>
        <w:t>s, which would in all likelihood be of persuasive authority and be applied by a court in the Cayman Islands, exceptions to the foregoing principle apply in circumstances in which:</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893"/>
      </w:tblGrid>
      <w:tr w:rsidR="00000000">
        <w:trPr>
          <w:divId w:val="1956400125"/>
        </w:trPr>
        <w:tc>
          <w:tcPr>
            <w:tcW w:w="720" w:type="dxa"/>
            <w:tcMar>
              <w:top w:w="0" w:type="dxa"/>
              <w:left w:w="0" w:type="dxa"/>
              <w:bottom w:w="0" w:type="dxa"/>
              <w:right w:w="0" w:type="dxa"/>
            </w:tcMar>
            <w:vAlign w:val="center"/>
            <w:hideMark/>
          </w:tcPr>
          <w:p w:rsidR="00000000" w:rsidRDefault="00B51E11">
            <w:pPr>
              <w:rPr>
                <w:sz w:val="20"/>
                <w:szCs w:val="20"/>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a company is acting, or proposing to act, illegally or beyond the scope of its authority;</w:t>
            </w:r>
          </w:p>
        </w:tc>
      </w:tr>
    </w:tbl>
    <w:p w:rsidR="00000000" w:rsidRDefault="00B51E11">
      <w:pPr>
        <w:divId w:val="19564001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5640012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 xml:space="preserve">the act complained of, although not beyond the scope of the authority, could be effected if duly authorized by more than the number of votes which have actually </w:t>
            </w:r>
            <w:r>
              <w:rPr>
                <w:sz w:val="20"/>
                <w:szCs w:val="20"/>
              </w:rPr>
              <w:t>been obtained; or</w:t>
            </w:r>
          </w:p>
        </w:tc>
      </w:tr>
    </w:tbl>
    <w:p w:rsidR="00000000" w:rsidRDefault="00B51E11">
      <w:pPr>
        <w:divId w:val="19564001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3"/>
      </w:tblGrid>
      <w:tr w:rsidR="00000000">
        <w:trPr>
          <w:divId w:val="1956400125"/>
        </w:trPr>
        <w:tc>
          <w:tcPr>
            <w:tcW w:w="720" w:type="dxa"/>
            <w:tcMar>
              <w:top w:w="0" w:type="dxa"/>
              <w:left w:w="0" w:type="dxa"/>
              <w:bottom w:w="0" w:type="dxa"/>
              <w:right w:w="0" w:type="dxa"/>
            </w:tcMar>
            <w:vAlign w:val="center"/>
            <w:hideMark/>
          </w:tcPr>
          <w:p w:rsidR="00000000" w:rsidRDefault="00B51E11">
            <w:pPr>
              <w:rPr>
                <w:rFonts w:eastAsia="Times New Roman"/>
              </w:rPr>
            </w:pPr>
          </w:p>
        </w:tc>
        <w:tc>
          <w:tcPr>
            <w:tcW w:w="360" w:type="dxa"/>
            <w:noWrap/>
            <w:tcMar>
              <w:top w:w="0" w:type="dxa"/>
              <w:left w:w="0" w:type="dxa"/>
              <w:bottom w:w="0" w:type="dxa"/>
              <w:right w:w="0" w:type="dxa"/>
            </w:tcMar>
            <w:hideMark/>
          </w:tcPr>
          <w:p w:rsidR="00000000" w:rsidRDefault="00B51E11">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51E11">
            <w:pPr>
              <w:pStyle w:val="a3"/>
              <w:spacing w:before="0" w:beforeAutospacing="0" w:after="200" w:afterAutospacing="0"/>
              <w:rPr>
                <w:sz w:val="20"/>
                <w:szCs w:val="20"/>
              </w:rPr>
            </w:pPr>
            <w:r>
              <w:rPr>
                <w:sz w:val="20"/>
                <w:szCs w:val="20"/>
              </w:rPr>
              <w:t>those who control the company are perpetrating a “fraud on the minority.”</w:t>
            </w:r>
          </w:p>
        </w:tc>
      </w:tr>
    </w:tbl>
    <w:p w:rsidR="00000000" w:rsidRDefault="00B51E11">
      <w:pPr>
        <w:pStyle w:val="a3"/>
        <w:spacing w:before="0" w:beforeAutospacing="0" w:after="200" w:afterAutospacing="0"/>
        <w:ind w:firstLine="720"/>
        <w:divId w:val="1956400125"/>
        <w:rPr>
          <w:sz w:val="20"/>
          <w:szCs w:val="20"/>
        </w:rPr>
      </w:pPr>
      <w:r>
        <w:rPr>
          <w:sz w:val="20"/>
          <w:szCs w:val="20"/>
        </w:rPr>
        <w:t>A shareholder may have a direct right of action against the company where the individual rights of that shareholder have been infringed or are about to be inf</w:t>
      </w:r>
      <w:r>
        <w:rPr>
          <w:sz w:val="20"/>
          <w:szCs w:val="20"/>
        </w:rPr>
        <w:t>ringed.</w:t>
      </w:r>
    </w:p>
    <w:p w:rsidR="00000000" w:rsidRDefault="00B51E11">
      <w:pPr>
        <w:pStyle w:val="a3"/>
        <w:spacing w:before="0" w:beforeAutospacing="0" w:after="120" w:afterAutospacing="0"/>
        <w:divId w:val="1956400125"/>
        <w:rPr>
          <w:sz w:val="20"/>
          <w:szCs w:val="20"/>
        </w:rPr>
      </w:pPr>
      <w:r>
        <w:rPr>
          <w:b/>
          <w:bCs/>
          <w:i/>
          <w:iCs/>
          <w:sz w:val="20"/>
          <w:szCs w:val="20"/>
        </w:rPr>
        <w:t>There is uncertainty as to shareholders’ ability to enforce certain foreign civil liabilities in the Cayman Islands.</w:t>
      </w:r>
    </w:p>
    <w:p w:rsidR="00000000" w:rsidRDefault="00B51E11">
      <w:pPr>
        <w:pStyle w:val="a3"/>
        <w:spacing w:before="0" w:beforeAutospacing="0" w:after="200" w:afterAutospacing="0"/>
        <w:ind w:firstLine="720"/>
        <w:divId w:val="1956400125"/>
        <w:rPr>
          <w:sz w:val="20"/>
          <w:szCs w:val="20"/>
        </w:rPr>
      </w:pPr>
      <w:r>
        <w:rPr>
          <w:sz w:val="20"/>
          <w:szCs w:val="20"/>
        </w:rPr>
        <w:t>We are incorporated as an exempted company limited by shares with limited liability under the laws of the Cayman Islands. A materia</w:t>
      </w:r>
      <w:r>
        <w:rPr>
          <w:sz w:val="20"/>
          <w:szCs w:val="20"/>
        </w:rPr>
        <w:t>l portion of our assets are located outside of the US. As a result, it may be difficult for our shareholders to enforce judgments against us or judgments obtained in US courts predicated upon the civil liability provisions of the federal securities laws of</w:t>
      </w:r>
      <w:r>
        <w:rPr>
          <w:sz w:val="20"/>
          <w:szCs w:val="20"/>
        </w:rPr>
        <w:t xml:space="preserve"> the US or any state of the US.</w:t>
      </w:r>
    </w:p>
    <w:p w:rsidR="00000000" w:rsidRDefault="00B51E11">
      <w:pPr>
        <w:pStyle w:val="a3"/>
        <w:spacing w:before="0" w:beforeAutospacing="0" w:after="200" w:afterAutospacing="0"/>
        <w:ind w:firstLine="720"/>
        <w:divId w:val="1956400125"/>
        <w:rPr>
          <w:sz w:val="20"/>
          <w:szCs w:val="20"/>
        </w:rPr>
      </w:pPr>
      <w:r>
        <w:rPr>
          <w:sz w:val="20"/>
          <w:szCs w:val="20"/>
        </w:rPr>
        <w:t>We understand that the courts of the Cayman Islands are unlikely (i) to recognize or enforce against Theravance Biopharma judgments of courts of the US predicated upon the civil liability provisions of the securities laws of</w:t>
      </w:r>
      <w:r>
        <w:rPr>
          <w:sz w:val="20"/>
          <w:szCs w:val="20"/>
        </w:rPr>
        <w:t xml:space="preserve"> the US or any State; and (ii) in original actions brought in the Cayman Islands, to impose liabilities against Theravance Biopharma predicated upon the civil liability provisions of the securities laws of the US or any State, on the grounds that such prov</w:t>
      </w:r>
      <w:r>
        <w:rPr>
          <w:sz w:val="20"/>
          <w:szCs w:val="20"/>
        </w:rPr>
        <w:t>isions are penal in nature. However, in the case of laws that are not penal in nature, although there is no statutory enforcement in the Cayman Islands of judgments obtained in the US, the courts of the Cayman Islands will recognize and enforce a foreign m</w:t>
      </w:r>
      <w:r>
        <w:rPr>
          <w:sz w:val="20"/>
          <w:szCs w:val="20"/>
        </w:rPr>
        <w:t>oney judgment of a foreign court of competent jurisdiction without retrial on the merits based on the principle that a judgment of a competent foreign court imposes upon the judgment debtor an obligation to pay the sum for which judgment has been given pro</w:t>
      </w:r>
      <w:r>
        <w:rPr>
          <w:sz w:val="20"/>
          <w:szCs w:val="20"/>
        </w:rPr>
        <w:t>vided certain conditions are met. For a foreign judgment to be enforced in the Cayman Islands, such judgment must be final and conclusive and for a liquidated sum, and must not be in respect of taxes or a fine or penalty, inconsistent with a Cayman Islands</w:t>
      </w:r>
      <w:r>
        <w:rPr>
          <w:sz w:val="20"/>
          <w:szCs w:val="20"/>
        </w:rPr>
        <w:t>’ judgment in respect of the same matter, impeachable on the grounds of fraud or obtained in a manner, and or be of a kind the enforcement of which is, contrary to natural justice or the public policy of the Cayman Islands (awards of punitive or multiple d</w:t>
      </w:r>
      <w:r>
        <w:rPr>
          <w:sz w:val="20"/>
          <w:szCs w:val="20"/>
        </w:rPr>
        <w:t>amages may well be held to be contrary to public policy). A Cayman Islands court, including the Grand Court of the Cayman Islands, may stay proceedings if concurrent proceedings are being brought elsewhere, which would delay proceedings and make it more di</w:t>
      </w:r>
      <w:r>
        <w:rPr>
          <w:sz w:val="20"/>
          <w:szCs w:val="20"/>
        </w:rPr>
        <w:t>fficult for our shareholders to bring action against us.</w:t>
      </w:r>
    </w:p>
    <w:p w:rsidR="00000000" w:rsidRDefault="00B51E11">
      <w:pPr>
        <w:pStyle w:val="a3"/>
        <w:spacing w:before="0" w:beforeAutospacing="0" w:after="120" w:afterAutospacing="0"/>
        <w:divId w:val="1956400125"/>
        <w:rPr>
          <w:sz w:val="20"/>
          <w:szCs w:val="20"/>
        </w:rPr>
      </w:pPr>
      <w:r>
        <w:rPr>
          <w:b/>
          <w:bCs/>
          <w:i/>
          <w:iCs/>
          <w:sz w:val="20"/>
          <w:szCs w:val="20"/>
        </w:rPr>
        <w:t>If securities or industry analysts cease coverage of us or do not publish research, or publish inaccurate or unfavorable research, about our business, the price of our ordinary shares and trading vol</w:t>
      </w:r>
      <w:r>
        <w:rPr>
          <w:b/>
          <w:bCs/>
          <w:i/>
          <w:iCs/>
          <w:sz w:val="20"/>
          <w:szCs w:val="20"/>
        </w:rPr>
        <w:t>ume could decline.</w:t>
      </w:r>
    </w:p>
    <w:p w:rsidR="00000000" w:rsidRDefault="00B51E11">
      <w:pPr>
        <w:pStyle w:val="a3"/>
        <w:spacing w:before="0" w:beforeAutospacing="0" w:after="200" w:afterAutospacing="0"/>
        <w:ind w:firstLine="720"/>
        <w:divId w:val="1956400125"/>
        <w:rPr>
          <w:sz w:val="20"/>
          <w:szCs w:val="20"/>
        </w:rPr>
      </w:pPr>
      <w:r>
        <w:rPr>
          <w:sz w:val="20"/>
          <w:szCs w:val="20"/>
        </w:rPr>
        <w:t>The trading market for our ordinary shares depends in part on the research and reports that securities or industry analysts publish about us or our business. If few securities analysts commence coverage of us, or if industry analysts cea</w:t>
      </w:r>
      <w:r>
        <w:rPr>
          <w:sz w:val="20"/>
          <w:szCs w:val="20"/>
        </w:rPr>
        <w:t xml:space="preserve">se coverage of us, the trading price for our ordinary shares could be negatively affected. If one or more of the analysts who cover us downgrade our ordinary shares or publish inaccurate or unfavorable research about our business or if our results fail to </w:t>
      </w:r>
      <w:r>
        <w:rPr>
          <w:sz w:val="20"/>
          <w:szCs w:val="20"/>
        </w:rPr>
        <w:t>meet the expectations of these analysts, the price of our ordinary shares would likely decline. If one or more of these analysts cease coverage of us or fail to publish reports on us regularly, demand for our ordinary shares could decrease, which might cau</w:t>
      </w:r>
      <w:r>
        <w:rPr>
          <w:sz w:val="20"/>
          <w:szCs w:val="20"/>
        </w:rPr>
        <w:t>se our share price and trading volume to decline.</w:t>
      </w:r>
    </w:p>
    <w:p w:rsidR="00000000" w:rsidRDefault="00B51E11">
      <w:pPr>
        <w:pStyle w:val="a3"/>
        <w:spacing w:before="0" w:beforeAutospacing="0" w:after="120" w:afterAutospacing="0"/>
        <w:divId w:val="1956400125"/>
        <w:rPr>
          <w:sz w:val="20"/>
          <w:szCs w:val="20"/>
        </w:rPr>
      </w:pPr>
      <w:r>
        <w:rPr>
          <w:b/>
          <w:bCs/>
          <w:i/>
          <w:iCs/>
          <w:sz w:val="20"/>
          <w:szCs w:val="20"/>
        </w:rPr>
        <w:t>We do not anticipate paying any cash dividends on our capital shares in the foreseeable future; as a result, capital appreciation, if any, of our ordinary shares will be your sole source of gain for the foreseeable future.</w:t>
      </w:r>
    </w:p>
    <w:p w:rsidR="00000000" w:rsidRDefault="00B51E11">
      <w:pPr>
        <w:pStyle w:val="a3"/>
        <w:spacing w:before="0" w:beforeAutospacing="0" w:after="0" w:afterAutospacing="0"/>
        <w:ind w:firstLine="720"/>
        <w:divId w:val="1956400125"/>
        <w:rPr>
          <w:sz w:val="20"/>
          <w:szCs w:val="20"/>
        </w:rPr>
      </w:pPr>
      <w:r>
        <w:rPr>
          <w:sz w:val="20"/>
          <w:szCs w:val="20"/>
        </w:rPr>
        <w:t>We have never declared or paid ca</w:t>
      </w:r>
      <w:r>
        <w:rPr>
          <w:sz w:val="20"/>
          <w:szCs w:val="20"/>
        </w:rPr>
        <w:t>sh dividends on our capital shares. We do not anticipate paying any cash dividends on our capital shares in the foreseeable future. We currently intend to retain all available funds and any future earnings to fund the development and growth of our business</w:t>
      </w:r>
      <w:r>
        <w:rPr>
          <w:sz w:val="20"/>
          <w:szCs w:val="20"/>
        </w:rPr>
        <w:t xml:space="preserve">. In addition, the terms of any future debt financing arrangement </w:t>
      </w:r>
    </w:p>
    <w:p w:rsidR="00000000" w:rsidRDefault="00B51E11">
      <w:pPr>
        <w:pStyle w:val="a3"/>
        <w:spacing w:before="360" w:beforeAutospacing="0" w:after="0" w:afterAutospacing="0"/>
        <w:jc w:val="center"/>
        <w:divId w:val="1449932156"/>
        <w:rPr>
          <w:sz w:val="20"/>
          <w:szCs w:val="20"/>
        </w:rPr>
      </w:pPr>
      <w:r>
        <w:rPr>
          <w:sz w:val="20"/>
          <w:szCs w:val="20"/>
        </w:rPr>
        <w:t>71</w:t>
      </w:r>
    </w:p>
    <w:p w:rsidR="00000000" w:rsidRDefault="00B51E11">
      <w:pPr>
        <w:pStyle w:val="a3"/>
        <w:spacing w:before="0" w:beforeAutospacing="0" w:after="600" w:afterAutospacing="0"/>
        <w:divId w:val="1818376925"/>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145853248"/>
        <w:rPr>
          <w:sz w:val="20"/>
          <w:szCs w:val="20"/>
        </w:rPr>
      </w:pPr>
      <w:r>
        <w:rPr>
          <w:sz w:val="20"/>
          <w:szCs w:val="20"/>
        </w:rPr>
        <w:t>may contain terms prohibiting or limiting the amount of dividends that may be declared or paid on our ordinary shares. As a result, capital ap</w:t>
      </w:r>
      <w:r>
        <w:rPr>
          <w:sz w:val="20"/>
          <w:szCs w:val="20"/>
        </w:rPr>
        <w:t>preciation, if any, of our ordinary shares will be your sole source of gain for the foreseeable future.</w:t>
      </w:r>
    </w:p>
    <w:p w:rsidR="00000000" w:rsidRDefault="00B51E11">
      <w:pPr>
        <w:pStyle w:val="a3"/>
        <w:spacing w:before="0" w:beforeAutospacing="0" w:after="0" w:afterAutospacing="0"/>
        <w:divId w:val="1145853248"/>
        <w:rPr>
          <w:sz w:val="20"/>
          <w:szCs w:val="20"/>
        </w:rPr>
      </w:pPr>
      <w:r>
        <w:rPr>
          <w:sz w:val="20"/>
          <w:szCs w:val="20"/>
        </w:rPr>
        <w:t>​</w:t>
      </w:r>
    </w:p>
    <w:p w:rsidR="00000000" w:rsidRDefault="00B51E11">
      <w:pPr>
        <w:pStyle w:val="a3"/>
        <w:spacing w:before="0" w:beforeAutospacing="0" w:after="0" w:afterAutospacing="0"/>
        <w:divId w:val="1145853248"/>
        <w:rPr>
          <w:sz w:val="20"/>
          <w:szCs w:val="20"/>
        </w:rPr>
      </w:pPr>
      <w:r>
        <w:rPr>
          <w:b/>
          <w:bCs/>
          <w:sz w:val="20"/>
          <w:szCs w:val="20"/>
        </w:rPr>
        <w:t>ITEM 2.   UNREGISTERED SALES OF EQUITY SECURITIES AND USE OF PROCEEDS</w:t>
      </w:r>
    </w:p>
    <w:p w:rsidR="00000000" w:rsidRDefault="00B51E11">
      <w:pPr>
        <w:pStyle w:val="a3"/>
        <w:spacing w:before="0" w:beforeAutospacing="0" w:after="0" w:afterAutospacing="0"/>
        <w:divId w:val="1145853248"/>
        <w:rPr>
          <w:sz w:val="20"/>
          <w:szCs w:val="20"/>
        </w:rPr>
      </w:pPr>
      <w:r>
        <w:rPr>
          <w:sz w:val="20"/>
          <w:szCs w:val="20"/>
        </w:rPr>
        <w:t>​</w:t>
      </w:r>
    </w:p>
    <w:p w:rsidR="00000000" w:rsidRDefault="00B51E11">
      <w:pPr>
        <w:pStyle w:val="a3"/>
        <w:spacing w:before="0" w:beforeAutospacing="0" w:after="0" w:afterAutospacing="0"/>
        <w:ind w:firstLine="720"/>
        <w:divId w:val="1145853248"/>
        <w:rPr>
          <w:sz w:val="20"/>
          <w:szCs w:val="20"/>
        </w:rPr>
      </w:pPr>
      <w:r>
        <w:rPr>
          <w:sz w:val="20"/>
          <w:szCs w:val="20"/>
        </w:rPr>
        <w:t>None.</w:t>
      </w:r>
    </w:p>
    <w:p w:rsidR="00000000" w:rsidRDefault="00B51E11">
      <w:pPr>
        <w:pStyle w:val="a3"/>
        <w:spacing w:before="0" w:beforeAutospacing="0" w:after="0" w:afterAutospacing="0"/>
        <w:divId w:val="1145853248"/>
        <w:rPr>
          <w:sz w:val="20"/>
          <w:szCs w:val="20"/>
        </w:rPr>
      </w:pPr>
      <w:r>
        <w:rPr>
          <w:b/>
          <w:bCs/>
          <w:sz w:val="20"/>
          <w:szCs w:val="20"/>
        </w:rPr>
        <w:t>​</w:t>
      </w:r>
    </w:p>
    <w:p w:rsidR="00000000" w:rsidRDefault="00B51E11">
      <w:pPr>
        <w:pStyle w:val="a3"/>
        <w:spacing w:before="0" w:beforeAutospacing="0" w:after="0" w:afterAutospacing="0"/>
        <w:divId w:val="1145853248"/>
        <w:rPr>
          <w:sz w:val="20"/>
          <w:szCs w:val="20"/>
        </w:rPr>
      </w:pPr>
      <w:r>
        <w:rPr>
          <w:b/>
          <w:bCs/>
          <w:sz w:val="20"/>
          <w:szCs w:val="20"/>
        </w:rPr>
        <w:t>​</w:t>
      </w:r>
    </w:p>
    <w:p w:rsidR="00000000" w:rsidRDefault="00B51E11">
      <w:pPr>
        <w:pStyle w:val="a3"/>
        <w:spacing w:before="360" w:beforeAutospacing="0" w:after="0" w:afterAutospacing="0"/>
        <w:jc w:val="center"/>
        <w:divId w:val="195237475"/>
        <w:rPr>
          <w:sz w:val="20"/>
          <w:szCs w:val="20"/>
        </w:rPr>
      </w:pPr>
      <w:r>
        <w:rPr>
          <w:sz w:val="20"/>
          <w:szCs w:val="20"/>
        </w:rPr>
        <w:t>72</w:t>
      </w:r>
    </w:p>
    <w:p w:rsidR="00000000" w:rsidRDefault="00B51E11">
      <w:pPr>
        <w:pStyle w:val="a3"/>
        <w:spacing w:before="0" w:beforeAutospacing="0" w:after="600" w:afterAutospacing="0"/>
        <w:divId w:val="987435643"/>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divId w:val="1791243253"/>
        <w:rPr>
          <w:sz w:val="20"/>
          <w:szCs w:val="20"/>
        </w:rPr>
      </w:pPr>
      <w:r>
        <w:rPr>
          <w:b/>
          <w:bCs/>
          <w:sz w:val="20"/>
          <w:szCs w:val="20"/>
        </w:rPr>
        <w:t>ITEM 6.   EXHIBITS</w:t>
      </w:r>
    </w:p>
    <w:p w:rsidR="00000000" w:rsidRDefault="00B51E11">
      <w:pPr>
        <w:pStyle w:val="a3"/>
        <w:spacing w:before="0" w:beforeAutospacing="0" w:after="0" w:afterAutospacing="0"/>
        <w:divId w:val="179124325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6"/>
        <w:gridCol w:w="204"/>
        <w:gridCol w:w="3822"/>
        <w:gridCol w:w="204"/>
        <w:gridCol w:w="1027"/>
        <w:gridCol w:w="205"/>
        <w:gridCol w:w="995"/>
        <w:gridCol w:w="205"/>
        <w:gridCol w:w="1068"/>
      </w:tblGrid>
      <w:tr w:rsidR="00000000">
        <w:trPr>
          <w:divId w:val="1791243253"/>
          <w:trHeight w:val="20"/>
        </w:trPr>
        <w:tc>
          <w:tcPr>
            <w:tcW w:w="349" w:type="pct"/>
            <w:tcMar>
              <w:top w:w="0" w:type="dxa"/>
              <w:left w:w="0" w:type="dxa"/>
              <w:bottom w:w="0" w:type="dxa"/>
              <w:right w:w="0" w:type="dxa"/>
            </w:tcMar>
            <w:vAlign w:val="bottom"/>
            <w:hideMark/>
          </w:tcPr>
          <w:p w:rsidR="00000000" w:rsidRDefault="00B51E11">
            <w:pPr>
              <w:rPr>
                <w:sz w:val="20"/>
                <w:szCs w:val="20"/>
              </w:rPr>
            </w:pPr>
          </w:p>
        </w:tc>
        <w:tc>
          <w:tcPr>
            <w:tcW w:w="125" w:type="pct"/>
            <w:tcMar>
              <w:top w:w="0" w:type="dxa"/>
              <w:left w:w="0" w:type="dxa"/>
              <w:bottom w:w="0" w:type="dxa"/>
              <w:right w:w="0" w:type="dxa"/>
            </w:tcMar>
            <w:vAlign w:val="bottom"/>
            <w:hideMark/>
          </w:tcPr>
          <w:p w:rsidR="00000000" w:rsidRDefault="00B51E11">
            <w:pPr>
              <w:rPr>
                <w:rFonts w:eastAsia="Times New Roman"/>
                <w:sz w:val="20"/>
                <w:szCs w:val="20"/>
              </w:rPr>
            </w:pPr>
          </w:p>
        </w:tc>
        <w:tc>
          <w:tcPr>
            <w:tcW w:w="2303" w:type="pct"/>
            <w:tcMar>
              <w:top w:w="0" w:type="dxa"/>
              <w:left w:w="0" w:type="dxa"/>
              <w:bottom w:w="0" w:type="dxa"/>
              <w:right w:w="0" w:type="dxa"/>
            </w:tcMar>
            <w:vAlign w:val="bottom"/>
            <w:hideMark/>
          </w:tcPr>
          <w:p w:rsidR="00000000" w:rsidRDefault="00B51E11">
            <w:pPr>
              <w:rPr>
                <w:rFonts w:eastAsia="Times New Roman"/>
                <w:sz w:val="20"/>
                <w:szCs w:val="20"/>
              </w:rPr>
            </w:pPr>
          </w:p>
        </w:tc>
        <w:tc>
          <w:tcPr>
            <w:tcW w:w="125" w:type="pct"/>
            <w:tcMar>
              <w:top w:w="0" w:type="dxa"/>
              <w:left w:w="0" w:type="dxa"/>
              <w:bottom w:w="0" w:type="dxa"/>
              <w:right w:w="0" w:type="dxa"/>
            </w:tcMar>
            <w:vAlign w:val="bottom"/>
            <w:hideMark/>
          </w:tcPr>
          <w:p w:rsidR="00000000" w:rsidRDefault="00B51E11">
            <w:pPr>
              <w:rPr>
                <w:rFonts w:eastAsia="Times New Roman"/>
                <w:sz w:val="20"/>
                <w:szCs w:val="20"/>
              </w:rPr>
            </w:pPr>
          </w:p>
        </w:tc>
        <w:tc>
          <w:tcPr>
            <w:tcW w:w="601" w:type="pct"/>
            <w:tcMar>
              <w:top w:w="0" w:type="dxa"/>
              <w:left w:w="0" w:type="dxa"/>
              <w:bottom w:w="0" w:type="dxa"/>
              <w:right w:w="0" w:type="dxa"/>
            </w:tcMar>
            <w:vAlign w:val="bottom"/>
            <w:hideMark/>
          </w:tcPr>
          <w:p w:rsidR="00000000" w:rsidRDefault="00B51E11">
            <w:pPr>
              <w:rPr>
                <w:rFonts w:eastAsia="Times New Roman"/>
                <w:sz w:val="20"/>
                <w:szCs w:val="20"/>
              </w:rPr>
            </w:pPr>
          </w:p>
        </w:tc>
        <w:tc>
          <w:tcPr>
            <w:tcW w:w="125" w:type="pct"/>
            <w:tcMar>
              <w:top w:w="0" w:type="dxa"/>
              <w:left w:w="0" w:type="dxa"/>
              <w:bottom w:w="0" w:type="dxa"/>
              <w:right w:w="0" w:type="dxa"/>
            </w:tcMar>
            <w:vAlign w:val="bottom"/>
            <w:hideMark/>
          </w:tcPr>
          <w:p w:rsidR="00000000" w:rsidRDefault="00B51E11">
            <w:pPr>
              <w:rPr>
                <w:rFonts w:eastAsia="Times New Roman"/>
                <w:sz w:val="20"/>
                <w:szCs w:val="20"/>
              </w:rPr>
            </w:pPr>
          </w:p>
        </w:tc>
        <w:tc>
          <w:tcPr>
            <w:tcW w:w="601" w:type="pct"/>
            <w:tcMar>
              <w:top w:w="0" w:type="dxa"/>
              <w:left w:w="0" w:type="dxa"/>
              <w:bottom w:w="0" w:type="dxa"/>
              <w:right w:w="0" w:type="dxa"/>
            </w:tcMar>
            <w:vAlign w:val="bottom"/>
            <w:hideMark/>
          </w:tcPr>
          <w:p w:rsidR="00000000" w:rsidRDefault="00B51E11">
            <w:pPr>
              <w:rPr>
                <w:rFonts w:eastAsia="Times New Roman"/>
                <w:sz w:val="20"/>
                <w:szCs w:val="20"/>
              </w:rPr>
            </w:pPr>
          </w:p>
        </w:tc>
        <w:tc>
          <w:tcPr>
            <w:tcW w:w="125" w:type="pct"/>
            <w:tcMar>
              <w:top w:w="0" w:type="dxa"/>
              <w:left w:w="0" w:type="dxa"/>
              <w:bottom w:w="0" w:type="dxa"/>
              <w:right w:w="0" w:type="dxa"/>
            </w:tcMar>
            <w:vAlign w:val="bottom"/>
            <w:hideMark/>
          </w:tcPr>
          <w:p w:rsidR="00000000" w:rsidRDefault="00B51E11">
            <w:pPr>
              <w:rPr>
                <w:rFonts w:eastAsia="Times New Roman"/>
                <w:sz w:val="20"/>
                <w:szCs w:val="20"/>
              </w:rPr>
            </w:pPr>
          </w:p>
        </w:tc>
        <w:tc>
          <w:tcPr>
            <w:tcW w:w="644" w:type="pct"/>
            <w:tcMar>
              <w:top w:w="0" w:type="dxa"/>
              <w:left w:w="0" w:type="dxa"/>
              <w:bottom w:w="0" w:type="dxa"/>
              <w:right w:w="0" w:type="dxa"/>
            </w:tcMar>
            <w:vAlign w:val="bottom"/>
            <w:hideMark/>
          </w:tcPr>
          <w:p w:rsidR="00000000" w:rsidRDefault="00B51E11">
            <w:pPr>
              <w:rPr>
                <w:rFonts w:eastAsia="Times New Roman"/>
                <w:sz w:val="20"/>
                <w:szCs w:val="20"/>
              </w:rPr>
            </w:pPr>
          </w:p>
        </w:tc>
      </w:tr>
      <w:tr w:rsidR="00000000">
        <w:trPr>
          <w:divId w:val="1791243253"/>
        </w:trPr>
        <w:tc>
          <w:tcPr>
            <w:tcW w:w="349"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2303"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601"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16"/>
                <w:szCs w:val="16"/>
              </w:rPr>
              <w:t>​</w:t>
            </w:r>
          </w:p>
        </w:tc>
        <w:tc>
          <w:tcPr>
            <w:tcW w:w="1371" w:type="pct"/>
            <w:gridSpan w:val="3"/>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Incorporated by Reference</w:t>
            </w:r>
          </w:p>
        </w:tc>
      </w:tr>
      <w:tr w:rsidR="00000000">
        <w:trPr>
          <w:divId w:val="1791243253"/>
        </w:trPr>
        <w:tc>
          <w:tcPr>
            <w:tcW w:w="349"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Exhibit</w:t>
            </w:r>
            <w:r>
              <w:rPr>
                <w:sz w:val="16"/>
                <w:szCs w:val="16"/>
              </w:rPr>
              <w:br/>
            </w:r>
            <w:r>
              <w:rPr>
                <w:b/>
                <w:bCs/>
                <w:sz w:val="16"/>
                <w:szCs w:val="16"/>
              </w:rPr>
              <w:t>Number</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2303"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Exhibit Description</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Filed Herewith</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Form</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16"/>
                <w:szCs w:val="16"/>
              </w:rPr>
            </w:pPr>
            <w:r>
              <w:rPr>
                <w:b/>
                <w:bCs/>
                <w:sz w:val="16"/>
                <w:szCs w:val="16"/>
              </w:rPr>
              <w:t>    </w:t>
            </w:r>
          </w:p>
        </w:tc>
        <w:tc>
          <w:tcPr>
            <w:tcW w:w="644" w:type="pct"/>
            <w:tcBorders>
              <w:bottom w:val="single" w:sz="6" w:space="0" w:color="000000"/>
            </w:tcBorders>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16"/>
                <w:szCs w:val="16"/>
              </w:rPr>
            </w:pPr>
            <w:r>
              <w:rPr>
                <w:b/>
                <w:bCs/>
                <w:sz w:val="16"/>
                <w:szCs w:val="16"/>
              </w:rPr>
              <w:t>Filing</w:t>
            </w:r>
            <w:r>
              <w:rPr>
                <w:sz w:val="16"/>
                <w:szCs w:val="16"/>
              </w:rPr>
              <w:br/>
            </w:r>
            <w:r>
              <w:rPr>
                <w:b/>
                <w:bCs/>
                <w:sz w:val="16"/>
                <w:szCs w:val="16"/>
              </w:rPr>
              <w:t>Date/Period</w:t>
            </w:r>
            <w:r>
              <w:rPr>
                <w:sz w:val="16"/>
                <w:szCs w:val="16"/>
              </w:rPr>
              <w:br/>
            </w:r>
            <w:r>
              <w:rPr>
                <w:b/>
                <w:bCs/>
                <w:sz w:val="16"/>
                <w:szCs w:val="16"/>
              </w:rPr>
              <w:t>End Date</w:t>
            </w:r>
          </w:p>
        </w:tc>
      </w:tr>
      <w:tr w:rsidR="00000000">
        <w:trPr>
          <w:divId w:val="1791243253"/>
        </w:trPr>
        <w:tc>
          <w:tcPr>
            <w:tcW w:w="349"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c>
          <w:tcPr>
            <w:tcW w:w="2303"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c>
          <w:tcPr>
            <w:tcW w:w="644" w:type="pct"/>
            <w:tcMar>
              <w:top w:w="0" w:type="dxa"/>
              <w:left w:w="0" w:type="dxa"/>
              <w:bottom w:w="0" w:type="dxa"/>
              <w:right w:w="0" w:type="dxa"/>
            </w:tcMar>
            <w:vAlign w:val="bottom"/>
            <w:hideMark/>
          </w:tcPr>
          <w:p w:rsidR="00000000" w:rsidRDefault="00B51E11">
            <w:pPr>
              <w:pStyle w:val="a3"/>
              <w:spacing w:before="0" w:beforeAutospacing="0" w:after="0" w:afterAutospacing="0"/>
              <w:jc w:val="center"/>
              <w:rPr>
                <w:sz w:val="20"/>
                <w:szCs w:val="20"/>
              </w:rPr>
            </w:pPr>
            <w:r>
              <w:rPr>
                <w:b/>
                <w:bCs/>
                <w:sz w:val="20"/>
                <w:szCs w:val="20"/>
              </w:rPr>
              <w:t>​</w:t>
            </w:r>
          </w:p>
        </w:tc>
      </w:tr>
      <w:tr w:rsidR="00000000">
        <w:trPr>
          <w:divId w:val="1791243253"/>
        </w:trPr>
        <w:tc>
          <w:tcPr>
            <w:tcW w:w="349" w:type="pct"/>
            <w:tcMar>
              <w:top w:w="0" w:type="dxa"/>
              <w:left w:w="0" w:type="dxa"/>
              <w:bottom w:w="0" w:type="dxa"/>
              <w:right w:w="0" w:type="dxa"/>
            </w:tcMar>
            <w:hideMark/>
          </w:tcPr>
          <w:p w:rsidR="00000000" w:rsidRDefault="00B51E11">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r:id="rId4" w:history="1">
              <w:r>
                <w:rPr>
                  <w:rStyle w:val="a4"/>
                  <w:sz w:val="20"/>
                  <w:szCs w:val="20"/>
                </w:rPr>
                <w:t>Offer Letter with Richard Graham August 12, 2015</w:t>
              </w:r>
            </w:hyperlink>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w:t>
            </w:r>
          </w:p>
        </w:tc>
        <w:tc>
          <w:tcPr>
            <w:tcW w:w="644"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w:t>
            </w:r>
          </w:p>
        </w:tc>
      </w:tr>
      <w:tr w:rsidR="00000000">
        <w:trPr>
          <w:divId w:val="1791243253"/>
        </w:trPr>
        <w:tc>
          <w:tcPr>
            <w:tcW w:w="349" w:type="pct"/>
            <w:tcMar>
              <w:top w:w="0" w:type="dxa"/>
              <w:left w:w="0" w:type="dxa"/>
              <w:bottom w:w="0" w:type="dxa"/>
              <w:right w:w="0" w:type="dxa"/>
            </w:tcMar>
            <w:hideMark/>
          </w:tcPr>
          <w:p w:rsidR="00000000" w:rsidRDefault="00B51E11">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r w:rsidR="00000000">
        <w:trPr>
          <w:divId w:val="1791243253"/>
        </w:trPr>
        <w:tc>
          <w:tcPr>
            <w:tcW w:w="349" w:type="pct"/>
            <w:tcMar>
              <w:top w:w="0" w:type="dxa"/>
              <w:left w:w="0" w:type="dxa"/>
              <w:bottom w:w="0" w:type="dxa"/>
              <w:right w:w="0" w:type="dxa"/>
            </w:tcMar>
            <w:hideMark/>
          </w:tcPr>
          <w:p w:rsidR="00000000" w:rsidRDefault="00B51E11">
            <w:pPr>
              <w:pStyle w:val="a3"/>
              <w:spacing w:before="0" w:beforeAutospacing="0" w:after="0" w:afterAutospacing="0"/>
              <w:ind w:hanging="202"/>
              <w:jc w:val="right"/>
              <w:rPr>
                <w:sz w:val="20"/>
                <w:szCs w:val="20"/>
              </w:rPr>
            </w:pPr>
            <w:r>
              <w:rPr>
                <w:sz w:val="20"/>
                <w:szCs w:val="20"/>
              </w:rPr>
              <w:t>31.1</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r:id="rId5" w:history="1">
              <w:r>
                <w:rPr>
                  <w:rStyle w:val="a4"/>
                  <w:sz w:val="20"/>
                  <w:szCs w:val="20"/>
                </w:rPr>
                <w:t>Certification of Chief Executive Officer Pursuant to Rules 13a-14(a) and 15d-14(a) </w:t>
              </w:r>
              <w:r>
                <w:rPr>
                  <w:rStyle w:val="a4"/>
                  <w:sz w:val="20"/>
                  <w:szCs w:val="20"/>
                </w:rPr>
                <w:t>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r w:rsidR="00000000">
        <w:trPr>
          <w:divId w:val="1791243253"/>
        </w:trPr>
        <w:tc>
          <w:tcPr>
            <w:tcW w:w="349" w:type="pct"/>
            <w:tcMar>
              <w:top w:w="0" w:type="dxa"/>
              <w:left w:w="0" w:type="dxa"/>
              <w:bottom w:w="0" w:type="dxa"/>
              <w:right w:w="0" w:type="dxa"/>
            </w:tcMar>
            <w:hideMark/>
          </w:tcPr>
          <w:p w:rsidR="00000000" w:rsidRDefault="00B51E11">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r w:rsidR="00000000">
        <w:trPr>
          <w:divId w:val="1791243253"/>
        </w:trPr>
        <w:tc>
          <w:tcPr>
            <w:tcW w:w="349" w:type="pct"/>
            <w:tcMar>
              <w:top w:w="0" w:type="dxa"/>
              <w:left w:w="0" w:type="dxa"/>
              <w:bottom w:w="0" w:type="dxa"/>
              <w:right w:w="0" w:type="dxa"/>
            </w:tcMar>
            <w:hideMark/>
          </w:tcPr>
          <w:p w:rsidR="00000000" w:rsidRDefault="00B51E11">
            <w:pPr>
              <w:pStyle w:val="a3"/>
              <w:spacing w:before="0" w:beforeAutospacing="0" w:after="0" w:afterAutospacing="0"/>
              <w:ind w:hanging="202"/>
              <w:jc w:val="right"/>
              <w:rPr>
                <w:sz w:val="20"/>
                <w:szCs w:val="20"/>
              </w:rPr>
            </w:pPr>
            <w:r>
              <w:rPr>
                <w:sz w:val="20"/>
                <w:szCs w:val="20"/>
              </w:rPr>
              <w:t>31.2</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r:id="rId6" w:history="1">
              <w:r>
                <w:rPr>
                  <w:rStyle w:val="a4"/>
                  <w:sz w:val="20"/>
                  <w:szCs w:val="20"/>
                </w:rPr>
                <w:t>Certification of Chief Financial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r w:rsidR="00000000">
        <w:trPr>
          <w:divId w:val="1791243253"/>
        </w:trPr>
        <w:tc>
          <w:tcPr>
            <w:tcW w:w="349" w:type="pct"/>
            <w:tcMar>
              <w:top w:w="0" w:type="dxa"/>
              <w:left w:w="0" w:type="dxa"/>
              <w:bottom w:w="0" w:type="dxa"/>
              <w:right w:w="0" w:type="dxa"/>
            </w:tcMar>
            <w:hideMark/>
          </w:tcPr>
          <w:p w:rsidR="00000000" w:rsidRDefault="00B51E11">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r w:rsidR="00000000">
        <w:trPr>
          <w:divId w:val="1791243253"/>
        </w:trPr>
        <w:tc>
          <w:tcPr>
            <w:tcW w:w="349" w:type="pct"/>
            <w:tcMar>
              <w:top w:w="0" w:type="dxa"/>
              <w:left w:w="0" w:type="dxa"/>
              <w:bottom w:w="0" w:type="dxa"/>
              <w:right w:w="0" w:type="dxa"/>
            </w:tcMar>
            <w:hideMark/>
          </w:tcPr>
          <w:p w:rsidR="00000000" w:rsidRDefault="00B51E11">
            <w:pPr>
              <w:pStyle w:val="a3"/>
              <w:spacing w:before="0" w:beforeAutospacing="0" w:after="0" w:afterAutospacing="0"/>
              <w:ind w:hanging="202"/>
              <w:jc w:val="right"/>
              <w:rPr>
                <w:sz w:val="20"/>
                <w:szCs w:val="20"/>
              </w:rPr>
            </w:pPr>
            <w:r>
              <w:rPr>
                <w:sz w:val="20"/>
                <w:szCs w:val="20"/>
              </w:rPr>
              <w:t>32(1)</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hyperlink r:id="rId7" w:history="1">
              <w:r>
                <w:rPr>
                  <w:rStyle w:val="a4"/>
                  <w:sz w:val="20"/>
                  <w:szCs w:val="20"/>
                </w:rPr>
                <w:t>Certifications Pursuant to 18 U.S.C. Section 1350</w:t>
              </w:r>
            </w:hyperlink>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r w:rsidR="00000000">
        <w:trPr>
          <w:divId w:val="1791243253"/>
        </w:trPr>
        <w:tc>
          <w:tcPr>
            <w:tcW w:w="349" w:type="pct"/>
            <w:tcMar>
              <w:top w:w="0" w:type="dxa"/>
              <w:left w:w="0" w:type="dxa"/>
              <w:bottom w:w="0" w:type="dxa"/>
              <w:right w:w="0" w:type="dxa"/>
            </w:tcMar>
            <w:hideMark/>
          </w:tcPr>
          <w:p w:rsidR="00000000" w:rsidRDefault="00B51E11">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r w:rsidR="00000000">
        <w:trPr>
          <w:divId w:val="1791243253"/>
        </w:trPr>
        <w:tc>
          <w:tcPr>
            <w:tcW w:w="349" w:type="pct"/>
            <w:tcMar>
              <w:top w:w="0" w:type="dxa"/>
              <w:left w:w="0" w:type="dxa"/>
              <w:bottom w:w="0" w:type="dxa"/>
              <w:right w:w="0" w:type="dxa"/>
            </w:tcMar>
            <w:hideMark/>
          </w:tcPr>
          <w:p w:rsidR="00000000" w:rsidRDefault="00B51E11">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Financial statements from the quarterly report on Form </w:t>
            </w:r>
            <w:r>
              <w:rPr>
                <w:sz w:val="20"/>
                <w:szCs w:val="20"/>
              </w:rPr>
              <w:t>10-Q of the Company for the quarter ended September 30, 2020, formatted in iXBRL: (i) the Condensed Consolidated Balance Sheets, (ii) the Condensed Consolidated Statements of Operations and Comprehensive Loss, (iii) Condensed Consolidated Statement of Shar</w:t>
            </w:r>
            <w:r>
              <w:rPr>
                <w:sz w:val="20"/>
                <w:szCs w:val="20"/>
              </w:rPr>
              <w:t>eholders’ Deficit, (iv)  the Condensed Consolidated Statements of Cash Flows, and (v) the Notes to the Condensed Consolidated Financial Statements</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r w:rsidR="00000000">
        <w:trPr>
          <w:divId w:val="1791243253"/>
        </w:trPr>
        <w:tc>
          <w:tcPr>
            <w:tcW w:w="349" w:type="pct"/>
            <w:tcMar>
              <w:top w:w="0" w:type="dxa"/>
              <w:left w:w="0" w:type="dxa"/>
              <w:bottom w:w="0" w:type="dxa"/>
              <w:right w:w="0" w:type="dxa"/>
            </w:tcMar>
            <w:hideMark/>
          </w:tcPr>
          <w:p w:rsidR="00000000" w:rsidRDefault="00B51E11">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r w:rsidR="00000000">
        <w:trPr>
          <w:divId w:val="1791243253"/>
        </w:trPr>
        <w:tc>
          <w:tcPr>
            <w:tcW w:w="349" w:type="pct"/>
            <w:tcMar>
              <w:top w:w="0" w:type="dxa"/>
              <w:left w:w="0" w:type="dxa"/>
              <w:bottom w:w="0" w:type="dxa"/>
              <w:right w:w="0" w:type="dxa"/>
            </w:tcMar>
            <w:hideMark/>
          </w:tcPr>
          <w:p w:rsidR="00000000" w:rsidRDefault="00B51E11">
            <w:pPr>
              <w:pStyle w:val="a3"/>
              <w:spacing w:before="0" w:beforeAutospacing="0" w:after="0" w:afterAutospacing="0"/>
              <w:ind w:hanging="202"/>
              <w:jc w:val="right"/>
              <w:rPr>
                <w:sz w:val="20"/>
                <w:szCs w:val="20"/>
              </w:rPr>
            </w:pPr>
            <w:r>
              <w:rPr>
                <w:sz w:val="20"/>
                <w:szCs w:val="20"/>
              </w:rPr>
              <w:t>104</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 xml:space="preserve">Cover Page Interactive Data File – </w:t>
            </w:r>
            <w:r>
              <w:rPr>
                <w:sz w:val="20"/>
                <w:szCs w:val="20"/>
              </w:rPr>
              <w:t>the cover page interactive file does not appear in the Interactive Data File because its XBRL tags are embedded within the Inline XBRL document (contained in Exhibit 101)</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51E11">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51E11">
            <w:pPr>
              <w:pStyle w:val="a3"/>
              <w:spacing w:before="0" w:beforeAutospacing="0" w:after="0" w:afterAutospacing="0"/>
              <w:jc w:val="right"/>
              <w:rPr>
                <w:sz w:val="20"/>
                <w:szCs w:val="20"/>
              </w:rPr>
            </w:pPr>
            <w:r>
              <w:rPr>
                <w:sz w:val="20"/>
                <w:szCs w:val="20"/>
              </w:rPr>
              <w:t>​</w:t>
            </w:r>
          </w:p>
        </w:tc>
      </w:tr>
    </w:tbl>
    <w:p w:rsidR="00000000" w:rsidRDefault="00B51E11">
      <w:pPr>
        <w:pStyle w:val="a3"/>
        <w:spacing w:before="0" w:beforeAutospacing="0" w:after="0" w:afterAutospacing="0"/>
        <w:divId w:val="1791243253"/>
        <w:rPr>
          <w:sz w:val="20"/>
          <w:szCs w:val="20"/>
        </w:rPr>
      </w:pPr>
      <w:r>
        <w:rPr>
          <w:sz w:val="20"/>
          <w:szCs w:val="20"/>
        </w:rPr>
        <w:t>​</w:t>
      </w:r>
    </w:p>
    <w:p w:rsidR="00000000" w:rsidRDefault="00B51E11">
      <w:pPr>
        <w:pStyle w:val="a3"/>
        <w:spacing w:before="0" w:beforeAutospacing="0" w:after="0" w:afterAutospacing="0"/>
        <w:divId w:val="1791243253"/>
        <w:rPr>
          <w:sz w:val="20"/>
          <w:szCs w:val="20"/>
        </w:rPr>
      </w:pPr>
      <w:r>
        <w:rPr>
          <w:sz w:val="20"/>
          <w:szCs w:val="20"/>
        </w:rPr>
        <w:t xml:space="preserve">+ </w:t>
      </w:r>
      <w:r>
        <w:rPr>
          <w:sz w:val="20"/>
          <w:szCs w:val="20"/>
        </w:rPr>
        <w:t>Management contract or compensatory plan or arrangement</w:t>
      </w:r>
      <w:r>
        <w:rPr>
          <w:sz w:val="20"/>
          <w:szCs w:val="20"/>
        </w:rPr>
        <w:t>.</w:t>
      </w:r>
    </w:p>
    <w:p w:rsidR="00000000" w:rsidRDefault="00B51E11">
      <w:pPr>
        <w:pStyle w:val="a3"/>
        <w:spacing w:before="0" w:beforeAutospacing="0" w:after="0" w:afterAutospacing="0"/>
        <w:divId w:val="179124325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1243253"/>
        </w:trPr>
        <w:tc>
          <w:tcPr>
            <w:tcW w:w="360" w:type="dxa"/>
            <w:noWrap/>
            <w:tcMar>
              <w:top w:w="0" w:type="dxa"/>
              <w:left w:w="0" w:type="dxa"/>
              <w:bottom w:w="0" w:type="dxa"/>
              <w:right w:w="0" w:type="dxa"/>
            </w:tcMar>
            <w:hideMark/>
          </w:tcPr>
          <w:p w:rsidR="00000000" w:rsidRDefault="00B51E11">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B51E11">
            <w:pPr>
              <w:rPr>
                <w:rFonts w:eastAsia="Times New Roman"/>
                <w:sz w:val="20"/>
                <w:szCs w:val="20"/>
              </w:rPr>
            </w:pPr>
            <w:r>
              <w:rPr>
                <w:rFonts w:eastAsia="Times New Roman"/>
                <w:color w:val="000000"/>
                <w:sz w:val="20"/>
                <w:szCs w:val="20"/>
              </w:rPr>
              <w:t>The certifications provided as Exhibit </w:t>
            </w:r>
            <w:r>
              <w:rPr>
                <w:rFonts w:eastAsia="Times New Roman"/>
                <w:color w:val="000000"/>
                <w:sz w:val="20"/>
                <w:szCs w:val="20"/>
              </w:rPr>
              <w:t>32 are being furnished to accompany the Report pursuant to 18 U.S.C. Section 1350 and shall not be deemed filed by the Company for purposes of Section 18 of the Securities Exchange Act of 1934, as amended, and is not to be incorporated by reference into an</w:t>
            </w:r>
            <w:r>
              <w:rPr>
                <w:rFonts w:eastAsia="Times New Roman"/>
                <w:color w:val="000000"/>
                <w:sz w:val="20"/>
                <w:szCs w:val="20"/>
              </w:rPr>
              <w:t>y filing of the Company, whether made before or after the date hereof, regardless of any general incorporation language in such filing.</w:t>
            </w:r>
          </w:p>
        </w:tc>
      </w:tr>
    </w:tbl>
    <w:p w:rsidR="00000000" w:rsidRDefault="00B51E11">
      <w:pPr>
        <w:pStyle w:val="a3"/>
        <w:spacing w:before="0" w:beforeAutospacing="0" w:after="0" w:afterAutospacing="0"/>
        <w:divId w:val="1791243253"/>
        <w:rPr>
          <w:sz w:val="20"/>
          <w:szCs w:val="20"/>
        </w:rPr>
      </w:pPr>
      <w:r>
        <w:rPr>
          <w:sz w:val="20"/>
          <w:szCs w:val="20"/>
        </w:rPr>
        <w:t>​</w:t>
      </w:r>
    </w:p>
    <w:p w:rsidR="00000000" w:rsidRDefault="00B51E11">
      <w:pPr>
        <w:pStyle w:val="a3"/>
        <w:spacing w:before="360" w:beforeAutospacing="0" w:after="0" w:afterAutospacing="0"/>
        <w:jc w:val="center"/>
        <w:divId w:val="1522206351"/>
        <w:rPr>
          <w:sz w:val="20"/>
          <w:szCs w:val="20"/>
        </w:rPr>
      </w:pPr>
      <w:r>
        <w:rPr>
          <w:sz w:val="20"/>
          <w:szCs w:val="20"/>
        </w:rPr>
        <w:t>73</w:t>
      </w:r>
    </w:p>
    <w:p w:rsidR="00000000" w:rsidRDefault="00B51E11">
      <w:pPr>
        <w:pStyle w:val="a3"/>
        <w:spacing w:before="0" w:beforeAutospacing="0" w:after="600" w:afterAutospacing="0"/>
        <w:divId w:val="1747873615"/>
        <w:rPr>
          <w:sz w:val="20"/>
          <w:szCs w:val="20"/>
        </w:rPr>
      </w:pPr>
      <w:hyperlink w:anchor="TOC" w:history="1">
        <w:r>
          <w:rPr>
            <w:rStyle w:val="a4"/>
            <w:sz w:val="20"/>
            <w:szCs w:val="20"/>
          </w:rPr>
          <w:t>Table of Contents</w:t>
        </w:r>
      </w:hyperlink>
    </w:p>
    <w:p w:rsidR="00000000" w:rsidRDefault="00B51E11">
      <w:pPr>
        <w:pStyle w:val="a3"/>
        <w:spacing w:before="0" w:beforeAutospacing="0" w:after="0" w:afterAutospacing="0"/>
        <w:jc w:val="center"/>
        <w:divId w:val="1608659255"/>
        <w:rPr>
          <w:sz w:val="20"/>
          <w:szCs w:val="20"/>
        </w:rPr>
      </w:pPr>
      <w:r>
        <w:rPr>
          <w:b/>
          <w:bCs/>
          <w:sz w:val="20"/>
          <w:szCs w:val="20"/>
        </w:rPr>
        <w:t>SIGNATURES</w:t>
      </w:r>
    </w:p>
    <w:p w:rsidR="00000000" w:rsidRDefault="00B51E11">
      <w:pPr>
        <w:pStyle w:val="a3"/>
        <w:spacing w:before="0" w:beforeAutospacing="0" w:after="0" w:afterAutospacing="0"/>
        <w:divId w:val="1608659255"/>
        <w:rPr>
          <w:sz w:val="20"/>
          <w:szCs w:val="20"/>
        </w:rPr>
      </w:pPr>
      <w:r>
        <w:rPr>
          <w:sz w:val="20"/>
          <w:szCs w:val="20"/>
        </w:rPr>
        <w:t>​</w:t>
      </w:r>
    </w:p>
    <w:p w:rsidR="00000000" w:rsidRDefault="00B51E11">
      <w:pPr>
        <w:pStyle w:val="a3"/>
        <w:spacing w:before="0" w:beforeAutospacing="0" w:after="0" w:afterAutospacing="0"/>
        <w:divId w:val="1608659255"/>
        <w:rPr>
          <w:sz w:val="20"/>
          <w:szCs w:val="20"/>
        </w:rPr>
      </w:pPr>
      <w:r>
        <w:rPr>
          <w:sz w:val="20"/>
          <w:szCs w:val="20"/>
        </w:rPr>
        <w:t>Pursuant to the Securities Exchange Act of 1934, the regi</w:t>
      </w:r>
      <w:r>
        <w:rPr>
          <w:sz w:val="20"/>
          <w:szCs w:val="20"/>
        </w:rPr>
        <w:t>strant has duly caused this report to be signed on its behalf by the undersigned thereunto duly authorized.</w:t>
      </w:r>
    </w:p>
    <w:p w:rsidR="00000000" w:rsidRDefault="00B51E11">
      <w:pPr>
        <w:pStyle w:val="a3"/>
        <w:spacing w:before="0" w:beforeAutospacing="0" w:after="0" w:afterAutospacing="0"/>
        <w:divId w:val="160865925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608659255"/>
          <w:trHeight w:val="20"/>
        </w:trPr>
        <w:tc>
          <w:tcPr>
            <w:tcW w:w="2500" w:type="pct"/>
            <w:tcMar>
              <w:top w:w="0" w:type="dxa"/>
              <w:left w:w="0" w:type="dxa"/>
              <w:bottom w:w="0" w:type="dxa"/>
              <w:right w:w="0" w:type="dxa"/>
            </w:tcMar>
            <w:hideMark/>
          </w:tcPr>
          <w:p w:rsidR="00000000" w:rsidRDefault="00B51E11">
            <w:pPr>
              <w:pStyle w:val="a3"/>
              <w:spacing w:before="0" w:beforeAutospacing="0" w:after="0" w:afterAutospacing="0"/>
              <w:divId w:val="1283882260"/>
              <w:rPr>
                <w:sz w:val="20"/>
                <w:szCs w:val="20"/>
              </w:rPr>
            </w:pPr>
            <w:r>
              <w:rPr>
                <w:sz w:val="20"/>
                <w:szCs w:val="20"/>
              </w:rPr>
              <w:t>​</w:t>
            </w:r>
          </w:p>
        </w:tc>
        <w:tc>
          <w:tcPr>
            <w:tcW w:w="2500" w:type="pct"/>
            <w:tcMar>
              <w:top w:w="0" w:type="dxa"/>
              <w:left w:w="0" w:type="dxa"/>
              <w:bottom w:w="0" w:type="dxa"/>
              <w:right w:w="0" w:type="dxa"/>
            </w:tcMar>
            <w:hideMark/>
          </w:tcPr>
          <w:p w:rsidR="00000000" w:rsidRDefault="00B51E11">
            <w:pPr>
              <w:rPr>
                <w:sz w:val="20"/>
                <w:szCs w:val="20"/>
              </w:rPr>
            </w:pPr>
          </w:p>
        </w:tc>
      </w:tr>
      <w:tr w:rsidR="00000000">
        <w:trPr>
          <w:divId w:val="1608659255"/>
        </w:trPr>
        <w:tc>
          <w:tcPr>
            <w:tcW w:w="250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Theravance Biopharma, Inc.</w:t>
            </w:r>
          </w:p>
        </w:tc>
      </w:tr>
      <w:tr w:rsidR="00000000">
        <w:trPr>
          <w:divId w:val="1608659255"/>
        </w:trPr>
        <w:tc>
          <w:tcPr>
            <w:tcW w:w="250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w:t>
            </w:r>
          </w:p>
        </w:tc>
      </w:tr>
      <w:tr w:rsidR="00000000">
        <w:trPr>
          <w:divId w:val="1608659255"/>
        </w:trPr>
        <w:tc>
          <w:tcPr>
            <w:tcW w:w="250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Date: November 9, 2020</w:t>
            </w:r>
          </w:p>
        </w:tc>
        <w:tc>
          <w:tcPr>
            <w:tcW w:w="2500" w:type="pct"/>
            <w:tcBorders>
              <w:bottom w:val="single" w:sz="6" w:space="0" w:color="000000"/>
            </w:tcBorders>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trPr>
          <w:divId w:val="1608659255"/>
        </w:trPr>
        <w:tc>
          <w:tcPr>
            <w:tcW w:w="250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Rick E Winningham</w:t>
            </w:r>
          </w:p>
        </w:tc>
      </w:tr>
      <w:tr w:rsidR="00000000">
        <w:trPr>
          <w:divId w:val="1608659255"/>
        </w:trPr>
        <w:tc>
          <w:tcPr>
            <w:tcW w:w="250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Chairman of the Board and Chief Executive Officer</w:t>
            </w:r>
          </w:p>
        </w:tc>
      </w:tr>
      <w:tr w:rsidR="00000000">
        <w:trPr>
          <w:divId w:val="1608659255"/>
        </w:trPr>
        <w:tc>
          <w:tcPr>
            <w:tcW w:w="250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(Principal Executive Officer)</w:t>
            </w:r>
          </w:p>
        </w:tc>
      </w:tr>
      <w:tr w:rsidR="00000000">
        <w:trPr>
          <w:divId w:val="1608659255"/>
        </w:trPr>
        <w:tc>
          <w:tcPr>
            <w:tcW w:w="250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w:t>
            </w:r>
          </w:p>
        </w:tc>
      </w:tr>
      <w:tr w:rsidR="00000000">
        <w:trPr>
          <w:divId w:val="1608659255"/>
        </w:trPr>
        <w:tc>
          <w:tcPr>
            <w:tcW w:w="250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Date: November 9, 2020</w:t>
            </w:r>
          </w:p>
        </w:tc>
        <w:tc>
          <w:tcPr>
            <w:tcW w:w="2500" w:type="pct"/>
            <w:tcBorders>
              <w:bottom w:val="single" w:sz="6" w:space="0" w:color="000000"/>
            </w:tcBorders>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/s/ A</w:t>
            </w:r>
            <w:r>
              <w:rPr>
                <w:smallCaps/>
                <w:sz w:val="20"/>
                <w:szCs w:val="20"/>
              </w:rPr>
              <w:t>ndrew</w:t>
            </w:r>
            <w:r>
              <w:rPr>
                <w:sz w:val="20"/>
                <w:szCs w:val="20"/>
              </w:rPr>
              <w:t xml:space="preserve"> H</w:t>
            </w:r>
            <w:r>
              <w:rPr>
                <w:smallCaps/>
                <w:sz w:val="20"/>
                <w:szCs w:val="20"/>
              </w:rPr>
              <w:t>indman</w:t>
            </w:r>
          </w:p>
        </w:tc>
      </w:tr>
      <w:tr w:rsidR="00000000">
        <w:trPr>
          <w:divId w:val="1608659255"/>
        </w:trPr>
        <w:tc>
          <w:tcPr>
            <w:tcW w:w="250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Andrew Hindman</w:t>
            </w:r>
          </w:p>
          <w:p w:rsidR="00000000" w:rsidRDefault="00B51E11">
            <w:pPr>
              <w:pStyle w:val="a3"/>
              <w:spacing w:before="0" w:beforeAutospacing="0" w:after="0" w:afterAutospacing="0"/>
              <w:jc w:val="center"/>
              <w:rPr>
                <w:sz w:val="20"/>
                <w:szCs w:val="20"/>
              </w:rPr>
            </w:pPr>
            <w:r>
              <w:rPr>
                <w:sz w:val="20"/>
                <w:szCs w:val="20"/>
              </w:rPr>
              <w:t>Senior Vice President and Chief Financial Officer</w:t>
            </w:r>
          </w:p>
        </w:tc>
      </w:tr>
      <w:tr w:rsidR="00000000">
        <w:trPr>
          <w:divId w:val="1608659255"/>
        </w:trPr>
        <w:tc>
          <w:tcPr>
            <w:tcW w:w="250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(Principal Financial Officer)</w:t>
            </w:r>
          </w:p>
        </w:tc>
      </w:tr>
      <w:tr w:rsidR="00000000">
        <w:trPr>
          <w:divId w:val="1608659255"/>
        </w:trPr>
        <w:tc>
          <w:tcPr>
            <w:tcW w:w="2500" w:type="pct"/>
            <w:tcMar>
              <w:top w:w="0" w:type="dxa"/>
              <w:left w:w="0" w:type="dxa"/>
              <w:bottom w:w="0" w:type="dxa"/>
              <w:right w:w="0" w:type="dxa"/>
            </w:tcMar>
            <w:hideMark/>
          </w:tcPr>
          <w:p w:rsidR="00000000" w:rsidRDefault="00B51E11">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51E11">
            <w:pPr>
              <w:pStyle w:val="a3"/>
              <w:spacing w:before="0" w:beforeAutospacing="0" w:after="0" w:afterAutospacing="0"/>
              <w:jc w:val="center"/>
              <w:rPr>
                <w:sz w:val="20"/>
                <w:szCs w:val="20"/>
              </w:rPr>
            </w:pPr>
            <w:r>
              <w:rPr>
                <w:sz w:val="20"/>
                <w:szCs w:val="20"/>
              </w:rPr>
              <w:t>​</w:t>
            </w:r>
          </w:p>
        </w:tc>
      </w:tr>
    </w:tbl>
    <w:p w:rsidR="00000000" w:rsidRDefault="00B51E11">
      <w:pPr>
        <w:pStyle w:val="a3"/>
        <w:spacing w:before="0" w:beforeAutospacing="0" w:after="0" w:afterAutospacing="0"/>
        <w:divId w:val="1608659255"/>
        <w:rPr>
          <w:sz w:val="20"/>
          <w:szCs w:val="20"/>
        </w:rPr>
      </w:pPr>
      <w:r>
        <w:rPr>
          <w:sz w:val="2"/>
          <w:szCs w:val="2"/>
        </w:rPr>
        <w:t>​</w:t>
      </w:r>
    </w:p>
    <w:p w:rsidR="00000000" w:rsidRDefault="00B51E11">
      <w:pPr>
        <w:pStyle w:val="a3"/>
        <w:spacing w:before="0" w:beforeAutospacing="0" w:after="0" w:afterAutospacing="0"/>
        <w:divId w:val="1608659255"/>
        <w:rPr>
          <w:sz w:val="20"/>
          <w:szCs w:val="20"/>
        </w:rPr>
      </w:pPr>
      <w:r>
        <w:rPr>
          <w:sz w:val="20"/>
          <w:szCs w:val="20"/>
        </w:rPr>
        <w:t>​</w:t>
      </w:r>
    </w:p>
    <w:p w:rsidR="00000000" w:rsidRDefault="00B51E11">
      <w:pPr>
        <w:pStyle w:val="a3"/>
        <w:spacing w:before="0" w:beforeAutospacing="0" w:after="0" w:afterAutospacing="0"/>
        <w:divId w:val="1608659255"/>
        <w:rPr>
          <w:sz w:val="20"/>
          <w:szCs w:val="20"/>
        </w:rPr>
      </w:pPr>
      <w:r>
        <w:rPr>
          <w:sz w:val="20"/>
          <w:szCs w:val="20"/>
        </w:rPr>
        <w:t>​</w:t>
      </w:r>
    </w:p>
    <w:p w:rsidR="00B51E11" w:rsidRDefault="00B51E11">
      <w:pPr>
        <w:pStyle w:val="a3"/>
        <w:spacing w:before="360" w:beforeAutospacing="0" w:after="0" w:afterAutospacing="0"/>
        <w:jc w:val="center"/>
        <w:divId w:val="260066829"/>
        <w:rPr>
          <w:sz w:val="20"/>
          <w:szCs w:val="20"/>
        </w:rPr>
      </w:pPr>
      <w:r>
        <w:rPr>
          <w:sz w:val="20"/>
          <w:szCs w:val="20"/>
        </w:rPr>
        <w:t>74</w:t>
      </w:r>
    </w:p>
    <w:sectPr w:rsidR="00B51E1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imes New Roman Bold">
    <w:panose1 w:val="00000000000000000000"/>
    <w:charset w:val="00"/>
    <w:family w:val="roman"/>
    <w:notTrueType/>
    <w:pitch w:val="default"/>
  </w:font>
  <w:font w:name="Times">
    <w:panose1 w:val="02020603050405020304"/>
    <w:charset w:val="00"/>
    <w:family w:val="roman"/>
    <w:pitch w:val="default"/>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51E11"/>
    <w:rsid w:val="00B51E11"/>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www.theravance.com/20200930"/>
  <w:attachedSchema w:val="http://www.xbrl.org/2003/linkbase"/>
  <w:attachedSchema w:val="http://xbrl.org/2005/xbrldt"/>
  <w:attachedSchema w:val="http://www.sec.gov/inlineXBRL/transformation/2015-08-31"/>
  <w:attachedSchema w:val="http://fasb.org/srt/2020-01-31"/>
  <w:attachedSchema w:val="http://www.xbrl.org/2013/inlineXBRL"/>
  <w:attachedSchema w:val="http://www.xbrl.org/2006/ref"/>
  <w:attachedSchema w:val="http://www.xbrl.org/2003/instance"/>
  <w:attachedSchema w:val="http://xbrl.sec.gov/dei/2020-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5816">
      <w:marLeft w:val="0"/>
      <w:marRight w:val="0"/>
      <w:marTop w:val="0"/>
      <w:marBottom w:val="0"/>
      <w:divBdr>
        <w:top w:val="none" w:sz="0" w:space="0" w:color="auto"/>
        <w:left w:val="none" w:sz="0" w:space="0" w:color="auto"/>
        <w:bottom w:val="none" w:sz="0" w:space="0" w:color="auto"/>
        <w:right w:val="none" w:sz="0" w:space="0" w:color="auto"/>
      </w:divBdr>
      <w:divsChild>
        <w:div w:id="736828813">
          <w:marLeft w:val="0"/>
          <w:marRight w:val="0"/>
          <w:marTop w:val="547"/>
          <w:marBottom w:val="0"/>
          <w:divBdr>
            <w:top w:val="none" w:sz="0" w:space="0" w:color="auto"/>
            <w:left w:val="none" w:sz="0" w:space="0" w:color="auto"/>
            <w:bottom w:val="none" w:sz="0" w:space="0" w:color="auto"/>
            <w:right w:val="none" w:sz="0" w:space="0" w:color="auto"/>
          </w:divBdr>
        </w:div>
        <w:div w:id="2144929545">
          <w:marLeft w:val="0"/>
          <w:marRight w:val="0"/>
          <w:marTop w:val="0"/>
          <w:marBottom w:val="0"/>
          <w:divBdr>
            <w:top w:val="none" w:sz="0" w:space="0" w:color="auto"/>
            <w:left w:val="none" w:sz="0" w:space="0" w:color="auto"/>
            <w:bottom w:val="none" w:sz="0" w:space="0" w:color="auto"/>
            <w:right w:val="none" w:sz="0" w:space="0" w:color="auto"/>
          </w:divBdr>
        </w:div>
        <w:div w:id="2101246804">
          <w:marLeft w:val="0"/>
          <w:marRight w:val="0"/>
          <w:marTop w:val="0"/>
          <w:marBottom w:val="600"/>
          <w:divBdr>
            <w:top w:val="none" w:sz="0" w:space="0" w:color="auto"/>
            <w:left w:val="none" w:sz="0" w:space="0" w:color="auto"/>
            <w:bottom w:val="none" w:sz="0" w:space="0" w:color="auto"/>
            <w:right w:val="none" w:sz="0" w:space="0" w:color="auto"/>
          </w:divBdr>
        </w:div>
      </w:divsChild>
    </w:div>
    <w:div w:id="27146914">
      <w:marLeft w:val="0"/>
      <w:marRight w:val="0"/>
      <w:marTop w:val="0"/>
      <w:marBottom w:val="0"/>
      <w:divBdr>
        <w:top w:val="none" w:sz="0" w:space="0" w:color="auto"/>
        <w:left w:val="none" w:sz="0" w:space="0" w:color="auto"/>
        <w:bottom w:val="none" w:sz="0" w:space="0" w:color="auto"/>
        <w:right w:val="none" w:sz="0" w:space="0" w:color="auto"/>
      </w:divBdr>
      <w:divsChild>
        <w:div w:id="1436247883">
          <w:marLeft w:val="0"/>
          <w:marRight w:val="0"/>
          <w:marTop w:val="547"/>
          <w:marBottom w:val="0"/>
          <w:divBdr>
            <w:top w:val="none" w:sz="0" w:space="0" w:color="auto"/>
            <w:left w:val="none" w:sz="0" w:space="0" w:color="auto"/>
            <w:bottom w:val="none" w:sz="0" w:space="0" w:color="auto"/>
            <w:right w:val="none" w:sz="0" w:space="0" w:color="auto"/>
          </w:divBdr>
        </w:div>
        <w:div w:id="1178737288">
          <w:marLeft w:val="0"/>
          <w:marRight w:val="0"/>
          <w:marTop w:val="0"/>
          <w:marBottom w:val="0"/>
          <w:divBdr>
            <w:top w:val="none" w:sz="0" w:space="0" w:color="auto"/>
            <w:left w:val="none" w:sz="0" w:space="0" w:color="auto"/>
            <w:bottom w:val="none" w:sz="0" w:space="0" w:color="auto"/>
            <w:right w:val="none" w:sz="0" w:space="0" w:color="auto"/>
          </w:divBdr>
        </w:div>
        <w:div w:id="1940750125">
          <w:marLeft w:val="0"/>
          <w:marRight w:val="0"/>
          <w:marTop w:val="0"/>
          <w:marBottom w:val="600"/>
          <w:divBdr>
            <w:top w:val="none" w:sz="0" w:space="0" w:color="auto"/>
            <w:left w:val="none" w:sz="0" w:space="0" w:color="auto"/>
            <w:bottom w:val="none" w:sz="0" w:space="0" w:color="auto"/>
            <w:right w:val="none" w:sz="0" w:space="0" w:color="auto"/>
          </w:divBdr>
        </w:div>
      </w:divsChild>
    </w:div>
    <w:div w:id="111942722">
      <w:marLeft w:val="0"/>
      <w:marRight w:val="0"/>
      <w:marTop w:val="0"/>
      <w:marBottom w:val="0"/>
      <w:divBdr>
        <w:top w:val="none" w:sz="0" w:space="0" w:color="auto"/>
        <w:left w:val="none" w:sz="0" w:space="0" w:color="auto"/>
        <w:bottom w:val="none" w:sz="0" w:space="0" w:color="auto"/>
        <w:right w:val="none" w:sz="0" w:space="0" w:color="auto"/>
      </w:divBdr>
      <w:divsChild>
        <w:div w:id="1960989850">
          <w:marLeft w:val="0"/>
          <w:marRight w:val="0"/>
          <w:marTop w:val="547"/>
          <w:marBottom w:val="0"/>
          <w:divBdr>
            <w:top w:val="none" w:sz="0" w:space="0" w:color="auto"/>
            <w:left w:val="none" w:sz="0" w:space="0" w:color="auto"/>
            <w:bottom w:val="none" w:sz="0" w:space="0" w:color="auto"/>
            <w:right w:val="none" w:sz="0" w:space="0" w:color="auto"/>
          </w:divBdr>
        </w:div>
        <w:div w:id="1053240097">
          <w:marLeft w:val="0"/>
          <w:marRight w:val="0"/>
          <w:marTop w:val="0"/>
          <w:marBottom w:val="0"/>
          <w:divBdr>
            <w:top w:val="none" w:sz="0" w:space="0" w:color="auto"/>
            <w:left w:val="none" w:sz="0" w:space="0" w:color="auto"/>
            <w:bottom w:val="none" w:sz="0" w:space="0" w:color="auto"/>
            <w:right w:val="none" w:sz="0" w:space="0" w:color="auto"/>
          </w:divBdr>
        </w:div>
        <w:div w:id="417799540">
          <w:marLeft w:val="0"/>
          <w:marRight w:val="0"/>
          <w:marTop w:val="0"/>
          <w:marBottom w:val="600"/>
          <w:divBdr>
            <w:top w:val="none" w:sz="0" w:space="0" w:color="auto"/>
            <w:left w:val="none" w:sz="0" w:space="0" w:color="auto"/>
            <w:bottom w:val="none" w:sz="0" w:space="0" w:color="auto"/>
            <w:right w:val="none" w:sz="0" w:space="0" w:color="auto"/>
          </w:divBdr>
        </w:div>
      </w:divsChild>
    </w:div>
    <w:div w:id="124737609">
      <w:marLeft w:val="0"/>
      <w:marRight w:val="0"/>
      <w:marTop w:val="0"/>
      <w:marBottom w:val="0"/>
      <w:divBdr>
        <w:top w:val="none" w:sz="0" w:space="0" w:color="auto"/>
        <w:left w:val="none" w:sz="0" w:space="0" w:color="auto"/>
        <w:bottom w:val="none" w:sz="0" w:space="0" w:color="auto"/>
        <w:right w:val="none" w:sz="0" w:space="0" w:color="auto"/>
      </w:divBdr>
    </w:div>
    <w:div w:id="131677806">
      <w:marLeft w:val="0"/>
      <w:marRight w:val="0"/>
      <w:marTop w:val="0"/>
      <w:marBottom w:val="0"/>
      <w:divBdr>
        <w:top w:val="none" w:sz="0" w:space="0" w:color="auto"/>
        <w:left w:val="none" w:sz="0" w:space="0" w:color="auto"/>
        <w:bottom w:val="none" w:sz="0" w:space="0" w:color="auto"/>
        <w:right w:val="none" w:sz="0" w:space="0" w:color="auto"/>
      </w:divBdr>
      <w:divsChild>
        <w:div w:id="1799689886">
          <w:marLeft w:val="0"/>
          <w:marRight w:val="0"/>
          <w:marTop w:val="547"/>
          <w:marBottom w:val="0"/>
          <w:divBdr>
            <w:top w:val="none" w:sz="0" w:space="0" w:color="auto"/>
            <w:left w:val="none" w:sz="0" w:space="0" w:color="auto"/>
            <w:bottom w:val="none" w:sz="0" w:space="0" w:color="auto"/>
            <w:right w:val="none" w:sz="0" w:space="0" w:color="auto"/>
          </w:divBdr>
        </w:div>
        <w:div w:id="1628775004">
          <w:marLeft w:val="0"/>
          <w:marRight w:val="0"/>
          <w:marTop w:val="0"/>
          <w:marBottom w:val="0"/>
          <w:divBdr>
            <w:top w:val="none" w:sz="0" w:space="0" w:color="auto"/>
            <w:left w:val="none" w:sz="0" w:space="0" w:color="auto"/>
            <w:bottom w:val="none" w:sz="0" w:space="0" w:color="auto"/>
            <w:right w:val="none" w:sz="0" w:space="0" w:color="auto"/>
          </w:divBdr>
          <w:divsChild>
            <w:div w:id="556282164">
              <w:marLeft w:val="0"/>
              <w:marRight w:val="0"/>
              <w:marTop w:val="0"/>
              <w:marBottom w:val="0"/>
              <w:divBdr>
                <w:top w:val="none" w:sz="0" w:space="0" w:color="auto"/>
                <w:left w:val="none" w:sz="0" w:space="0" w:color="auto"/>
                <w:bottom w:val="none" w:sz="0" w:space="0" w:color="auto"/>
                <w:right w:val="none" w:sz="0" w:space="0" w:color="auto"/>
              </w:divBdr>
              <w:divsChild>
                <w:div w:id="975137440">
                  <w:marLeft w:val="0"/>
                  <w:marRight w:val="0"/>
                  <w:marTop w:val="0"/>
                  <w:marBottom w:val="0"/>
                  <w:divBdr>
                    <w:top w:val="none" w:sz="0" w:space="0" w:color="auto"/>
                    <w:left w:val="none" w:sz="0" w:space="0" w:color="auto"/>
                    <w:bottom w:val="none" w:sz="0" w:space="0" w:color="auto"/>
                    <w:right w:val="none" w:sz="0" w:space="0" w:color="auto"/>
                  </w:divBdr>
                </w:div>
              </w:divsChild>
            </w:div>
            <w:div w:id="912545095">
              <w:marLeft w:val="0"/>
              <w:marRight w:val="0"/>
              <w:marTop w:val="0"/>
              <w:marBottom w:val="0"/>
              <w:divBdr>
                <w:top w:val="none" w:sz="0" w:space="0" w:color="auto"/>
                <w:left w:val="none" w:sz="0" w:space="0" w:color="auto"/>
                <w:bottom w:val="none" w:sz="0" w:space="0" w:color="auto"/>
                <w:right w:val="none" w:sz="0" w:space="0" w:color="auto"/>
              </w:divBdr>
              <w:divsChild>
                <w:div w:id="691885257">
                  <w:marLeft w:val="0"/>
                  <w:marRight w:val="0"/>
                  <w:marTop w:val="0"/>
                  <w:marBottom w:val="0"/>
                  <w:divBdr>
                    <w:top w:val="none" w:sz="0" w:space="0" w:color="auto"/>
                    <w:left w:val="none" w:sz="0" w:space="0" w:color="auto"/>
                    <w:bottom w:val="none" w:sz="0" w:space="0" w:color="auto"/>
                    <w:right w:val="none" w:sz="0" w:space="0" w:color="auto"/>
                  </w:divBdr>
                </w:div>
              </w:divsChild>
            </w:div>
            <w:div w:id="1093630118">
              <w:marLeft w:val="0"/>
              <w:marRight w:val="0"/>
              <w:marTop w:val="0"/>
              <w:marBottom w:val="0"/>
              <w:divBdr>
                <w:top w:val="none" w:sz="0" w:space="0" w:color="auto"/>
                <w:left w:val="none" w:sz="0" w:space="0" w:color="auto"/>
                <w:bottom w:val="none" w:sz="0" w:space="0" w:color="auto"/>
                <w:right w:val="none" w:sz="0" w:space="0" w:color="auto"/>
              </w:divBdr>
              <w:divsChild>
                <w:div w:id="685137715">
                  <w:marLeft w:val="0"/>
                  <w:marRight w:val="0"/>
                  <w:marTop w:val="0"/>
                  <w:marBottom w:val="0"/>
                  <w:divBdr>
                    <w:top w:val="none" w:sz="0" w:space="0" w:color="auto"/>
                    <w:left w:val="none" w:sz="0" w:space="0" w:color="auto"/>
                    <w:bottom w:val="none" w:sz="0" w:space="0" w:color="auto"/>
                    <w:right w:val="none" w:sz="0" w:space="0" w:color="auto"/>
                  </w:divBdr>
                </w:div>
              </w:divsChild>
            </w:div>
            <w:div w:id="198055771">
              <w:marLeft w:val="0"/>
              <w:marRight w:val="0"/>
              <w:marTop w:val="0"/>
              <w:marBottom w:val="0"/>
              <w:divBdr>
                <w:top w:val="none" w:sz="0" w:space="0" w:color="auto"/>
                <w:left w:val="none" w:sz="0" w:space="0" w:color="auto"/>
                <w:bottom w:val="none" w:sz="0" w:space="0" w:color="auto"/>
                <w:right w:val="none" w:sz="0" w:space="0" w:color="auto"/>
              </w:divBdr>
              <w:divsChild>
                <w:div w:id="733431136">
                  <w:marLeft w:val="0"/>
                  <w:marRight w:val="0"/>
                  <w:marTop w:val="0"/>
                  <w:marBottom w:val="0"/>
                  <w:divBdr>
                    <w:top w:val="none" w:sz="0" w:space="0" w:color="auto"/>
                    <w:left w:val="none" w:sz="0" w:space="0" w:color="auto"/>
                    <w:bottom w:val="none" w:sz="0" w:space="0" w:color="auto"/>
                    <w:right w:val="none" w:sz="0" w:space="0" w:color="auto"/>
                  </w:divBdr>
                </w:div>
              </w:divsChild>
            </w:div>
            <w:div w:id="1822188047">
              <w:marLeft w:val="0"/>
              <w:marRight w:val="0"/>
              <w:marTop w:val="0"/>
              <w:marBottom w:val="0"/>
              <w:divBdr>
                <w:top w:val="none" w:sz="0" w:space="0" w:color="auto"/>
                <w:left w:val="none" w:sz="0" w:space="0" w:color="auto"/>
                <w:bottom w:val="none" w:sz="0" w:space="0" w:color="auto"/>
                <w:right w:val="none" w:sz="0" w:space="0" w:color="auto"/>
              </w:divBdr>
              <w:divsChild>
                <w:div w:id="59207627">
                  <w:marLeft w:val="0"/>
                  <w:marRight w:val="0"/>
                  <w:marTop w:val="0"/>
                  <w:marBottom w:val="0"/>
                  <w:divBdr>
                    <w:top w:val="none" w:sz="0" w:space="0" w:color="auto"/>
                    <w:left w:val="none" w:sz="0" w:space="0" w:color="auto"/>
                    <w:bottom w:val="none" w:sz="0" w:space="0" w:color="auto"/>
                    <w:right w:val="none" w:sz="0" w:space="0" w:color="auto"/>
                  </w:divBdr>
                </w:div>
              </w:divsChild>
            </w:div>
            <w:div w:id="1124273091">
              <w:marLeft w:val="0"/>
              <w:marRight w:val="0"/>
              <w:marTop w:val="0"/>
              <w:marBottom w:val="0"/>
              <w:divBdr>
                <w:top w:val="none" w:sz="0" w:space="0" w:color="auto"/>
                <w:left w:val="none" w:sz="0" w:space="0" w:color="auto"/>
                <w:bottom w:val="none" w:sz="0" w:space="0" w:color="auto"/>
                <w:right w:val="none" w:sz="0" w:space="0" w:color="auto"/>
              </w:divBdr>
              <w:divsChild>
                <w:div w:id="1916016647">
                  <w:marLeft w:val="0"/>
                  <w:marRight w:val="0"/>
                  <w:marTop w:val="0"/>
                  <w:marBottom w:val="0"/>
                  <w:divBdr>
                    <w:top w:val="none" w:sz="0" w:space="0" w:color="auto"/>
                    <w:left w:val="none" w:sz="0" w:space="0" w:color="auto"/>
                    <w:bottom w:val="none" w:sz="0" w:space="0" w:color="auto"/>
                    <w:right w:val="none" w:sz="0" w:space="0" w:color="auto"/>
                  </w:divBdr>
                </w:div>
              </w:divsChild>
            </w:div>
            <w:div w:id="1148590805">
              <w:marLeft w:val="0"/>
              <w:marRight w:val="0"/>
              <w:marTop w:val="0"/>
              <w:marBottom w:val="0"/>
              <w:divBdr>
                <w:top w:val="none" w:sz="0" w:space="0" w:color="auto"/>
                <w:left w:val="none" w:sz="0" w:space="0" w:color="auto"/>
                <w:bottom w:val="none" w:sz="0" w:space="0" w:color="auto"/>
                <w:right w:val="none" w:sz="0" w:space="0" w:color="auto"/>
              </w:divBdr>
              <w:divsChild>
                <w:div w:id="1057970407">
                  <w:marLeft w:val="0"/>
                  <w:marRight w:val="0"/>
                  <w:marTop w:val="0"/>
                  <w:marBottom w:val="0"/>
                  <w:divBdr>
                    <w:top w:val="none" w:sz="0" w:space="0" w:color="auto"/>
                    <w:left w:val="none" w:sz="0" w:space="0" w:color="auto"/>
                    <w:bottom w:val="none" w:sz="0" w:space="0" w:color="auto"/>
                    <w:right w:val="none" w:sz="0" w:space="0" w:color="auto"/>
                  </w:divBdr>
                </w:div>
              </w:divsChild>
            </w:div>
            <w:div w:id="283732683">
              <w:marLeft w:val="0"/>
              <w:marRight w:val="0"/>
              <w:marTop w:val="0"/>
              <w:marBottom w:val="0"/>
              <w:divBdr>
                <w:top w:val="none" w:sz="0" w:space="0" w:color="auto"/>
                <w:left w:val="none" w:sz="0" w:space="0" w:color="auto"/>
                <w:bottom w:val="none" w:sz="0" w:space="0" w:color="auto"/>
                <w:right w:val="none" w:sz="0" w:space="0" w:color="auto"/>
              </w:divBdr>
              <w:divsChild>
                <w:div w:id="1760055872">
                  <w:marLeft w:val="0"/>
                  <w:marRight w:val="0"/>
                  <w:marTop w:val="0"/>
                  <w:marBottom w:val="0"/>
                  <w:divBdr>
                    <w:top w:val="none" w:sz="0" w:space="0" w:color="auto"/>
                    <w:left w:val="none" w:sz="0" w:space="0" w:color="auto"/>
                    <w:bottom w:val="none" w:sz="0" w:space="0" w:color="auto"/>
                    <w:right w:val="none" w:sz="0" w:space="0" w:color="auto"/>
                  </w:divBdr>
                </w:div>
              </w:divsChild>
            </w:div>
            <w:div w:id="1337149114">
              <w:marLeft w:val="0"/>
              <w:marRight w:val="0"/>
              <w:marTop w:val="0"/>
              <w:marBottom w:val="0"/>
              <w:divBdr>
                <w:top w:val="none" w:sz="0" w:space="0" w:color="auto"/>
                <w:left w:val="none" w:sz="0" w:space="0" w:color="auto"/>
                <w:bottom w:val="none" w:sz="0" w:space="0" w:color="auto"/>
                <w:right w:val="none" w:sz="0" w:space="0" w:color="auto"/>
              </w:divBdr>
              <w:divsChild>
                <w:div w:id="670303765">
                  <w:marLeft w:val="0"/>
                  <w:marRight w:val="0"/>
                  <w:marTop w:val="0"/>
                  <w:marBottom w:val="0"/>
                  <w:divBdr>
                    <w:top w:val="none" w:sz="0" w:space="0" w:color="auto"/>
                    <w:left w:val="none" w:sz="0" w:space="0" w:color="auto"/>
                    <w:bottom w:val="none" w:sz="0" w:space="0" w:color="auto"/>
                    <w:right w:val="none" w:sz="0" w:space="0" w:color="auto"/>
                  </w:divBdr>
                </w:div>
              </w:divsChild>
            </w:div>
            <w:div w:id="819544780">
              <w:marLeft w:val="0"/>
              <w:marRight w:val="0"/>
              <w:marTop w:val="0"/>
              <w:marBottom w:val="0"/>
              <w:divBdr>
                <w:top w:val="none" w:sz="0" w:space="0" w:color="auto"/>
                <w:left w:val="none" w:sz="0" w:space="0" w:color="auto"/>
                <w:bottom w:val="none" w:sz="0" w:space="0" w:color="auto"/>
                <w:right w:val="none" w:sz="0" w:space="0" w:color="auto"/>
              </w:divBdr>
              <w:divsChild>
                <w:div w:id="1860005920">
                  <w:marLeft w:val="0"/>
                  <w:marRight w:val="0"/>
                  <w:marTop w:val="0"/>
                  <w:marBottom w:val="0"/>
                  <w:divBdr>
                    <w:top w:val="none" w:sz="0" w:space="0" w:color="auto"/>
                    <w:left w:val="none" w:sz="0" w:space="0" w:color="auto"/>
                    <w:bottom w:val="none" w:sz="0" w:space="0" w:color="auto"/>
                    <w:right w:val="none" w:sz="0" w:space="0" w:color="auto"/>
                  </w:divBdr>
                </w:div>
              </w:divsChild>
            </w:div>
            <w:div w:id="1045644073">
              <w:marLeft w:val="0"/>
              <w:marRight w:val="0"/>
              <w:marTop w:val="0"/>
              <w:marBottom w:val="0"/>
              <w:divBdr>
                <w:top w:val="none" w:sz="0" w:space="0" w:color="auto"/>
                <w:left w:val="none" w:sz="0" w:space="0" w:color="auto"/>
                <w:bottom w:val="none" w:sz="0" w:space="0" w:color="auto"/>
                <w:right w:val="none" w:sz="0" w:space="0" w:color="auto"/>
              </w:divBdr>
              <w:divsChild>
                <w:div w:id="595133332">
                  <w:marLeft w:val="0"/>
                  <w:marRight w:val="0"/>
                  <w:marTop w:val="0"/>
                  <w:marBottom w:val="0"/>
                  <w:divBdr>
                    <w:top w:val="none" w:sz="0" w:space="0" w:color="auto"/>
                    <w:left w:val="none" w:sz="0" w:space="0" w:color="auto"/>
                    <w:bottom w:val="none" w:sz="0" w:space="0" w:color="auto"/>
                    <w:right w:val="none" w:sz="0" w:space="0" w:color="auto"/>
                  </w:divBdr>
                </w:div>
              </w:divsChild>
            </w:div>
            <w:div w:id="507601458">
              <w:marLeft w:val="0"/>
              <w:marRight w:val="0"/>
              <w:marTop w:val="0"/>
              <w:marBottom w:val="0"/>
              <w:divBdr>
                <w:top w:val="none" w:sz="0" w:space="0" w:color="auto"/>
                <w:left w:val="none" w:sz="0" w:space="0" w:color="auto"/>
                <w:bottom w:val="none" w:sz="0" w:space="0" w:color="auto"/>
                <w:right w:val="none" w:sz="0" w:space="0" w:color="auto"/>
              </w:divBdr>
              <w:divsChild>
                <w:div w:id="175266056">
                  <w:marLeft w:val="0"/>
                  <w:marRight w:val="0"/>
                  <w:marTop w:val="0"/>
                  <w:marBottom w:val="0"/>
                  <w:divBdr>
                    <w:top w:val="none" w:sz="0" w:space="0" w:color="auto"/>
                    <w:left w:val="none" w:sz="0" w:space="0" w:color="auto"/>
                    <w:bottom w:val="none" w:sz="0" w:space="0" w:color="auto"/>
                    <w:right w:val="none" w:sz="0" w:space="0" w:color="auto"/>
                  </w:divBdr>
                </w:div>
              </w:divsChild>
            </w:div>
            <w:div w:id="743841237">
              <w:marLeft w:val="0"/>
              <w:marRight w:val="0"/>
              <w:marTop w:val="0"/>
              <w:marBottom w:val="0"/>
              <w:divBdr>
                <w:top w:val="none" w:sz="0" w:space="0" w:color="auto"/>
                <w:left w:val="none" w:sz="0" w:space="0" w:color="auto"/>
                <w:bottom w:val="none" w:sz="0" w:space="0" w:color="auto"/>
                <w:right w:val="none" w:sz="0" w:space="0" w:color="auto"/>
              </w:divBdr>
              <w:divsChild>
                <w:div w:id="1012145212">
                  <w:marLeft w:val="0"/>
                  <w:marRight w:val="0"/>
                  <w:marTop w:val="0"/>
                  <w:marBottom w:val="0"/>
                  <w:divBdr>
                    <w:top w:val="none" w:sz="0" w:space="0" w:color="auto"/>
                    <w:left w:val="none" w:sz="0" w:space="0" w:color="auto"/>
                    <w:bottom w:val="none" w:sz="0" w:space="0" w:color="auto"/>
                    <w:right w:val="none" w:sz="0" w:space="0" w:color="auto"/>
                  </w:divBdr>
                </w:div>
              </w:divsChild>
            </w:div>
            <w:div w:id="460422465">
              <w:marLeft w:val="0"/>
              <w:marRight w:val="0"/>
              <w:marTop w:val="0"/>
              <w:marBottom w:val="0"/>
              <w:divBdr>
                <w:top w:val="none" w:sz="0" w:space="0" w:color="auto"/>
                <w:left w:val="none" w:sz="0" w:space="0" w:color="auto"/>
                <w:bottom w:val="none" w:sz="0" w:space="0" w:color="auto"/>
                <w:right w:val="none" w:sz="0" w:space="0" w:color="auto"/>
              </w:divBdr>
              <w:divsChild>
                <w:div w:id="1929773857">
                  <w:marLeft w:val="0"/>
                  <w:marRight w:val="0"/>
                  <w:marTop w:val="0"/>
                  <w:marBottom w:val="0"/>
                  <w:divBdr>
                    <w:top w:val="none" w:sz="0" w:space="0" w:color="auto"/>
                    <w:left w:val="none" w:sz="0" w:space="0" w:color="auto"/>
                    <w:bottom w:val="none" w:sz="0" w:space="0" w:color="auto"/>
                    <w:right w:val="none" w:sz="0" w:space="0" w:color="auto"/>
                  </w:divBdr>
                </w:div>
              </w:divsChild>
            </w:div>
            <w:div w:id="1435133337">
              <w:marLeft w:val="0"/>
              <w:marRight w:val="0"/>
              <w:marTop w:val="0"/>
              <w:marBottom w:val="0"/>
              <w:divBdr>
                <w:top w:val="none" w:sz="0" w:space="0" w:color="auto"/>
                <w:left w:val="none" w:sz="0" w:space="0" w:color="auto"/>
                <w:bottom w:val="none" w:sz="0" w:space="0" w:color="auto"/>
                <w:right w:val="none" w:sz="0" w:space="0" w:color="auto"/>
              </w:divBdr>
              <w:divsChild>
                <w:div w:id="1682052006">
                  <w:marLeft w:val="0"/>
                  <w:marRight w:val="0"/>
                  <w:marTop w:val="0"/>
                  <w:marBottom w:val="0"/>
                  <w:divBdr>
                    <w:top w:val="none" w:sz="0" w:space="0" w:color="auto"/>
                    <w:left w:val="none" w:sz="0" w:space="0" w:color="auto"/>
                    <w:bottom w:val="none" w:sz="0" w:space="0" w:color="auto"/>
                    <w:right w:val="none" w:sz="0" w:space="0" w:color="auto"/>
                  </w:divBdr>
                </w:div>
              </w:divsChild>
            </w:div>
            <w:div w:id="38821010">
              <w:marLeft w:val="0"/>
              <w:marRight w:val="0"/>
              <w:marTop w:val="0"/>
              <w:marBottom w:val="0"/>
              <w:divBdr>
                <w:top w:val="none" w:sz="0" w:space="0" w:color="auto"/>
                <w:left w:val="none" w:sz="0" w:space="0" w:color="auto"/>
                <w:bottom w:val="none" w:sz="0" w:space="0" w:color="auto"/>
                <w:right w:val="none" w:sz="0" w:space="0" w:color="auto"/>
              </w:divBdr>
              <w:divsChild>
                <w:div w:id="1002515212">
                  <w:marLeft w:val="0"/>
                  <w:marRight w:val="0"/>
                  <w:marTop w:val="0"/>
                  <w:marBottom w:val="0"/>
                  <w:divBdr>
                    <w:top w:val="none" w:sz="0" w:space="0" w:color="auto"/>
                    <w:left w:val="none" w:sz="0" w:space="0" w:color="auto"/>
                    <w:bottom w:val="none" w:sz="0" w:space="0" w:color="auto"/>
                    <w:right w:val="none" w:sz="0" w:space="0" w:color="auto"/>
                  </w:divBdr>
                </w:div>
              </w:divsChild>
            </w:div>
            <w:div w:id="1308121365">
              <w:marLeft w:val="0"/>
              <w:marRight w:val="0"/>
              <w:marTop w:val="0"/>
              <w:marBottom w:val="0"/>
              <w:divBdr>
                <w:top w:val="none" w:sz="0" w:space="0" w:color="auto"/>
                <w:left w:val="none" w:sz="0" w:space="0" w:color="auto"/>
                <w:bottom w:val="none" w:sz="0" w:space="0" w:color="auto"/>
                <w:right w:val="none" w:sz="0" w:space="0" w:color="auto"/>
              </w:divBdr>
              <w:divsChild>
                <w:div w:id="1962803435">
                  <w:marLeft w:val="0"/>
                  <w:marRight w:val="0"/>
                  <w:marTop w:val="0"/>
                  <w:marBottom w:val="0"/>
                  <w:divBdr>
                    <w:top w:val="none" w:sz="0" w:space="0" w:color="auto"/>
                    <w:left w:val="none" w:sz="0" w:space="0" w:color="auto"/>
                    <w:bottom w:val="none" w:sz="0" w:space="0" w:color="auto"/>
                    <w:right w:val="none" w:sz="0" w:space="0" w:color="auto"/>
                  </w:divBdr>
                </w:div>
              </w:divsChild>
            </w:div>
            <w:div w:id="1900246117">
              <w:marLeft w:val="0"/>
              <w:marRight w:val="0"/>
              <w:marTop w:val="0"/>
              <w:marBottom w:val="0"/>
              <w:divBdr>
                <w:top w:val="none" w:sz="0" w:space="0" w:color="auto"/>
                <w:left w:val="none" w:sz="0" w:space="0" w:color="auto"/>
                <w:bottom w:val="none" w:sz="0" w:space="0" w:color="auto"/>
                <w:right w:val="none" w:sz="0" w:space="0" w:color="auto"/>
              </w:divBdr>
              <w:divsChild>
                <w:div w:id="386611484">
                  <w:marLeft w:val="0"/>
                  <w:marRight w:val="0"/>
                  <w:marTop w:val="0"/>
                  <w:marBottom w:val="0"/>
                  <w:divBdr>
                    <w:top w:val="none" w:sz="0" w:space="0" w:color="auto"/>
                    <w:left w:val="none" w:sz="0" w:space="0" w:color="auto"/>
                    <w:bottom w:val="none" w:sz="0" w:space="0" w:color="auto"/>
                    <w:right w:val="none" w:sz="0" w:space="0" w:color="auto"/>
                  </w:divBdr>
                </w:div>
              </w:divsChild>
            </w:div>
            <w:div w:id="297731899">
              <w:marLeft w:val="0"/>
              <w:marRight w:val="0"/>
              <w:marTop w:val="0"/>
              <w:marBottom w:val="0"/>
              <w:divBdr>
                <w:top w:val="none" w:sz="0" w:space="0" w:color="auto"/>
                <w:left w:val="none" w:sz="0" w:space="0" w:color="auto"/>
                <w:bottom w:val="none" w:sz="0" w:space="0" w:color="auto"/>
                <w:right w:val="none" w:sz="0" w:space="0" w:color="auto"/>
              </w:divBdr>
              <w:divsChild>
                <w:div w:id="1826359133">
                  <w:marLeft w:val="0"/>
                  <w:marRight w:val="0"/>
                  <w:marTop w:val="0"/>
                  <w:marBottom w:val="0"/>
                  <w:divBdr>
                    <w:top w:val="none" w:sz="0" w:space="0" w:color="auto"/>
                    <w:left w:val="none" w:sz="0" w:space="0" w:color="auto"/>
                    <w:bottom w:val="none" w:sz="0" w:space="0" w:color="auto"/>
                    <w:right w:val="none" w:sz="0" w:space="0" w:color="auto"/>
                  </w:divBdr>
                </w:div>
              </w:divsChild>
            </w:div>
            <w:div w:id="1515534080">
              <w:marLeft w:val="0"/>
              <w:marRight w:val="0"/>
              <w:marTop w:val="0"/>
              <w:marBottom w:val="0"/>
              <w:divBdr>
                <w:top w:val="none" w:sz="0" w:space="0" w:color="auto"/>
                <w:left w:val="none" w:sz="0" w:space="0" w:color="auto"/>
                <w:bottom w:val="none" w:sz="0" w:space="0" w:color="auto"/>
                <w:right w:val="none" w:sz="0" w:space="0" w:color="auto"/>
              </w:divBdr>
              <w:divsChild>
                <w:div w:id="1654487127">
                  <w:marLeft w:val="0"/>
                  <w:marRight w:val="0"/>
                  <w:marTop w:val="0"/>
                  <w:marBottom w:val="0"/>
                  <w:divBdr>
                    <w:top w:val="none" w:sz="0" w:space="0" w:color="auto"/>
                    <w:left w:val="none" w:sz="0" w:space="0" w:color="auto"/>
                    <w:bottom w:val="none" w:sz="0" w:space="0" w:color="auto"/>
                    <w:right w:val="none" w:sz="0" w:space="0" w:color="auto"/>
                  </w:divBdr>
                </w:div>
              </w:divsChild>
            </w:div>
            <w:div w:id="1898928386">
              <w:marLeft w:val="0"/>
              <w:marRight w:val="0"/>
              <w:marTop w:val="0"/>
              <w:marBottom w:val="0"/>
              <w:divBdr>
                <w:top w:val="none" w:sz="0" w:space="0" w:color="auto"/>
                <w:left w:val="none" w:sz="0" w:space="0" w:color="auto"/>
                <w:bottom w:val="none" w:sz="0" w:space="0" w:color="auto"/>
                <w:right w:val="none" w:sz="0" w:space="0" w:color="auto"/>
              </w:divBdr>
              <w:divsChild>
                <w:div w:id="176236766">
                  <w:marLeft w:val="0"/>
                  <w:marRight w:val="0"/>
                  <w:marTop w:val="0"/>
                  <w:marBottom w:val="0"/>
                  <w:divBdr>
                    <w:top w:val="none" w:sz="0" w:space="0" w:color="auto"/>
                    <w:left w:val="none" w:sz="0" w:space="0" w:color="auto"/>
                    <w:bottom w:val="none" w:sz="0" w:space="0" w:color="auto"/>
                    <w:right w:val="none" w:sz="0" w:space="0" w:color="auto"/>
                  </w:divBdr>
                </w:div>
              </w:divsChild>
            </w:div>
            <w:div w:id="567035158">
              <w:marLeft w:val="0"/>
              <w:marRight w:val="0"/>
              <w:marTop w:val="0"/>
              <w:marBottom w:val="0"/>
              <w:divBdr>
                <w:top w:val="none" w:sz="0" w:space="0" w:color="auto"/>
                <w:left w:val="none" w:sz="0" w:space="0" w:color="auto"/>
                <w:bottom w:val="none" w:sz="0" w:space="0" w:color="auto"/>
                <w:right w:val="none" w:sz="0" w:space="0" w:color="auto"/>
              </w:divBdr>
              <w:divsChild>
                <w:div w:id="1384408052">
                  <w:marLeft w:val="0"/>
                  <w:marRight w:val="0"/>
                  <w:marTop w:val="0"/>
                  <w:marBottom w:val="0"/>
                  <w:divBdr>
                    <w:top w:val="none" w:sz="0" w:space="0" w:color="auto"/>
                    <w:left w:val="none" w:sz="0" w:space="0" w:color="auto"/>
                    <w:bottom w:val="none" w:sz="0" w:space="0" w:color="auto"/>
                    <w:right w:val="none" w:sz="0" w:space="0" w:color="auto"/>
                  </w:divBdr>
                </w:div>
              </w:divsChild>
            </w:div>
            <w:div w:id="1935278787">
              <w:marLeft w:val="0"/>
              <w:marRight w:val="0"/>
              <w:marTop w:val="0"/>
              <w:marBottom w:val="0"/>
              <w:divBdr>
                <w:top w:val="none" w:sz="0" w:space="0" w:color="auto"/>
                <w:left w:val="none" w:sz="0" w:space="0" w:color="auto"/>
                <w:bottom w:val="none" w:sz="0" w:space="0" w:color="auto"/>
                <w:right w:val="none" w:sz="0" w:space="0" w:color="auto"/>
              </w:divBdr>
              <w:divsChild>
                <w:div w:id="126709197">
                  <w:marLeft w:val="0"/>
                  <w:marRight w:val="0"/>
                  <w:marTop w:val="0"/>
                  <w:marBottom w:val="0"/>
                  <w:divBdr>
                    <w:top w:val="none" w:sz="0" w:space="0" w:color="auto"/>
                    <w:left w:val="none" w:sz="0" w:space="0" w:color="auto"/>
                    <w:bottom w:val="none" w:sz="0" w:space="0" w:color="auto"/>
                    <w:right w:val="none" w:sz="0" w:space="0" w:color="auto"/>
                  </w:divBdr>
                </w:div>
              </w:divsChild>
            </w:div>
            <w:div w:id="763037407">
              <w:marLeft w:val="0"/>
              <w:marRight w:val="0"/>
              <w:marTop w:val="0"/>
              <w:marBottom w:val="0"/>
              <w:divBdr>
                <w:top w:val="none" w:sz="0" w:space="0" w:color="auto"/>
                <w:left w:val="none" w:sz="0" w:space="0" w:color="auto"/>
                <w:bottom w:val="none" w:sz="0" w:space="0" w:color="auto"/>
                <w:right w:val="none" w:sz="0" w:space="0" w:color="auto"/>
              </w:divBdr>
              <w:divsChild>
                <w:div w:id="1867594293">
                  <w:marLeft w:val="0"/>
                  <w:marRight w:val="0"/>
                  <w:marTop w:val="0"/>
                  <w:marBottom w:val="0"/>
                  <w:divBdr>
                    <w:top w:val="none" w:sz="0" w:space="0" w:color="auto"/>
                    <w:left w:val="none" w:sz="0" w:space="0" w:color="auto"/>
                    <w:bottom w:val="none" w:sz="0" w:space="0" w:color="auto"/>
                    <w:right w:val="none" w:sz="0" w:space="0" w:color="auto"/>
                  </w:divBdr>
                </w:div>
              </w:divsChild>
            </w:div>
            <w:div w:id="1575972799">
              <w:marLeft w:val="0"/>
              <w:marRight w:val="0"/>
              <w:marTop w:val="0"/>
              <w:marBottom w:val="0"/>
              <w:divBdr>
                <w:top w:val="none" w:sz="0" w:space="0" w:color="auto"/>
                <w:left w:val="none" w:sz="0" w:space="0" w:color="auto"/>
                <w:bottom w:val="none" w:sz="0" w:space="0" w:color="auto"/>
                <w:right w:val="none" w:sz="0" w:space="0" w:color="auto"/>
              </w:divBdr>
              <w:divsChild>
                <w:div w:id="8704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9019">
          <w:marLeft w:val="0"/>
          <w:marRight w:val="0"/>
          <w:marTop w:val="0"/>
          <w:marBottom w:val="600"/>
          <w:divBdr>
            <w:top w:val="none" w:sz="0" w:space="0" w:color="auto"/>
            <w:left w:val="none" w:sz="0" w:space="0" w:color="auto"/>
            <w:bottom w:val="none" w:sz="0" w:space="0" w:color="auto"/>
            <w:right w:val="none" w:sz="0" w:space="0" w:color="auto"/>
          </w:divBdr>
        </w:div>
      </w:divsChild>
    </w:div>
    <w:div w:id="137039097">
      <w:marLeft w:val="0"/>
      <w:marRight w:val="0"/>
      <w:marTop w:val="0"/>
      <w:marBottom w:val="0"/>
      <w:divBdr>
        <w:top w:val="none" w:sz="0" w:space="0" w:color="auto"/>
        <w:left w:val="none" w:sz="0" w:space="0" w:color="auto"/>
        <w:bottom w:val="none" w:sz="0" w:space="0" w:color="auto"/>
        <w:right w:val="none" w:sz="0" w:space="0" w:color="auto"/>
      </w:divBdr>
      <w:divsChild>
        <w:div w:id="957294478">
          <w:marLeft w:val="0"/>
          <w:marRight w:val="0"/>
          <w:marTop w:val="547"/>
          <w:marBottom w:val="0"/>
          <w:divBdr>
            <w:top w:val="none" w:sz="0" w:space="0" w:color="auto"/>
            <w:left w:val="none" w:sz="0" w:space="0" w:color="auto"/>
            <w:bottom w:val="none" w:sz="0" w:space="0" w:color="auto"/>
            <w:right w:val="none" w:sz="0" w:space="0" w:color="auto"/>
          </w:divBdr>
        </w:div>
        <w:div w:id="1182160677">
          <w:marLeft w:val="0"/>
          <w:marRight w:val="0"/>
          <w:marTop w:val="0"/>
          <w:marBottom w:val="0"/>
          <w:divBdr>
            <w:top w:val="none" w:sz="0" w:space="0" w:color="auto"/>
            <w:left w:val="none" w:sz="0" w:space="0" w:color="auto"/>
            <w:bottom w:val="none" w:sz="0" w:space="0" w:color="auto"/>
            <w:right w:val="none" w:sz="0" w:space="0" w:color="auto"/>
          </w:divBdr>
          <w:divsChild>
            <w:div w:id="1174806122">
              <w:marLeft w:val="0"/>
              <w:marRight w:val="0"/>
              <w:marTop w:val="0"/>
              <w:marBottom w:val="0"/>
              <w:divBdr>
                <w:top w:val="none" w:sz="0" w:space="0" w:color="auto"/>
                <w:left w:val="none" w:sz="0" w:space="0" w:color="auto"/>
                <w:bottom w:val="none" w:sz="0" w:space="0" w:color="auto"/>
                <w:right w:val="none" w:sz="0" w:space="0" w:color="auto"/>
              </w:divBdr>
              <w:divsChild>
                <w:div w:id="323440207">
                  <w:marLeft w:val="0"/>
                  <w:marRight w:val="0"/>
                  <w:marTop w:val="0"/>
                  <w:marBottom w:val="0"/>
                  <w:divBdr>
                    <w:top w:val="none" w:sz="0" w:space="0" w:color="auto"/>
                    <w:left w:val="none" w:sz="0" w:space="0" w:color="auto"/>
                    <w:bottom w:val="none" w:sz="0" w:space="0" w:color="auto"/>
                    <w:right w:val="none" w:sz="0" w:space="0" w:color="auto"/>
                  </w:divBdr>
                </w:div>
              </w:divsChild>
            </w:div>
            <w:div w:id="410860033">
              <w:marLeft w:val="0"/>
              <w:marRight w:val="0"/>
              <w:marTop w:val="0"/>
              <w:marBottom w:val="0"/>
              <w:divBdr>
                <w:top w:val="none" w:sz="0" w:space="0" w:color="auto"/>
                <w:left w:val="none" w:sz="0" w:space="0" w:color="auto"/>
                <w:bottom w:val="none" w:sz="0" w:space="0" w:color="auto"/>
                <w:right w:val="none" w:sz="0" w:space="0" w:color="auto"/>
              </w:divBdr>
              <w:divsChild>
                <w:div w:id="1432161188">
                  <w:marLeft w:val="0"/>
                  <w:marRight w:val="0"/>
                  <w:marTop w:val="0"/>
                  <w:marBottom w:val="0"/>
                  <w:divBdr>
                    <w:top w:val="none" w:sz="0" w:space="0" w:color="auto"/>
                    <w:left w:val="none" w:sz="0" w:space="0" w:color="auto"/>
                    <w:bottom w:val="none" w:sz="0" w:space="0" w:color="auto"/>
                    <w:right w:val="none" w:sz="0" w:space="0" w:color="auto"/>
                  </w:divBdr>
                </w:div>
              </w:divsChild>
            </w:div>
            <w:div w:id="253249722">
              <w:marLeft w:val="0"/>
              <w:marRight w:val="0"/>
              <w:marTop w:val="0"/>
              <w:marBottom w:val="0"/>
              <w:divBdr>
                <w:top w:val="none" w:sz="0" w:space="0" w:color="auto"/>
                <w:left w:val="none" w:sz="0" w:space="0" w:color="auto"/>
                <w:bottom w:val="none" w:sz="0" w:space="0" w:color="auto"/>
                <w:right w:val="none" w:sz="0" w:space="0" w:color="auto"/>
              </w:divBdr>
              <w:divsChild>
                <w:div w:id="1071542434">
                  <w:marLeft w:val="0"/>
                  <w:marRight w:val="0"/>
                  <w:marTop w:val="0"/>
                  <w:marBottom w:val="0"/>
                  <w:divBdr>
                    <w:top w:val="none" w:sz="0" w:space="0" w:color="auto"/>
                    <w:left w:val="none" w:sz="0" w:space="0" w:color="auto"/>
                    <w:bottom w:val="none" w:sz="0" w:space="0" w:color="auto"/>
                    <w:right w:val="none" w:sz="0" w:space="0" w:color="auto"/>
                  </w:divBdr>
                </w:div>
              </w:divsChild>
            </w:div>
            <w:div w:id="1906455944">
              <w:marLeft w:val="0"/>
              <w:marRight w:val="0"/>
              <w:marTop w:val="0"/>
              <w:marBottom w:val="0"/>
              <w:divBdr>
                <w:top w:val="none" w:sz="0" w:space="0" w:color="auto"/>
                <w:left w:val="none" w:sz="0" w:space="0" w:color="auto"/>
                <w:bottom w:val="none" w:sz="0" w:space="0" w:color="auto"/>
                <w:right w:val="none" w:sz="0" w:space="0" w:color="auto"/>
              </w:divBdr>
              <w:divsChild>
                <w:div w:id="790631785">
                  <w:marLeft w:val="0"/>
                  <w:marRight w:val="0"/>
                  <w:marTop w:val="0"/>
                  <w:marBottom w:val="0"/>
                  <w:divBdr>
                    <w:top w:val="none" w:sz="0" w:space="0" w:color="auto"/>
                    <w:left w:val="none" w:sz="0" w:space="0" w:color="auto"/>
                    <w:bottom w:val="none" w:sz="0" w:space="0" w:color="auto"/>
                    <w:right w:val="none" w:sz="0" w:space="0" w:color="auto"/>
                  </w:divBdr>
                </w:div>
              </w:divsChild>
            </w:div>
            <w:div w:id="1631014731">
              <w:marLeft w:val="0"/>
              <w:marRight w:val="0"/>
              <w:marTop w:val="0"/>
              <w:marBottom w:val="0"/>
              <w:divBdr>
                <w:top w:val="none" w:sz="0" w:space="0" w:color="auto"/>
                <w:left w:val="none" w:sz="0" w:space="0" w:color="auto"/>
                <w:bottom w:val="none" w:sz="0" w:space="0" w:color="auto"/>
                <w:right w:val="none" w:sz="0" w:space="0" w:color="auto"/>
              </w:divBdr>
              <w:divsChild>
                <w:div w:id="1180580767">
                  <w:marLeft w:val="0"/>
                  <w:marRight w:val="0"/>
                  <w:marTop w:val="0"/>
                  <w:marBottom w:val="0"/>
                  <w:divBdr>
                    <w:top w:val="none" w:sz="0" w:space="0" w:color="auto"/>
                    <w:left w:val="none" w:sz="0" w:space="0" w:color="auto"/>
                    <w:bottom w:val="none" w:sz="0" w:space="0" w:color="auto"/>
                    <w:right w:val="none" w:sz="0" w:space="0" w:color="auto"/>
                  </w:divBdr>
                </w:div>
              </w:divsChild>
            </w:div>
            <w:div w:id="225648221">
              <w:marLeft w:val="0"/>
              <w:marRight w:val="0"/>
              <w:marTop w:val="0"/>
              <w:marBottom w:val="0"/>
              <w:divBdr>
                <w:top w:val="none" w:sz="0" w:space="0" w:color="auto"/>
                <w:left w:val="none" w:sz="0" w:space="0" w:color="auto"/>
                <w:bottom w:val="none" w:sz="0" w:space="0" w:color="auto"/>
                <w:right w:val="none" w:sz="0" w:space="0" w:color="auto"/>
              </w:divBdr>
              <w:divsChild>
                <w:div w:id="314770856">
                  <w:marLeft w:val="0"/>
                  <w:marRight w:val="0"/>
                  <w:marTop w:val="0"/>
                  <w:marBottom w:val="0"/>
                  <w:divBdr>
                    <w:top w:val="none" w:sz="0" w:space="0" w:color="auto"/>
                    <w:left w:val="none" w:sz="0" w:space="0" w:color="auto"/>
                    <w:bottom w:val="none" w:sz="0" w:space="0" w:color="auto"/>
                    <w:right w:val="none" w:sz="0" w:space="0" w:color="auto"/>
                  </w:divBdr>
                </w:div>
              </w:divsChild>
            </w:div>
            <w:div w:id="1907492215">
              <w:marLeft w:val="0"/>
              <w:marRight w:val="0"/>
              <w:marTop w:val="0"/>
              <w:marBottom w:val="0"/>
              <w:divBdr>
                <w:top w:val="none" w:sz="0" w:space="0" w:color="auto"/>
                <w:left w:val="none" w:sz="0" w:space="0" w:color="auto"/>
                <w:bottom w:val="none" w:sz="0" w:space="0" w:color="auto"/>
                <w:right w:val="none" w:sz="0" w:space="0" w:color="auto"/>
              </w:divBdr>
              <w:divsChild>
                <w:div w:id="18755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070">
          <w:marLeft w:val="0"/>
          <w:marRight w:val="0"/>
          <w:marTop w:val="0"/>
          <w:marBottom w:val="600"/>
          <w:divBdr>
            <w:top w:val="none" w:sz="0" w:space="0" w:color="auto"/>
            <w:left w:val="none" w:sz="0" w:space="0" w:color="auto"/>
            <w:bottom w:val="none" w:sz="0" w:space="0" w:color="auto"/>
            <w:right w:val="none" w:sz="0" w:space="0" w:color="auto"/>
          </w:divBdr>
        </w:div>
      </w:divsChild>
    </w:div>
    <w:div w:id="137847187">
      <w:marLeft w:val="0"/>
      <w:marRight w:val="0"/>
      <w:marTop w:val="0"/>
      <w:marBottom w:val="0"/>
      <w:divBdr>
        <w:top w:val="none" w:sz="0" w:space="0" w:color="auto"/>
        <w:left w:val="none" w:sz="0" w:space="0" w:color="auto"/>
        <w:bottom w:val="none" w:sz="0" w:space="0" w:color="auto"/>
        <w:right w:val="none" w:sz="0" w:space="0" w:color="auto"/>
      </w:divBdr>
      <w:divsChild>
        <w:div w:id="714348446">
          <w:marLeft w:val="0"/>
          <w:marRight w:val="0"/>
          <w:marTop w:val="547"/>
          <w:marBottom w:val="0"/>
          <w:divBdr>
            <w:top w:val="none" w:sz="0" w:space="0" w:color="auto"/>
            <w:left w:val="none" w:sz="0" w:space="0" w:color="auto"/>
            <w:bottom w:val="none" w:sz="0" w:space="0" w:color="auto"/>
            <w:right w:val="none" w:sz="0" w:space="0" w:color="auto"/>
          </w:divBdr>
        </w:div>
        <w:div w:id="776369245">
          <w:marLeft w:val="0"/>
          <w:marRight w:val="0"/>
          <w:marTop w:val="0"/>
          <w:marBottom w:val="0"/>
          <w:divBdr>
            <w:top w:val="none" w:sz="0" w:space="0" w:color="auto"/>
            <w:left w:val="none" w:sz="0" w:space="0" w:color="auto"/>
            <w:bottom w:val="none" w:sz="0" w:space="0" w:color="auto"/>
            <w:right w:val="none" w:sz="0" w:space="0" w:color="auto"/>
          </w:divBdr>
        </w:div>
        <w:div w:id="912204659">
          <w:marLeft w:val="0"/>
          <w:marRight w:val="0"/>
          <w:marTop w:val="0"/>
          <w:marBottom w:val="600"/>
          <w:divBdr>
            <w:top w:val="none" w:sz="0" w:space="0" w:color="auto"/>
            <w:left w:val="none" w:sz="0" w:space="0" w:color="auto"/>
            <w:bottom w:val="none" w:sz="0" w:space="0" w:color="auto"/>
            <w:right w:val="none" w:sz="0" w:space="0" w:color="auto"/>
          </w:divBdr>
        </w:div>
      </w:divsChild>
    </w:div>
    <w:div w:id="152531047">
      <w:marLeft w:val="0"/>
      <w:marRight w:val="0"/>
      <w:marTop w:val="0"/>
      <w:marBottom w:val="0"/>
      <w:divBdr>
        <w:top w:val="none" w:sz="0" w:space="0" w:color="auto"/>
        <w:left w:val="none" w:sz="0" w:space="0" w:color="auto"/>
        <w:bottom w:val="none" w:sz="0" w:space="0" w:color="auto"/>
        <w:right w:val="none" w:sz="0" w:space="0" w:color="auto"/>
      </w:divBdr>
      <w:divsChild>
        <w:div w:id="1162047429">
          <w:marLeft w:val="0"/>
          <w:marRight w:val="0"/>
          <w:marTop w:val="547"/>
          <w:marBottom w:val="0"/>
          <w:divBdr>
            <w:top w:val="none" w:sz="0" w:space="0" w:color="auto"/>
            <w:left w:val="none" w:sz="0" w:space="0" w:color="auto"/>
            <w:bottom w:val="none" w:sz="0" w:space="0" w:color="auto"/>
            <w:right w:val="none" w:sz="0" w:space="0" w:color="auto"/>
          </w:divBdr>
        </w:div>
        <w:div w:id="1845586975">
          <w:marLeft w:val="0"/>
          <w:marRight w:val="0"/>
          <w:marTop w:val="0"/>
          <w:marBottom w:val="0"/>
          <w:divBdr>
            <w:top w:val="none" w:sz="0" w:space="0" w:color="auto"/>
            <w:left w:val="none" w:sz="0" w:space="0" w:color="auto"/>
            <w:bottom w:val="none" w:sz="0" w:space="0" w:color="auto"/>
            <w:right w:val="none" w:sz="0" w:space="0" w:color="auto"/>
          </w:divBdr>
        </w:div>
        <w:div w:id="2011397950">
          <w:marLeft w:val="0"/>
          <w:marRight w:val="0"/>
          <w:marTop w:val="0"/>
          <w:marBottom w:val="600"/>
          <w:divBdr>
            <w:top w:val="none" w:sz="0" w:space="0" w:color="auto"/>
            <w:left w:val="none" w:sz="0" w:space="0" w:color="auto"/>
            <w:bottom w:val="none" w:sz="0" w:space="0" w:color="auto"/>
            <w:right w:val="none" w:sz="0" w:space="0" w:color="auto"/>
          </w:divBdr>
        </w:div>
      </w:divsChild>
    </w:div>
    <w:div w:id="178348227">
      <w:marLeft w:val="0"/>
      <w:marRight w:val="0"/>
      <w:marTop w:val="0"/>
      <w:marBottom w:val="0"/>
      <w:divBdr>
        <w:top w:val="none" w:sz="0" w:space="0" w:color="auto"/>
        <w:left w:val="none" w:sz="0" w:space="0" w:color="auto"/>
        <w:bottom w:val="none" w:sz="0" w:space="0" w:color="auto"/>
        <w:right w:val="none" w:sz="0" w:space="0" w:color="auto"/>
      </w:divBdr>
      <w:divsChild>
        <w:div w:id="1152941019">
          <w:marLeft w:val="0"/>
          <w:marRight w:val="0"/>
          <w:marTop w:val="547"/>
          <w:marBottom w:val="0"/>
          <w:divBdr>
            <w:top w:val="none" w:sz="0" w:space="0" w:color="auto"/>
            <w:left w:val="none" w:sz="0" w:space="0" w:color="auto"/>
            <w:bottom w:val="none" w:sz="0" w:space="0" w:color="auto"/>
            <w:right w:val="none" w:sz="0" w:space="0" w:color="auto"/>
          </w:divBdr>
        </w:div>
        <w:div w:id="609317959">
          <w:marLeft w:val="0"/>
          <w:marRight w:val="0"/>
          <w:marTop w:val="0"/>
          <w:marBottom w:val="0"/>
          <w:divBdr>
            <w:top w:val="none" w:sz="0" w:space="0" w:color="auto"/>
            <w:left w:val="none" w:sz="0" w:space="0" w:color="auto"/>
            <w:bottom w:val="none" w:sz="0" w:space="0" w:color="auto"/>
            <w:right w:val="none" w:sz="0" w:space="0" w:color="auto"/>
          </w:divBdr>
        </w:div>
        <w:div w:id="2043632126">
          <w:marLeft w:val="0"/>
          <w:marRight w:val="0"/>
          <w:marTop w:val="0"/>
          <w:marBottom w:val="600"/>
          <w:divBdr>
            <w:top w:val="none" w:sz="0" w:space="0" w:color="auto"/>
            <w:left w:val="none" w:sz="0" w:space="0" w:color="auto"/>
            <w:bottom w:val="none" w:sz="0" w:space="0" w:color="auto"/>
            <w:right w:val="none" w:sz="0" w:space="0" w:color="auto"/>
          </w:divBdr>
        </w:div>
      </w:divsChild>
    </w:div>
    <w:div w:id="181624807">
      <w:marLeft w:val="0"/>
      <w:marRight w:val="0"/>
      <w:marTop w:val="0"/>
      <w:marBottom w:val="0"/>
      <w:divBdr>
        <w:top w:val="none" w:sz="0" w:space="0" w:color="auto"/>
        <w:left w:val="none" w:sz="0" w:space="0" w:color="auto"/>
        <w:bottom w:val="none" w:sz="0" w:space="0" w:color="auto"/>
        <w:right w:val="none" w:sz="0" w:space="0" w:color="auto"/>
      </w:divBdr>
      <w:divsChild>
        <w:div w:id="1645964728">
          <w:marLeft w:val="0"/>
          <w:marRight w:val="0"/>
          <w:marTop w:val="547"/>
          <w:marBottom w:val="0"/>
          <w:divBdr>
            <w:top w:val="none" w:sz="0" w:space="0" w:color="auto"/>
            <w:left w:val="none" w:sz="0" w:space="0" w:color="auto"/>
            <w:bottom w:val="none" w:sz="0" w:space="0" w:color="auto"/>
            <w:right w:val="none" w:sz="0" w:space="0" w:color="auto"/>
          </w:divBdr>
        </w:div>
        <w:div w:id="1613586517">
          <w:marLeft w:val="0"/>
          <w:marRight w:val="0"/>
          <w:marTop w:val="0"/>
          <w:marBottom w:val="0"/>
          <w:divBdr>
            <w:top w:val="none" w:sz="0" w:space="0" w:color="auto"/>
            <w:left w:val="none" w:sz="0" w:space="0" w:color="auto"/>
            <w:bottom w:val="none" w:sz="0" w:space="0" w:color="auto"/>
            <w:right w:val="none" w:sz="0" w:space="0" w:color="auto"/>
          </w:divBdr>
          <w:divsChild>
            <w:div w:id="1671324049">
              <w:marLeft w:val="0"/>
              <w:marRight w:val="0"/>
              <w:marTop w:val="0"/>
              <w:marBottom w:val="0"/>
              <w:divBdr>
                <w:top w:val="none" w:sz="0" w:space="0" w:color="auto"/>
                <w:left w:val="none" w:sz="0" w:space="0" w:color="auto"/>
                <w:bottom w:val="none" w:sz="0" w:space="0" w:color="auto"/>
                <w:right w:val="none" w:sz="0" w:space="0" w:color="auto"/>
              </w:divBdr>
              <w:divsChild>
                <w:div w:id="1271163811">
                  <w:marLeft w:val="0"/>
                  <w:marRight w:val="0"/>
                  <w:marTop w:val="0"/>
                  <w:marBottom w:val="0"/>
                  <w:divBdr>
                    <w:top w:val="none" w:sz="0" w:space="0" w:color="auto"/>
                    <w:left w:val="none" w:sz="0" w:space="0" w:color="auto"/>
                    <w:bottom w:val="none" w:sz="0" w:space="0" w:color="auto"/>
                    <w:right w:val="none" w:sz="0" w:space="0" w:color="auto"/>
                  </w:divBdr>
                </w:div>
              </w:divsChild>
            </w:div>
            <w:div w:id="671762198">
              <w:marLeft w:val="0"/>
              <w:marRight w:val="0"/>
              <w:marTop w:val="0"/>
              <w:marBottom w:val="0"/>
              <w:divBdr>
                <w:top w:val="none" w:sz="0" w:space="0" w:color="auto"/>
                <w:left w:val="none" w:sz="0" w:space="0" w:color="auto"/>
                <w:bottom w:val="none" w:sz="0" w:space="0" w:color="auto"/>
                <w:right w:val="none" w:sz="0" w:space="0" w:color="auto"/>
              </w:divBdr>
              <w:divsChild>
                <w:div w:id="174615434">
                  <w:marLeft w:val="0"/>
                  <w:marRight w:val="0"/>
                  <w:marTop w:val="0"/>
                  <w:marBottom w:val="0"/>
                  <w:divBdr>
                    <w:top w:val="none" w:sz="0" w:space="0" w:color="auto"/>
                    <w:left w:val="none" w:sz="0" w:space="0" w:color="auto"/>
                    <w:bottom w:val="none" w:sz="0" w:space="0" w:color="auto"/>
                    <w:right w:val="none" w:sz="0" w:space="0" w:color="auto"/>
                  </w:divBdr>
                </w:div>
              </w:divsChild>
            </w:div>
            <w:div w:id="555630867">
              <w:marLeft w:val="0"/>
              <w:marRight w:val="0"/>
              <w:marTop w:val="0"/>
              <w:marBottom w:val="0"/>
              <w:divBdr>
                <w:top w:val="none" w:sz="0" w:space="0" w:color="auto"/>
                <w:left w:val="none" w:sz="0" w:space="0" w:color="auto"/>
                <w:bottom w:val="none" w:sz="0" w:space="0" w:color="auto"/>
                <w:right w:val="none" w:sz="0" w:space="0" w:color="auto"/>
              </w:divBdr>
              <w:divsChild>
                <w:div w:id="654184139">
                  <w:marLeft w:val="0"/>
                  <w:marRight w:val="0"/>
                  <w:marTop w:val="0"/>
                  <w:marBottom w:val="0"/>
                  <w:divBdr>
                    <w:top w:val="none" w:sz="0" w:space="0" w:color="auto"/>
                    <w:left w:val="none" w:sz="0" w:space="0" w:color="auto"/>
                    <w:bottom w:val="none" w:sz="0" w:space="0" w:color="auto"/>
                    <w:right w:val="none" w:sz="0" w:space="0" w:color="auto"/>
                  </w:divBdr>
                </w:div>
              </w:divsChild>
            </w:div>
            <w:div w:id="2012020928">
              <w:marLeft w:val="0"/>
              <w:marRight w:val="0"/>
              <w:marTop w:val="0"/>
              <w:marBottom w:val="0"/>
              <w:divBdr>
                <w:top w:val="none" w:sz="0" w:space="0" w:color="auto"/>
                <w:left w:val="none" w:sz="0" w:space="0" w:color="auto"/>
                <w:bottom w:val="none" w:sz="0" w:space="0" w:color="auto"/>
                <w:right w:val="none" w:sz="0" w:space="0" w:color="auto"/>
              </w:divBdr>
              <w:divsChild>
                <w:div w:id="375665040">
                  <w:marLeft w:val="0"/>
                  <w:marRight w:val="0"/>
                  <w:marTop w:val="0"/>
                  <w:marBottom w:val="0"/>
                  <w:divBdr>
                    <w:top w:val="none" w:sz="0" w:space="0" w:color="auto"/>
                    <w:left w:val="none" w:sz="0" w:space="0" w:color="auto"/>
                    <w:bottom w:val="none" w:sz="0" w:space="0" w:color="auto"/>
                    <w:right w:val="none" w:sz="0" w:space="0" w:color="auto"/>
                  </w:divBdr>
                </w:div>
              </w:divsChild>
            </w:div>
            <w:div w:id="1764297460">
              <w:marLeft w:val="0"/>
              <w:marRight w:val="0"/>
              <w:marTop w:val="0"/>
              <w:marBottom w:val="0"/>
              <w:divBdr>
                <w:top w:val="none" w:sz="0" w:space="0" w:color="auto"/>
                <w:left w:val="none" w:sz="0" w:space="0" w:color="auto"/>
                <w:bottom w:val="none" w:sz="0" w:space="0" w:color="auto"/>
                <w:right w:val="none" w:sz="0" w:space="0" w:color="auto"/>
              </w:divBdr>
              <w:divsChild>
                <w:div w:id="1290552231">
                  <w:marLeft w:val="0"/>
                  <w:marRight w:val="0"/>
                  <w:marTop w:val="0"/>
                  <w:marBottom w:val="0"/>
                  <w:divBdr>
                    <w:top w:val="none" w:sz="0" w:space="0" w:color="auto"/>
                    <w:left w:val="none" w:sz="0" w:space="0" w:color="auto"/>
                    <w:bottom w:val="none" w:sz="0" w:space="0" w:color="auto"/>
                    <w:right w:val="none" w:sz="0" w:space="0" w:color="auto"/>
                  </w:divBdr>
                </w:div>
              </w:divsChild>
            </w:div>
            <w:div w:id="771825838">
              <w:marLeft w:val="0"/>
              <w:marRight w:val="0"/>
              <w:marTop w:val="0"/>
              <w:marBottom w:val="0"/>
              <w:divBdr>
                <w:top w:val="none" w:sz="0" w:space="0" w:color="auto"/>
                <w:left w:val="none" w:sz="0" w:space="0" w:color="auto"/>
                <w:bottom w:val="none" w:sz="0" w:space="0" w:color="auto"/>
                <w:right w:val="none" w:sz="0" w:space="0" w:color="auto"/>
              </w:divBdr>
              <w:divsChild>
                <w:div w:id="1089237615">
                  <w:marLeft w:val="0"/>
                  <w:marRight w:val="0"/>
                  <w:marTop w:val="0"/>
                  <w:marBottom w:val="0"/>
                  <w:divBdr>
                    <w:top w:val="none" w:sz="0" w:space="0" w:color="auto"/>
                    <w:left w:val="none" w:sz="0" w:space="0" w:color="auto"/>
                    <w:bottom w:val="none" w:sz="0" w:space="0" w:color="auto"/>
                    <w:right w:val="none" w:sz="0" w:space="0" w:color="auto"/>
                  </w:divBdr>
                </w:div>
              </w:divsChild>
            </w:div>
            <w:div w:id="327489813">
              <w:marLeft w:val="0"/>
              <w:marRight w:val="0"/>
              <w:marTop w:val="0"/>
              <w:marBottom w:val="0"/>
              <w:divBdr>
                <w:top w:val="none" w:sz="0" w:space="0" w:color="auto"/>
                <w:left w:val="none" w:sz="0" w:space="0" w:color="auto"/>
                <w:bottom w:val="none" w:sz="0" w:space="0" w:color="auto"/>
                <w:right w:val="none" w:sz="0" w:space="0" w:color="auto"/>
              </w:divBdr>
              <w:divsChild>
                <w:div w:id="906185323">
                  <w:marLeft w:val="0"/>
                  <w:marRight w:val="0"/>
                  <w:marTop w:val="0"/>
                  <w:marBottom w:val="0"/>
                  <w:divBdr>
                    <w:top w:val="none" w:sz="0" w:space="0" w:color="auto"/>
                    <w:left w:val="none" w:sz="0" w:space="0" w:color="auto"/>
                    <w:bottom w:val="none" w:sz="0" w:space="0" w:color="auto"/>
                    <w:right w:val="none" w:sz="0" w:space="0" w:color="auto"/>
                  </w:divBdr>
                </w:div>
              </w:divsChild>
            </w:div>
            <w:div w:id="173351107">
              <w:marLeft w:val="0"/>
              <w:marRight w:val="0"/>
              <w:marTop w:val="0"/>
              <w:marBottom w:val="0"/>
              <w:divBdr>
                <w:top w:val="none" w:sz="0" w:space="0" w:color="auto"/>
                <w:left w:val="none" w:sz="0" w:space="0" w:color="auto"/>
                <w:bottom w:val="none" w:sz="0" w:space="0" w:color="auto"/>
                <w:right w:val="none" w:sz="0" w:space="0" w:color="auto"/>
              </w:divBdr>
              <w:divsChild>
                <w:div w:id="1094017601">
                  <w:marLeft w:val="0"/>
                  <w:marRight w:val="0"/>
                  <w:marTop w:val="0"/>
                  <w:marBottom w:val="0"/>
                  <w:divBdr>
                    <w:top w:val="none" w:sz="0" w:space="0" w:color="auto"/>
                    <w:left w:val="none" w:sz="0" w:space="0" w:color="auto"/>
                    <w:bottom w:val="none" w:sz="0" w:space="0" w:color="auto"/>
                    <w:right w:val="none" w:sz="0" w:space="0" w:color="auto"/>
                  </w:divBdr>
                </w:div>
              </w:divsChild>
            </w:div>
            <w:div w:id="1222249892">
              <w:marLeft w:val="0"/>
              <w:marRight w:val="0"/>
              <w:marTop w:val="0"/>
              <w:marBottom w:val="0"/>
              <w:divBdr>
                <w:top w:val="none" w:sz="0" w:space="0" w:color="auto"/>
                <w:left w:val="none" w:sz="0" w:space="0" w:color="auto"/>
                <w:bottom w:val="none" w:sz="0" w:space="0" w:color="auto"/>
                <w:right w:val="none" w:sz="0" w:space="0" w:color="auto"/>
              </w:divBdr>
              <w:divsChild>
                <w:div w:id="1580822758">
                  <w:marLeft w:val="0"/>
                  <w:marRight w:val="0"/>
                  <w:marTop w:val="0"/>
                  <w:marBottom w:val="0"/>
                  <w:divBdr>
                    <w:top w:val="none" w:sz="0" w:space="0" w:color="auto"/>
                    <w:left w:val="none" w:sz="0" w:space="0" w:color="auto"/>
                    <w:bottom w:val="none" w:sz="0" w:space="0" w:color="auto"/>
                    <w:right w:val="none" w:sz="0" w:space="0" w:color="auto"/>
                  </w:divBdr>
                </w:div>
              </w:divsChild>
            </w:div>
            <w:div w:id="27226332">
              <w:marLeft w:val="0"/>
              <w:marRight w:val="0"/>
              <w:marTop w:val="0"/>
              <w:marBottom w:val="0"/>
              <w:divBdr>
                <w:top w:val="none" w:sz="0" w:space="0" w:color="auto"/>
                <w:left w:val="none" w:sz="0" w:space="0" w:color="auto"/>
                <w:bottom w:val="none" w:sz="0" w:space="0" w:color="auto"/>
                <w:right w:val="none" w:sz="0" w:space="0" w:color="auto"/>
              </w:divBdr>
              <w:divsChild>
                <w:div w:id="1229461112">
                  <w:marLeft w:val="0"/>
                  <w:marRight w:val="0"/>
                  <w:marTop w:val="0"/>
                  <w:marBottom w:val="0"/>
                  <w:divBdr>
                    <w:top w:val="none" w:sz="0" w:space="0" w:color="auto"/>
                    <w:left w:val="none" w:sz="0" w:space="0" w:color="auto"/>
                    <w:bottom w:val="none" w:sz="0" w:space="0" w:color="auto"/>
                    <w:right w:val="none" w:sz="0" w:space="0" w:color="auto"/>
                  </w:divBdr>
                </w:div>
              </w:divsChild>
            </w:div>
            <w:div w:id="278029002">
              <w:marLeft w:val="0"/>
              <w:marRight w:val="0"/>
              <w:marTop w:val="0"/>
              <w:marBottom w:val="0"/>
              <w:divBdr>
                <w:top w:val="none" w:sz="0" w:space="0" w:color="auto"/>
                <w:left w:val="none" w:sz="0" w:space="0" w:color="auto"/>
                <w:bottom w:val="none" w:sz="0" w:space="0" w:color="auto"/>
                <w:right w:val="none" w:sz="0" w:space="0" w:color="auto"/>
              </w:divBdr>
              <w:divsChild>
                <w:div w:id="1071002334">
                  <w:marLeft w:val="0"/>
                  <w:marRight w:val="0"/>
                  <w:marTop w:val="0"/>
                  <w:marBottom w:val="0"/>
                  <w:divBdr>
                    <w:top w:val="none" w:sz="0" w:space="0" w:color="auto"/>
                    <w:left w:val="none" w:sz="0" w:space="0" w:color="auto"/>
                    <w:bottom w:val="none" w:sz="0" w:space="0" w:color="auto"/>
                    <w:right w:val="none" w:sz="0" w:space="0" w:color="auto"/>
                  </w:divBdr>
                </w:div>
              </w:divsChild>
            </w:div>
            <w:div w:id="174226236">
              <w:marLeft w:val="0"/>
              <w:marRight w:val="0"/>
              <w:marTop w:val="0"/>
              <w:marBottom w:val="0"/>
              <w:divBdr>
                <w:top w:val="none" w:sz="0" w:space="0" w:color="auto"/>
                <w:left w:val="none" w:sz="0" w:space="0" w:color="auto"/>
                <w:bottom w:val="none" w:sz="0" w:space="0" w:color="auto"/>
                <w:right w:val="none" w:sz="0" w:space="0" w:color="auto"/>
              </w:divBdr>
              <w:divsChild>
                <w:div w:id="29454004">
                  <w:marLeft w:val="0"/>
                  <w:marRight w:val="0"/>
                  <w:marTop w:val="0"/>
                  <w:marBottom w:val="0"/>
                  <w:divBdr>
                    <w:top w:val="none" w:sz="0" w:space="0" w:color="auto"/>
                    <w:left w:val="none" w:sz="0" w:space="0" w:color="auto"/>
                    <w:bottom w:val="none" w:sz="0" w:space="0" w:color="auto"/>
                    <w:right w:val="none" w:sz="0" w:space="0" w:color="auto"/>
                  </w:divBdr>
                </w:div>
              </w:divsChild>
            </w:div>
            <w:div w:id="925965013">
              <w:marLeft w:val="0"/>
              <w:marRight w:val="0"/>
              <w:marTop w:val="0"/>
              <w:marBottom w:val="0"/>
              <w:divBdr>
                <w:top w:val="none" w:sz="0" w:space="0" w:color="auto"/>
                <w:left w:val="none" w:sz="0" w:space="0" w:color="auto"/>
                <w:bottom w:val="none" w:sz="0" w:space="0" w:color="auto"/>
                <w:right w:val="none" w:sz="0" w:space="0" w:color="auto"/>
              </w:divBdr>
              <w:divsChild>
                <w:div w:id="1245187121">
                  <w:marLeft w:val="0"/>
                  <w:marRight w:val="0"/>
                  <w:marTop w:val="0"/>
                  <w:marBottom w:val="0"/>
                  <w:divBdr>
                    <w:top w:val="none" w:sz="0" w:space="0" w:color="auto"/>
                    <w:left w:val="none" w:sz="0" w:space="0" w:color="auto"/>
                    <w:bottom w:val="none" w:sz="0" w:space="0" w:color="auto"/>
                    <w:right w:val="none" w:sz="0" w:space="0" w:color="auto"/>
                  </w:divBdr>
                </w:div>
              </w:divsChild>
            </w:div>
            <w:div w:id="489906263">
              <w:marLeft w:val="0"/>
              <w:marRight w:val="0"/>
              <w:marTop w:val="0"/>
              <w:marBottom w:val="0"/>
              <w:divBdr>
                <w:top w:val="none" w:sz="0" w:space="0" w:color="auto"/>
                <w:left w:val="none" w:sz="0" w:space="0" w:color="auto"/>
                <w:bottom w:val="none" w:sz="0" w:space="0" w:color="auto"/>
                <w:right w:val="none" w:sz="0" w:space="0" w:color="auto"/>
              </w:divBdr>
              <w:divsChild>
                <w:div w:id="2064021887">
                  <w:marLeft w:val="0"/>
                  <w:marRight w:val="0"/>
                  <w:marTop w:val="0"/>
                  <w:marBottom w:val="0"/>
                  <w:divBdr>
                    <w:top w:val="none" w:sz="0" w:space="0" w:color="auto"/>
                    <w:left w:val="none" w:sz="0" w:space="0" w:color="auto"/>
                    <w:bottom w:val="none" w:sz="0" w:space="0" w:color="auto"/>
                    <w:right w:val="none" w:sz="0" w:space="0" w:color="auto"/>
                  </w:divBdr>
                </w:div>
              </w:divsChild>
            </w:div>
            <w:div w:id="1462992261">
              <w:marLeft w:val="0"/>
              <w:marRight w:val="0"/>
              <w:marTop w:val="0"/>
              <w:marBottom w:val="0"/>
              <w:divBdr>
                <w:top w:val="none" w:sz="0" w:space="0" w:color="auto"/>
                <w:left w:val="none" w:sz="0" w:space="0" w:color="auto"/>
                <w:bottom w:val="none" w:sz="0" w:space="0" w:color="auto"/>
                <w:right w:val="none" w:sz="0" w:space="0" w:color="auto"/>
              </w:divBdr>
              <w:divsChild>
                <w:div w:id="459148818">
                  <w:marLeft w:val="0"/>
                  <w:marRight w:val="0"/>
                  <w:marTop w:val="0"/>
                  <w:marBottom w:val="0"/>
                  <w:divBdr>
                    <w:top w:val="none" w:sz="0" w:space="0" w:color="auto"/>
                    <w:left w:val="none" w:sz="0" w:space="0" w:color="auto"/>
                    <w:bottom w:val="none" w:sz="0" w:space="0" w:color="auto"/>
                    <w:right w:val="none" w:sz="0" w:space="0" w:color="auto"/>
                  </w:divBdr>
                </w:div>
              </w:divsChild>
            </w:div>
            <w:div w:id="247353643">
              <w:marLeft w:val="0"/>
              <w:marRight w:val="0"/>
              <w:marTop w:val="0"/>
              <w:marBottom w:val="0"/>
              <w:divBdr>
                <w:top w:val="none" w:sz="0" w:space="0" w:color="auto"/>
                <w:left w:val="none" w:sz="0" w:space="0" w:color="auto"/>
                <w:bottom w:val="none" w:sz="0" w:space="0" w:color="auto"/>
                <w:right w:val="none" w:sz="0" w:space="0" w:color="auto"/>
              </w:divBdr>
              <w:divsChild>
                <w:div w:id="2094354518">
                  <w:marLeft w:val="0"/>
                  <w:marRight w:val="0"/>
                  <w:marTop w:val="0"/>
                  <w:marBottom w:val="0"/>
                  <w:divBdr>
                    <w:top w:val="none" w:sz="0" w:space="0" w:color="auto"/>
                    <w:left w:val="none" w:sz="0" w:space="0" w:color="auto"/>
                    <w:bottom w:val="none" w:sz="0" w:space="0" w:color="auto"/>
                    <w:right w:val="none" w:sz="0" w:space="0" w:color="auto"/>
                  </w:divBdr>
                </w:div>
              </w:divsChild>
            </w:div>
            <w:div w:id="642197711">
              <w:marLeft w:val="0"/>
              <w:marRight w:val="0"/>
              <w:marTop w:val="0"/>
              <w:marBottom w:val="0"/>
              <w:divBdr>
                <w:top w:val="none" w:sz="0" w:space="0" w:color="auto"/>
                <w:left w:val="none" w:sz="0" w:space="0" w:color="auto"/>
                <w:bottom w:val="none" w:sz="0" w:space="0" w:color="auto"/>
                <w:right w:val="none" w:sz="0" w:space="0" w:color="auto"/>
              </w:divBdr>
              <w:divsChild>
                <w:div w:id="1954090866">
                  <w:marLeft w:val="0"/>
                  <w:marRight w:val="0"/>
                  <w:marTop w:val="0"/>
                  <w:marBottom w:val="0"/>
                  <w:divBdr>
                    <w:top w:val="none" w:sz="0" w:space="0" w:color="auto"/>
                    <w:left w:val="none" w:sz="0" w:space="0" w:color="auto"/>
                    <w:bottom w:val="none" w:sz="0" w:space="0" w:color="auto"/>
                    <w:right w:val="none" w:sz="0" w:space="0" w:color="auto"/>
                  </w:divBdr>
                </w:div>
              </w:divsChild>
            </w:div>
            <w:div w:id="1397557349">
              <w:marLeft w:val="0"/>
              <w:marRight w:val="0"/>
              <w:marTop w:val="0"/>
              <w:marBottom w:val="0"/>
              <w:divBdr>
                <w:top w:val="none" w:sz="0" w:space="0" w:color="auto"/>
                <w:left w:val="none" w:sz="0" w:space="0" w:color="auto"/>
                <w:bottom w:val="none" w:sz="0" w:space="0" w:color="auto"/>
                <w:right w:val="none" w:sz="0" w:space="0" w:color="auto"/>
              </w:divBdr>
              <w:divsChild>
                <w:div w:id="4423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080">
          <w:marLeft w:val="0"/>
          <w:marRight w:val="0"/>
          <w:marTop w:val="0"/>
          <w:marBottom w:val="600"/>
          <w:divBdr>
            <w:top w:val="none" w:sz="0" w:space="0" w:color="auto"/>
            <w:left w:val="none" w:sz="0" w:space="0" w:color="auto"/>
            <w:bottom w:val="none" w:sz="0" w:space="0" w:color="auto"/>
            <w:right w:val="none" w:sz="0" w:space="0" w:color="auto"/>
          </w:divBdr>
        </w:div>
      </w:divsChild>
    </w:div>
    <w:div w:id="182791097">
      <w:marLeft w:val="0"/>
      <w:marRight w:val="0"/>
      <w:marTop w:val="0"/>
      <w:marBottom w:val="0"/>
      <w:divBdr>
        <w:top w:val="none" w:sz="0" w:space="0" w:color="auto"/>
        <w:left w:val="none" w:sz="0" w:space="0" w:color="auto"/>
        <w:bottom w:val="none" w:sz="0" w:space="0" w:color="auto"/>
        <w:right w:val="none" w:sz="0" w:space="0" w:color="auto"/>
      </w:divBdr>
      <w:divsChild>
        <w:div w:id="762609240">
          <w:marLeft w:val="0"/>
          <w:marRight w:val="0"/>
          <w:marTop w:val="547"/>
          <w:marBottom w:val="0"/>
          <w:divBdr>
            <w:top w:val="none" w:sz="0" w:space="0" w:color="auto"/>
            <w:left w:val="none" w:sz="0" w:space="0" w:color="auto"/>
            <w:bottom w:val="none" w:sz="0" w:space="0" w:color="auto"/>
            <w:right w:val="none" w:sz="0" w:space="0" w:color="auto"/>
          </w:divBdr>
        </w:div>
        <w:div w:id="1659797385">
          <w:marLeft w:val="0"/>
          <w:marRight w:val="0"/>
          <w:marTop w:val="0"/>
          <w:marBottom w:val="0"/>
          <w:divBdr>
            <w:top w:val="none" w:sz="0" w:space="0" w:color="auto"/>
            <w:left w:val="none" w:sz="0" w:space="0" w:color="auto"/>
            <w:bottom w:val="none" w:sz="0" w:space="0" w:color="auto"/>
            <w:right w:val="none" w:sz="0" w:space="0" w:color="auto"/>
          </w:divBdr>
          <w:divsChild>
            <w:div w:id="1329870539">
              <w:marLeft w:val="0"/>
              <w:marRight w:val="0"/>
              <w:marTop w:val="0"/>
              <w:marBottom w:val="0"/>
              <w:divBdr>
                <w:top w:val="none" w:sz="0" w:space="0" w:color="auto"/>
                <w:left w:val="none" w:sz="0" w:space="0" w:color="auto"/>
                <w:bottom w:val="none" w:sz="0" w:space="0" w:color="auto"/>
                <w:right w:val="none" w:sz="0" w:space="0" w:color="auto"/>
              </w:divBdr>
              <w:divsChild>
                <w:div w:id="583298681">
                  <w:marLeft w:val="0"/>
                  <w:marRight w:val="0"/>
                  <w:marTop w:val="0"/>
                  <w:marBottom w:val="0"/>
                  <w:divBdr>
                    <w:top w:val="none" w:sz="0" w:space="0" w:color="auto"/>
                    <w:left w:val="none" w:sz="0" w:space="0" w:color="auto"/>
                    <w:bottom w:val="none" w:sz="0" w:space="0" w:color="auto"/>
                    <w:right w:val="none" w:sz="0" w:space="0" w:color="auto"/>
                  </w:divBdr>
                </w:div>
              </w:divsChild>
            </w:div>
            <w:div w:id="2027097222">
              <w:marLeft w:val="0"/>
              <w:marRight w:val="0"/>
              <w:marTop w:val="0"/>
              <w:marBottom w:val="0"/>
              <w:divBdr>
                <w:top w:val="none" w:sz="0" w:space="0" w:color="auto"/>
                <w:left w:val="none" w:sz="0" w:space="0" w:color="auto"/>
                <w:bottom w:val="none" w:sz="0" w:space="0" w:color="auto"/>
                <w:right w:val="none" w:sz="0" w:space="0" w:color="auto"/>
              </w:divBdr>
              <w:divsChild>
                <w:div w:id="5317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2845">
          <w:marLeft w:val="0"/>
          <w:marRight w:val="0"/>
          <w:marTop w:val="0"/>
          <w:marBottom w:val="600"/>
          <w:divBdr>
            <w:top w:val="none" w:sz="0" w:space="0" w:color="auto"/>
            <w:left w:val="none" w:sz="0" w:space="0" w:color="auto"/>
            <w:bottom w:val="none" w:sz="0" w:space="0" w:color="auto"/>
            <w:right w:val="none" w:sz="0" w:space="0" w:color="auto"/>
          </w:divBdr>
        </w:div>
      </w:divsChild>
    </w:div>
    <w:div w:id="191963750">
      <w:marLeft w:val="0"/>
      <w:marRight w:val="0"/>
      <w:marTop w:val="0"/>
      <w:marBottom w:val="0"/>
      <w:divBdr>
        <w:top w:val="none" w:sz="0" w:space="0" w:color="auto"/>
        <w:left w:val="none" w:sz="0" w:space="0" w:color="auto"/>
        <w:bottom w:val="none" w:sz="0" w:space="0" w:color="auto"/>
        <w:right w:val="none" w:sz="0" w:space="0" w:color="auto"/>
      </w:divBdr>
      <w:divsChild>
        <w:div w:id="473908794">
          <w:marLeft w:val="0"/>
          <w:marRight w:val="0"/>
          <w:marTop w:val="547"/>
          <w:marBottom w:val="0"/>
          <w:divBdr>
            <w:top w:val="none" w:sz="0" w:space="0" w:color="auto"/>
            <w:left w:val="none" w:sz="0" w:space="0" w:color="auto"/>
            <w:bottom w:val="none" w:sz="0" w:space="0" w:color="auto"/>
            <w:right w:val="none" w:sz="0" w:space="0" w:color="auto"/>
          </w:divBdr>
        </w:div>
        <w:div w:id="1155415035">
          <w:marLeft w:val="0"/>
          <w:marRight w:val="0"/>
          <w:marTop w:val="0"/>
          <w:marBottom w:val="0"/>
          <w:divBdr>
            <w:top w:val="none" w:sz="0" w:space="0" w:color="auto"/>
            <w:left w:val="none" w:sz="0" w:space="0" w:color="auto"/>
            <w:bottom w:val="none" w:sz="0" w:space="0" w:color="auto"/>
            <w:right w:val="none" w:sz="0" w:space="0" w:color="auto"/>
          </w:divBdr>
        </w:div>
        <w:div w:id="589237689">
          <w:marLeft w:val="0"/>
          <w:marRight w:val="0"/>
          <w:marTop w:val="0"/>
          <w:marBottom w:val="600"/>
          <w:divBdr>
            <w:top w:val="none" w:sz="0" w:space="0" w:color="auto"/>
            <w:left w:val="none" w:sz="0" w:space="0" w:color="auto"/>
            <w:bottom w:val="none" w:sz="0" w:space="0" w:color="auto"/>
            <w:right w:val="none" w:sz="0" w:space="0" w:color="auto"/>
          </w:divBdr>
        </w:div>
      </w:divsChild>
    </w:div>
    <w:div w:id="218715397">
      <w:marLeft w:val="0"/>
      <w:marRight w:val="0"/>
      <w:marTop w:val="0"/>
      <w:marBottom w:val="0"/>
      <w:divBdr>
        <w:top w:val="none" w:sz="0" w:space="0" w:color="auto"/>
        <w:left w:val="none" w:sz="0" w:space="0" w:color="auto"/>
        <w:bottom w:val="none" w:sz="0" w:space="0" w:color="auto"/>
        <w:right w:val="none" w:sz="0" w:space="0" w:color="auto"/>
      </w:divBdr>
      <w:divsChild>
        <w:div w:id="892691961">
          <w:marLeft w:val="0"/>
          <w:marRight w:val="0"/>
          <w:marTop w:val="547"/>
          <w:marBottom w:val="0"/>
          <w:divBdr>
            <w:top w:val="none" w:sz="0" w:space="0" w:color="auto"/>
            <w:left w:val="none" w:sz="0" w:space="0" w:color="auto"/>
            <w:bottom w:val="none" w:sz="0" w:space="0" w:color="auto"/>
            <w:right w:val="none" w:sz="0" w:space="0" w:color="auto"/>
          </w:divBdr>
        </w:div>
        <w:div w:id="825706597">
          <w:marLeft w:val="0"/>
          <w:marRight w:val="0"/>
          <w:marTop w:val="0"/>
          <w:marBottom w:val="0"/>
          <w:divBdr>
            <w:top w:val="none" w:sz="0" w:space="0" w:color="auto"/>
            <w:left w:val="none" w:sz="0" w:space="0" w:color="auto"/>
            <w:bottom w:val="none" w:sz="0" w:space="0" w:color="auto"/>
            <w:right w:val="none" w:sz="0" w:space="0" w:color="auto"/>
          </w:divBdr>
        </w:div>
        <w:div w:id="1427386695">
          <w:marLeft w:val="0"/>
          <w:marRight w:val="0"/>
          <w:marTop w:val="0"/>
          <w:marBottom w:val="600"/>
          <w:divBdr>
            <w:top w:val="none" w:sz="0" w:space="0" w:color="auto"/>
            <w:left w:val="none" w:sz="0" w:space="0" w:color="auto"/>
            <w:bottom w:val="none" w:sz="0" w:space="0" w:color="auto"/>
            <w:right w:val="none" w:sz="0" w:space="0" w:color="auto"/>
          </w:divBdr>
        </w:div>
      </w:divsChild>
    </w:div>
    <w:div w:id="222185074">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547"/>
          <w:marBottom w:val="0"/>
          <w:divBdr>
            <w:top w:val="none" w:sz="0" w:space="0" w:color="auto"/>
            <w:left w:val="none" w:sz="0" w:space="0" w:color="auto"/>
            <w:bottom w:val="none" w:sz="0" w:space="0" w:color="auto"/>
            <w:right w:val="none" w:sz="0" w:space="0" w:color="auto"/>
          </w:divBdr>
        </w:div>
        <w:div w:id="253364882">
          <w:marLeft w:val="0"/>
          <w:marRight w:val="0"/>
          <w:marTop w:val="0"/>
          <w:marBottom w:val="0"/>
          <w:divBdr>
            <w:top w:val="none" w:sz="0" w:space="0" w:color="auto"/>
            <w:left w:val="none" w:sz="0" w:space="0" w:color="auto"/>
            <w:bottom w:val="none" w:sz="0" w:space="0" w:color="auto"/>
            <w:right w:val="none" w:sz="0" w:space="0" w:color="auto"/>
          </w:divBdr>
        </w:div>
        <w:div w:id="150751935">
          <w:marLeft w:val="0"/>
          <w:marRight w:val="0"/>
          <w:marTop w:val="0"/>
          <w:marBottom w:val="600"/>
          <w:divBdr>
            <w:top w:val="none" w:sz="0" w:space="0" w:color="auto"/>
            <w:left w:val="none" w:sz="0" w:space="0" w:color="auto"/>
            <w:bottom w:val="none" w:sz="0" w:space="0" w:color="auto"/>
            <w:right w:val="none" w:sz="0" w:space="0" w:color="auto"/>
          </w:divBdr>
        </w:div>
      </w:divsChild>
    </w:div>
    <w:div w:id="328556040">
      <w:marLeft w:val="0"/>
      <w:marRight w:val="0"/>
      <w:marTop w:val="0"/>
      <w:marBottom w:val="0"/>
      <w:divBdr>
        <w:top w:val="none" w:sz="0" w:space="0" w:color="auto"/>
        <w:left w:val="none" w:sz="0" w:space="0" w:color="auto"/>
        <w:bottom w:val="none" w:sz="0" w:space="0" w:color="auto"/>
        <w:right w:val="none" w:sz="0" w:space="0" w:color="auto"/>
      </w:divBdr>
      <w:divsChild>
        <w:div w:id="1461454856">
          <w:marLeft w:val="0"/>
          <w:marRight w:val="0"/>
          <w:marTop w:val="547"/>
          <w:marBottom w:val="0"/>
          <w:divBdr>
            <w:top w:val="none" w:sz="0" w:space="0" w:color="auto"/>
            <w:left w:val="none" w:sz="0" w:space="0" w:color="auto"/>
            <w:bottom w:val="none" w:sz="0" w:space="0" w:color="auto"/>
            <w:right w:val="none" w:sz="0" w:space="0" w:color="auto"/>
          </w:divBdr>
        </w:div>
        <w:div w:id="17583098">
          <w:marLeft w:val="0"/>
          <w:marRight w:val="0"/>
          <w:marTop w:val="0"/>
          <w:marBottom w:val="0"/>
          <w:divBdr>
            <w:top w:val="none" w:sz="0" w:space="0" w:color="auto"/>
            <w:left w:val="none" w:sz="0" w:space="0" w:color="auto"/>
            <w:bottom w:val="none" w:sz="0" w:space="0" w:color="auto"/>
            <w:right w:val="none" w:sz="0" w:space="0" w:color="auto"/>
          </w:divBdr>
        </w:div>
        <w:div w:id="1625309629">
          <w:marLeft w:val="0"/>
          <w:marRight w:val="0"/>
          <w:marTop w:val="0"/>
          <w:marBottom w:val="600"/>
          <w:divBdr>
            <w:top w:val="none" w:sz="0" w:space="0" w:color="auto"/>
            <w:left w:val="none" w:sz="0" w:space="0" w:color="auto"/>
            <w:bottom w:val="none" w:sz="0" w:space="0" w:color="auto"/>
            <w:right w:val="none" w:sz="0" w:space="0" w:color="auto"/>
          </w:divBdr>
        </w:div>
      </w:divsChild>
    </w:div>
    <w:div w:id="328679339">
      <w:marLeft w:val="0"/>
      <w:marRight w:val="0"/>
      <w:marTop w:val="0"/>
      <w:marBottom w:val="0"/>
      <w:divBdr>
        <w:top w:val="none" w:sz="0" w:space="0" w:color="auto"/>
        <w:left w:val="none" w:sz="0" w:space="0" w:color="auto"/>
        <w:bottom w:val="none" w:sz="0" w:space="0" w:color="auto"/>
        <w:right w:val="none" w:sz="0" w:space="0" w:color="auto"/>
      </w:divBdr>
      <w:divsChild>
        <w:div w:id="63725793">
          <w:marLeft w:val="0"/>
          <w:marRight w:val="0"/>
          <w:marTop w:val="144"/>
          <w:marBottom w:val="0"/>
          <w:divBdr>
            <w:top w:val="none" w:sz="0" w:space="0" w:color="auto"/>
            <w:left w:val="none" w:sz="0" w:space="0" w:color="auto"/>
            <w:bottom w:val="none" w:sz="0" w:space="0" w:color="auto"/>
            <w:right w:val="none" w:sz="0" w:space="0" w:color="auto"/>
          </w:divBdr>
        </w:div>
        <w:div w:id="1886598061">
          <w:marLeft w:val="0"/>
          <w:marRight w:val="0"/>
          <w:marTop w:val="0"/>
          <w:marBottom w:val="0"/>
          <w:divBdr>
            <w:top w:val="none" w:sz="0" w:space="0" w:color="auto"/>
            <w:left w:val="none" w:sz="0" w:space="0" w:color="auto"/>
            <w:bottom w:val="none" w:sz="0" w:space="0" w:color="auto"/>
            <w:right w:val="none" w:sz="0" w:space="0" w:color="auto"/>
          </w:divBdr>
          <w:divsChild>
            <w:div w:id="1407721733">
              <w:marLeft w:val="0"/>
              <w:marRight w:val="0"/>
              <w:marTop w:val="0"/>
              <w:marBottom w:val="0"/>
              <w:divBdr>
                <w:top w:val="none" w:sz="0" w:space="0" w:color="auto"/>
                <w:left w:val="none" w:sz="0" w:space="0" w:color="auto"/>
                <w:bottom w:val="none" w:sz="0" w:space="0" w:color="auto"/>
                <w:right w:val="none" w:sz="0" w:space="0" w:color="auto"/>
              </w:divBdr>
              <w:divsChild>
                <w:div w:id="2091270978">
                  <w:marLeft w:val="0"/>
                  <w:marRight w:val="0"/>
                  <w:marTop w:val="0"/>
                  <w:marBottom w:val="0"/>
                  <w:divBdr>
                    <w:top w:val="none" w:sz="0" w:space="0" w:color="auto"/>
                    <w:left w:val="none" w:sz="0" w:space="0" w:color="auto"/>
                    <w:bottom w:val="none" w:sz="0" w:space="0" w:color="auto"/>
                    <w:right w:val="none" w:sz="0" w:space="0" w:color="auto"/>
                  </w:divBdr>
                </w:div>
              </w:divsChild>
            </w:div>
            <w:div w:id="433717761">
              <w:marLeft w:val="0"/>
              <w:marRight w:val="0"/>
              <w:marTop w:val="0"/>
              <w:marBottom w:val="0"/>
              <w:divBdr>
                <w:top w:val="none" w:sz="0" w:space="0" w:color="auto"/>
                <w:left w:val="none" w:sz="0" w:space="0" w:color="auto"/>
                <w:bottom w:val="none" w:sz="0" w:space="0" w:color="auto"/>
                <w:right w:val="none" w:sz="0" w:space="0" w:color="auto"/>
              </w:divBdr>
              <w:divsChild>
                <w:div w:id="416246772">
                  <w:marLeft w:val="0"/>
                  <w:marRight w:val="0"/>
                  <w:marTop w:val="0"/>
                  <w:marBottom w:val="0"/>
                  <w:divBdr>
                    <w:top w:val="none" w:sz="0" w:space="0" w:color="auto"/>
                    <w:left w:val="none" w:sz="0" w:space="0" w:color="auto"/>
                    <w:bottom w:val="none" w:sz="0" w:space="0" w:color="auto"/>
                    <w:right w:val="none" w:sz="0" w:space="0" w:color="auto"/>
                  </w:divBdr>
                </w:div>
              </w:divsChild>
            </w:div>
            <w:div w:id="1754664494">
              <w:marLeft w:val="0"/>
              <w:marRight w:val="0"/>
              <w:marTop w:val="0"/>
              <w:marBottom w:val="0"/>
              <w:divBdr>
                <w:top w:val="none" w:sz="0" w:space="0" w:color="auto"/>
                <w:left w:val="none" w:sz="0" w:space="0" w:color="auto"/>
                <w:bottom w:val="none" w:sz="0" w:space="0" w:color="auto"/>
                <w:right w:val="none" w:sz="0" w:space="0" w:color="auto"/>
              </w:divBdr>
              <w:divsChild>
                <w:div w:id="2010591878">
                  <w:marLeft w:val="0"/>
                  <w:marRight w:val="0"/>
                  <w:marTop w:val="0"/>
                  <w:marBottom w:val="0"/>
                  <w:divBdr>
                    <w:top w:val="none" w:sz="0" w:space="0" w:color="auto"/>
                    <w:left w:val="none" w:sz="0" w:space="0" w:color="auto"/>
                    <w:bottom w:val="none" w:sz="0" w:space="0" w:color="auto"/>
                    <w:right w:val="none" w:sz="0" w:space="0" w:color="auto"/>
                  </w:divBdr>
                </w:div>
              </w:divsChild>
            </w:div>
            <w:div w:id="853955478">
              <w:marLeft w:val="0"/>
              <w:marRight w:val="0"/>
              <w:marTop w:val="0"/>
              <w:marBottom w:val="0"/>
              <w:divBdr>
                <w:top w:val="none" w:sz="0" w:space="0" w:color="auto"/>
                <w:left w:val="none" w:sz="0" w:space="0" w:color="auto"/>
                <w:bottom w:val="none" w:sz="0" w:space="0" w:color="auto"/>
                <w:right w:val="none" w:sz="0" w:space="0" w:color="auto"/>
              </w:divBdr>
              <w:divsChild>
                <w:div w:id="342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1431">
      <w:marLeft w:val="0"/>
      <w:marRight w:val="0"/>
      <w:marTop w:val="0"/>
      <w:marBottom w:val="0"/>
      <w:divBdr>
        <w:top w:val="none" w:sz="0" w:space="0" w:color="auto"/>
        <w:left w:val="none" w:sz="0" w:space="0" w:color="auto"/>
        <w:bottom w:val="none" w:sz="0" w:space="0" w:color="auto"/>
        <w:right w:val="none" w:sz="0" w:space="0" w:color="auto"/>
      </w:divBdr>
      <w:divsChild>
        <w:div w:id="572667357">
          <w:marLeft w:val="0"/>
          <w:marRight w:val="0"/>
          <w:marTop w:val="547"/>
          <w:marBottom w:val="0"/>
          <w:divBdr>
            <w:top w:val="none" w:sz="0" w:space="0" w:color="auto"/>
            <w:left w:val="none" w:sz="0" w:space="0" w:color="auto"/>
            <w:bottom w:val="none" w:sz="0" w:space="0" w:color="auto"/>
            <w:right w:val="none" w:sz="0" w:space="0" w:color="auto"/>
          </w:divBdr>
        </w:div>
        <w:div w:id="1924142050">
          <w:marLeft w:val="0"/>
          <w:marRight w:val="0"/>
          <w:marTop w:val="0"/>
          <w:marBottom w:val="0"/>
          <w:divBdr>
            <w:top w:val="none" w:sz="0" w:space="0" w:color="auto"/>
            <w:left w:val="none" w:sz="0" w:space="0" w:color="auto"/>
            <w:bottom w:val="none" w:sz="0" w:space="0" w:color="auto"/>
            <w:right w:val="none" w:sz="0" w:space="0" w:color="auto"/>
          </w:divBdr>
        </w:div>
        <w:div w:id="1131676269">
          <w:marLeft w:val="0"/>
          <w:marRight w:val="0"/>
          <w:marTop w:val="0"/>
          <w:marBottom w:val="600"/>
          <w:divBdr>
            <w:top w:val="none" w:sz="0" w:space="0" w:color="auto"/>
            <w:left w:val="none" w:sz="0" w:space="0" w:color="auto"/>
            <w:bottom w:val="none" w:sz="0" w:space="0" w:color="auto"/>
            <w:right w:val="none" w:sz="0" w:space="0" w:color="auto"/>
          </w:divBdr>
        </w:div>
      </w:divsChild>
    </w:div>
    <w:div w:id="352998370">
      <w:marLeft w:val="0"/>
      <w:marRight w:val="0"/>
      <w:marTop w:val="0"/>
      <w:marBottom w:val="0"/>
      <w:divBdr>
        <w:top w:val="none" w:sz="0" w:space="0" w:color="auto"/>
        <w:left w:val="none" w:sz="0" w:space="0" w:color="auto"/>
        <w:bottom w:val="none" w:sz="0" w:space="0" w:color="auto"/>
        <w:right w:val="none" w:sz="0" w:space="0" w:color="auto"/>
      </w:divBdr>
      <w:divsChild>
        <w:div w:id="1630697942">
          <w:marLeft w:val="0"/>
          <w:marRight w:val="0"/>
          <w:marTop w:val="547"/>
          <w:marBottom w:val="0"/>
          <w:divBdr>
            <w:top w:val="none" w:sz="0" w:space="0" w:color="auto"/>
            <w:left w:val="none" w:sz="0" w:space="0" w:color="auto"/>
            <w:bottom w:val="none" w:sz="0" w:space="0" w:color="auto"/>
            <w:right w:val="none" w:sz="0" w:space="0" w:color="auto"/>
          </w:divBdr>
        </w:div>
        <w:div w:id="1700355158">
          <w:marLeft w:val="0"/>
          <w:marRight w:val="0"/>
          <w:marTop w:val="0"/>
          <w:marBottom w:val="0"/>
          <w:divBdr>
            <w:top w:val="none" w:sz="0" w:space="0" w:color="auto"/>
            <w:left w:val="none" w:sz="0" w:space="0" w:color="auto"/>
            <w:bottom w:val="none" w:sz="0" w:space="0" w:color="auto"/>
            <w:right w:val="none" w:sz="0" w:space="0" w:color="auto"/>
          </w:divBdr>
          <w:divsChild>
            <w:div w:id="1490053159">
              <w:marLeft w:val="0"/>
              <w:marRight w:val="0"/>
              <w:marTop w:val="0"/>
              <w:marBottom w:val="0"/>
              <w:divBdr>
                <w:top w:val="none" w:sz="0" w:space="0" w:color="auto"/>
                <w:left w:val="none" w:sz="0" w:space="0" w:color="auto"/>
                <w:bottom w:val="none" w:sz="0" w:space="0" w:color="auto"/>
                <w:right w:val="none" w:sz="0" w:space="0" w:color="auto"/>
              </w:divBdr>
              <w:divsChild>
                <w:div w:id="729693050">
                  <w:marLeft w:val="0"/>
                  <w:marRight w:val="0"/>
                  <w:marTop w:val="0"/>
                  <w:marBottom w:val="0"/>
                  <w:divBdr>
                    <w:top w:val="none" w:sz="0" w:space="0" w:color="auto"/>
                    <w:left w:val="none" w:sz="0" w:space="0" w:color="auto"/>
                    <w:bottom w:val="none" w:sz="0" w:space="0" w:color="auto"/>
                    <w:right w:val="none" w:sz="0" w:space="0" w:color="auto"/>
                  </w:divBdr>
                </w:div>
              </w:divsChild>
            </w:div>
            <w:div w:id="985670119">
              <w:marLeft w:val="0"/>
              <w:marRight w:val="0"/>
              <w:marTop w:val="0"/>
              <w:marBottom w:val="0"/>
              <w:divBdr>
                <w:top w:val="none" w:sz="0" w:space="0" w:color="auto"/>
                <w:left w:val="none" w:sz="0" w:space="0" w:color="auto"/>
                <w:bottom w:val="none" w:sz="0" w:space="0" w:color="auto"/>
                <w:right w:val="none" w:sz="0" w:space="0" w:color="auto"/>
              </w:divBdr>
              <w:divsChild>
                <w:div w:id="1445658879">
                  <w:marLeft w:val="0"/>
                  <w:marRight w:val="0"/>
                  <w:marTop w:val="0"/>
                  <w:marBottom w:val="0"/>
                  <w:divBdr>
                    <w:top w:val="none" w:sz="0" w:space="0" w:color="auto"/>
                    <w:left w:val="none" w:sz="0" w:space="0" w:color="auto"/>
                    <w:bottom w:val="none" w:sz="0" w:space="0" w:color="auto"/>
                    <w:right w:val="none" w:sz="0" w:space="0" w:color="auto"/>
                  </w:divBdr>
                </w:div>
              </w:divsChild>
            </w:div>
            <w:div w:id="1078284962">
              <w:marLeft w:val="0"/>
              <w:marRight w:val="0"/>
              <w:marTop w:val="0"/>
              <w:marBottom w:val="0"/>
              <w:divBdr>
                <w:top w:val="none" w:sz="0" w:space="0" w:color="auto"/>
                <w:left w:val="none" w:sz="0" w:space="0" w:color="auto"/>
                <w:bottom w:val="none" w:sz="0" w:space="0" w:color="auto"/>
                <w:right w:val="none" w:sz="0" w:space="0" w:color="auto"/>
              </w:divBdr>
              <w:divsChild>
                <w:div w:id="1010450775">
                  <w:marLeft w:val="0"/>
                  <w:marRight w:val="0"/>
                  <w:marTop w:val="0"/>
                  <w:marBottom w:val="0"/>
                  <w:divBdr>
                    <w:top w:val="none" w:sz="0" w:space="0" w:color="auto"/>
                    <w:left w:val="none" w:sz="0" w:space="0" w:color="auto"/>
                    <w:bottom w:val="none" w:sz="0" w:space="0" w:color="auto"/>
                    <w:right w:val="none" w:sz="0" w:space="0" w:color="auto"/>
                  </w:divBdr>
                </w:div>
              </w:divsChild>
            </w:div>
            <w:div w:id="1353534645">
              <w:marLeft w:val="0"/>
              <w:marRight w:val="0"/>
              <w:marTop w:val="0"/>
              <w:marBottom w:val="0"/>
              <w:divBdr>
                <w:top w:val="none" w:sz="0" w:space="0" w:color="auto"/>
                <w:left w:val="none" w:sz="0" w:space="0" w:color="auto"/>
                <w:bottom w:val="none" w:sz="0" w:space="0" w:color="auto"/>
                <w:right w:val="none" w:sz="0" w:space="0" w:color="auto"/>
              </w:divBdr>
              <w:divsChild>
                <w:div w:id="658197998">
                  <w:marLeft w:val="0"/>
                  <w:marRight w:val="0"/>
                  <w:marTop w:val="0"/>
                  <w:marBottom w:val="0"/>
                  <w:divBdr>
                    <w:top w:val="none" w:sz="0" w:space="0" w:color="auto"/>
                    <w:left w:val="none" w:sz="0" w:space="0" w:color="auto"/>
                    <w:bottom w:val="none" w:sz="0" w:space="0" w:color="auto"/>
                    <w:right w:val="none" w:sz="0" w:space="0" w:color="auto"/>
                  </w:divBdr>
                </w:div>
              </w:divsChild>
            </w:div>
            <w:div w:id="677928463">
              <w:marLeft w:val="0"/>
              <w:marRight w:val="0"/>
              <w:marTop w:val="0"/>
              <w:marBottom w:val="0"/>
              <w:divBdr>
                <w:top w:val="none" w:sz="0" w:space="0" w:color="auto"/>
                <w:left w:val="none" w:sz="0" w:space="0" w:color="auto"/>
                <w:bottom w:val="none" w:sz="0" w:space="0" w:color="auto"/>
                <w:right w:val="none" w:sz="0" w:space="0" w:color="auto"/>
              </w:divBdr>
              <w:divsChild>
                <w:div w:id="1365403556">
                  <w:marLeft w:val="0"/>
                  <w:marRight w:val="0"/>
                  <w:marTop w:val="0"/>
                  <w:marBottom w:val="0"/>
                  <w:divBdr>
                    <w:top w:val="none" w:sz="0" w:space="0" w:color="auto"/>
                    <w:left w:val="none" w:sz="0" w:space="0" w:color="auto"/>
                    <w:bottom w:val="none" w:sz="0" w:space="0" w:color="auto"/>
                    <w:right w:val="none" w:sz="0" w:space="0" w:color="auto"/>
                  </w:divBdr>
                </w:div>
              </w:divsChild>
            </w:div>
            <w:div w:id="1564872161">
              <w:marLeft w:val="0"/>
              <w:marRight w:val="0"/>
              <w:marTop w:val="0"/>
              <w:marBottom w:val="0"/>
              <w:divBdr>
                <w:top w:val="none" w:sz="0" w:space="0" w:color="auto"/>
                <w:left w:val="none" w:sz="0" w:space="0" w:color="auto"/>
                <w:bottom w:val="none" w:sz="0" w:space="0" w:color="auto"/>
                <w:right w:val="none" w:sz="0" w:space="0" w:color="auto"/>
              </w:divBdr>
              <w:divsChild>
                <w:div w:id="328678296">
                  <w:marLeft w:val="0"/>
                  <w:marRight w:val="0"/>
                  <w:marTop w:val="0"/>
                  <w:marBottom w:val="0"/>
                  <w:divBdr>
                    <w:top w:val="none" w:sz="0" w:space="0" w:color="auto"/>
                    <w:left w:val="none" w:sz="0" w:space="0" w:color="auto"/>
                    <w:bottom w:val="none" w:sz="0" w:space="0" w:color="auto"/>
                    <w:right w:val="none" w:sz="0" w:space="0" w:color="auto"/>
                  </w:divBdr>
                </w:div>
              </w:divsChild>
            </w:div>
            <w:div w:id="1996060399">
              <w:marLeft w:val="0"/>
              <w:marRight w:val="0"/>
              <w:marTop w:val="0"/>
              <w:marBottom w:val="0"/>
              <w:divBdr>
                <w:top w:val="none" w:sz="0" w:space="0" w:color="auto"/>
                <w:left w:val="none" w:sz="0" w:space="0" w:color="auto"/>
                <w:bottom w:val="none" w:sz="0" w:space="0" w:color="auto"/>
                <w:right w:val="none" w:sz="0" w:space="0" w:color="auto"/>
              </w:divBdr>
              <w:divsChild>
                <w:div w:id="1786464281">
                  <w:marLeft w:val="0"/>
                  <w:marRight w:val="0"/>
                  <w:marTop w:val="0"/>
                  <w:marBottom w:val="0"/>
                  <w:divBdr>
                    <w:top w:val="none" w:sz="0" w:space="0" w:color="auto"/>
                    <w:left w:val="none" w:sz="0" w:space="0" w:color="auto"/>
                    <w:bottom w:val="none" w:sz="0" w:space="0" w:color="auto"/>
                    <w:right w:val="none" w:sz="0" w:space="0" w:color="auto"/>
                  </w:divBdr>
                </w:div>
              </w:divsChild>
            </w:div>
            <w:div w:id="1752966651">
              <w:marLeft w:val="0"/>
              <w:marRight w:val="0"/>
              <w:marTop w:val="0"/>
              <w:marBottom w:val="0"/>
              <w:divBdr>
                <w:top w:val="none" w:sz="0" w:space="0" w:color="auto"/>
                <w:left w:val="none" w:sz="0" w:space="0" w:color="auto"/>
                <w:bottom w:val="none" w:sz="0" w:space="0" w:color="auto"/>
                <w:right w:val="none" w:sz="0" w:space="0" w:color="auto"/>
              </w:divBdr>
              <w:divsChild>
                <w:div w:id="1714114321">
                  <w:marLeft w:val="0"/>
                  <w:marRight w:val="0"/>
                  <w:marTop w:val="0"/>
                  <w:marBottom w:val="0"/>
                  <w:divBdr>
                    <w:top w:val="none" w:sz="0" w:space="0" w:color="auto"/>
                    <w:left w:val="none" w:sz="0" w:space="0" w:color="auto"/>
                    <w:bottom w:val="none" w:sz="0" w:space="0" w:color="auto"/>
                    <w:right w:val="none" w:sz="0" w:space="0" w:color="auto"/>
                  </w:divBdr>
                </w:div>
              </w:divsChild>
            </w:div>
            <w:div w:id="894006887">
              <w:marLeft w:val="0"/>
              <w:marRight w:val="0"/>
              <w:marTop w:val="0"/>
              <w:marBottom w:val="0"/>
              <w:divBdr>
                <w:top w:val="none" w:sz="0" w:space="0" w:color="auto"/>
                <w:left w:val="none" w:sz="0" w:space="0" w:color="auto"/>
                <w:bottom w:val="none" w:sz="0" w:space="0" w:color="auto"/>
                <w:right w:val="none" w:sz="0" w:space="0" w:color="auto"/>
              </w:divBdr>
              <w:divsChild>
                <w:div w:id="878787312">
                  <w:marLeft w:val="0"/>
                  <w:marRight w:val="0"/>
                  <w:marTop w:val="0"/>
                  <w:marBottom w:val="0"/>
                  <w:divBdr>
                    <w:top w:val="none" w:sz="0" w:space="0" w:color="auto"/>
                    <w:left w:val="none" w:sz="0" w:space="0" w:color="auto"/>
                    <w:bottom w:val="none" w:sz="0" w:space="0" w:color="auto"/>
                    <w:right w:val="none" w:sz="0" w:space="0" w:color="auto"/>
                  </w:divBdr>
                </w:div>
              </w:divsChild>
            </w:div>
            <w:div w:id="784349954">
              <w:marLeft w:val="0"/>
              <w:marRight w:val="0"/>
              <w:marTop w:val="0"/>
              <w:marBottom w:val="0"/>
              <w:divBdr>
                <w:top w:val="none" w:sz="0" w:space="0" w:color="auto"/>
                <w:left w:val="none" w:sz="0" w:space="0" w:color="auto"/>
                <w:bottom w:val="none" w:sz="0" w:space="0" w:color="auto"/>
                <w:right w:val="none" w:sz="0" w:space="0" w:color="auto"/>
              </w:divBdr>
              <w:divsChild>
                <w:div w:id="2146653027">
                  <w:marLeft w:val="0"/>
                  <w:marRight w:val="0"/>
                  <w:marTop w:val="0"/>
                  <w:marBottom w:val="0"/>
                  <w:divBdr>
                    <w:top w:val="none" w:sz="0" w:space="0" w:color="auto"/>
                    <w:left w:val="none" w:sz="0" w:space="0" w:color="auto"/>
                    <w:bottom w:val="none" w:sz="0" w:space="0" w:color="auto"/>
                    <w:right w:val="none" w:sz="0" w:space="0" w:color="auto"/>
                  </w:divBdr>
                </w:div>
              </w:divsChild>
            </w:div>
            <w:div w:id="377121773">
              <w:marLeft w:val="0"/>
              <w:marRight w:val="0"/>
              <w:marTop w:val="0"/>
              <w:marBottom w:val="0"/>
              <w:divBdr>
                <w:top w:val="none" w:sz="0" w:space="0" w:color="auto"/>
                <w:left w:val="none" w:sz="0" w:space="0" w:color="auto"/>
                <w:bottom w:val="none" w:sz="0" w:space="0" w:color="auto"/>
                <w:right w:val="none" w:sz="0" w:space="0" w:color="auto"/>
              </w:divBdr>
              <w:divsChild>
                <w:div w:id="1578858818">
                  <w:marLeft w:val="0"/>
                  <w:marRight w:val="0"/>
                  <w:marTop w:val="0"/>
                  <w:marBottom w:val="0"/>
                  <w:divBdr>
                    <w:top w:val="none" w:sz="0" w:space="0" w:color="auto"/>
                    <w:left w:val="none" w:sz="0" w:space="0" w:color="auto"/>
                    <w:bottom w:val="none" w:sz="0" w:space="0" w:color="auto"/>
                    <w:right w:val="none" w:sz="0" w:space="0" w:color="auto"/>
                  </w:divBdr>
                </w:div>
              </w:divsChild>
            </w:div>
            <w:div w:id="144707020">
              <w:marLeft w:val="0"/>
              <w:marRight w:val="0"/>
              <w:marTop w:val="0"/>
              <w:marBottom w:val="0"/>
              <w:divBdr>
                <w:top w:val="none" w:sz="0" w:space="0" w:color="auto"/>
                <w:left w:val="none" w:sz="0" w:space="0" w:color="auto"/>
                <w:bottom w:val="none" w:sz="0" w:space="0" w:color="auto"/>
                <w:right w:val="none" w:sz="0" w:space="0" w:color="auto"/>
              </w:divBdr>
              <w:divsChild>
                <w:div w:id="345788795">
                  <w:marLeft w:val="0"/>
                  <w:marRight w:val="0"/>
                  <w:marTop w:val="0"/>
                  <w:marBottom w:val="0"/>
                  <w:divBdr>
                    <w:top w:val="none" w:sz="0" w:space="0" w:color="auto"/>
                    <w:left w:val="none" w:sz="0" w:space="0" w:color="auto"/>
                    <w:bottom w:val="none" w:sz="0" w:space="0" w:color="auto"/>
                    <w:right w:val="none" w:sz="0" w:space="0" w:color="auto"/>
                  </w:divBdr>
                </w:div>
              </w:divsChild>
            </w:div>
            <w:div w:id="952518682">
              <w:marLeft w:val="0"/>
              <w:marRight w:val="0"/>
              <w:marTop w:val="0"/>
              <w:marBottom w:val="0"/>
              <w:divBdr>
                <w:top w:val="none" w:sz="0" w:space="0" w:color="auto"/>
                <w:left w:val="none" w:sz="0" w:space="0" w:color="auto"/>
                <w:bottom w:val="none" w:sz="0" w:space="0" w:color="auto"/>
                <w:right w:val="none" w:sz="0" w:space="0" w:color="auto"/>
              </w:divBdr>
              <w:divsChild>
                <w:div w:id="13480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442">
          <w:marLeft w:val="0"/>
          <w:marRight w:val="0"/>
          <w:marTop w:val="0"/>
          <w:marBottom w:val="600"/>
          <w:divBdr>
            <w:top w:val="none" w:sz="0" w:space="0" w:color="auto"/>
            <w:left w:val="none" w:sz="0" w:space="0" w:color="auto"/>
            <w:bottom w:val="none" w:sz="0" w:space="0" w:color="auto"/>
            <w:right w:val="none" w:sz="0" w:space="0" w:color="auto"/>
          </w:divBdr>
        </w:div>
      </w:divsChild>
    </w:div>
    <w:div w:id="360328394">
      <w:marLeft w:val="0"/>
      <w:marRight w:val="0"/>
      <w:marTop w:val="0"/>
      <w:marBottom w:val="0"/>
      <w:divBdr>
        <w:top w:val="none" w:sz="0" w:space="0" w:color="auto"/>
        <w:left w:val="none" w:sz="0" w:space="0" w:color="auto"/>
        <w:bottom w:val="none" w:sz="0" w:space="0" w:color="auto"/>
        <w:right w:val="none" w:sz="0" w:space="0" w:color="auto"/>
      </w:divBdr>
      <w:divsChild>
        <w:div w:id="1109810283">
          <w:marLeft w:val="0"/>
          <w:marRight w:val="0"/>
          <w:marTop w:val="547"/>
          <w:marBottom w:val="0"/>
          <w:divBdr>
            <w:top w:val="none" w:sz="0" w:space="0" w:color="auto"/>
            <w:left w:val="none" w:sz="0" w:space="0" w:color="auto"/>
            <w:bottom w:val="none" w:sz="0" w:space="0" w:color="auto"/>
            <w:right w:val="none" w:sz="0" w:space="0" w:color="auto"/>
          </w:divBdr>
        </w:div>
        <w:div w:id="161743633">
          <w:marLeft w:val="0"/>
          <w:marRight w:val="0"/>
          <w:marTop w:val="0"/>
          <w:marBottom w:val="0"/>
          <w:divBdr>
            <w:top w:val="none" w:sz="0" w:space="0" w:color="auto"/>
            <w:left w:val="none" w:sz="0" w:space="0" w:color="auto"/>
            <w:bottom w:val="none" w:sz="0" w:space="0" w:color="auto"/>
            <w:right w:val="none" w:sz="0" w:space="0" w:color="auto"/>
          </w:divBdr>
          <w:divsChild>
            <w:div w:id="1970545332">
              <w:marLeft w:val="0"/>
              <w:marRight w:val="0"/>
              <w:marTop w:val="0"/>
              <w:marBottom w:val="0"/>
              <w:divBdr>
                <w:top w:val="none" w:sz="0" w:space="0" w:color="auto"/>
                <w:left w:val="none" w:sz="0" w:space="0" w:color="auto"/>
                <w:bottom w:val="none" w:sz="0" w:space="0" w:color="auto"/>
                <w:right w:val="none" w:sz="0" w:space="0" w:color="auto"/>
              </w:divBdr>
              <w:divsChild>
                <w:div w:id="240264121">
                  <w:marLeft w:val="0"/>
                  <w:marRight w:val="0"/>
                  <w:marTop w:val="0"/>
                  <w:marBottom w:val="0"/>
                  <w:divBdr>
                    <w:top w:val="none" w:sz="0" w:space="0" w:color="auto"/>
                    <w:left w:val="none" w:sz="0" w:space="0" w:color="auto"/>
                    <w:bottom w:val="none" w:sz="0" w:space="0" w:color="auto"/>
                    <w:right w:val="none" w:sz="0" w:space="0" w:color="auto"/>
                  </w:divBdr>
                </w:div>
              </w:divsChild>
            </w:div>
            <w:div w:id="314452610">
              <w:marLeft w:val="0"/>
              <w:marRight w:val="0"/>
              <w:marTop w:val="0"/>
              <w:marBottom w:val="0"/>
              <w:divBdr>
                <w:top w:val="none" w:sz="0" w:space="0" w:color="auto"/>
                <w:left w:val="none" w:sz="0" w:space="0" w:color="auto"/>
                <w:bottom w:val="none" w:sz="0" w:space="0" w:color="auto"/>
                <w:right w:val="none" w:sz="0" w:space="0" w:color="auto"/>
              </w:divBdr>
              <w:divsChild>
                <w:div w:id="1998267348">
                  <w:marLeft w:val="0"/>
                  <w:marRight w:val="0"/>
                  <w:marTop w:val="0"/>
                  <w:marBottom w:val="0"/>
                  <w:divBdr>
                    <w:top w:val="none" w:sz="0" w:space="0" w:color="auto"/>
                    <w:left w:val="none" w:sz="0" w:space="0" w:color="auto"/>
                    <w:bottom w:val="none" w:sz="0" w:space="0" w:color="auto"/>
                    <w:right w:val="none" w:sz="0" w:space="0" w:color="auto"/>
                  </w:divBdr>
                </w:div>
              </w:divsChild>
            </w:div>
            <w:div w:id="1093279380">
              <w:marLeft w:val="0"/>
              <w:marRight w:val="0"/>
              <w:marTop w:val="0"/>
              <w:marBottom w:val="0"/>
              <w:divBdr>
                <w:top w:val="none" w:sz="0" w:space="0" w:color="auto"/>
                <w:left w:val="none" w:sz="0" w:space="0" w:color="auto"/>
                <w:bottom w:val="none" w:sz="0" w:space="0" w:color="auto"/>
                <w:right w:val="none" w:sz="0" w:space="0" w:color="auto"/>
              </w:divBdr>
              <w:divsChild>
                <w:div w:id="1307467651">
                  <w:marLeft w:val="0"/>
                  <w:marRight w:val="0"/>
                  <w:marTop w:val="0"/>
                  <w:marBottom w:val="0"/>
                  <w:divBdr>
                    <w:top w:val="none" w:sz="0" w:space="0" w:color="auto"/>
                    <w:left w:val="none" w:sz="0" w:space="0" w:color="auto"/>
                    <w:bottom w:val="none" w:sz="0" w:space="0" w:color="auto"/>
                    <w:right w:val="none" w:sz="0" w:space="0" w:color="auto"/>
                  </w:divBdr>
                </w:div>
              </w:divsChild>
            </w:div>
            <w:div w:id="1965302967">
              <w:marLeft w:val="0"/>
              <w:marRight w:val="0"/>
              <w:marTop w:val="0"/>
              <w:marBottom w:val="0"/>
              <w:divBdr>
                <w:top w:val="none" w:sz="0" w:space="0" w:color="auto"/>
                <w:left w:val="none" w:sz="0" w:space="0" w:color="auto"/>
                <w:bottom w:val="none" w:sz="0" w:space="0" w:color="auto"/>
                <w:right w:val="none" w:sz="0" w:space="0" w:color="auto"/>
              </w:divBdr>
              <w:divsChild>
                <w:div w:id="623122300">
                  <w:marLeft w:val="0"/>
                  <w:marRight w:val="0"/>
                  <w:marTop w:val="0"/>
                  <w:marBottom w:val="0"/>
                  <w:divBdr>
                    <w:top w:val="none" w:sz="0" w:space="0" w:color="auto"/>
                    <w:left w:val="none" w:sz="0" w:space="0" w:color="auto"/>
                    <w:bottom w:val="none" w:sz="0" w:space="0" w:color="auto"/>
                    <w:right w:val="none" w:sz="0" w:space="0" w:color="auto"/>
                  </w:divBdr>
                </w:div>
              </w:divsChild>
            </w:div>
            <w:div w:id="694768469">
              <w:marLeft w:val="0"/>
              <w:marRight w:val="0"/>
              <w:marTop w:val="0"/>
              <w:marBottom w:val="0"/>
              <w:divBdr>
                <w:top w:val="none" w:sz="0" w:space="0" w:color="auto"/>
                <w:left w:val="none" w:sz="0" w:space="0" w:color="auto"/>
                <w:bottom w:val="none" w:sz="0" w:space="0" w:color="auto"/>
                <w:right w:val="none" w:sz="0" w:space="0" w:color="auto"/>
              </w:divBdr>
              <w:divsChild>
                <w:div w:id="353461129">
                  <w:marLeft w:val="0"/>
                  <w:marRight w:val="0"/>
                  <w:marTop w:val="0"/>
                  <w:marBottom w:val="0"/>
                  <w:divBdr>
                    <w:top w:val="none" w:sz="0" w:space="0" w:color="auto"/>
                    <w:left w:val="none" w:sz="0" w:space="0" w:color="auto"/>
                    <w:bottom w:val="none" w:sz="0" w:space="0" w:color="auto"/>
                    <w:right w:val="none" w:sz="0" w:space="0" w:color="auto"/>
                  </w:divBdr>
                </w:div>
              </w:divsChild>
            </w:div>
            <w:div w:id="1229805116">
              <w:marLeft w:val="0"/>
              <w:marRight w:val="0"/>
              <w:marTop w:val="0"/>
              <w:marBottom w:val="0"/>
              <w:divBdr>
                <w:top w:val="none" w:sz="0" w:space="0" w:color="auto"/>
                <w:left w:val="none" w:sz="0" w:space="0" w:color="auto"/>
                <w:bottom w:val="none" w:sz="0" w:space="0" w:color="auto"/>
                <w:right w:val="none" w:sz="0" w:space="0" w:color="auto"/>
              </w:divBdr>
              <w:divsChild>
                <w:div w:id="223106366">
                  <w:marLeft w:val="0"/>
                  <w:marRight w:val="0"/>
                  <w:marTop w:val="0"/>
                  <w:marBottom w:val="0"/>
                  <w:divBdr>
                    <w:top w:val="none" w:sz="0" w:space="0" w:color="auto"/>
                    <w:left w:val="none" w:sz="0" w:space="0" w:color="auto"/>
                    <w:bottom w:val="none" w:sz="0" w:space="0" w:color="auto"/>
                    <w:right w:val="none" w:sz="0" w:space="0" w:color="auto"/>
                  </w:divBdr>
                </w:div>
              </w:divsChild>
            </w:div>
            <w:div w:id="287859215">
              <w:marLeft w:val="0"/>
              <w:marRight w:val="0"/>
              <w:marTop w:val="0"/>
              <w:marBottom w:val="0"/>
              <w:divBdr>
                <w:top w:val="none" w:sz="0" w:space="0" w:color="auto"/>
                <w:left w:val="none" w:sz="0" w:space="0" w:color="auto"/>
                <w:bottom w:val="none" w:sz="0" w:space="0" w:color="auto"/>
                <w:right w:val="none" w:sz="0" w:space="0" w:color="auto"/>
              </w:divBdr>
              <w:divsChild>
                <w:div w:id="1861815097">
                  <w:marLeft w:val="0"/>
                  <w:marRight w:val="0"/>
                  <w:marTop w:val="0"/>
                  <w:marBottom w:val="0"/>
                  <w:divBdr>
                    <w:top w:val="none" w:sz="0" w:space="0" w:color="auto"/>
                    <w:left w:val="none" w:sz="0" w:space="0" w:color="auto"/>
                    <w:bottom w:val="none" w:sz="0" w:space="0" w:color="auto"/>
                    <w:right w:val="none" w:sz="0" w:space="0" w:color="auto"/>
                  </w:divBdr>
                </w:div>
              </w:divsChild>
            </w:div>
            <w:div w:id="2061320704">
              <w:marLeft w:val="0"/>
              <w:marRight w:val="0"/>
              <w:marTop w:val="0"/>
              <w:marBottom w:val="0"/>
              <w:divBdr>
                <w:top w:val="none" w:sz="0" w:space="0" w:color="auto"/>
                <w:left w:val="none" w:sz="0" w:space="0" w:color="auto"/>
                <w:bottom w:val="none" w:sz="0" w:space="0" w:color="auto"/>
                <w:right w:val="none" w:sz="0" w:space="0" w:color="auto"/>
              </w:divBdr>
              <w:divsChild>
                <w:div w:id="78067382">
                  <w:marLeft w:val="0"/>
                  <w:marRight w:val="0"/>
                  <w:marTop w:val="0"/>
                  <w:marBottom w:val="0"/>
                  <w:divBdr>
                    <w:top w:val="none" w:sz="0" w:space="0" w:color="auto"/>
                    <w:left w:val="none" w:sz="0" w:space="0" w:color="auto"/>
                    <w:bottom w:val="none" w:sz="0" w:space="0" w:color="auto"/>
                    <w:right w:val="none" w:sz="0" w:space="0" w:color="auto"/>
                  </w:divBdr>
                </w:div>
              </w:divsChild>
            </w:div>
            <w:div w:id="1089471374">
              <w:marLeft w:val="0"/>
              <w:marRight w:val="0"/>
              <w:marTop w:val="0"/>
              <w:marBottom w:val="0"/>
              <w:divBdr>
                <w:top w:val="none" w:sz="0" w:space="0" w:color="auto"/>
                <w:left w:val="none" w:sz="0" w:space="0" w:color="auto"/>
                <w:bottom w:val="none" w:sz="0" w:space="0" w:color="auto"/>
                <w:right w:val="none" w:sz="0" w:space="0" w:color="auto"/>
              </w:divBdr>
              <w:divsChild>
                <w:div w:id="160317853">
                  <w:marLeft w:val="0"/>
                  <w:marRight w:val="0"/>
                  <w:marTop w:val="0"/>
                  <w:marBottom w:val="0"/>
                  <w:divBdr>
                    <w:top w:val="none" w:sz="0" w:space="0" w:color="auto"/>
                    <w:left w:val="none" w:sz="0" w:space="0" w:color="auto"/>
                    <w:bottom w:val="none" w:sz="0" w:space="0" w:color="auto"/>
                    <w:right w:val="none" w:sz="0" w:space="0" w:color="auto"/>
                  </w:divBdr>
                </w:div>
              </w:divsChild>
            </w:div>
            <w:div w:id="2140023803">
              <w:marLeft w:val="0"/>
              <w:marRight w:val="0"/>
              <w:marTop w:val="0"/>
              <w:marBottom w:val="0"/>
              <w:divBdr>
                <w:top w:val="none" w:sz="0" w:space="0" w:color="auto"/>
                <w:left w:val="none" w:sz="0" w:space="0" w:color="auto"/>
                <w:bottom w:val="none" w:sz="0" w:space="0" w:color="auto"/>
                <w:right w:val="none" w:sz="0" w:space="0" w:color="auto"/>
              </w:divBdr>
              <w:divsChild>
                <w:div w:id="2055035069">
                  <w:marLeft w:val="0"/>
                  <w:marRight w:val="0"/>
                  <w:marTop w:val="0"/>
                  <w:marBottom w:val="0"/>
                  <w:divBdr>
                    <w:top w:val="none" w:sz="0" w:space="0" w:color="auto"/>
                    <w:left w:val="none" w:sz="0" w:space="0" w:color="auto"/>
                    <w:bottom w:val="none" w:sz="0" w:space="0" w:color="auto"/>
                    <w:right w:val="none" w:sz="0" w:space="0" w:color="auto"/>
                  </w:divBdr>
                </w:div>
              </w:divsChild>
            </w:div>
            <w:div w:id="1994025190">
              <w:marLeft w:val="0"/>
              <w:marRight w:val="0"/>
              <w:marTop w:val="0"/>
              <w:marBottom w:val="0"/>
              <w:divBdr>
                <w:top w:val="none" w:sz="0" w:space="0" w:color="auto"/>
                <w:left w:val="none" w:sz="0" w:space="0" w:color="auto"/>
                <w:bottom w:val="none" w:sz="0" w:space="0" w:color="auto"/>
                <w:right w:val="none" w:sz="0" w:space="0" w:color="auto"/>
              </w:divBdr>
              <w:divsChild>
                <w:div w:id="1272206351">
                  <w:marLeft w:val="0"/>
                  <w:marRight w:val="0"/>
                  <w:marTop w:val="0"/>
                  <w:marBottom w:val="0"/>
                  <w:divBdr>
                    <w:top w:val="none" w:sz="0" w:space="0" w:color="auto"/>
                    <w:left w:val="none" w:sz="0" w:space="0" w:color="auto"/>
                    <w:bottom w:val="none" w:sz="0" w:space="0" w:color="auto"/>
                    <w:right w:val="none" w:sz="0" w:space="0" w:color="auto"/>
                  </w:divBdr>
                </w:div>
              </w:divsChild>
            </w:div>
            <w:div w:id="2127195621">
              <w:marLeft w:val="0"/>
              <w:marRight w:val="0"/>
              <w:marTop w:val="0"/>
              <w:marBottom w:val="0"/>
              <w:divBdr>
                <w:top w:val="none" w:sz="0" w:space="0" w:color="auto"/>
                <w:left w:val="none" w:sz="0" w:space="0" w:color="auto"/>
                <w:bottom w:val="none" w:sz="0" w:space="0" w:color="auto"/>
                <w:right w:val="none" w:sz="0" w:space="0" w:color="auto"/>
              </w:divBdr>
              <w:divsChild>
                <w:div w:id="1468162455">
                  <w:marLeft w:val="0"/>
                  <w:marRight w:val="0"/>
                  <w:marTop w:val="0"/>
                  <w:marBottom w:val="0"/>
                  <w:divBdr>
                    <w:top w:val="none" w:sz="0" w:space="0" w:color="auto"/>
                    <w:left w:val="none" w:sz="0" w:space="0" w:color="auto"/>
                    <w:bottom w:val="none" w:sz="0" w:space="0" w:color="auto"/>
                    <w:right w:val="none" w:sz="0" w:space="0" w:color="auto"/>
                  </w:divBdr>
                </w:div>
              </w:divsChild>
            </w:div>
            <w:div w:id="1202207891">
              <w:marLeft w:val="0"/>
              <w:marRight w:val="0"/>
              <w:marTop w:val="0"/>
              <w:marBottom w:val="0"/>
              <w:divBdr>
                <w:top w:val="none" w:sz="0" w:space="0" w:color="auto"/>
                <w:left w:val="none" w:sz="0" w:space="0" w:color="auto"/>
                <w:bottom w:val="none" w:sz="0" w:space="0" w:color="auto"/>
                <w:right w:val="none" w:sz="0" w:space="0" w:color="auto"/>
              </w:divBdr>
              <w:divsChild>
                <w:div w:id="601962952">
                  <w:marLeft w:val="0"/>
                  <w:marRight w:val="0"/>
                  <w:marTop w:val="0"/>
                  <w:marBottom w:val="0"/>
                  <w:divBdr>
                    <w:top w:val="none" w:sz="0" w:space="0" w:color="auto"/>
                    <w:left w:val="none" w:sz="0" w:space="0" w:color="auto"/>
                    <w:bottom w:val="none" w:sz="0" w:space="0" w:color="auto"/>
                    <w:right w:val="none" w:sz="0" w:space="0" w:color="auto"/>
                  </w:divBdr>
                </w:div>
              </w:divsChild>
            </w:div>
            <w:div w:id="895775481">
              <w:marLeft w:val="0"/>
              <w:marRight w:val="0"/>
              <w:marTop w:val="0"/>
              <w:marBottom w:val="0"/>
              <w:divBdr>
                <w:top w:val="none" w:sz="0" w:space="0" w:color="auto"/>
                <w:left w:val="none" w:sz="0" w:space="0" w:color="auto"/>
                <w:bottom w:val="none" w:sz="0" w:space="0" w:color="auto"/>
                <w:right w:val="none" w:sz="0" w:space="0" w:color="auto"/>
              </w:divBdr>
              <w:divsChild>
                <w:div w:id="1636718116">
                  <w:marLeft w:val="0"/>
                  <w:marRight w:val="0"/>
                  <w:marTop w:val="0"/>
                  <w:marBottom w:val="0"/>
                  <w:divBdr>
                    <w:top w:val="none" w:sz="0" w:space="0" w:color="auto"/>
                    <w:left w:val="none" w:sz="0" w:space="0" w:color="auto"/>
                    <w:bottom w:val="none" w:sz="0" w:space="0" w:color="auto"/>
                    <w:right w:val="none" w:sz="0" w:space="0" w:color="auto"/>
                  </w:divBdr>
                </w:div>
              </w:divsChild>
            </w:div>
            <w:div w:id="2051027933">
              <w:marLeft w:val="0"/>
              <w:marRight w:val="0"/>
              <w:marTop w:val="0"/>
              <w:marBottom w:val="0"/>
              <w:divBdr>
                <w:top w:val="none" w:sz="0" w:space="0" w:color="auto"/>
                <w:left w:val="none" w:sz="0" w:space="0" w:color="auto"/>
                <w:bottom w:val="none" w:sz="0" w:space="0" w:color="auto"/>
                <w:right w:val="none" w:sz="0" w:space="0" w:color="auto"/>
              </w:divBdr>
              <w:divsChild>
                <w:div w:id="1816098921">
                  <w:marLeft w:val="0"/>
                  <w:marRight w:val="0"/>
                  <w:marTop w:val="0"/>
                  <w:marBottom w:val="0"/>
                  <w:divBdr>
                    <w:top w:val="none" w:sz="0" w:space="0" w:color="auto"/>
                    <w:left w:val="none" w:sz="0" w:space="0" w:color="auto"/>
                    <w:bottom w:val="none" w:sz="0" w:space="0" w:color="auto"/>
                    <w:right w:val="none" w:sz="0" w:space="0" w:color="auto"/>
                  </w:divBdr>
                </w:div>
              </w:divsChild>
            </w:div>
            <w:div w:id="1163275973">
              <w:marLeft w:val="0"/>
              <w:marRight w:val="0"/>
              <w:marTop w:val="0"/>
              <w:marBottom w:val="0"/>
              <w:divBdr>
                <w:top w:val="none" w:sz="0" w:space="0" w:color="auto"/>
                <w:left w:val="none" w:sz="0" w:space="0" w:color="auto"/>
                <w:bottom w:val="none" w:sz="0" w:space="0" w:color="auto"/>
                <w:right w:val="none" w:sz="0" w:space="0" w:color="auto"/>
              </w:divBdr>
              <w:divsChild>
                <w:div w:id="1676178602">
                  <w:marLeft w:val="0"/>
                  <w:marRight w:val="0"/>
                  <w:marTop w:val="0"/>
                  <w:marBottom w:val="0"/>
                  <w:divBdr>
                    <w:top w:val="none" w:sz="0" w:space="0" w:color="auto"/>
                    <w:left w:val="none" w:sz="0" w:space="0" w:color="auto"/>
                    <w:bottom w:val="none" w:sz="0" w:space="0" w:color="auto"/>
                    <w:right w:val="none" w:sz="0" w:space="0" w:color="auto"/>
                  </w:divBdr>
                </w:div>
              </w:divsChild>
            </w:div>
            <w:div w:id="502355608">
              <w:marLeft w:val="0"/>
              <w:marRight w:val="0"/>
              <w:marTop w:val="0"/>
              <w:marBottom w:val="0"/>
              <w:divBdr>
                <w:top w:val="none" w:sz="0" w:space="0" w:color="auto"/>
                <w:left w:val="none" w:sz="0" w:space="0" w:color="auto"/>
                <w:bottom w:val="none" w:sz="0" w:space="0" w:color="auto"/>
                <w:right w:val="none" w:sz="0" w:space="0" w:color="auto"/>
              </w:divBdr>
              <w:divsChild>
                <w:div w:id="1569028105">
                  <w:marLeft w:val="0"/>
                  <w:marRight w:val="0"/>
                  <w:marTop w:val="0"/>
                  <w:marBottom w:val="0"/>
                  <w:divBdr>
                    <w:top w:val="none" w:sz="0" w:space="0" w:color="auto"/>
                    <w:left w:val="none" w:sz="0" w:space="0" w:color="auto"/>
                    <w:bottom w:val="none" w:sz="0" w:space="0" w:color="auto"/>
                    <w:right w:val="none" w:sz="0" w:space="0" w:color="auto"/>
                  </w:divBdr>
                </w:div>
              </w:divsChild>
            </w:div>
            <w:div w:id="1910725195">
              <w:marLeft w:val="0"/>
              <w:marRight w:val="0"/>
              <w:marTop w:val="0"/>
              <w:marBottom w:val="0"/>
              <w:divBdr>
                <w:top w:val="none" w:sz="0" w:space="0" w:color="auto"/>
                <w:left w:val="none" w:sz="0" w:space="0" w:color="auto"/>
                <w:bottom w:val="none" w:sz="0" w:space="0" w:color="auto"/>
                <w:right w:val="none" w:sz="0" w:space="0" w:color="auto"/>
              </w:divBdr>
              <w:divsChild>
                <w:div w:id="431434808">
                  <w:marLeft w:val="0"/>
                  <w:marRight w:val="0"/>
                  <w:marTop w:val="0"/>
                  <w:marBottom w:val="0"/>
                  <w:divBdr>
                    <w:top w:val="none" w:sz="0" w:space="0" w:color="auto"/>
                    <w:left w:val="none" w:sz="0" w:space="0" w:color="auto"/>
                    <w:bottom w:val="none" w:sz="0" w:space="0" w:color="auto"/>
                    <w:right w:val="none" w:sz="0" w:space="0" w:color="auto"/>
                  </w:divBdr>
                </w:div>
              </w:divsChild>
            </w:div>
            <w:div w:id="226769383">
              <w:marLeft w:val="0"/>
              <w:marRight w:val="0"/>
              <w:marTop w:val="0"/>
              <w:marBottom w:val="0"/>
              <w:divBdr>
                <w:top w:val="none" w:sz="0" w:space="0" w:color="auto"/>
                <w:left w:val="none" w:sz="0" w:space="0" w:color="auto"/>
                <w:bottom w:val="none" w:sz="0" w:space="0" w:color="auto"/>
                <w:right w:val="none" w:sz="0" w:space="0" w:color="auto"/>
              </w:divBdr>
              <w:divsChild>
                <w:div w:id="173342860">
                  <w:marLeft w:val="0"/>
                  <w:marRight w:val="0"/>
                  <w:marTop w:val="0"/>
                  <w:marBottom w:val="0"/>
                  <w:divBdr>
                    <w:top w:val="none" w:sz="0" w:space="0" w:color="auto"/>
                    <w:left w:val="none" w:sz="0" w:space="0" w:color="auto"/>
                    <w:bottom w:val="none" w:sz="0" w:space="0" w:color="auto"/>
                    <w:right w:val="none" w:sz="0" w:space="0" w:color="auto"/>
                  </w:divBdr>
                </w:div>
              </w:divsChild>
            </w:div>
            <w:div w:id="2074573934">
              <w:marLeft w:val="0"/>
              <w:marRight w:val="0"/>
              <w:marTop w:val="0"/>
              <w:marBottom w:val="0"/>
              <w:divBdr>
                <w:top w:val="none" w:sz="0" w:space="0" w:color="auto"/>
                <w:left w:val="none" w:sz="0" w:space="0" w:color="auto"/>
                <w:bottom w:val="none" w:sz="0" w:space="0" w:color="auto"/>
                <w:right w:val="none" w:sz="0" w:space="0" w:color="auto"/>
              </w:divBdr>
              <w:divsChild>
                <w:div w:id="1961833565">
                  <w:marLeft w:val="0"/>
                  <w:marRight w:val="0"/>
                  <w:marTop w:val="0"/>
                  <w:marBottom w:val="0"/>
                  <w:divBdr>
                    <w:top w:val="none" w:sz="0" w:space="0" w:color="auto"/>
                    <w:left w:val="none" w:sz="0" w:space="0" w:color="auto"/>
                    <w:bottom w:val="none" w:sz="0" w:space="0" w:color="auto"/>
                    <w:right w:val="none" w:sz="0" w:space="0" w:color="auto"/>
                  </w:divBdr>
                </w:div>
              </w:divsChild>
            </w:div>
            <w:div w:id="1159467776">
              <w:marLeft w:val="0"/>
              <w:marRight w:val="0"/>
              <w:marTop w:val="0"/>
              <w:marBottom w:val="0"/>
              <w:divBdr>
                <w:top w:val="none" w:sz="0" w:space="0" w:color="auto"/>
                <w:left w:val="none" w:sz="0" w:space="0" w:color="auto"/>
                <w:bottom w:val="none" w:sz="0" w:space="0" w:color="auto"/>
                <w:right w:val="none" w:sz="0" w:space="0" w:color="auto"/>
              </w:divBdr>
              <w:divsChild>
                <w:div w:id="687560338">
                  <w:marLeft w:val="0"/>
                  <w:marRight w:val="0"/>
                  <w:marTop w:val="0"/>
                  <w:marBottom w:val="0"/>
                  <w:divBdr>
                    <w:top w:val="none" w:sz="0" w:space="0" w:color="auto"/>
                    <w:left w:val="none" w:sz="0" w:space="0" w:color="auto"/>
                    <w:bottom w:val="none" w:sz="0" w:space="0" w:color="auto"/>
                    <w:right w:val="none" w:sz="0" w:space="0" w:color="auto"/>
                  </w:divBdr>
                </w:div>
              </w:divsChild>
            </w:div>
            <w:div w:id="2136097906">
              <w:marLeft w:val="0"/>
              <w:marRight w:val="0"/>
              <w:marTop w:val="0"/>
              <w:marBottom w:val="0"/>
              <w:divBdr>
                <w:top w:val="none" w:sz="0" w:space="0" w:color="auto"/>
                <w:left w:val="none" w:sz="0" w:space="0" w:color="auto"/>
                <w:bottom w:val="none" w:sz="0" w:space="0" w:color="auto"/>
                <w:right w:val="none" w:sz="0" w:space="0" w:color="auto"/>
              </w:divBdr>
              <w:divsChild>
                <w:div w:id="1751075221">
                  <w:marLeft w:val="0"/>
                  <w:marRight w:val="0"/>
                  <w:marTop w:val="0"/>
                  <w:marBottom w:val="0"/>
                  <w:divBdr>
                    <w:top w:val="none" w:sz="0" w:space="0" w:color="auto"/>
                    <w:left w:val="none" w:sz="0" w:space="0" w:color="auto"/>
                    <w:bottom w:val="none" w:sz="0" w:space="0" w:color="auto"/>
                    <w:right w:val="none" w:sz="0" w:space="0" w:color="auto"/>
                  </w:divBdr>
                </w:div>
              </w:divsChild>
            </w:div>
            <w:div w:id="2050715160">
              <w:marLeft w:val="0"/>
              <w:marRight w:val="0"/>
              <w:marTop w:val="0"/>
              <w:marBottom w:val="0"/>
              <w:divBdr>
                <w:top w:val="none" w:sz="0" w:space="0" w:color="auto"/>
                <w:left w:val="none" w:sz="0" w:space="0" w:color="auto"/>
                <w:bottom w:val="none" w:sz="0" w:space="0" w:color="auto"/>
                <w:right w:val="none" w:sz="0" w:space="0" w:color="auto"/>
              </w:divBdr>
              <w:divsChild>
                <w:div w:id="1667785972">
                  <w:marLeft w:val="0"/>
                  <w:marRight w:val="0"/>
                  <w:marTop w:val="0"/>
                  <w:marBottom w:val="0"/>
                  <w:divBdr>
                    <w:top w:val="none" w:sz="0" w:space="0" w:color="auto"/>
                    <w:left w:val="none" w:sz="0" w:space="0" w:color="auto"/>
                    <w:bottom w:val="none" w:sz="0" w:space="0" w:color="auto"/>
                    <w:right w:val="none" w:sz="0" w:space="0" w:color="auto"/>
                  </w:divBdr>
                </w:div>
              </w:divsChild>
            </w:div>
            <w:div w:id="1402215381">
              <w:marLeft w:val="0"/>
              <w:marRight w:val="0"/>
              <w:marTop w:val="0"/>
              <w:marBottom w:val="0"/>
              <w:divBdr>
                <w:top w:val="none" w:sz="0" w:space="0" w:color="auto"/>
                <w:left w:val="none" w:sz="0" w:space="0" w:color="auto"/>
                <w:bottom w:val="none" w:sz="0" w:space="0" w:color="auto"/>
                <w:right w:val="none" w:sz="0" w:space="0" w:color="auto"/>
              </w:divBdr>
              <w:divsChild>
                <w:div w:id="1139803739">
                  <w:marLeft w:val="0"/>
                  <w:marRight w:val="0"/>
                  <w:marTop w:val="0"/>
                  <w:marBottom w:val="0"/>
                  <w:divBdr>
                    <w:top w:val="none" w:sz="0" w:space="0" w:color="auto"/>
                    <w:left w:val="none" w:sz="0" w:space="0" w:color="auto"/>
                    <w:bottom w:val="none" w:sz="0" w:space="0" w:color="auto"/>
                    <w:right w:val="none" w:sz="0" w:space="0" w:color="auto"/>
                  </w:divBdr>
                </w:div>
              </w:divsChild>
            </w:div>
            <w:div w:id="1534808043">
              <w:marLeft w:val="0"/>
              <w:marRight w:val="0"/>
              <w:marTop w:val="0"/>
              <w:marBottom w:val="0"/>
              <w:divBdr>
                <w:top w:val="none" w:sz="0" w:space="0" w:color="auto"/>
                <w:left w:val="none" w:sz="0" w:space="0" w:color="auto"/>
                <w:bottom w:val="none" w:sz="0" w:space="0" w:color="auto"/>
                <w:right w:val="none" w:sz="0" w:space="0" w:color="auto"/>
              </w:divBdr>
              <w:divsChild>
                <w:div w:id="1116750868">
                  <w:marLeft w:val="0"/>
                  <w:marRight w:val="0"/>
                  <w:marTop w:val="0"/>
                  <w:marBottom w:val="0"/>
                  <w:divBdr>
                    <w:top w:val="none" w:sz="0" w:space="0" w:color="auto"/>
                    <w:left w:val="none" w:sz="0" w:space="0" w:color="auto"/>
                    <w:bottom w:val="none" w:sz="0" w:space="0" w:color="auto"/>
                    <w:right w:val="none" w:sz="0" w:space="0" w:color="auto"/>
                  </w:divBdr>
                </w:div>
              </w:divsChild>
            </w:div>
            <w:div w:id="1685782879">
              <w:marLeft w:val="0"/>
              <w:marRight w:val="0"/>
              <w:marTop w:val="0"/>
              <w:marBottom w:val="0"/>
              <w:divBdr>
                <w:top w:val="none" w:sz="0" w:space="0" w:color="auto"/>
                <w:left w:val="none" w:sz="0" w:space="0" w:color="auto"/>
                <w:bottom w:val="none" w:sz="0" w:space="0" w:color="auto"/>
                <w:right w:val="none" w:sz="0" w:space="0" w:color="auto"/>
              </w:divBdr>
              <w:divsChild>
                <w:div w:id="2013754008">
                  <w:marLeft w:val="0"/>
                  <w:marRight w:val="0"/>
                  <w:marTop w:val="0"/>
                  <w:marBottom w:val="0"/>
                  <w:divBdr>
                    <w:top w:val="none" w:sz="0" w:space="0" w:color="auto"/>
                    <w:left w:val="none" w:sz="0" w:space="0" w:color="auto"/>
                    <w:bottom w:val="none" w:sz="0" w:space="0" w:color="auto"/>
                    <w:right w:val="none" w:sz="0" w:space="0" w:color="auto"/>
                  </w:divBdr>
                </w:div>
              </w:divsChild>
            </w:div>
            <w:div w:id="567226019">
              <w:marLeft w:val="0"/>
              <w:marRight w:val="0"/>
              <w:marTop w:val="0"/>
              <w:marBottom w:val="0"/>
              <w:divBdr>
                <w:top w:val="none" w:sz="0" w:space="0" w:color="auto"/>
                <w:left w:val="none" w:sz="0" w:space="0" w:color="auto"/>
                <w:bottom w:val="none" w:sz="0" w:space="0" w:color="auto"/>
                <w:right w:val="none" w:sz="0" w:space="0" w:color="auto"/>
              </w:divBdr>
              <w:divsChild>
                <w:div w:id="747266239">
                  <w:marLeft w:val="0"/>
                  <w:marRight w:val="0"/>
                  <w:marTop w:val="0"/>
                  <w:marBottom w:val="0"/>
                  <w:divBdr>
                    <w:top w:val="none" w:sz="0" w:space="0" w:color="auto"/>
                    <w:left w:val="none" w:sz="0" w:space="0" w:color="auto"/>
                    <w:bottom w:val="none" w:sz="0" w:space="0" w:color="auto"/>
                    <w:right w:val="none" w:sz="0" w:space="0" w:color="auto"/>
                  </w:divBdr>
                </w:div>
              </w:divsChild>
            </w:div>
            <w:div w:id="1456826086">
              <w:marLeft w:val="0"/>
              <w:marRight w:val="0"/>
              <w:marTop w:val="0"/>
              <w:marBottom w:val="0"/>
              <w:divBdr>
                <w:top w:val="none" w:sz="0" w:space="0" w:color="auto"/>
                <w:left w:val="none" w:sz="0" w:space="0" w:color="auto"/>
                <w:bottom w:val="none" w:sz="0" w:space="0" w:color="auto"/>
                <w:right w:val="none" w:sz="0" w:space="0" w:color="auto"/>
              </w:divBdr>
              <w:divsChild>
                <w:div w:id="764575401">
                  <w:marLeft w:val="0"/>
                  <w:marRight w:val="0"/>
                  <w:marTop w:val="0"/>
                  <w:marBottom w:val="0"/>
                  <w:divBdr>
                    <w:top w:val="none" w:sz="0" w:space="0" w:color="auto"/>
                    <w:left w:val="none" w:sz="0" w:space="0" w:color="auto"/>
                    <w:bottom w:val="none" w:sz="0" w:space="0" w:color="auto"/>
                    <w:right w:val="none" w:sz="0" w:space="0" w:color="auto"/>
                  </w:divBdr>
                </w:div>
              </w:divsChild>
            </w:div>
            <w:div w:id="1833905755">
              <w:marLeft w:val="0"/>
              <w:marRight w:val="0"/>
              <w:marTop w:val="0"/>
              <w:marBottom w:val="0"/>
              <w:divBdr>
                <w:top w:val="none" w:sz="0" w:space="0" w:color="auto"/>
                <w:left w:val="none" w:sz="0" w:space="0" w:color="auto"/>
                <w:bottom w:val="none" w:sz="0" w:space="0" w:color="auto"/>
                <w:right w:val="none" w:sz="0" w:space="0" w:color="auto"/>
              </w:divBdr>
              <w:divsChild>
                <w:div w:id="627857063">
                  <w:marLeft w:val="0"/>
                  <w:marRight w:val="0"/>
                  <w:marTop w:val="0"/>
                  <w:marBottom w:val="0"/>
                  <w:divBdr>
                    <w:top w:val="none" w:sz="0" w:space="0" w:color="auto"/>
                    <w:left w:val="none" w:sz="0" w:space="0" w:color="auto"/>
                    <w:bottom w:val="none" w:sz="0" w:space="0" w:color="auto"/>
                    <w:right w:val="none" w:sz="0" w:space="0" w:color="auto"/>
                  </w:divBdr>
                </w:div>
              </w:divsChild>
            </w:div>
            <w:div w:id="691304111">
              <w:marLeft w:val="0"/>
              <w:marRight w:val="0"/>
              <w:marTop w:val="0"/>
              <w:marBottom w:val="0"/>
              <w:divBdr>
                <w:top w:val="none" w:sz="0" w:space="0" w:color="auto"/>
                <w:left w:val="none" w:sz="0" w:space="0" w:color="auto"/>
                <w:bottom w:val="none" w:sz="0" w:space="0" w:color="auto"/>
                <w:right w:val="none" w:sz="0" w:space="0" w:color="auto"/>
              </w:divBdr>
              <w:divsChild>
                <w:div w:id="2043289269">
                  <w:marLeft w:val="0"/>
                  <w:marRight w:val="0"/>
                  <w:marTop w:val="0"/>
                  <w:marBottom w:val="0"/>
                  <w:divBdr>
                    <w:top w:val="none" w:sz="0" w:space="0" w:color="auto"/>
                    <w:left w:val="none" w:sz="0" w:space="0" w:color="auto"/>
                    <w:bottom w:val="none" w:sz="0" w:space="0" w:color="auto"/>
                    <w:right w:val="none" w:sz="0" w:space="0" w:color="auto"/>
                  </w:divBdr>
                </w:div>
              </w:divsChild>
            </w:div>
            <w:div w:id="1873028770">
              <w:marLeft w:val="0"/>
              <w:marRight w:val="0"/>
              <w:marTop w:val="0"/>
              <w:marBottom w:val="0"/>
              <w:divBdr>
                <w:top w:val="none" w:sz="0" w:space="0" w:color="auto"/>
                <w:left w:val="none" w:sz="0" w:space="0" w:color="auto"/>
                <w:bottom w:val="none" w:sz="0" w:space="0" w:color="auto"/>
                <w:right w:val="none" w:sz="0" w:space="0" w:color="auto"/>
              </w:divBdr>
              <w:divsChild>
                <w:div w:id="1883977708">
                  <w:marLeft w:val="0"/>
                  <w:marRight w:val="0"/>
                  <w:marTop w:val="0"/>
                  <w:marBottom w:val="0"/>
                  <w:divBdr>
                    <w:top w:val="none" w:sz="0" w:space="0" w:color="auto"/>
                    <w:left w:val="none" w:sz="0" w:space="0" w:color="auto"/>
                    <w:bottom w:val="none" w:sz="0" w:space="0" w:color="auto"/>
                    <w:right w:val="none" w:sz="0" w:space="0" w:color="auto"/>
                  </w:divBdr>
                </w:div>
              </w:divsChild>
            </w:div>
            <w:div w:id="1050345988">
              <w:marLeft w:val="0"/>
              <w:marRight w:val="0"/>
              <w:marTop w:val="0"/>
              <w:marBottom w:val="0"/>
              <w:divBdr>
                <w:top w:val="none" w:sz="0" w:space="0" w:color="auto"/>
                <w:left w:val="none" w:sz="0" w:space="0" w:color="auto"/>
                <w:bottom w:val="none" w:sz="0" w:space="0" w:color="auto"/>
                <w:right w:val="none" w:sz="0" w:space="0" w:color="auto"/>
              </w:divBdr>
              <w:divsChild>
                <w:div w:id="951084484">
                  <w:marLeft w:val="0"/>
                  <w:marRight w:val="0"/>
                  <w:marTop w:val="0"/>
                  <w:marBottom w:val="0"/>
                  <w:divBdr>
                    <w:top w:val="none" w:sz="0" w:space="0" w:color="auto"/>
                    <w:left w:val="none" w:sz="0" w:space="0" w:color="auto"/>
                    <w:bottom w:val="none" w:sz="0" w:space="0" w:color="auto"/>
                    <w:right w:val="none" w:sz="0" w:space="0" w:color="auto"/>
                  </w:divBdr>
                </w:div>
              </w:divsChild>
            </w:div>
            <w:div w:id="484974072">
              <w:marLeft w:val="0"/>
              <w:marRight w:val="0"/>
              <w:marTop w:val="0"/>
              <w:marBottom w:val="0"/>
              <w:divBdr>
                <w:top w:val="none" w:sz="0" w:space="0" w:color="auto"/>
                <w:left w:val="none" w:sz="0" w:space="0" w:color="auto"/>
                <w:bottom w:val="none" w:sz="0" w:space="0" w:color="auto"/>
                <w:right w:val="none" w:sz="0" w:space="0" w:color="auto"/>
              </w:divBdr>
              <w:divsChild>
                <w:div w:id="1559777503">
                  <w:marLeft w:val="0"/>
                  <w:marRight w:val="0"/>
                  <w:marTop w:val="0"/>
                  <w:marBottom w:val="0"/>
                  <w:divBdr>
                    <w:top w:val="none" w:sz="0" w:space="0" w:color="auto"/>
                    <w:left w:val="none" w:sz="0" w:space="0" w:color="auto"/>
                    <w:bottom w:val="none" w:sz="0" w:space="0" w:color="auto"/>
                    <w:right w:val="none" w:sz="0" w:space="0" w:color="auto"/>
                  </w:divBdr>
                </w:div>
              </w:divsChild>
            </w:div>
            <w:div w:id="1942300488">
              <w:marLeft w:val="0"/>
              <w:marRight w:val="0"/>
              <w:marTop w:val="0"/>
              <w:marBottom w:val="0"/>
              <w:divBdr>
                <w:top w:val="none" w:sz="0" w:space="0" w:color="auto"/>
                <w:left w:val="none" w:sz="0" w:space="0" w:color="auto"/>
                <w:bottom w:val="none" w:sz="0" w:space="0" w:color="auto"/>
                <w:right w:val="none" w:sz="0" w:space="0" w:color="auto"/>
              </w:divBdr>
              <w:divsChild>
                <w:div w:id="1443302727">
                  <w:marLeft w:val="0"/>
                  <w:marRight w:val="0"/>
                  <w:marTop w:val="0"/>
                  <w:marBottom w:val="0"/>
                  <w:divBdr>
                    <w:top w:val="none" w:sz="0" w:space="0" w:color="auto"/>
                    <w:left w:val="none" w:sz="0" w:space="0" w:color="auto"/>
                    <w:bottom w:val="none" w:sz="0" w:space="0" w:color="auto"/>
                    <w:right w:val="none" w:sz="0" w:space="0" w:color="auto"/>
                  </w:divBdr>
                </w:div>
              </w:divsChild>
            </w:div>
            <w:div w:id="1914386230">
              <w:marLeft w:val="0"/>
              <w:marRight w:val="0"/>
              <w:marTop w:val="0"/>
              <w:marBottom w:val="0"/>
              <w:divBdr>
                <w:top w:val="none" w:sz="0" w:space="0" w:color="auto"/>
                <w:left w:val="none" w:sz="0" w:space="0" w:color="auto"/>
                <w:bottom w:val="none" w:sz="0" w:space="0" w:color="auto"/>
                <w:right w:val="none" w:sz="0" w:space="0" w:color="auto"/>
              </w:divBdr>
              <w:divsChild>
                <w:div w:id="166794628">
                  <w:marLeft w:val="0"/>
                  <w:marRight w:val="0"/>
                  <w:marTop w:val="0"/>
                  <w:marBottom w:val="0"/>
                  <w:divBdr>
                    <w:top w:val="none" w:sz="0" w:space="0" w:color="auto"/>
                    <w:left w:val="none" w:sz="0" w:space="0" w:color="auto"/>
                    <w:bottom w:val="none" w:sz="0" w:space="0" w:color="auto"/>
                    <w:right w:val="none" w:sz="0" w:space="0" w:color="auto"/>
                  </w:divBdr>
                </w:div>
              </w:divsChild>
            </w:div>
            <w:div w:id="2039811694">
              <w:marLeft w:val="0"/>
              <w:marRight w:val="0"/>
              <w:marTop w:val="0"/>
              <w:marBottom w:val="0"/>
              <w:divBdr>
                <w:top w:val="none" w:sz="0" w:space="0" w:color="auto"/>
                <w:left w:val="none" w:sz="0" w:space="0" w:color="auto"/>
                <w:bottom w:val="none" w:sz="0" w:space="0" w:color="auto"/>
                <w:right w:val="none" w:sz="0" w:space="0" w:color="auto"/>
              </w:divBdr>
              <w:divsChild>
                <w:div w:id="539627724">
                  <w:marLeft w:val="0"/>
                  <w:marRight w:val="0"/>
                  <w:marTop w:val="0"/>
                  <w:marBottom w:val="0"/>
                  <w:divBdr>
                    <w:top w:val="none" w:sz="0" w:space="0" w:color="auto"/>
                    <w:left w:val="none" w:sz="0" w:space="0" w:color="auto"/>
                    <w:bottom w:val="none" w:sz="0" w:space="0" w:color="auto"/>
                    <w:right w:val="none" w:sz="0" w:space="0" w:color="auto"/>
                  </w:divBdr>
                </w:div>
              </w:divsChild>
            </w:div>
            <w:div w:id="876771925">
              <w:marLeft w:val="0"/>
              <w:marRight w:val="0"/>
              <w:marTop w:val="0"/>
              <w:marBottom w:val="0"/>
              <w:divBdr>
                <w:top w:val="none" w:sz="0" w:space="0" w:color="auto"/>
                <w:left w:val="none" w:sz="0" w:space="0" w:color="auto"/>
                <w:bottom w:val="none" w:sz="0" w:space="0" w:color="auto"/>
                <w:right w:val="none" w:sz="0" w:space="0" w:color="auto"/>
              </w:divBdr>
              <w:divsChild>
                <w:div w:id="416482833">
                  <w:marLeft w:val="0"/>
                  <w:marRight w:val="0"/>
                  <w:marTop w:val="0"/>
                  <w:marBottom w:val="0"/>
                  <w:divBdr>
                    <w:top w:val="none" w:sz="0" w:space="0" w:color="auto"/>
                    <w:left w:val="none" w:sz="0" w:space="0" w:color="auto"/>
                    <w:bottom w:val="none" w:sz="0" w:space="0" w:color="auto"/>
                    <w:right w:val="none" w:sz="0" w:space="0" w:color="auto"/>
                  </w:divBdr>
                </w:div>
              </w:divsChild>
            </w:div>
            <w:div w:id="597255273">
              <w:marLeft w:val="0"/>
              <w:marRight w:val="0"/>
              <w:marTop w:val="0"/>
              <w:marBottom w:val="0"/>
              <w:divBdr>
                <w:top w:val="none" w:sz="0" w:space="0" w:color="auto"/>
                <w:left w:val="none" w:sz="0" w:space="0" w:color="auto"/>
                <w:bottom w:val="none" w:sz="0" w:space="0" w:color="auto"/>
                <w:right w:val="none" w:sz="0" w:space="0" w:color="auto"/>
              </w:divBdr>
              <w:divsChild>
                <w:div w:id="841700986">
                  <w:marLeft w:val="0"/>
                  <w:marRight w:val="0"/>
                  <w:marTop w:val="0"/>
                  <w:marBottom w:val="0"/>
                  <w:divBdr>
                    <w:top w:val="none" w:sz="0" w:space="0" w:color="auto"/>
                    <w:left w:val="none" w:sz="0" w:space="0" w:color="auto"/>
                    <w:bottom w:val="none" w:sz="0" w:space="0" w:color="auto"/>
                    <w:right w:val="none" w:sz="0" w:space="0" w:color="auto"/>
                  </w:divBdr>
                </w:div>
              </w:divsChild>
            </w:div>
            <w:div w:id="108821326">
              <w:marLeft w:val="0"/>
              <w:marRight w:val="0"/>
              <w:marTop w:val="0"/>
              <w:marBottom w:val="0"/>
              <w:divBdr>
                <w:top w:val="none" w:sz="0" w:space="0" w:color="auto"/>
                <w:left w:val="none" w:sz="0" w:space="0" w:color="auto"/>
                <w:bottom w:val="none" w:sz="0" w:space="0" w:color="auto"/>
                <w:right w:val="none" w:sz="0" w:space="0" w:color="auto"/>
              </w:divBdr>
              <w:divsChild>
                <w:div w:id="895747279">
                  <w:marLeft w:val="0"/>
                  <w:marRight w:val="0"/>
                  <w:marTop w:val="0"/>
                  <w:marBottom w:val="0"/>
                  <w:divBdr>
                    <w:top w:val="none" w:sz="0" w:space="0" w:color="auto"/>
                    <w:left w:val="none" w:sz="0" w:space="0" w:color="auto"/>
                    <w:bottom w:val="none" w:sz="0" w:space="0" w:color="auto"/>
                    <w:right w:val="none" w:sz="0" w:space="0" w:color="auto"/>
                  </w:divBdr>
                </w:div>
              </w:divsChild>
            </w:div>
            <w:div w:id="109980436">
              <w:marLeft w:val="0"/>
              <w:marRight w:val="0"/>
              <w:marTop w:val="0"/>
              <w:marBottom w:val="0"/>
              <w:divBdr>
                <w:top w:val="none" w:sz="0" w:space="0" w:color="auto"/>
                <w:left w:val="none" w:sz="0" w:space="0" w:color="auto"/>
                <w:bottom w:val="none" w:sz="0" w:space="0" w:color="auto"/>
                <w:right w:val="none" w:sz="0" w:space="0" w:color="auto"/>
              </w:divBdr>
              <w:divsChild>
                <w:div w:id="119034592">
                  <w:marLeft w:val="0"/>
                  <w:marRight w:val="0"/>
                  <w:marTop w:val="0"/>
                  <w:marBottom w:val="0"/>
                  <w:divBdr>
                    <w:top w:val="none" w:sz="0" w:space="0" w:color="auto"/>
                    <w:left w:val="none" w:sz="0" w:space="0" w:color="auto"/>
                    <w:bottom w:val="none" w:sz="0" w:space="0" w:color="auto"/>
                    <w:right w:val="none" w:sz="0" w:space="0" w:color="auto"/>
                  </w:divBdr>
                </w:div>
              </w:divsChild>
            </w:div>
            <w:div w:id="383916088">
              <w:marLeft w:val="0"/>
              <w:marRight w:val="0"/>
              <w:marTop w:val="0"/>
              <w:marBottom w:val="0"/>
              <w:divBdr>
                <w:top w:val="none" w:sz="0" w:space="0" w:color="auto"/>
                <w:left w:val="none" w:sz="0" w:space="0" w:color="auto"/>
                <w:bottom w:val="none" w:sz="0" w:space="0" w:color="auto"/>
                <w:right w:val="none" w:sz="0" w:space="0" w:color="auto"/>
              </w:divBdr>
              <w:divsChild>
                <w:div w:id="905991631">
                  <w:marLeft w:val="0"/>
                  <w:marRight w:val="0"/>
                  <w:marTop w:val="0"/>
                  <w:marBottom w:val="0"/>
                  <w:divBdr>
                    <w:top w:val="none" w:sz="0" w:space="0" w:color="auto"/>
                    <w:left w:val="none" w:sz="0" w:space="0" w:color="auto"/>
                    <w:bottom w:val="none" w:sz="0" w:space="0" w:color="auto"/>
                    <w:right w:val="none" w:sz="0" w:space="0" w:color="auto"/>
                  </w:divBdr>
                </w:div>
              </w:divsChild>
            </w:div>
            <w:div w:id="816335369">
              <w:marLeft w:val="0"/>
              <w:marRight w:val="0"/>
              <w:marTop w:val="0"/>
              <w:marBottom w:val="0"/>
              <w:divBdr>
                <w:top w:val="none" w:sz="0" w:space="0" w:color="auto"/>
                <w:left w:val="none" w:sz="0" w:space="0" w:color="auto"/>
                <w:bottom w:val="none" w:sz="0" w:space="0" w:color="auto"/>
                <w:right w:val="none" w:sz="0" w:space="0" w:color="auto"/>
              </w:divBdr>
              <w:divsChild>
                <w:div w:id="1050350705">
                  <w:marLeft w:val="0"/>
                  <w:marRight w:val="0"/>
                  <w:marTop w:val="0"/>
                  <w:marBottom w:val="0"/>
                  <w:divBdr>
                    <w:top w:val="none" w:sz="0" w:space="0" w:color="auto"/>
                    <w:left w:val="none" w:sz="0" w:space="0" w:color="auto"/>
                    <w:bottom w:val="none" w:sz="0" w:space="0" w:color="auto"/>
                    <w:right w:val="none" w:sz="0" w:space="0" w:color="auto"/>
                  </w:divBdr>
                </w:div>
              </w:divsChild>
            </w:div>
            <w:div w:id="420489092">
              <w:marLeft w:val="0"/>
              <w:marRight w:val="0"/>
              <w:marTop w:val="0"/>
              <w:marBottom w:val="0"/>
              <w:divBdr>
                <w:top w:val="none" w:sz="0" w:space="0" w:color="auto"/>
                <w:left w:val="none" w:sz="0" w:space="0" w:color="auto"/>
                <w:bottom w:val="none" w:sz="0" w:space="0" w:color="auto"/>
                <w:right w:val="none" w:sz="0" w:space="0" w:color="auto"/>
              </w:divBdr>
              <w:divsChild>
                <w:div w:id="1758865608">
                  <w:marLeft w:val="0"/>
                  <w:marRight w:val="0"/>
                  <w:marTop w:val="0"/>
                  <w:marBottom w:val="0"/>
                  <w:divBdr>
                    <w:top w:val="none" w:sz="0" w:space="0" w:color="auto"/>
                    <w:left w:val="none" w:sz="0" w:space="0" w:color="auto"/>
                    <w:bottom w:val="none" w:sz="0" w:space="0" w:color="auto"/>
                    <w:right w:val="none" w:sz="0" w:space="0" w:color="auto"/>
                  </w:divBdr>
                </w:div>
              </w:divsChild>
            </w:div>
            <w:div w:id="477190063">
              <w:marLeft w:val="0"/>
              <w:marRight w:val="0"/>
              <w:marTop w:val="0"/>
              <w:marBottom w:val="0"/>
              <w:divBdr>
                <w:top w:val="none" w:sz="0" w:space="0" w:color="auto"/>
                <w:left w:val="none" w:sz="0" w:space="0" w:color="auto"/>
                <w:bottom w:val="none" w:sz="0" w:space="0" w:color="auto"/>
                <w:right w:val="none" w:sz="0" w:space="0" w:color="auto"/>
              </w:divBdr>
              <w:divsChild>
                <w:div w:id="197936794">
                  <w:marLeft w:val="0"/>
                  <w:marRight w:val="0"/>
                  <w:marTop w:val="0"/>
                  <w:marBottom w:val="0"/>
                  <w:divBdr>
                    <w:top w:val="none" w:sz="0" w:space="0" w:color="auto"/>
                    <w:left w:val="none" w:sz="0" w:space="0" w:color="auto"/>
                    <w:bottom w:val="none" w:sz="0" w:space="0" w:color="auto"/>
                    <w:right w:val="none" w:sz="0" w:space="0" w:color="auto"/>
                  </w:divBdr>
                </w:div>
              </w:divsChild>
            </w:div>
            <w:div w:id="871262841">
              <w:marLeft w:val="0"/>
              <w:marRight w:val="0"/>
              <w:marTop w:val="0"/>
              <w:marBottom w:val="0"/>
              <w:divBdr>
                <w:top w:val="none" w:sz="0" w:space="0" w:color="auto"/>
                <w:left w:val="none" w:sz="0" w:space="0" w:color="auto"/>
                <w:bottom w:val="none" w:sz="0" w:space="0" w:color="auto"/>
                <w:right w:val="none" w:sz="0" w:space="0" w:color="auto"/>
              </w:divBdr>
              <w:divsChild>
                <w:div w:id="2077514029">
                  <w:marLeft w:val="0"/>
                  <w:marRight w:val="0"/>
                  <w:marTop w:val="0"/>
                  <w:marBottom w:val="0"/>
                  <w:divBdr>
                    <w:top w:val="none" w:sz="0" w:space="0" w:color="auto"/>
                    <w:left w:val="none" w:sz="0" w:space="0" w:color="auto"/>
                    <w:bottom w:val="none" w:sz="0" w:space="0" w:color="auto"/>
                    <w:right w:val="none" w:sz="0" w:space="0" w:color="auto"/>
                  </w:divBdr>
                </w:div>
              </w:divsChild>
            </w:div>
            <w:div w:id="1696274556">
              <w:marLeft w:val="0"/>
              <w:marRight w:val="0"/>
              <w:marTop w:val="0"/>
              <w:marBottom w:val="0"/>
              <w:divBdr>
                <w:top w:val="none" w:sz="0" w:space="0" w:color="auto"/>
                <w:left w:val="none" w:sz="0" w:space="0" w:color="auto"/>
                <w:bottom w:val="none" w:sz="0" w:space="0" w:color="auto"/>
                <w:right w:val="none" w:sz="0" w:space="0" w:color="auto"/>
              </w:divBdr>
              <w:divsChild>
                <w:div w:id="1543247329">
                  <w:marLeft w:val="0"/>
                  <w:marRight w:val="0"/>
                  <w:marTop w:val="0"/>
                  <w:marBottom w:val="0"/>
                  <w:divBdr>
                    <w:top w:val="none" w:sz="0" w:space="0" w:color="auto"/>
                    <w:left w:val="none" w:sz="0" w:space="0" w:color="auto"/>
                    <w:bottom w:val="none" w:sz="0" w:space="0" w:color="auto"/>
                    <w:right w:val="none" w:sz="0" w:space="0" w:color="auto"/>
                  </w:divBdr>
                </w:div>
              </w:divsChild>
            </w:div>
            <w:div w:id="875115564">
              <w:marLeft w:val="0"/>
              <w:marRight w:val="0"/>
              <w:marTop w:val="0"/>
              <w:marBottom w:val="0"/>
              <w:divBdr>
                <w:top w:val="none" w:sz="0" w:space="0" w:color="auto"/>
                <w:left w:val="none" w:sz="0" w:space="0" w:color="auto"/>
                <w:bottom w:val="none" w:sz="0" w:space="0" w:color="auto"/>
                <w:right w:val="none" w:sz="0" w:space="0" w:color="auto"/>
              </w:divBdr>
              <w:divsChild>
                <w:div w:id="1567372276">
                  <w:marLeft w:val="0"/>
                  <w:marRight w:val="0"/>
                  <w:marTop w:val="0"/>
                  <w:marBottom w:val="0"/>
                  <w:divBdr>
                    <w:top w:val="none" w:sz="0" w:space="0" w:color="auto"/>
                    <w:left w:val="none" w:sz="0" w:space="0" w:color="auto"/>
                    <w:bottom w:val="none" w:sz="0" w:space="0" w:color="auto"/>
                    <w:right w:val="none" w:sz="0" w:space="0" w:color="auto"/>
                  </w:divBdr>
                </w:div>
              </w:divsChild>
            </w:div>
            <w:div w:id="794101706">
              <w:marLeft w:val="0"/>
              <w:marRight w:val="0"/>
              <w:marTop w:val="0"/>
              <w:marBottom w:val="0"/>
              <w:divBdr>
                <w:top w:val="none" w:sz="0" w:space="0" w:color="auto"/>
                <w:left w:val="none" w:sz="0" w:space="0" w:color="auto"/>
                <w:bottom w:val="none" w:sz="0" w:space="0" w:color="auto"/>
                <w:right w:val="none" w:sz="0" w:space="0" w:color="auto"/>
              </w:divBdr>
              <w:divsChild>
                <w:div w:id="5838527">
                  <w:marLeft w:val="0"/>
                  <w:marRight w:val="0"/>
                  <w:marTop w:val="0"/>
                  <w:marBottom w:val="0"/>
                  <w:divBdr>
                    <w:top w:val="none" w:sz="0" w:space="0" w:color="auto"/>
                    <w:left w:val="none" w:sz="0" w:space="0" w:color="auto"/>
                    <w:bottom w:val="none" w:sz="0" w:space="0" w:color="auto"/>
                    <w:right w:val="none" w:sz="0" w:space="0" w:color="auto"/>
                  </w:divBdr>
                </w:div>
              </w:divsChild>
            </w:div>
            <w:div w:id="1637368067">
              <w:marLeft w:val="0"/>
              <w:marRight w:val="0"/>
              <w:marTop w:val="0"/>
              <w:marBottom w:val="0"/>
              <w:divBdr>
                <w:top w:val="none" w:sz="0" w:space="0" w:color="auto"/>
                <w:left w:val="none" w:sz="0" w:space="0" w:color="auto"/>
                <w:bottom w:val="none" w:sz="0" w:space="0" w:color="auto"/>
                <w:right w:val="none" w:sz="0" w:space="0" w:color="auto"/>
              </w:divBdr>
              <w:divsChild>
                <w:div w:id="1587229365">
                  <w:marLeft w:val="0"/>
                  <w:marRight w:val="0"/>
                  <w:marTop w:val="0"/>
                  <w:marBottom w:val="0"/>
                  <w:divBdr>
                    <w:top w:val="none" w:sz="0" w:space="0" w:color="auto"/>
                    <w:left w:val="none" w:sz="0" w:space="0" w:color="auto"/>
                    <w:bottom w:val="none" w:sz="0" w:space="0" w:color="auto"/>
                    <w:right w:val="none" w:sz="0" w:space="0" w:color="auto"/>
                  </w:divBdr>
                </w:div>
              </w:divsChild>
            </w:div>
            <w:div w:id="345182685">
              <w:marLeft w:val="0"/>
              <w:marRight w:val="0"/>
              <w:marTop w:val="0"/>
              <w:marBottom w:val="0"/>
              <w:divBdr>
                <w:top w:val="none" w:sz="0" w:space="0" w:color="auto"/>
                <w:left w:val="none" w:sz="0" w:space="0" w:color="auto"/>
                <w:bottom w:val="none" w:sz="0" w:space="0" w:color="auto"/>
                <w:right w:val="none" w:sz="0" w:space="0" w:color="auto"/>
              </w:divBdr>
              <w:divsChild>
                <w:div w:id="1689597339">
                  <w:marLeft w:val="0"/>
                  <w:marRight w:val="0"/>
                  <w:marTop w:val="0"/>
                  <w:marBottom w:val="0"/>
                  <w:divBdr>
                    <w:top w:val="none" w:sz="0" w:space="0" w:color="auto"/>
                    <w:left w:val="none" w:sz="0" w:space="0" w:color="auto"/>
                    <w:bottom w:val="none" w:sz="0" w:space="0" w:color="auto"/>
                    <w:right w:val="none" w:sz="0" w:space="0" w:color="auto"/>
                  </w:divBdr>
                </w:div>
              </w:divsChild>
            </w:div>
            <w:div w:id="1773357661">
              <w:marLeft w:val="0"/>
              <w:marRight w:val="0"/>
              <w:marTop w:val="0"/>
              <w:marBottom w:val="0"/>
              <w:divBdr>
                <w:top w:val="none" w:sz="0" w:space="0" w:color="auto"/>
                <w:left w:val="none" w:sz="0" w:space="0" w:color="auto"/>
                <w:bottom w:val="none" w:sz="0" w:space="0" w:color="auto"/>
                <w:right w:val="none" w:sz="0" w:space="0" w:color="auto"/>
              </w:divBdr>
              <w:divsChild>
                <w:div w:id="1597595714">
                  <w:marLeft w:val="0"/>
                  <w:marRight w:val="0"/>
                  <w:marTop w:val="0"/>
                  <w:marBottom w:val="0"/>
                  <w:divBdr>
                    <w:top w:val="none" w:sz="0" w:space="0" w:color="auto"/>
                    <w:left w:val="none" w:sz="0" w:space="0" w:color="auto"/>
                    <w:bottom w:val="none" w:sz="0" w:space="0" w:color="auto"/>
                    <w:right w:val="none" w:sz="0" w:space="0" w:color="auto"/>
                  </w:divBdr>
                </w:div>
              </w:divsChild>
            </w:div>
            <w:div w:id="1744184729">
              <w:marLeft w:val="0"/>
              <w:marRight w:val="0"/>
              <w:marTop w:val="0"/>
              <w:marBottom w:val="0"/>
              <w:divBdr>
                <w:top w:val="none" w:sz="0" w:space="0" w:color="auto"/>
                <w:left w:val="none" w:sz="0" w:space="0" w:color="auto"/>
                <w:bottom w:val="none" w:sz="0" w:space="0" w:color="auto"/>
                <w:right w:val="none" w:sz="0" w:space="0" w:color="auto"/>
              </w:divBdr>
              <w:divsChild>
                <w:div w:id="1556506050">
                  <w:marLeft w:val="0"/>
                  <w:marRight w:val="0"/>
                  <w:marTop w:val="0"/>
                  <w:marBottom w:val="0"/>
                  <w:divBdr>
                    <w:top w:val="none" w:sz="0" w:space="0" w:color="auto"/>
                    <w:left w:val="none" w:sz="0" w:space="0" w:color="auto"/>
                    <w:bottom w:val="none" w:sz="0" w:space="0" w:color="auto"/>
                    <w:right w:val="none" w:sz="0" w:space="0" w:color="auto"/>
                  </w:divBdr>
                </w:div>
              </w:divsChild>
            </w:div>
            <w:div w:id="1072387163">
              <w:marLeft w:val="0"/>
              <w:marRight w:val="0"/>
              <w:marTop w:val="0"/>
              <w:marBottom w:val="0"/>
              <w:divBdr>
                <w:top w:val="none" w:sz="0" w:space="0" w:color="auto"/>
                <w:left w:val="none" w:sz="0" w:space="0" w:color="auto"/>
                <w:bottom w:val="none" w:sz="0" w:space="0" w:color="auto"/>
                <w:right w:val="none" w:sz="0" w:space="0" w:color="auto"/>
              </w:divBdr>
              <w:divsChild>
                <w:div w:id="1867912432">
                  <w:marLeft w:val="0"/>
                  <w:marRight w:val="0"/>
                  <w:marTop w:val="0"/>
                  <w:marBottom w:val="0"/>
                  <w:divBdr>
                    <w:top w:val="none" w:sz="0" w:space="0" w:color="auto"/>
                    <w:left w:val="none" w:sz="0" w:space="0" w:color="auto"/>
                    <w:bottom w:val="none" w:sz="0" w:space="0" w:color="auto"/>
                    <w:right w:val="none" w:sz="0" w:space="0" w:color="auto"/>
                  </w:divBdr>
                </w:div>
              </w:divsChild>
            </w:div>
            <w:div w:id="1995598381">
              <w:marLeft w:val="0"/>
              <w:marRight w:val="0"/>
              <w:marTop w:val="0"/>
              <w:marBottom w:val="0"/>
              <w:divBdr>
                <w:top w:val="none" w:sz="0" w:space="0" w:color="auto"/>
                <w:left w:val="none" w:sz="0" w:space="0" w:color="auto"/>
                <w:bottom w:val="none" w:sz="0" w:space="0" w:color="auto"/>
                <w:right w:val="none" w:sz="0" w:space="0" w:color="auto"/>
              </w:divBdr>
              <w:divsChild>
                <w:div w:id="1307514548">
                  <w:marLeft w:val="0"/>
                  <w:marRight w:val="0"/>
                  <w:marTop w:val="0"/>
                  <w:marBottom w:val="0"/>
                  <w:divBdr>
                    <w:top w:val="none" w:sz="0" w:space="0" w:color="auto"/>
                    <w:left w:val="none" w:sz="0" w:space="0" w:color="auto"/>
                    <w:bottom w:val="none" w:sz="0" w:space="0" w:color="auto"/>
                    <w:right w:val="none" w:sz="0" w:space="0" w:color="auto"/>
                  </w:divBdr>
                </w:div>
              </w:divsChild>
            </w:div>
            <w:div w:id="656807885">
              <w:marLeft w:val="0"/>
              <w:marRight w:val="0"/>
              <w:marTop w:val="0"/>
              <w:marBottom w:val="0"/>
              <w:divBdr>
                <w:top w:val="none" w:sz="0" w:space="0" w:color="auto"/>
                <w:left w:val="none" w:sz="0" w:space="0" w:color="auto"/>
                <w:bottom w:val="none" w:sz="0" w:space="0" w:color="auto"/>
                <w:right w:val="none" w:sz="0" w:space="0" w:color="auto"/>
              </w:divBdr>
              <w:divsChild>
                <w:div w:id="1603999446">
                  <w:marLeft w:val="0"/>
                  <w:marRight w:val="0"/>
                  <w:marTop w:val="0"/>
                  <w:marBottom w:val="0"/>
                  <w:divBdr>
                    <w:top w:val="none" w:sz="0" w:space="0" w:color="auto"/>
                    <w:left w:val="none" w:sz="0" w:space="0" w:color="auto"/>
                    <w:bottom w:val="none" w:sz="0" w:space="0" w:color="auto"/>
                    <w:right w:val="none" w:sz="0" w:space="0" w:color="auto"/>
                  </w:divBdr>
                </w:div>
              </w:divsChild>
            </w:div>
            <w:div w:id="111173955">
              <w:marLeft w:val="0"/>
              <w:marRight w:val="0"/>
              <w:marTop w:val="0"/>
              <w:marBottom w:val="0"/>
              <w:divBdr>
                <w:top w:val="none" w:sz="0" w:space="0" w:color="auto"/>
                <w:left w:val="none" w:sz="0" w:space="0" w:color="auto"/>
                <w:bottom w:val="none" w:sz="0" w:space="0" w:color="auto"/>
                <w:right w:val="none" w:sz="0" w:space="0" w:color="auto"/>
              </w:divBdr>
              <w:divsChild>
                <w:div w:id="316694118">
                  <w:marLeft w:val="0"/>
                  <w:marRight w:val="0"/>
                  <w:marTop w:val="0"/>
                  <w:marBottom w:val="0"/>
                  <w:divBdr>
                    <w:top w:val="none" w:sz="0" w:space="0" w:color="auto"/>
                    <w:left w:val="none" w:sz="0" w:space="0" w:color="auto"/>
                    <w:bottom w:val="none" w:sz="0" w:space="0" w:color="auto"/>
                    <w:right w:val="none" w:sz="0" w:space="0" w:color="auto"/>
                  </w:divBdr>
                </w:div>
              </w:divsChild>
            </w:div>
            <w:div w:id="611788166">
              <w:marLeft w:val="0"/>
              <w:marRight w:val="0"/>
              <w:marTop w:val="0"/>
              <w:marBottom w:val="0"/>
              <w:divBdr>
                <w:top w:val="none" w:sz="0" w:space="0" w:color="auto"/>
                <w:left w:val="none" w:sz="0" w:space="0" w:color="auto"/>
                <w:bottom w:val="none" w:sz="0" w:space="0" w:color="auto"/>
                <w:right w:val="none" w:sz="0" w:space="0" w:color="auto"/>
              </w:divBdr>
              <w:divsChild>
                <w:div w:id="1889488399">
                  <w:marLeft w:val="0"/>
                  <w:marRight w:val="0"/>
                  <w:marTop w:val="0"/>
                  <w:marBottom w:val="0"/>
                  <w:divBdr>
                    <w:top w:val="none" w:sz="0" w:space="0" w:color="auto"/>
                    <w:left w:val="none" w:sz="0" w:space="0" w:color="auto"/>
                    <w:bottom w:val="none" w:sz="0" w:space="0" w:color="auto"/>
                    <w:right w:val="none" w:sz="0" w:space="0" w:color="auto"/>
                  </w:divBdr>
                </w:div>
              </w:divsChild>
            </w:div>
            <w:div w:id="797844380">
              <w:marLeft w:val="0"/>
              <w:marRight w:val="0"/>
              <w:marTop w:val="0"/>
              <w:marBottom w:val="0"/>
              <w:divBdr>
                <w:top w:val="none" w:sz="0" w:space="0" w:color="auto"/>
                <w:left w:val="none" w:sz="0" w:space="0" w:color="auto"/>
                <w:bottom w:val="none" w:sz="0" w:space="0" w:color="auto"/>
                <w:right w:val="none" w:sz="0" w:space="0" w:color="auto"/>
              </w:divBdr>
              <w:divsChild>
                <w:div w:id="168716997">
                  <w:marLeft w:val="0"/>
                  <w:marRight w:val="0"/>
                  <w:marTop w:val="0"/>
                  <w:marBottom w:val="0"/>
                  <w:divBdr>
                    <w:top w:val="none" w:sz="0" w:space="0" w:color="auto"/>
                    <w:left w:val="none" w:sz="0" w:space="0" w:color="auto"/>
                    <w:bottom w:val="none" w:sz="0" w:space="0" w:color="auto"/>
                    <w:right w:val="none" w:sz="0" w:space="0" w:color="auto"/>
                  </w:divBdr>
                </w:div>
              </w:divsChild>
            </w:div>
            <w:div w:id="828058071">
              <w:marLeft w:val="0"/>
              <w:marRight w:val="0"/>
              <w:marTop w:val="0"/>
              <w:marBottom w:val="0"/>
              <w:divBdr>
                <w:top w:val="none" w:sz="0" w:space="0" w:color="auto"/>
                <w:left w:val="none" w:sz="0" w:space="0" w:color="auto"/>
                <w:bottom w:val="none" w:sz="0" w:space="0" w:color="auto"/>
                <w:right w:val="none" w:sz="0" w:space="0" w:color="auto"/>
              </w:divBdr>
              <w:divsChild>
                <w:div w:id="882058440">
                  <w:marLeft w:val="0"/>
                  <w:marRight w:val="0"/>
                  <w:marTop w:val="0"/>
                  <w:marBottom w:val="0"/>
                  <w:divBdr>
                    <w:top w:val="none" w:sz="0" w:space="0" w:color="auto"/>
                    <w:left w:val="none" w:sz="0" w:space="0" w:color="auto"/>
                    <w:bottom w:val="none" w:sz="0" w:space="0" w:color="auto"/>
                    <w:right w:val="none" w:sz="0" w:space="0" w:color="auto"/>
                  </w:divBdr>
                </w:div>
              </w:divsChild>
            </w:div>
            <w:div w:id="673269317">
              <w:marLeft w:val="0"/>
              <w:marRight w:val="0"/>
              <w:marTop w:val="0"/>
              <w:marBottom w:val="0"/>
              <w:divBdr>
                <w:top w:val="none" w:sz="0" w:space="0" w:color="auto"/>
                <w:left w:val="none" w:sz="0" w:space="0" w:color="auto"/>
                <w:bottom w:val="none" w:sz="0" w:space="0" w:color="auto"/>
                <w:right w:val="none" w:sz="0" w:space="0" w:color="auto"/>
              </w:divBdr>
              <w:divsChild>
                <w:div w:id="875704928">
                  <w:marLeft w:val="0"/>
                  <w:marRight w:val="0"/>
                  <w:marTop w:val="0"/>
                  <w:marBottom w:val="0"/>
                  <w:divBdr>
                    <w:top w:val="none" w:sz="0" w:space="0" w:color="auto"/>
                    <w:left w:val="none" w:sz="0" w:space="0" w:color="auto"/>
                    <w:bottom w:val="none" w:sz="0" w:space="0" w:color="auto"/>
                    <w:right w:val="none" w:sz="0" w:space="0" w:color="auto"/>
                  </w:divBdr>
                </w:div>
              </w:divsChild>
            </w:div>
            <w:div w:id="180776619">
              <w:marLeft w:val="0"/>
              <w:marRight w:val="0"/>
              <w:marTop w:val="0"/>
              <w:marBottom w:val="0"/>
              <w:divBdr>
                <w:top w:val="none" w:sz="0" w:space="0" w:color="auto"/>
                <w:left w:val="none" w:sz="0" w:space="0" w:color="auto"/>
                <w:bottom w:val="none" w:sz="0" w:space="0" w:color="auto"/>
                <w:right w:val="none" w:sz="0" w:space="0" w:color="auto"/>
              </w:divBdr>
              <w:divsChild>
                <w:div w:id="1626157880">
                  <w:marLeft w:val="0"/>
                  <w:marRight w:val="0"/>
                  <w:marTop w:val="0"/>
                  <w:marBottom w:val="0"/>
                  <w:divBdr>
                    <w:top w:val="none" w:sz="0" w:space="0" w:color="auto"/>
                    <w:left w:val="none" w:sz="0" w:space="0" w:color="auto"/>
                    <w:bottom w:val="none" w:sz="0" w:space="0" w:color="auto"/>
                    <w:right w:val="none" w:sz="0" w:space="0" w:color="auto"/>
                  </w:divBdr>
                </w:div>
              </w:divsChild>
            </w:div>
            <w:div w:id="622658444">
              <w:marLeft w:val="0"/>
              <w:marRight w:val="0"/>
              <w:marTop w:val="0"/>
              <w:marBottom w:val="0"/>
              <w:divBdr>
                <w:top w:val="none" w:sz="0" w:space="0" w:color="auto"/>
                <w:left w:val="none" w:sz="0" w:space="0" w:color="auto"/>
                <w:bottom w:val="none" w:sz="0" w:space="0" w:color="auto"/>
                <w:right w:val="none" w:sz="0" w:space="0" w:color="auto"/>
              </w:divBdr>
              <w:divsChild>
                <w:div w:id="1076706172">
                  <w:marLeft w:val="0"/>
                  <w:marRight w:val="0"/>
                  <w:marTop w:val="0"/>
                  <w:marBottom w:val="0"/>
                  <w:divBdr>
                    <w:top w:val="none" w:sz="0" w:space="0" w:color="auto"/>
                    <w:left w:val="none" w:sz="0" w:space="0" w:color="auto"/>
                    <w:bottom w:val="none" w:sz="0" w:space="0" w:color="auto"/>
                    <w:right w:val="none" w:sz="0" w:space="0" w:color="auto"/>
                  </w:divBdr>
                </w:div>
              </w:divsChild>
            </w:div>
            <w:div w:id="2024435584">
              <w:marLeft w:val="0"/>
              <w:marRight w:val="0"/>
              <w:marTop w:val="0"/>
              <w:marBottom w:val="0"/>
              <w:divBdr>
                <w:top w:val="none" w:sz="0" w:space="0" w:color="auto"/>
                <w:left w:val="none" w:sz="0" w:space="0" w:color="auto"/>
                <w:bottom w:val="none" w:sz="0" w:space="0" w:color="auto"/>
                <w:right w:val="none" w:sz="0" w:space="0" w:color="auto"/>
              </w:divBdr>
              <w:divsChild>
                <w:div w:id="310794456">
                  <w:marLeft w:val="0"/>
                  <w:marRight w:val="0"/>
                  <w:marTop w:val="0"/>
                  <w:marBottom w:val="0"/>
                  <w:divBdr>
                    <w:top w:val="none" w:sz="0" w:space="0" w:color="auto"/>
                    <w:left w:val="none" w:sz="0" w:space="0" w:color="auto"/>
                    <w:bottom w:val="none" w:sz="0" w:space="0" w:color="auto"/>
                    <w:right w:val="none" w:sz="0" w:space="0" w:color="auto"/>
                  </w:divBdr>
                </w:div>
              </w:divsChild>
            </w:div>
            <w:div w:id="2096123538">
              <w:marLeft w:val="0"/>
              <w:marRight w:val="0"/>
              <w:marTop w:val="0"/>
              <w:marBottom w:val="0"/>
              <w:divBdr>
                <w:top w:val="none" w:sz="0" w:space="0" w:color="auto"/>
                <w:left w:val="none" w:sz="0" w:space="0" w:color="auto"/>
                <w:bottom w:val="none" w:sz="0" w:space="0" w:color="auto"/>
                <w:right w:val="none" w:sz="0" w:space="0" w:color="auto"/>
              </w:divBdr>
              <w:divsChild>
                <w:div w:id="731196332">
                  <w:marLeft w:val="0"/>
                  <w:marRight w:val="0"/>
                  <w:marTop w:val="0"/>
                  <w:marBottom w:val="0"/>
                  <w:divBdr>
                    <w:top w:val="none" w:sz="0" w:space="0" w:color="auto"/>
                    <w:left w:val="none" w:sz="0" w:space="0" w:color="auto"/>
                    <w:bottom w:val="none" w:sz="0" w:space="0" w:color="auto"/>
                    <w:right w:val="none" w:sz="0" w:space="0" w:color="auto"/>
                  </w:divBdr>
                </w:div>
              </w:divsChild>
            </w:div>
            <w:div w:id="1030497809">
              <w:marLeft w:val="0"/>
              <w:marRight w:val="0"/>
              <w:marTop w:val="0"/>
              <w:marBottom w:val="0"/>
              <w:divBdr>
                <w:top w:val="none" w:sz="0" w:space="0" w:color="auto"/>
                <w:left w:val="none" w:sz="0" w:space="0" w:color="auto"/>
                <w:bottom w:val="none" w:sz="0" w:space="0" w:color="auto"/>
                <w:right w:val="none" w:sz="0" w:space="0" w:color="auto"/>
              </w:divBdr>
              <w:divsChild>
                <w:div w:id="1670020376">
                  <w:marLeft w:val="0"/>
                  <w:marRight w:val="0"/>
                  <w:marTop w:val="0"/>
                  <w:marBottom w:val="0"/>
                  <w:divBdr>
                    <w:top w:val="none" w:sz="0" w:space="0" w:color="auto"/>
                    <w:left w:val="none" w:sz="0" w:space="0" w:color="auto"/>
                    <w:bottom w:val="none" w:sz="0" w:space="0" w:color="auto"/>
                    <w:right w:val="none" w:sz="0" w:space="0" w:color="auto"/>
                  </w:divBdr>
                </w:div>
              </w:divsChild>
            </w:div>
            <w:div w:id="384531656">
              <w:marLeft w:val="0"/>
              <w:marRight w:val="0"/>
              <w:marTop w:val="0"/>
              <w:marBottom w:val="0"/>
              <w:divBdr>
                <w:top w:val="none" w:sz="0" w:space="0" w:color="auto"/>
                <w:left w:val="none" w:sz="0" w:space="0" w:color="auto"/>
                <w:bottom w:val="none" w:sz="0" w:space="0" w:color="auto"/>
                <w:right w:val="none" w:sz="0" w:space="0" w:color="auto"/>
              </w:divBdr>
              <w:divsChild>
                <w:div w:id="1634402351">
                  <w:marLeft w:val="0"/>
                  <w:marRight w:val="0"/>
                  <w:marTop w:val="0"/>
                  <w:marBottom w:val="0"/>
                  <w:divBdr>
                    <w:top w:val="none" w:sz="0" w:space="0" w:color="auto"/>
                    <w:left w:val="none" w:sz="0" w:space="0" w:color="auto"/>
                    <w:bottom w:val="none" w:sz="0" w:space="0" w:color="auto"/>
                    <w:right w:val="none" w:sz="0" w:space="0" w:color="auto"/>
                  </w:divBdr>
                </w:div>
              </w:divsChild>
            </w:div>
            <w:div w:id="1728609630">
              <w:marLeft w:val="0"/>
              <w:marRight w:val="0"/>
              <w:marTop w:val="0"/>
              <w:marBottom w:val="0"/>
              <w:divBdr>
                <w:top w:val="none" w:sz="0" w:space="0" w:color="auto"/>
                <w:left w:val="none" w:sz="0" w:space="0" w:color="auto"/>
                <w:bottom w:val="none" w:sz="0" w:space="0" w:color="auto"/>
                <w:right w:val="none" w:sz="0" w:space="0" w:color="auto"/>
              </w:divBdr>
              <w:divsChild>
                <w:div w:id="880632815">
                  <w:marLeft w:val="0"/>
                  <w:marRight w:val="0"/>
                  <w:marTop w:val="0"/>
                  <w:marBottom w:val="0"/>
                  <w:divBdr>
                    <w:top w:val="none" w:sz="0" w:space="0" w:color="auto"/>
                    <w:left w:val="none" w:sz="0" w:space="0" w:color="auto"/>
                    <w:bottom w:val="none" w:sz="0" w:space="0" w:color="auto"/>
                    <w:right w:val="none" w:sz="0" w:space="0" w:color="auto"/>
                  </w:divBdr>
                </w:div>
              </w:divsChild>
            </w:div>
            <w:div w:id="1944456157">
              <w:marLeft w:val="0"/>
              <w:marRight w:val="0"/>
              <w:marTop w:val="0"/>
              <w:marBottom w:val="0"/>
              <w:divBdr>
                <w:top w:val="none" w:sz="0" w:space="0" w:color="auto"/>
                <w:left w:val="none" w:sz="0" w:space="0" w:color="auto"/>
                <w:bottom w:val="none" w:sz="0" w:space="0" w:color="auto"/>
                <w:right w:val="none" w:sz="0" w:space="0" w:color="auto"/>
              </w:divBdr>
              <w:divsChild>
                <w:div w:id="1051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0028">
          <w:marLeft w:val="0"/>
          <w:marRight w:val="0"/>
          <w:marTop w:val="0"/>
          <w:marBottom w:val="600"/>
          <w:divBdr>
            <w:top w:val="none" w:sz="0" w:space="0" w:color="auto"/>
            <w:left w:val="none" w:sz="0" w:space="0" w:color="auto"/>
            <w:bottom w:val="none" w:sz="0" w:space="0" w:color="auto"/>
            <w:right w:val="none" w:sz="0" w:space="0" w:color="auto"/>
          </w:divBdr>
        </w:div>
      </w:divsChild>
    </w:div>
    <w:div w:id="379286942">
      <w:marLeft w:val="0"/>
      <w:marRight w:val="0"/>
      <w:marTop w:val="0"/>
      <w:marBottom w:val="0"/>
      <w:divBdr>
        <w:top w:val="none" w:sz="0" w:space="0" w:color="auto"/>
        <w:left w:val="none" w:sz="0" w:space="0" w:color="auto"/>
        <w:bottom w:val="none" w:sz="0" w:space="0" w:color="auto"/>
        <w:right w:val="none" w:sz="0" w:space="0" w:color="auto"/>
      </w:divBdr>
      <w:divsChild>
        <w:div w:id="1220556622">
          <w:marLeft w:val="0"/>
          <w:marRight w:val="0"/>
          <w:marTop w:val="547"/>
          <w:marBottom w:val="0"/>
          <w:divBdr>
            <w:top w:val="none" w:sz="0" w:space="0" w:color="auto"/>
            <w:left w:val="none" w:sz="0" w:space="0" w:color="auto"/>
            <w:bottom w:val="none" w:sz="0" w:space="0" w:color="auto"/>
            <w:right w:val="none" w:sz="0" w:space="0" w:color="auto"/>
          </w:divBdr>
        </w:div>
        <w:div w:id="1621689887">
          <w:marLeft w:val="0"/>
          <w:marRight w:val="0"/>
          <w:marTop w:val="0"/>
          <w:marBottom w:val="0"/>
          <w:divBdr>
            <w:top w:val="none" w:sz="0" w:space="0" w:color="auto"/>
            <w:left w:val="none" w:sz="0" w:space="0" w:color="auto"/>
            <w:bottom w:val="none" w:sz="0" w:space="0" w:color="auto"/>
            <w:right w:val="none" w:sz="0" w:space="0" w:color="auto"/>
          </w:divBdr>
        </w:div>
        <w:div w:id="1623875948">
          <w:marLeft w:val="0"/>
          <w:marRight w:val="0"/>
          <w:marTop w:val="0"/>
          <w:marBottom w:val="600"/>
          <w:divBdr>
            <w:top w:val="none" w:sz="0" w:space="0" w:color="auto"/>
            <w:left w:val="none" w:sz="0" w:space="0" w:color="auto"/>
            <w:bottom w:val="none" w:sz="0" w:space="0" w:color="auto"/>
            <w:right w:val="none" w:sz="0" w:space="0" w:color="auto"/>
          </w:divBdr>
        </w:div>
      </w:divsChild>
    </w:div>
    <w:div w:id="415172668">
      <w:marLeft w:val="0"/>
      <w:marRight w:val="0"/>
      <w:marTop w:val="0"/>
      <w:marBottom w:val="0"/>
      <w:divBdr>
        <w:top w:val="none" w:sz="0" w:space="0" w:color="auto"/>
        <w:left w:val="none" w:sz="0" w:space="0" w:color="auto"/>
        <w:bottom w:val="none" w:sz="0" w:space="0" w:color="auto"/>
        <w:right w:val="none" w:sz="0" w:space="0" w:color="auto"/>
      </w:divBdr>
      <w:divsChild>
        <w:div w:id="654146877">
          <w:marLeft w:val="0"/>
          <w:marRight w:val="0"/>
          <w:marTop w:val="547"/>
          <w:marBottom w:val="0"/>
          <w:divBdr>
            <w:top w:val="none" w:sz="0" w:space="0" w:color="auto"/>
            <w:left w:val="none" w:sz="0" w:space="0" w:color="auto"/>
            <w:bottom w:val="none" w:sz="0" w:space="0" w:color="auto"/>
            <w:right w:val="none" w:sz="0" w:space="0" w:color="auto"/>
          </w:divBdr>
        </w:div>
        <w:div w:id="1180041673">
          <w:marLeft w:val="0"/>
          <w:marRight w:val="0"/>
          <w:marTop w:val="0"/>
          <w:marBottom w:val="0"/>
          <w:divBdr>
            <w:top w:val="none" w:sz="0" w:space="0" w:color="auto"/>
            <w:left w:val="none" w:sz="0" w:space="0" w:color="auto"/>
            <w:bottom w:val="none" w:sz="0" w:space="0" w:color="auto"/>
            <w:right w:val="none" w:sz="0" w:space="0" w:color="auto"/>
          </w:divBdr>
        </w:div>
        <w:div w:id="1984307983">
          <w:marLeft w:val="0"/>
          <w:marRight w:val="0"/>
          <w:marTop w:val="0"/>
          <w:marBottom w:val="600"/>
          <w:divBdr>
            <w:top w:val="none" w:sz="0" w:space="0" w:color="auto"/>
            <w:left w:val="none" w:sz="0" w:space="0" w:color="auto"/>
            <w:bottom w:val="none" w:sz="0" w:space="0" w:color="auto"/>
            <w:right w:val="none" w:sz="0" w:space="0" w:color="auto"/>
          </w:divBdr>
        </w:div>
      </w:divsChild>
    </w:div>
    <w:div w:id="449322151">
      <w:marLeft w:val="0"/>
      <w:marRight w:val="0"/>
      <w:marTop w:val="0"/>
      <w:marBottom w:val="0"/>
      <w:divBdr>
        <w:top w:val="none" w:sz="0" w:space="0" w:color="auto"/>
        <w:left w:val="none" w:sz="0" w:space="0" w:color="auto"/>
        <w:bottom w:val="none" w:sz="0" w:space="0" w:color="auto"/>
        <w:right w:val="none" w:sz="0" w:space="0" w:color="auto"/>
      </w:divBdr>
      <w:divsChild>
        <w:div w:id="580943181">
          <w:marLeft w:val="0"/>
          <w:marRight w:val="0"/>
          <w:marTop w:val="547"/>
          <w:marBottom w:val="0"/>
          <w:divBdr>
            <w:top w:val="none" w:sz="0" w:space="0" w:color="auto"/>
            <w:left w:val="none" w:sz="0" w:space="0" w:color="auto"/>
            <w:bottom w:val="none" w:sz="0" w:space="0" w:color="auto"/>
            <w:right w:val="none" w:sz="0" w:space="0" w:color="auto"/>
          </w:divBdr>
        </w:div>
        <w:div w:id="308482495">
          <w:marLeft w:val="0"/>
          <w:marRight w:val="0"/>
          <w:marTop w:val="0"/>
          <w:marBottom w:val="0"/>
          <w:divBdr>
            <w:top w:val="none" w:sz="0" w:space="0" w:color="auto"/>
            <w:left w:val="none" w:sz="0" w:space="0" w:color="auto"/>
            <w:bottom w:val="none" w:sz="0" w:space="0" w:color="auto"/>
            <w:right w:val="none" w:sz="0" w:space="0" w:color="auto"/>
          </w:divBdr>
        </w:div>
        <w:div w:id="1190728526">
          <w:marLeft w:val="0"/>
          <w:marRight w:val="0"/>
          <w:marTop w:val="0"/>
          <w:marBottom w:val="600"/>
          <w:divBdr>
            <w:top w:val="none" w:sz="0" w:space="0" w:color="auto"/>
            <w:left w:val="none" w:sz="0" w:space="0" w:color="auto"/>
            <w:bottom w:val="none" w:sz="0" w:space="0" w:color="auto"/>
            <w:right w:val="none" w:sz="0" w:space="0" w:color="auto"/>
          </w:divBdr>
        </w:div>
      </w:divsChild>
    </w:div>
    <w:div w:id="465124094">
      <w:marLeft w:val="0"/>
      <w:marRight w:val="0"/>
      <w:marTop w:val="0"/>
      <w:marBottom w:val="0"/>
      <w:divBdr>
        <w:top w:val="none" w:sz="0" w:space="0" w:color="auto"/>
        <w:left w:val="none" w:sz="0" w:space="0" w:color="auto"/>
        <w:bottom w:val="none" w:sz="0" w:space="0" w:color="auto"/>
        <w:right w:val="none" w:sz="0" w:space="0" w:color="auto"/>
      </w:divBdr>
      <w:divsChild>
        <w:div w:id="2089764016">
          <w:marLeft w:val="0"/>
          <w:marRight w:val="0"/>
          <w:marTop w:val="547"/>
          <w:marBottom w:val="0"/>
          <w:divBdr>
            <w:top w:val="none" w:sz="0" w:space="0" w:color="auto"/>
            <w:left w:val="none" w:sz="0" w:space="0" w:color="auto"/>
            <w:bottom w:val="none" w:sz="0" w:space="0" w:color="auto"/>
            <w:right w:val="none" w:sz="0" w:space="0" w:color="auto"/>
          </w:divBdr>
        </w:div>
        <w:div w:id="1055735762">
          <w:marLeft w:val="0"/>
          <w:marRight w:val="0"/>
          <w:marTop w:val="0"/>
          <w:marBottom w:val="0"/>
          <w:divBdr>
            <w:top w:val="none" w:sz="0" w:space="0" w:color="auto"/>
            <w:left w:val="none" w:sz="0" w:space="0" w:color="auto"/>
            <w:bottom w:val="none" w:sz="0" w:space="0" w:color="auto"/>
            <w:right w:val="none" w:sz="0" w:space="0" w:color="auto"/>
          </w:divBdr>
        </w:div>
        <w:div w:id="1729257976">
          <w:marLeft w:val="0"/>
          <w:marRight w:val="0"/>
          <w:marTop w:val="0"/>
          <w:marBottom w:val="600"/>
          <w:divBdr>
            <w:top w:val="none" w:sz="0" w:space="0" w:color="auto"/>
            <w:left w:val="none" w:sz="0" w:space="0" w:color="auto"/>
            <w:bottom w:val="none" w:sz="0" w:space="0" w:color="auto"/>
            <w:right w:val="none" w:sz="0" w:space="0" w:color="auto"/>
          </w:divBdr>
        </w:div>
      </w:divsChild>
    </w:div>
    <w:div w:id="477917010">
      <w:marLeft w:val="0"/>
      <w:marRight w:val="0"/>
      <w:marTop w:val="0"/>
      <w:marBottom w:val="0"/>
      <w:divBdr>
        <w:top w:val="none" w:sz="0" w:space="0" w:color="auto"/>
        <w:left w:val="none" w:sz="0" w:space="0" w:color="auto"/>
        <w:bottom w:val="none" w:sz="0" w:space="0" w:color="auto"/>
        <w:right w:val="none" w:sz="0" w:space="0" w:color="auto"/>
      </w:divBdr>
      <w:divsChild>
        <w:div w:id="708188237">
          <w:marLeft w:val="0"/>
          <w:marRight w:val="0"/>
          <w:marTop w:val="547"/>
          <w:marBottom w:val="0"/>
          <w:divBdr>
            <w:top w:val="none" w:sz="0" w:space="0" w:color="auto"/>
            <w:left w:val="none" w:sz="0" w:space="0" w:color="auto"/>
            <w:bottom w:val="none" w:sz="0" w:space="0" w:color="auto"/>
            <w:right w:val="none" w:sz="0" w:space="0" w:color="auto"/>
          </w:divBdr>
        </w:div>
        <w:div w:id="868836238">
          <w:marLeft w:val="0"/>
          <w:marRight w:val="0"/>
          <w:marTop w:val="0"/>
          <w:marBottom w:val="0"/>
          <w:divBdr>
            <w:top w:val="none" w:sz="0" w:space="0" w:color="auto"/>
            <w:left w:val="none" w:sz="0" w:space="0" w:color="auto"/>
            <w:bottom w:val="none" w:sz="0" w:space="0" w:color="auto"/>
            <w:right w:val="none" w:sz="0" w:space="0" w:color="auto"/>
          </w:divBdr>
          <w:divsChild>
            <w:div w:id="376049518">
              <w:marLeft w:val="0"/>
              <w:marRight w:val="0"/>
              <w:marTop w:val="0"/>
              <w:marBottom w:val="0"/>
              <w:divBdr>
                <w:top w:val="none" w:sz="0" w:space="0" w:color="auto"/>
                <w:left w:val="none" w:sz="0" w:space="0" w:color="auto"/>
                <w:bottom w:val="none" w:sz="0" w:space="0" w:color="auto"/>
                <w:right w:val="none" w:sz="0" w:space="0" w:color="auto"/>
              </w:divBdr>
              <w:divsChild>
                <w:div w:id="1203834178">
                  <w:marLeft w:val="0"/>
                  <w:marRight w:val="0"/>
                  <w:marTop w:val="0"/>
                  <w:marBottom w:val="0"/>
                  <w:divBdr>
                    <w:top w:val="none" w:sz="0" w:space="0" w:color="auto"/>
                    <w:left w:val="none" w:sz="0" w:space="0" w:color="auto"/>
                    <w:bottom w:val="none" w:sz="0" w:space="0" w:color="auto"/>
                    <w:right w:val="none" w:sz="0" w:space="0" w:color="auto"/>
                  </w:divBdr>
                </w:div>
              </w:divsChild>
            </w:div>
            <w:div w:id="741945703">
              <w:marLeft w:val="0"/>
              <w:marRight w:val="0"/>
              <w:marTop w:val="0"/>
              <w:marBottom w:val="0"/>
              <w:divBdr>
                <w:top w:val="none" w:sz="0" w:space="0" w:color="auto"/>
                <w:left w:val="none" w:sz="0" w:space="0" w:color="auto"/>
                <w:bottom w:val="none" w:sz="0" w:space="0" w:color="auto"/>
                <w:right w:val="none" w:sz="0" w:space="0" w:color="auto"/>
              </w:divBdr>
              <w:divsChild>
                <w:div w:id="28653656">
                  <w:marLeft w:val="0"/>
                  <w:marRight w:val="0"/>
                  <w:marTop w:val="0"/>
                  <w:marBottom w:val="0"/>
                  <w:divBdr>
                    <w:top w:val="none" w:sz="0" w:space="0" w:color="auto"/>
                    <w:left w:val="none" w:sz="0" w:space="0" w:color="auto"/>
                    <w:bottom w:val="none" w:sz="0" w:space="0" w:color="auto"/>
                    <w:right w:val="none" w:sz="0" w:space="0" w:color="auto"/>
                  </w:divBdr>
                </w:div>
              </w:divsChild>
            </w:div>
            <w:div w:id="202450813">
              <w:marLeft w:val="0"/>
              <w:marRight w:val="0"/>
              <w:marTop w:val="0"/>
              <w:marBottom w:val="0"/>
              <w:divBdr>
                <w:top w:val="none" w:sz="0" w:space="0" w:color="auto"/>
                <w:left w:val="none" w:sz="0" w:space="0" w:color="auto"/>
                <w:bottom w:val="none" w:sz="0" w:space="0" w:color="auto"/>
                <w:right w:val="none" w:sz="0" w:space="0" w:color="auto"/>
              </w:divBdr>
              <w:divsChild>
                <w:div w:id="1421681059">
                  <w:marLeft w:val="0"/>
                  <w:marRight w:val="0"/>
                  <w:marTop w:val="0"/>
                  <w:marBottom w:val="0"/>
                  <w:divBdr>
                    <w:top w:val="none" w:sz="0" w:space="0" w:color="auto"/>
                    <w:left w:val="none" w:sz="0" w:space="0" w:color="auto"/>
                    <w:bottom w:val="none" w:sz="0" w:space="0" w:color="auto"/>
                    <w:right w:val="none" w:sz="0" w:space="0" w:color="auto"/>
                  </w:divBdr>
                </w:div>
              </w:divsChild>
            </w:div>
            <w:div w:id="952201401">
              <w:marLeft w:val="0"/>
              <w:marRight w:val="0"/>
              <w:marTop w:val="0"/>
              <w:marBottom w:val="0"/>
              <w:divBdr>
                <w:top w:val="none" w:sz="0" w:space="0" w:color="auto"/>
                <w:left w:val="none" w:sz="0" w:space="0" w:color="auto"/>
                <w:bottom w:val="none" w:sz="0" w:space="0" w:color="auto"/>
                <w:right w:val="none" w:sz="0" w:space="0" w:color="auto"/>
              </w:divBdr>
              <w:divsChild>
                <w:div w:id="39674588">
                  <w:marLeft w:val="0"/>
                  <w:marRight w:val="0"/>
                  <w:marTop w:val="0"/>
                  <w:marBottom w:val="0"/>
                  <w:divBdr>
                    <w:top w:val="none" w:sz="0" w:space="0" w:color="auto"/>
                    <w:left w:val="none" w:sz="0" w:space="0" w:color="auto"/>
                    <w:bottom w:val="none" w:sz="0" w:space="0" w:color="auto"/>
                    <w:right w:val="none" w:sz="0" w:space="0" w:color="auto"/>
                  </w:divBdr>
                </w:div>
              </w:divsChild>
            </w:div>
            <w:div w:id="60449748">
              <w:marLeft w:val="0"/>
              <w:marRight w:val="0"/>
              <w:marTop w:val="0"/>
              <w:marBottom w:val="0"/>
              <w:divBdr>
                <w:top w:val="none" w:sz="0" w:space="0" w:color="auto"/>
                <w:left w:val="none" w:sz="0" w:space="0" w:color="auto"/>
                <w:bottom w:val="none" w:sz="0" w:space="0" w:color="auto"/>
                <w:right w:val="none" w:sz="0" w:space="0" w:color="auto"/>
              </w:divBdr>
              <w:divsChild>
                <w:div w:id="593244941">
                  <w:marLeft w:val="0"/>
                  <w:marRight w:val="0"/>
                  <w:marTop w:val="0"/>
                  <w:marBottom w:val="0"/>
                  <w:divBdr>
                    <w:top w:val="none" w:sz="0" w:space="0" w:color="auto"/>
                    <w:left w:val="none" w:sz="0" w:space="0" w:color="auto"/>
                    <w:bottom w:val="none" w:sz="0" w:space="0" w:color="auto"/>
                    <w:right w:val="none" w:sz="0" w:space="0" w:color="auto"/>
                  </w:divBdr>
                </w:div>
              </w:divsChild>
            </w:div>
            <w:div w:id="720254117">
              <w:marLeft w:val="0"/>
              <w:marRight w:val="0"/>
              <w:marTop w:val="0"/>
              <w:marBottom w:val="0"/>
              <w:divBdr>
                <w:top w:val="none" w:sz="0" w:space="0" w:color="auto"/>
                <w:left w:val="none" w:sz="0" w:space="0" w:color="auto"/>
                <w:bottom w:val="none" w:sz="0" w:space="0" w:color="auto"/>
                <w:right w:val="none" w:sz="0" w:space="0" w:color="auto"/>
              </w:divBdr>
              <w:divsChild>
                <w:div w:id="1377772441">
                  <w:marLeft w:val="0"/>
                  <w:marRight w:val="0"/>
                  <w:marTop w:val="0"/>
                  <w:marBottom w:val="0"/>
                  <w:divBdr>
                    <w:top w:val="none" w:sz="0" w:space="0" w:color="auto"/>
                    <w:left w:val="none" w:sz="0" w:space="0" w:color="auto"/>
                    <w:bottom w:val="none" w:sz="0" w:space="0" w:color="auto"/>
                    <w:right w:val="none" w:sz="0" w:space="0" w:color="auto"/>
                  </w:divBdr>
                </w:div>
              </w:divsChild>
            </w:div>
            <w:div w:id="193349820">
              <w:marLeft w:val="0"/>
              <w:marRight w:val="0"/>
              <w:marTop w:val="0"/>
              <w:marBottom w:val="0"/>
              <w:divBdr>
                <w:top w:val="none" w:sz="0" w:space="0" w:color="auto"/>
                <w:left w:val="none" w:sz="0" w:space="0" w:color="auto"/>
                <w:bottom w:val="none" w:sz="0" w:space="0" w:color="auto"/>
                <w:right w:val="none" w:sz="0" w:space="0" w:color="auto"/>
              </w:divBdr>
              <w:divsChild>
                <w:div w:id="944850475">
                  <w:marLeft w:val="0"/>
                  <w:marRight w:val="0"/>
                  <w:marTop w:val="0"/>
                  <w:marBottom w:val="0"/>
                  <w:divBdr>
                    <w:top w:val="none" w:sz="0" w:space="0" w:color="auto"/>
                    <w:left w:val="none" w:sz="0" w:space="0" w:color="auto"/>
                    <w:bottom w:val="none" w:sz="0" w:space="0" w:color="auto"/>
                    <w:right w:val="none" w:sz="0" w:space="0" w:color="auto"/>
                  </w:divBdr>
                </w:div>
              </w:divsChild>
            </w:div>
            <w:div w:id="1347944715">
              <w:marLeft w:val="0"/>
              <w:marRight w:val="0"/>
              <w:marTop w:val="0"/>
              <w:marBottom w:val="0"/>
              <w:divBdr>
                <w:top w:val="none" w:sz="0" w:space="0" w:color="auto"/>
                <w:left w:val="none" w:sz="0" w:space="0" w:color="auto"/>
                <w:bottom w:val="none" w:sz="0" w:space="0" w:color="auto"/>
                <w:right w:val="none" w:sz="0" w:space="0" w:color="auto"/>
              </w:divBdr>
              <w:divsChild>
                <w:div w:id="1626159877">
                  <w:marLeft w:val="0"/>
                  <w:marRight w:val="0"/>
                  <w:marTop w:val="0"/>
                  <w:marBottom w:val="0"/>
                  <w:divBdr>
                    <w:top w:val="none" w:sz="0" w:space="0" w:color="auto"/>
                    <w:left w:val="none" w:sz="0" w:space="0" w:color="auto"/>
                    <w:bottom w:val="none" w:sz="0" w:space="0" w:color="auto"/>
                    <w:right w:val="none" w:sz="0" w:space="0" w:color="auto"/>
                  </w:divBdr>
                </w:div>
              </w:divsChild>
            </w:div>
            <w:div w:id="1827939870">
              <w:marLeft w:val="0"/>
              <w:marRight w:val="0"/>
              <w:marTop w:val="0"/>
              <w:marBottom w:val="0"/>
              <w:divBdr>
                <w:top w:val="none" w:sz="0" w:space="0" w:color="auto"/>
                <w:left w:val="none" w:sz="0" w:space="0" w:color="auto"/>
                <w:bottom w:val="none" w:sz="0" w:space="0" w:color="auto"/>
                <w:right w:val="none" w:sz="0" w:space="0" w:color="auto"/>
              </w:divBdr>
              <w:divsChild>
                <w:div w:id="392702825">
                  <w:marLeft w:val="0"/>
                  <w:marRight w:val="0"/>
                  <w:marTop w:val="0"/>
                  <w:marBottom w:val="0"/>
                  <w:divBdr>
                    <w:top w:val="none" w:sz="0" w:space="0" w:color="auto"/>
                    <w:left w:val="none" w:sz="0" w:space="0" w:color="auto"/>
                    <w:bottom w:val="none" w:sz="0" w:space="0" w:color="auto"/>
                    <w:right w:val="none" w:sz="0" w:space="0" w:color="auto"/>
                  </w:divBdr>
                </w:div>
              </w:divsChild>
            </w:div>
            <w:div w:id="1251084623">
              <w:marLeft w:val="0"/>
              <w:marRight w:val="0"/>
              <w:marTop w:val="0"/>
              <w:marBottom w:val="0"/>
              <w:divBdr>
                <w:top w:val="none" w:sz="0" w:space="0" w:color="auto"/>
                <w:left w:val="none" w:sz="0" w:space="0" w:color="auto"/>
                <w:bottom w:val="none" w:sz="0" w:space="0" w:color="auto"/>
                <w:right w:val="none" w:sz="0" w:space="0" w:color="auto"/>
              </w:divBdr>
              <w:divsChild>
                <w:div w:id="1709640700">
                  <w:marLeft w:val="0"/>
                  <w:marRight w:val="0"/>
                  <w:marTop w:val="0"/>
                  <w:marBottom w:val="0"/>
                  <w:divBdr>
                    <w:top w:val="none" w:sz="0" w:space="0" w:color="auto"/>
                    <w:left w:val="none" w:sz="0" w:space="0" w:color="auto"/>
                    <w:bottom w:val="none" w:sz="0" w:space="0" w:color="auto"/>
                    <w:right w:val="none" w:sz="0" w:space="0" w:color="auto"/>
                  </w:divBdr>
                </w:div>
              </w:divsChild>
            </w:div>
            <w:div w:id="247428371">
              <w:marLeft w:val="0"/>
              <w:marRight w:val="0"/>
              <w:marTop w:val="0"/>
              <w:marBottom w:val="0"/>
              <w:divBdr>
                <w:top w:val="none" w:sz="0" w:space="0" w:color="auto"/>
                <w:left w:val="none" w:sz="0" w:space="0" w:color="auto"/>
                <w:bottom w:val="none" w:sz="0" w:space="0" w:color="auto"/>
                <w:right w:val="none" w:sz="0" w:space="0" w:color="auto"/>
              </w:divBdr>
              <w:divsChild>
                <w:div w:id="752242684">
                  <w:marLeft w:val="0"/>
                  <w:marRight w:val="0"/>
                  <w:marTop w:val="0"/>
                  <w:marBottom w:val="0"/>
                  <w:divBdr>
                    <w:top w:val="none" w:sz="0" w:space="0" w:color="auto"/>
                    <w:left w:val="none" w:sz="0" w:space="0" w:color="auto"/>
                    <w:bottom w:val="none" w:sz="0" w:space="0" w:color="auto"/>
                    <w:right w:val="none" w:sz="0" w:space="0" w:color="auto"/>
                  </w:divBdr>
                </w:div>
              </w:divsChild>
            </w:div>
            <w:div w:id="1710376859">
              <w:marLeft w:val="0"/>
              <w:marRight w:val="0"/>
              <w:marTop w:val="0"/>
              <w:marBottom w:val="0"/>
              <w:divBdr>
                <w:top w:val="none" w:sz="0" w:space="0" w:color="auto"/>
                <w:left w:val="none" w:sz="0" w:space="0" w:color="auto"/>
                <w:bottom w:val="none" w:sz="0" w:space="0" w:color="auto"/>
                <w:right w:val="none" w:sz="0" w:space="0" w:color="auto"/>
              </w:divBdr>
              <w:divsChild>
                <w:div w:id="2085099881">
                  <w:marLeft w:val="0"/>
                  <w:marRight w:val="0"/>
                  <w:marTop w:val="0"/>
                  <w:marBottom w:val="0"/>
                  <w:divBdr>
                    <w:top w:val="none" w:sz="0" w:space="0" w:color="auto"/>
                    <w:left w:val="none" w:sz="0" w:space="0" w:color="auto"/>
                    <w:bottom w:val="none" w:sz="0" w:space="0" w:color="auto"/>
                    <w:right w:val="none" w:sz="0" w:space="0" w:color="auto"/>
                  </w:divBdr>
                </w:div>
              </w:divsChild>
            </w:div>
            <w:div w:id="107553251">
              <w:marLeft w:val="0"/>
              <w:marRight w:val="0"/>
              <w:marTop w:val="0"/>
              <w:marBottom w:val="0"/>
              <w:divBdr>
                <w:top w:val="none" w:sz="0" w:space="0" w:color="auto"/>
                <w:left w:val="none" w:sz="0" w:space="0" w:color="auto"/>
                <w:bottom w:val="none" w:sz="0" w:space="0" w:color="auto"/>
                <w:right w:val="none" w:sz="0" w:space="0" w:color="auto"/>
              </w:divBdr>
              <w:divsChild>
                <w:div w:id="351150950">
                  <w:marLeft w:val="0"/>
                  <w:marRight w:val="0"/>
                  <w:marTop w:val="0"/>
                  <w:marBottom w:val="0"/>
                  <w:divBdr>
                    <w:top w:val="none" w:sz="0" w:space="0" w:color="auto"/>
                    <w:left w:val="none" w:sz="0" w:space="0" w:color="auto"/>
                    <w:bottom w:val="none" w:sz="0" w:space="0" w:color="auto"/>
                    <w:right w:val="none" w:sz="0" w:space="0" w:color="auto"/>
                  </w:divBdr>
                </w:div>
              </w:divsChild>
            </w:div>
            <w:div w:id="1804811378">
              <w:marLeft w:val="0"/>
              <w:marRight w:val="0"/>
              <w:marTop w:val="0"/>
              <w:marBottom w:val="0"/>
              <w:divBdr>
                <w:top w:val="none" w:sz="0" w:space="0" w:color="auto"/>
                <w:left w:val="none" w:sz="0" w:space="0" w:color="auto"/>
                <w:bottom w:val="none" w:sz="0" w:space="0" w:color="auto"/>
                <w:right w:val="none" w:sz="0" w:space="0" w:color="auto"/>
              </w:divBdr>
              <w:divsChild>
                <w:div w:id="571818758">
                  <w:marLeft w:val="0"/>
                  <w:marRight w:val="0"/>
                  <w:marTop w:val="0"/>
                  <w:marBottom w:val="0"/>
                  <w:divBdr>
                    <w:top w:val="none" w:sz="0" w:space="0" w:color="auto"/>
                    <w:left w:val="none" w:sz="0" w:space="0" w:color="auto"/>
                    <w:bottom w:val="none" w:sz="0" w:space="0" w:color="auto"/>
                    <w:right w:val="none" w:sz="0" w:space="0" w:color="auto"/>
                  </w:divBdr>
                </w:div>
              </w:divsChild>
            </w:div>
            <w:div w:id="1078793858">
              <w:marLeft w:val="0"/>
              <w:marRight w:val="0"/>
              <w:marTop w:val="0"/>
              <w:marBottom w:val="0"/>
              <w:divBdr>
                <w:top w:val="none" w:sz="0" w:space="0" w:color="auto"/>
                <w:left w:val="none" w:sz="0" w:space="0" w:color="auto"/>
                <w:bottom w:val="none" w:sz="0" w:space="0" w:color="auto"/>
                <w:right w:val="none" w:sz="0" w:space="0" w:color="auto"/>
              </w:divBdr>
              <w:divsChild>
                <w:div w:id="1978683065">
                  <w:marLeft w:val="0"/>
                  <w:marRight w:val="0"/>
                  <w:marTop w:val="0"/>
                  <w:marBottom w:val="0"/>
                  <w:divBdr>
                    <w:top w:val="none" w:sz="0" w:space="0" w:color="auto"/>
                    <w:left w:val="none" w:sz="0" w:space="0" w:color="auto"/>
                    <w:bottom w:val="none" w:sz="0" w:space="0" w:color="auto"/>
                    <w:right w:val="none" w:sz="0" w:space="0" w:color="auto"/>
                  </w:divBdr>
                </w:div>
              </w:divsChild>
            </w:div>
            <w:div w:id="1327787982">
              <w:marLeft w:val="0"/>
              <w:marRight w:val="0"/>
              <w:marTop w:val="0"/>
              <w:marBottom w:val="0"/>
              <w:divBdr>
                <w:top w:val="none" w:sz="0" w:space="0" w:color="auto"/>
                <w:left w:val="none" w:sz="0" w:space="0" w:color="auto"/>
                <w:bottom w:val="none" w:sz="0" w:space="0" w:color="auto"/>
                <w:right w:val="none" w:sz="0" w:space="0" w:color="auto"/>
              </w:divBdr>
              <w:divsChild>
                <w:div w:id="79497512">
                  <w:marLeft w:val="0"/>
                  <w:marRight w:val="0"/>
                  <w:marTop w:val="0"/>
                  <w:marBottom w:val="0"/>
                  <w:divBdr>
                    <w:top w:val="none" w:sz="0" w:space="0" w:color="auto"/>
                    <w:left w:val="none" w:sz="0" w:space="0" w:color="auto"/>
                    <w:bottom w:val="none" w:sz="0" w:space="0" w:color="auto"/>
                    <w:right w:val="none" w:sz="0" w:space="0" w:color="auto"/>
                  </w:divBdr>
                </w:div>
              </w:divsChild>
            </w:div>
            <w:div w:id="1661544127">
              <w:marLeft w:val="0"/>
              <w:marRight w:val="0"/>
              <w:marTop w:val="0"/>
              <w:marBottom w:val="0"/>
              <w:divBdr>
                <w:top w:val="none" w:sz="0" w:space="0" w:color="auto"/>
                <w:left w:val="none" w:sz="0" w:space="0" w:color="auto"/>
                <w:bottom w:val="none" w:sz="0" w:space="0" w:color="auto"/>
                <w:right w:val="none" w:sz="0" w:space="0" w:color="auto"/>
              </w:divBdr>
              <w:divsChild>
                <w:div w:id="1445927717">
                  <w:marLeft w:val="0"/>
                  <w:marRight w:val="0"/>
                  <w:marTop w:val="0"/>
                  <w:marBottom w:val="0"/>
                  <w:divBdr>
                    <w:top w:val="none" w:sz="0" w:space="0" w:color="auto"/>
                    <w:left w:val="none" w:sz="0" w:space="0" w:color="auto"/>
                    <w:bottom w:val="none" w:sz="0" w:space="0" w:color="auto"/>
                    <w:right w:val="none" w:sz="0" w:space="0" w:color="auto"/>
                  </w:divBdr>
                </w:div>
              </w:divsChild>
            </w:div>
            <w:div w:id="2090300403">
              <w:marLeft w:val="0"/>
              <w:marRight w:val="0"/>
              <w:marTop w:val="0"/>
              <w:marBottom w:val="0"/>
              <w:divBdr>
                <w:top w:val="none" w:sz="0" w:space="0" w:color="auto"/>
                <w:left w:val="none" w:sz="0" w:space="0" w:color="auto"/>
                <w:bottom w:val="none" w:sz="0" w:space="0" w:color="auto"/>
                <w:right w:val="none" w:sz="0" w:space="0" w:color="auto"/>
              </w:divBdr>
              <w:divsChild>
                <w:div w:id="2058697075">
                  <w:marLeft w:val="0"/>
                  <w:marRight w:val="0"/>
                  <w:marTop w:val="0"/>
                  <w:marBottom w:val="0"/>
                  <w:divBdr>
                    <w:top w:val="none" w:sz="0" w:space="0" w:color="auto"/>
                    <w:left w:val="none" w:sz="0" w:space="0" w:color="auto"/>
                    <w:bottom w:val="none" w:sz="0" w:space="0" w:color="auto"/>
                    <w:right w:val="none" w:sz="0" w:space="0" w:color="auto"/>
                  </w:divBdr>
                </w:div>
              </w:divsChild>
            </w:div>
            <w:div w:id="1429497715">
              <w:marLeft w:val="0"/>
              <w:marRight w:val="0"/>
              <w:marTop w:val="0"/>
              <w:marBottom w:val="0"/>
              <w:divBdr>
                <w:top w:val="none" w:sz="0" w:space="0" w:color="auto"/>
                <w:left w:val="none" w:sz="0" w:space="0" w:color="auto"/>
                <w:bottom w:val="none" w:sz="0" w:space="0" w:color="auto"/>
                <w:right w:val="none" w:sz="0" w:space="0" w:color="auto"/>
              </w:divBdr>
              <w:divsChild>
                <w:div w:id="1595244291">
                  <w:marLeft w:val="0"/>
                  <w:marRight w:val="0"/>
                  <w:marTop w:val="0"/>
                  <w:marBottom w:val="0"/>
                  <w:divBdr>
                    <w:top w:val="none" w:sz="0" w:space="0" w:color="auto"/>
                    <w:left w:val="none" w:sz="0" w:space="0" w:color="auto"/>
                    <w:bottom w:val="none" w:sz="0" w:space="0" w:color="auto"/>
                    <w:right w:val="none" w:sz="0" w:space="0" w:color="auto"/>
                  </w:divBdr>
                </w:div>
              </w:divsChild>
            </w:div>
            <w:div w:id="1828472537">
              <w:marLeft w:val="0"/>
              <w:marRight w:val="0"/>
              <w:marTop w:val="0"/>
              <w:marBottom w:val="0"/>
              <w:divBdr>
                <w:top w:val="none" w:sz="0" w:space="0" w:color="auto"/>
                <w:left w:val="none" w:sz="0" w:space="0" w:color="auto"/>
                <w:bottom w:val="none" w:sz="0" w:space="0" w:color="auto"/>
                <w:right w:val="none" w:sz="0" w:space="0" w:color="auto"/>
              </w:divBdr>
              <w:divsChild>
                <w:div w:id="1353528116">
                  <w:marLeft w:val="0"/>
                  <w:marRight w:val="0"/>
                  <w:marTop w:val="0"/>
                  <w:marBottom w:val="0"/>
                  <w:divBdr>
                    <w:top w:val="none" w:sz="0" w:space="0" w:color="auto"/>
                    <w:left w:val="none" w:sz="0" w:space="0" w:color="auto"/>
                    <w:bottom w:val="none" w:sz="0" w:space="0" w:color="auto"/>
                    <w:right w:val="none" w:sz="0" w:space="0" w:color="auto"/>
                  </w:divBdr>
                </w:div>
              </w:divsChild>
            </w:div>
            <w:div w:id="67313966">
              <w:marLeft w:val="0"/>
              <w:marRight w:val="0"/>
              <w:marTop w:val="0"/>
              <w:marBottom w:val="0"/>
              <w:divBdr>
                <w:top w:val="none" w:sz="0" w:space="0" w:color="auto"/>
                <w:left w:val="none" w:sz="0" w:space="0" w:color="auto"/>
                <w:bottom w:val="none" w:sz="0" w:space="0" w:color="auto"/>
                <w:right w:val="none" w:sz="0" w:space="0" w:color="auto"/>
              </w:divBdr>
              <w:divsChild>
                <w:div w:id="561792582">
                  <w:marLeft w:val="0"/>
                  <w:marRight w:val="0"/>
                  <w:marTop w:val="0"/>
                  <w:marBottom w:val="0"/>
                  <w:divBdr>
                    <w:top w:val="none" w:sz="0" w:space="0" w:color="auto"/>
                    <w:left w:val="none" w:sz="0" w:space="0" w:color="auto"/>
                    <w:bottom w:val="none" w:sz="0" w:space="0" w:color="auto"/>
                    <w:right w:val="none" w:sz="0" w:space="0" w:color="auto"/>
                  </w:divBdr>
                </w:div>
              </w:divsChild>
            </w:div>
            <w:div w:id="371422381">
              <w:marLeft w:val="0"/>
              <w:marRight w:val="0"/>
              <w:marTop w:val="0"/>
              <w:marBottom w:val="0"/>
              <w:divBdr>
                <w:top w:val="none" w:sz="0" w:space="0" w:color="auto"/>
                <w:left w:val="none" w:sz="0" w:space="0" w:color="auto"/>
                <w:bottom w:val="none" w:sz="0" w:space="0" w:color="auto"/>
                <w:right w:val="none" w:sz="0" w:space="0" w:color="auto"/>
              </w:divBdr>
              <w:divsChild>
                <w:div w:id="1639721113">
                  <w:marLeft w:val="0"/>
                  <w:marRight w:val="0"/>
                  <w:marTop w:val="0"/>
                  <w:marBottom w:val="0"/>
                  <w:divBdr>
                    <w:top w:val="none" w:sz="0" w:space="0" w:color="auto"/>
                    <w:left w:val="none" w:sz="0" w:space="0" w:color="auto"/>
                    <w:bottom w:val="none" w:sz="0" w:space="0" w:color="auto"/>
                    <w:right w:val="none" w:sz="0" w:space="0" w:color="auto"/>
                  </w:divBdr>
                </w:div>
              </w:divsChild>
            </w:div>
            <w:div w:id="317997391">
              <w:marLeft w:val="0"/>
              <w:marRight w:val="0"/>
              <w:marTop w:val="0"/>
              <w:marBottom w:val="0"/>
              <w:divBdr>
                <w:top w:val="none" w:sz="0" w:space="0" w:color="auto"/>
                <w:left w:val="none" w:sz="0" w:space="0" w:color="auto"/>
                <w:bottom w:val="none" w:sz="0" w:space="0" w:color="auto"/>
                <w:right w:val="none" w:sz="0" w:space="0" w:color="auto"/>
              </w:divBdr>
              <w:divsChild>
                <w:div w:id="823201203">
                  <w:marLeft w:val="0"/>
                  <w:marRight w:val="0"/>
                  <w:marTop w:val="0"/>
                  <w:marBottom w:val="0"/>
                  <w:divBdr>
                    <w:top w:val="none" w:sz="0" w:space="0" w:color="auto"/>
                    <w:left w:val="none" w:sz="0" w:space="0" w:color="auto"/>
                    <w:bottom w:val="none" w:sz="0" w:space="0" w:color="auto"/>
                    <w:right w:val="none" w:sz="0" w:space="0" w:color="auto"/>
                  </w:divBdr>
                </w:div>
              </w:divsChild>
            </w:div>
            <w:div w:id="1803690453">
              <w:marLeft w:val="0"/>
              <w:marRight w:val="0"/>
              <w:marTop w:val="0"/>
              <w:marBottom w:val="0"/>
              <w:divBdr>
                <w:top w:val="none" w:sz="0" w:space="0" w:color="auto"/>
                <w:left w:val="none" w:sz="0" w:space="0" w:color="auto"/>
                <w:bottom w:val="none" w:sz="0" w:space="0" w:color="auto"/>
                <w:right w:val="none" w:sz="0" w:space="0" w:color="auto"/>
              </w:divBdr>
              <w:divsChild>
                <w:div w:id="275210576">
                  <w:marLeft w:val="0"/>
                  <w:marRight w:val="0"/>
                  <w:marTop w:val="0"/>
                  <w:marBottom w:val="0"/>
                  <w:divBdr>
                    <w:top w:val="none" w:sz="0" w:space="0" w:color="auto"/>
                    <w:left w:val="none" w:sz="0" w:space="0" w:color="auto"/>
                    <w:bottom w:val="none" w:sz="0" w:space="0" w:color="auto"/>
                    <w:right w:val="none" w:sz="0" w:space="0" w:color="auto"/>
                  </w:divBdr>
                </w:div>
              </w:divsChild>
            </w:div>
            <w:div w:id="128404365">
              <w:marLeft w:val="0"/>
              <w:marRight w:val="0"/>
              <w:marTop w:val="0"/>
              <w:marBottom w:val="0"/>
              <w:divBdr>
                <w:top w:val="none" w:sz="0" w:space="0" w:color="auto"/>
                <w:left w:val="none" w:sz="0" w:space="0" w:color="auto"/>
                <w:bottom w:val="none" w:sz="0" w:space="0" w:color="auto"/>
                <w:right w:val="none" w:sz="0" w:space="0" w:color="auto"/>
              </w:divBdr>
              <w:divsChild>
                <w:div w:id="1948930347">
                  <w:marLeft w:val="0"/>
                  <w:marRight w:val="0"/>
                  <w:marTop w:val="0"/>
                  <w:marBottom w:val="0"/>
                  <w:divBdr>
                    <w:top w:val="none" w:sz="0" w:space="0" w:color="auto"/>
                    <w:left w:val="none" w:sz="0" w:space="0" w:color="auto"/>
                    <w:bottom w:val="none" w:sz="0" w:space="0" w:color="auto"/>
                    <w:right w:val="none" w:sz="0" w:space="0" w:color="auto"/>
                  </w:divBdr>
                </w:div>
              </w:divsChild>
            </w:div>
            <w:div w:id="329527041">
              <w:marLeft w:val="0"/>
              <w:marRight w:val="0"/>
              <w:marTop w:val="0"/>
              <w:marBottom w:val="0"/>
              <w:divBdr>
                <w:top w:val="none" w:sz="0" w:space="0" w:color="auto"/>
                <w:left w:val="none" w:sz="0" w:space="0" w:color="auto"/>
                <w:bottom w:val="none" w:sz="0" w:space="0" w:color="auto"/>
                <w:right w:val="none" w:sz="0" w:space="0" w:color="auto"/>
              </w:divBdr>
              <w:divsChild>
                <w:div w:id="1827745208">
                  <w:marLeft w:val="0"/>
                  <w:marRight w:val="0"/>
                  <w:marTop w:val="0"/>
                  <w:marBottom w:val="0"/>
                  <w:divBdr>
                    <w:top w:val="none" w:sz="0" w:space="0" w:color="auto"/>
                    <w:left w:val="none" w:sz="0" w:space="0" w:color="auto"/>
                    <w:bottom w:val="none" w:sz="0" w:space="0" w:color="auto"/>
                    <w:right w:val="none" w:sz="0" w:space="0" w:color="auto"/>
                  </w:divBdr>
                </w:div>
              </w:divsChild>
            </w:div>
            <w:div w:id="2094204264">
              <w:marLeft w:val="0"/>
              <w:marRight w:val="0"/>
              <w:marTop w:val="0"/>
              <w:marBottom w:val="0"/>
              <w:divBdr>
                <w:top w:val="none" w:sz="0" w:space="0" w:color="auto"/>
                <w:left w:val="none" w:sz="0" w:space="0" w:color="auto"/>
                <w:bottom w:val="none" w:sz="0" w:space="0" w:color="auto"/>
                <w:right w:val="none" w:sz="0" w:space="0" w:color="auto"/>
              </w:divBdr>
              <w:divsChild>
                <w:div w:id="1125658437">
                  <w:marLeft w:val="0"/>
                  <w:marRight w:val="0"/>
                  <w:marTop w:val="0"/>
                  <w:marBottom w:val="0"/>
                  <w:divBdr>
                    <w:top w:val="none" w:sz="0" w:space="0" w:color="auto"/>
                    <w:left w:val="none" w:sz="0" w:space="0" w:color="auto"/>
                    <w:bottom w:val="none" w:sz="0" w:space="0" w:color="auto"/>
                    <w:right w:val="none" w:sz="0" w:space="0" w:color="auto"/>
                  </w:divBdr>
                </w:div>
              </w:divsChild>
            </w:div>
            <w:div w:id="1230000322">
              <w:marLeft w:val="0"/>
              <w:marRight w:val="0"/>
              <w:marTop w:val="0"/>
              <w:marBottom w:val="0"/>
              <w:divBdr>
                <w:top w:val="none" w:sz="0" w:space="0" w:color="auto"/>
                <w:left w:val="none" w:sz="0" w:space="0" w:color="auto"/>
                <w:bottom w:val="none" w:sz="0" w:space="0" w:color="auto"/>
                <w:right w:val="none" w:sz="0" w:space="0" w:color="auto"/>
              </w:divBdr>
              <w:divsChild>
                <w:div w:id="1878884016">
                  <w:marLeft w:val="0"/>
                  <w:marRight w:val="0"/>
                  <w:marTop w:val="0"/>
                  <w:marBottom w:val="0"/>
                  <w:divBdr>
                    <w:top w:val="none" w:sz="0" w:space="0" w:color="auto"/>
                    <w:left w:val="none" w:sz="0" w:space="0" w:color="auto"/>
                    <w:bottom w:val="none" w:sz="0" w:space="0" w:color="auto"/>
                    <w:right w:val="none" w:sz="0" w:space="0" w:color="auto"/>
                  </w:divBdr>
                </w:div>
              </w:divsChild>
            </w:div>
            <w:div w:id="2029259988">
              <w:marLeft w:val="0"/>
              <w:marRight w:val="0"/>
              <w:marTop w:val="0"/>
              <w:marBottom w:val="0"/>
              <w:divBdr>
                <w:top w:val="none" w:sz="0" w:space="0" w:color="auto"/>
                <w:left w:val="none" w:sz="0" w:space="0" w:color="auto"/>
                <w:bottom w:val="none" w:sz="0" w:space="0" w:color="auto"/>
                <w:right w:val="none" w:sz="0" w:space="0" w:color="auto"/>
              </w:divBdr>
              <w:divsChild>
                <w:div w:id="835072267">
                  <w:marLeft w:val="0"/>
                  <w:marRight w:val="0"/>
                  <w:marTop w:val="0"/>
                  <w:marBottom w:val="0"/>
                  <w:divBdr>
                    <w:top w:val="none" w:sz="0" w:space="0" w:color="auto"/>
                    <w:left w:val="none" w:sz="0" w:space="0" w:color="auto"/>
                    <w:bottom w:val="none" w:sz="0" w:space="0" w:color="auto"/>
                    <w:right w:val="none" w:sz="0" w:space="0" w:color="auto"/>
                  </w:divBdr>
                </w:div>
              </w:divsChild>
            </w:div>
            <w:div w:id="184488308">
              <w:marLeft w:val="0"/>
              <w:marRight w:val="0"/>
              <w:marTop w:val="0"/>
              <w:marBottom w:val="0"/>
              <w:divBdr>
                <w:top w:val="none" w:sz="0" w:space="0" w:color="auto"/>
                <w:left w:val="none" w:sz="0" w:space="0" w:color="auto"/>
                <w:bottom w:val="none" w:sz="0" w:space="0" w:color="auto"/>
                <w:right w:val="none" w:sz="0" w:space="0" w:color="auto"/>
              </w:divBdr>
              <w:divsChild>
                <w:div w:id="1054085959">
                  <w:marLeft w:val="0"/>
                  <w:marRight w:val="0"/>
                  <w:marTop w:val="0"/>
                  <w:marBottom w:val="0"/>
                  <w:divBdr>
                    <w:top w:val="none" w:sz="0" w:space="0" w:color="auto"/>
                    <w:left w:val="none" w:sz="0" w:space="0" w:color="auto"/>
                    <w:bottom w:val="none" w:sz="0" w:space="0" w:color="auto"/>
                    <w:right w:val="none" w:sz="0" w:space="0" w:color="auto"/>
                  </w:divBdr>
                </w:div>
              </w:divsChild>
            </w:div>
            <w:div w:id="1997219772">
              <w:marLeft w:val="0"/>
              <w:marRight w:val="0"/>
              <w:marTop w:val="0"/>
              <w:marBottom w:val="0"/>
              <w:divBdr>
                <w:top w:val="none" w:sz="0" w:space="0" w:color="auto"/>
                <w:left w:val="none" w:sz="0" w:space="0" w:color="auto"/>
                <w:bottom w:val="none" w:sz="0" w:space="0" w:color="auto"/>
                <w:right w:val="none" w:sz="0" w:space="0" w:color="auto"/>
              </w:divBdr>
              <w:divsChild>
                <w:div w:id="572423727">
                  <w:marLeft w:val="0"/>
                  <w:marRight w:val="0"/>
                  <w:marTop w:val="0"/>
                  <w:marBottom w:val="0"/>
                  <w:divBdr>
                    <w:top w:val="none" w:sz="0" w:space="0" w:color="auto"/>
                    <w:left w:val="none" w:sz="0" w:space="0" w:color="auto"/>
                    <w:bottom w:val="none" w:sz="0" w:space="0" w:color="auto"/>
                    <w:right w:val="none" w:sz="0" w:space="0" w:color="auto"/>
                  </w:divBdr>
                </w:div>
              </w:divsChild>
            </w:div>
            <w:div w:id="1929925850">
              <w:marLeft w:val="0"/>
              <w:marRight w:val="0"/>
              <w:marTop w:val="0"/>
              <w:marBottom w:val="0"/>
              <w:divBdr>
                <w:top w:val="none" w:sz="0" w:space="0" w:color="auto"/>
                <w:left w:val="none" w:sz="0" w:space="0" w:color="auto"/>
                <w:bottom w:val="none" w:sz="0" w:space="0" w:color="auto"/>
                <w:right w:val="none" w:sz="0" w:space="0" w:color="auto"/>
              </w:divBdr>
              <w:divsChild>
                <w:div w:id="1751538988">
                  <w:marLeft w:val="0"/>
                  <w:marRight w:val="0"/>
                  <w:marTop w:val="0"/>
                  <w:marBottom w:val="0"/>
                  <w:divBdr>
                    <w:top w:val="none" w:sz="0" w:space="0" w:color="auto"/>
                    <w:left w:val="none" w:sz="0" w:space="0" w:color="auto"/>
                    <w:bottom w:val="none" w:sz="0" w:space="0" w:color="auto"/>
                    <w:right w:val="none" w:sz="0" w:space="0" w:color="auto"/>
                  </w:divBdr>
                </w:div>
              </w:divsChild>
            </w:div>
            <w:div w:id="1430346612">
              <w:marLeft w:val="0"/>
              <w:marRight w:val="0"/>
              <w:marTop w:val="0"/>
              <w:marBottom w:val="0"/>
              <w:divBdr>
                <w:top w:val="none" w:sz="0" w:space="0" w:color="auto"/>
                <w:left w:val="none" w:sz="0" w:space="0" w:color="auto"/>
                <w:bottom w:val="none" w:sz="0" w:space="0" w:color="auto"/>
                <w:right w:val="none" w:sz="0" w:space="0" w:color="auto"/>
              </w:divBdr>
              <w:divsChild>
                <w:div w:id="1346901569">
                  <w:marLeft w:val="0"/>
                  <w:marRight w:val="0"/>
                  <w:marTop w:val="0"/>
                  <w:marBottom w:val="0"/>
                  <w:divBdr>
                    <w:top w:val="none" w:sz="0" w:space="0" w:color="auto"/>
                    <w:left w:val="none" w:sz="0" w:space="0" w:color="auto"/>
                    <w:bottom w:val="none" w:sz="0" w:space="0" w:color="auto"/>
                    <w:right w:val="none" w:sz="0" w:space="0" w:color="auto"/>
                  </w:divBdr>
                </w:div>
              </w:divsChild>
            </w:div>
            <w:div w:id="1896962099">
              <w:marLeft w:val="0"/>
              <w:marRight w:val="0"/>
              <w:marTop w:val="0"/>
              <w:marBottom w:val="0"/>
              <w:divBdr>
                <w:top w:val="none" w:sz="0" w:space="0" w:color="auto"/>
                <w:left w:val="none" w:sz="0" w:space="0" w:color="auto"/>
                <w:bottom w:val="none" w:sz="0" w:space="0" w:color="auto"/>
                <w:right w:val="none" w:sz="0" w:space="0" w:color="auto"/>
              </w:divBdr>
              <w:divsChild>
                <w:div w:id="479273966">
                  <w:marLeft w:val="0"/>
                  <w:marRight w:val="0"/>
                  <w:marTop w:val="0"/>
                  <w:marBottom w:val="0"/>
                  <w:divBdr>
                    <w:top w:val="none" w:sz="0" w:space="0" w:color="auto"/>
                    <w:left w:val="none" w:sz="0" w:space="0" w:color="auto"/>
                    <w:bottom w:val="none" w:sz="0" w:space="0" w:color="auto"/>
                    <w:right w:val="none" w:sz="0" w:space="0" w:color="auto"/>
                  </w:divBdr>
                </w:div>
              </w:divsChild>
            </w:div>
            <w:div w:id="2029406936">
              <w:marLeft w:val="0"/>
              <w:marRight w:val="0"/>
              <w:marTop w:val="0"/>
              <w:marBottom w:val="0"/>
              <w:divBdr>
                <w:top w:val="none" w:sz="0" w:space="0" w:color="auto"/>
                <w:left w:val="none" w:sz="0" w:space="0" w:color="auto"/>
                <w:bottom w:val="none" w:sz="0" w:space="0" w:color="auto"/>
                <w:right w:val="none" w:sz="0" w:space="0" w:color="auto"/>
              </w:divBdr>
              <w:divsChild>
                <w:div w:id="874997894">
                  <w:marLeft w:val="0"/>
                  <w:marRight w:val="0"/>
                  <w:marTop w:val="0"/>
                  <w:marBottom w:val="0"/>
                  <w:divBdr>
                    <w:top w:val="none" w:sz="0" w:space="0" w:color="auto"/>
                    <w:left w:val="none" w:sz="0" w:space="0" w:color="auto"/>
                    <w:bottom w:val="none" w:sz="0" w:space="0" w:color="auto"/>
                    <w:right w:val="none" w:sz="0" w:space="0" w:color="auto"/>
                  </w:divBdr>
                </w:div>
              </w:divsChild>
            </w:div>
            <w:div w:id="959578959">
              <w:marLeft w:val="0"/>
              <w:marRight w:val="0"/>
              <w:marTop w:val="0"/>
              <w:marBottom w:val="0"/>
              <w:divBdr>
                <w:top w:val="none" w:sz="0" w:space="0" w:color="auto"/>
                <w:left w:val="none" w:sz="0" w:space="0" w:color="auto"/>
                <w:bottom w:val="none" w:sz="0" w:space="0" w:color="auto"/>
                <w:right w:val="none" w:sz="0" w:space="0" w:color="auto"/>
              </w:divBdr>
              <w:divsChild>
                <w:div w:id="1886529236">
                  <w:marLeft w:val="0"/>
                  <w:marRight w:val="0"/>
                  <w:marTop w:val="0"/>
                  <w:marBottom w:val="0"/>
                  <w:divBdr>
                    <w:top w:val="none" w:sz="0" w:space="0" w:color="auto"/>
                    <w:left w:val="none" w:sz="0" w:space="0" w:color="auto"/>
                    <w:bottom w:val="none" w:sz="0" w:space="0" w:color="auto"/>
                    <w:right w:val="none" w:sz="0" w:space="0" w:color="auto"/>
                  </w:divBdr>
                </w:div>
              </w:divsChild>
            </w:div>
            <w:div w:id="1829058489">
              <w:marLeft w:val="0"/>
              <w:marRight w:val="0"/>
              <w:marTop w:val="0"/>
              <w:marBottom w:val="0"/>
              <w:divBdr>
                <w:top w:val="none" w:sz="0" w:space="0" w:color="auto"/>
                <w:left w:val="none" w:sz="0" w:space="0" w:color="auto"/>
                <w:bottom w:val="none" w:sz="0" w:space="0" w:color="auto"/>
                <w:right w:val="none" w:sz="0" w:space="0" w:color="auto"/>
              </w:divBdr>
              <w:divsChild>
                <w:div w:id="1884631663">
                  <w:marLeft w:val="0"/>
                  <w:marRight w:val="0"/>
                  <w:marTop w:val="0"/>
                  <w:marBottom w:val="0"/>
                  <w:divBdr>
                    <w:top w:val="none" w:sz="0" w:space="0" w:color="auto"/>
                    <w:left w:val="none" w:sz="0" w:space="0" w:color="auto"/>
                    <w:bottom w:val="none" w:sz="0" w:space="0" w:color="auto"/>
                    <w:right w:val="none" w:sz="0" w:space="0" w:color="auto"/>
                  </w:divBdr>
                </w:div>
              </w:divsChild>
            </w:div>
            <w:div w:id="527766896">
              <w:marLeft w:val="0"/>
              <w:marRight w:val="0"/>
              <w:marTop w:val="0"/>
              <w:marBottom w:val="0"/>
              <w:divBdr>
                <w:top w:val="none" w:sz="0" w:space="0" w:color="auto"/>
                <w:left w:val="none" w:sz="0" w:space="0" w:color="auto"/>
                <w:bottom w:val="none" w:sz="0" w:space="0" w:color="auto"/>
                <w:right w:val="none" w:sz="0" w:space="0" w:color="auto"/>
              </w:divBdr>
              <w:divsChild>
                <w:div w:id="1327593675">
                  <w:marLeft w:val="0"/>
                  <w:marRight w:val="0"/>
                  <w:marTop w:val="0"/>
                  <w:marBottom w:val="0"/>
                  <w:divBdr>
                    <w:top w:val="none" w:sz="0" w:space="0" w:color="auto"/>
                    <w:left w:val="none" w:sz="0" w:space="0" w:color="auto"/>
                    <w:bottom w:val="none" w:sz="0" w:space="0" w:color="auto"/>
                    <w:right w:val="none" w:sz="0" w:space="0" w:color="auto"/>
                  </w:divBdr>
                </w:div>
              </w:divsChild>
            </w:div>
            <w:div w:id="1849252499">
              <w:marLeft w:val="0"/>
              <w:marRight w:val="0"/>
              <w:marTop w:val="0"/>
              <w:marBottom w:val="0"/>
              <w:divBdr>
                <w:top w:val="none" w:sz="0" w:space="0" w:color="auto"/>
                <w:left w:val="none" w:sz="0" w:space="0" w:color="auto"/>
                <w:bottom w:val="none" w:sz="0" w:space="0" w:color="auto"/>
                <w:right w:val="none" w:sz="0" w:space="0" w:color="auto"/>
              </w:divBdr>
              <w:divsChild>
                <w:div w:id="1944219432">
                  <w:marLeft w:val="0"/>
                  <w:marRight w:val="0"/>
                  <w:marTop w:val="0"/>
                  <w:marBottom w:val="0"/>
                  <w:divBdr>
                    <w:top w:val="none" w:sz="0" w:space="0" w:color="auto"/>
                    <w:left w:val="none" w:sz="0" w:space="0" w:color="auto"/>
                    <w:bottom w:val="none" w:sz="0" w:space="0" w:color="auto"/>
                    <w:right w:val="none" w:sz="0" w:space="0" w:color="auto"/>
                  </w:divBdr>
                </w:div>
              </w:divsChild>
            </w:div>
            <w:div w:id="1639261729">
              <w:marLeft w:val="0"/>
              <w:marRight w:val="0"/>
              <w:marTop w:val="0"/>
              <w:marBottom w:val="0"/>
              <w:divBdr>
                <w:top w:val="none" w:sz="0" w:space="0" w:color="auto"/>
                <w:left w:val="none" w:sz="0" w:space="0" w:color="auto"/>
                <w:bottom w:val="none" w:sz="0" w:space="0" w:color="auto"/>
                <w:right w:val="none" w:sz="0" w:space="0" w:color="auto"/>
              </w:divBdr>
              <w:divsChild>
                <w:div w:id="1654290633">
                  <w:marLeft w:val="0"/>
                  <w:marRight w:val="0"/>
                  <w:marTop w:val="0"/>
                  <w:marBottom w:val="0"/>
                  <w:divBdr>
                    <w:top w:val="none" w:sz="0" w:space="0" w:color="auto"/>
                    <w:left w:val="none" w:sz="0" w:space="0" w:color="auto"/>
                    <w:bottom w:val="none" w:sz="0" w:space="0" w:color="auto"/>
                    <w:right w:val="none" w:sz="0" w:space="0" w:color="auto"/>
                  </w:divBdr>
                </w:div>
              </w:divsChild>
            </w:div>
            <w:div w:id="2036228708">
              <w:marLeft w:val="0"/>
              <w:marRight w:val="0"/>
              <w:marTop w:val="0"/>
              <w:marBottom w:val="0"/>
              <w:divBdr>
                <w:top w:val="none" w:sz="0" w:space="0" w:color="auto"/>
                <w:left w:val="none" w:sz="0" w:space="0" w:color="auto"/>
                <w:bottom w:val="none" w:sz="0" w:space="0" w:color="auto"/>
                <w:right w:val="none" w:sz="0" w:space="0" w:color="auto"/>
              </w:divBdr>
              <w:divsChild>
                <w:div w:id="1282615832">
                  <w:marLeft w:val="0"/>
                  <w:marRight w:val="0"/>
                  <w:marTop w:val="0"/>
                  <w:marBottom w:val="0"/>
                  <w:divBdr>
                    <w:top w:val="none" w:sz="0" w:space="0" w:color="auto"/>
                    <w:left w:val="none" w:sz="0" w:space="0" w:color="auto"/>
                    <w:bottom w:val="none" w:sz="0" w:space="0" w:color="auto"/>
                    <w:right w:val="none" w:sz="0" w:space="0" w:color="auto"/>
                  </w:divBdr>
                </w:div>
              </w:divsChild>
            </w:div>
            <w:div w:id="1977486136">
              <w:marLeft w:val="0"/>
              <w:marRight w:val="0"/>
              <w:marTop w:val="0"/>
              <w:marBottom w:val="0"/>
              <w:divBdr>
                <w:top w:val="none" w:sz="0" w:space="0" w:color="auto"/>
                <w:left w:val="none" w:sz="0" w:space="0" w:color="auto"/>
                <w:bottom w:val="none" w:sz="0" w:space="0" w:color="auto"/>
                <w:right w:val="none" w:sz="0" w:space="0" w:color="auto"/>
              </w:divBdr>
              <w:divsChild>
                <w:div w:id="1078139001">
                  <w:marLeft w:val="0"/>
                  <w:marRight w:val="0"/>
                  <w:marTop w:val="0"/>
                  <w:marBottom w:val="0"/>
                  <w:divBdr>
                    <w:top w:val="none" w:sz="0" w:space="0" w:color="auto"/>
                    <w:left w:val="none" w:sz="0" w:space="0" w:color="auto"/>
                    <w:bottom w:val="none" w:sz="0" w:space="0" w:color="auto"/>
                    <w:right w:val="none" w:sz="0" w:space="0" w:color="auto"/>
                  </w:divBdr>
                </w:div>
              </w:divsChild>
            </w:div>
            <w:div w:id="1613245329">
              <w:marLeft w:val="0"/>
              <w:marRight w:val="0"/>
              <w:marTop w:val="0"/>
              <w:marBottom w:val="0"/>
              <w:divBdr>
                <w:top w:val="none" w:sz="0" w:space="0" w:color="auto"/>
                <w:left w:val="none" w:sz="0" w:space="0" w:color="auto"/>
                <w:bottom w:val="none" w:sz="0" w:space="0" w:color="auto"/>
                <w:right w:val="none" w:sz="0" w:space="0" w:color="auto"/>
              </w:divBdr>
              <w:divsChild>
                <w:div w:id="1786460370">
                  <w:marLeft w:val="0"/>
                  <w:marRight w:val="0"/>
                  <w:marTop w:val="0"/>
                  <w:marBottom w:val="0"/>
                  <w:divBdr>
                    <w:top w:val="none" w:sz="0" w:space="0" w:color="auto"/>
                    <w:left w:val="none" w:sz="0" w:space="0" w:color="auto"/>
                    <w:bottom w:val="none" w:sz="0" w:space="0" w:color="auto"/>
                    <w:right w:val="none" w:sz="0" w:space="0" w:color="auto"/>
                  </w:divBdr>
                </w:div>
              </w:divsChild>
            </w:div>
            <w:div w:id="2120759414">
              <w:marLeft w:val="0"/>
              <w:marRight w:val="0"/>
              <w:marTop w:val="0"/>
              <w:marBottom w:val="0"/>
              <w:divBdr>
                <w:top w:val="none" w:sz="0" w:space="0" w:color="auto"/>
                <w:left w:val="none" w:sz="0" w:space="0" w:color="auto"/>
                <w:bottom w:val="none" w:sz="0" w:space="0" w:color="auto"/>
                <w:right w:val="none" w:sz="0" w:space="0" w:color="auto"/>
              </w:divBdr>
              <w:divsChild>
                <w:div w:id="1725719829">
                  <w:marLeft w:val="0"/>
                  <w:marRight w:val="0"/>
                  <w:marTop w:val="0"/>
                  <w:marBottom w:val="0"/>
                  <w:divBdr>
                    <w:top w:val="none" w:sz="0" w:space="0" w:color="auto"/>
                    <w:left w:val="none" w:sz="0" w:space="0" w:color="auto"/>
                    <w:bottom w:val="none" w:sz="0" w:space="0" w:color="auto"/>
                    <w:right w:val="none" w:sz="0" w:space="0" w:color="auto"/>
                  </w:divBdr>
                </w:div>
              </w:divsChild>
            </w:div>
            <w:div w:id="223419801">
              <w:marLeft w:val="0"/>
              <w:marRight w:val="0"/>
              <w:marTop w:val="0"/>
              <w:marBottom w:val="0"/>
              <w:divBdr>
                <w:top w:val="none" w:sz="0" w:space="0" w:color="auto"/>
                <w:left w:val="none" w:sz="0" w:space="0" w:color="auto"/>
                <w:bottom w:val="none" w:sz="0" w:space="0" w:color="auto"/>
                <w:right w:val="none" w:sz="0" w:space="0" w:color="auto"/>
              </w:divBdr>
              <w:divsChild>
                <w:div w:id="322856821">
                  <w:marLeft w:val="0"/>
                  <w:marRight w:val="0"/>
                  <w:marTop w:val="0"/>
                  <w:marBottom w:val="0"/>
                  <w:divBdr>
                    <w:top w:val="none" w:sz="0" w:space="0" w:color="auto"/>
                    <w:left w:val="none" w:sz="0" w:space="0" w:color="auto"/>
                    <w:bottom w:val="none" w:sz="0" w:space="0" w:color="auto"/>
                    <w:right w:val="none" w:sz="0" w:space="0" w:color="auto"/>
                  </w:divBdr>
                </w:div>
              </w:divsChild>
            </w:div>
            <w:div w:id="452989709">
              <w:marLeft w:val="0"/>
              <w:marRight w:val="0"/>
              <w:marTop w:val="0"/>
              <w:marBottom w:val="0"/>
              <w:divBdr>
                <w:top w:val="none" w:sz="0" w:space="0" w:color="auto"/>
                <w:left w:val="none" w:sz="0" w:space="0" w:color="auto"/>
                <w:bottom w:val="none" w:sz="0" w:space="0" w:color="auto"/>
                <w:right w:val="none" w:sz="0" w:space="0" w:color="auto"/>
              </w:divBdr>
              <w:divsChild>
                <w:div w:id="159584164">
                  <w:marLeft w:val="0"/>
                  <w:marRight w:val="0"/>
                  <w:marTop w:val="0"/>
                  <w:marBottom w:val="0"/>
                  <w:divBdr>
                    <w:top w:val="none" w:sz="0" w:space="0" w:color="auto"/>
                    <w:left w:val="none" w:sz="0" w:space="0" w:color="auto"/>
                    <w:bottom w:val="none" w:sz="0" w:space="0" w:color="auto"/>
                    <w:right w:val="none" w:sz="0" w:space="0" w:color="auto"/>
                  </w:divBdr>
                </w:div>
              </w:divsChild>
            </w:div>
            <w:div w:id="1130636356">
              <w:marLeft w:val="0"/>
              <w:marRight w:val="0"/>
              <w:marTop w:val="0"/>
              <w:marBottom w:val="0"/>
              <w:divBdr>
                <w:top w:val="none" w:sz="0" w:space="0" w:color="auto"/>
                <w:left w:val="none" w:sz="0" w:space="0" w:color="auto"/>
                <w:bottom w:val="none" w:sz="0" w:space="0" w:color="auto"/>
                <w:right w:val="none" w:sz="0" w:space="0" w:color="auto"/>
              </w:divBdr>
              <w:divsChild>
                <w:div w:id="1979874027">
                  <w:marLeft w:val="0"/>
                  <w:marRight w:val="0"/>
                  <w:marTop w:val="0"/>
                  <w:marBottom w:val="0"/>
                  <w:divBdr>
                    <w:top w:val="none" w:sz="0" w:space="0" w:color="auto"/>
                    <w:left w:val="none" w:sz="0" w:space="0" w:color="auto"/>
                    <w:bottom w:val="none" w:sz="0" w:space="0" w:color="auto"/>
                    <w:right w:val="none" w:sz="0" w:space="0" w:color="auto"/>
                  </w:divBdr>
                </w:div>
              </w:divsChild>
            </w:div>
            <w:div w:id="792016015">
              <w:marLeft w:val="0"/>
              <w:marRight w:val="0"/>
              <w:marTop w:val="0"/>
              <w:marBottom w:val="0"/>
              <w:divBdr>
                <w:top w:val="none" w:sz="0" w:space="0" w:color="auto"/>
                <w:left w:val="none" w:sz="0" w:space="0" w:color="auto"/>
                <w:bottom w:val="none" w:sz="0" w:space="0" w:color="auto"/>
                <w:right w:val="none" w:sz="0" w:space="0" w:color="auto"/>
              </w:divBdr>
              <w:divsChild>
                <w:div w:id="1605072932">
                  <w:marLeft w:val="0"/>
                  <w:marRight w:val="0"/>
                  <w:marTop w:val="0"/>
                  <w:marBottom w:val="0"/>
                  <w:divBdr>
                    <w:top w:val="none" w:sz="0" w:space="0" w:color="auto"/>
                    <w:left w:val="none" w:sz="0" w:space="0" w:color="auto"/>
                    <w:bottom w:val="none" w:sz="0" w:space="0" w:color="auto"/>
                    <w:right w:val="none" w:sz="0" w:space="0" w:color="auto"/>
                  </w:divBdr>
                </w:div>
              </w:divsChild>
            </w:div>
            <w:div w:id="2138254403">
              <w:marLeft w:val="0"/>
              <w:marRight w:val="0"/>
              <w:marTop w:val="0"/>
              <w:marBottom w:val="0"/>
              <w:divBdr>
                <w:top w:val="none" w:sz="0" w:space="0" w:color="auto"/>
                <w:left w:val="none" w:sz="0" w:space="0" w:color="auto"/>
                <w:bottom w:val="none" w:sz="0" w:space="0" w:color="auto"/>
                <w:right w:val="none" w:sz="0" w:space="0" w:color="auto"/>
              </w:divBdr>
              <w:divsChild>
                <w:div w:id="1732997745">
                  <w:marLeft w:val="0"/>
                  <w:marRight w:val="0"/>
                  <w:marTop w:val="0"/>
                  <w:marBottom w:val="0"/>
                  <w:divBdr>
                    <w:top w:val="none" w:sz="0" w:space="0" w:color="auto"/>
                    <w:left w:val="none" w:sz="0" w:space="0" w:color="auto"/>
                    <w:bottom w:val="none" w:sz="0" w:space="0" w:color="auto"/>
                    <w:right w:val="none" w:sz="0" w:space="0" w:color="auto"/>
                  </w:divBdr>
                </w:div>
              </w:divsChild>
            </w:div>
            <w:div w:id="1656831898">
              <w:marLeft w:val="0"/>
              <w:marRight w:val="0"/>
              <w:marTop w:val="0"/>
              <w:marBottom w:val="0"/>
              <w:divBdr>
                <w:top w:val="none" w:sz="0" w:space="0" w:color="auto"/>
                <w:left w:val="none" w:sz="0" w:space="0" w:color="auto"/>
                <w:bottom w:val="none" w:sz="0" w:space="0" w:color="auto"/>
                <w:right w:val="none" w:sz="0" w:space="0" w:color="auto"/>
              </w:divBdr>
              <w:divsChild>
                <w:div w:id="6904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8740">
          <w:marLeft w:val="0"/>
          <w:marRight w:val="0"/>
          <w:marTop w:val="0"/>
          <w:marBottom w:val="600"/>
          <w:divBdr>
            <w:top w:val="none" w:sz="0" w:space="0" w:color="auto"/>
            <w:left w:val="none" w:sz="0" w:space="0" w:color="auto"/>
            <w:bottom w:val="none" w:sz="0" w:space="0" w:color="auto"/>
            <w:right w:val="none" w:sz="0" w:space="0" w:color="auto"/>
          </w:divBdr>
        </w:div>
      </w:divsChild>
    </w:div>
    <w:div w:id="499780435">
      <w:marLeft w:val="0"/>
      <w:marRight w:val="0"/>
      <w:marTop w:val="0"/>
      <w:marBottom w:val="0"/>
      <w:divBdr>
        <w:top w:val="none" w:sz="0" w:space="0" w:color="auto"/>
        <w:left w:val="none" w:sz="0" w:space="0" w:color="auto"/>
        <w:bottom w:val="none" w:sz="0" w:space="0" w:color="auto"/>
        <w:right w:val="none" w:sz="0" w:space="0" w:color="auto"/>
      </w:divBdr>
      <w:divsChild>
        <w:div w:id="1108617264">
          <w:marLeft w:val="0"/>
          <w:marRight w:val="0"/>
          <w:marTop w:val="547"/>
          <w:marBottom w:val="0"/>
          <w:divBdr>
            <w:top w:val="none" w:sz="0" w:space="0" w:color="auto"/>
            <w:left w:val="none" w:sz="0" w:space="0" w:color="auto"/>
            <w:bottom w:val="none" w:sz="0" w:space="0" w:color="auto"/>
            <w:right w:val="none" w:sz="0" w:space="0" w:color="auto"/>
          </w:divBdr>
        </w:div>
        <w:div w:id="810095597">
          <w:marLeft w:val="0"/>
          <w:marRight w:val="0"/>
          <w:marTop w:val="0"/>
          <w:marBottom w:val="0"/>
          <w:divBdr>
            <w:top w:val="none" w:sz="0" w:space="0" w:color="auto"/>
            <w:left w:val="none" w:sz="0" w:space="0" w:color="auto"/>
            <w:bottom w:val="none" w:sz="0" w:space="0" w:color="auto"/>
            <w:right w:val="none" w:sz="0" w:space="0" w:color="auto"/>
          </w:divBdr>
          <w:divsChild>
            <w:div w:id="1205022330">
              <w:marLeft w:val="0"/>
              <w:marRight w:val="0"/>
              <w:marTop w:val="0"/>
              <w:marBottom w:val="0"/>
              <w:divBdr>
                <w:top w:val="none" w:sz="0" w:space="0" w:color="auto"/>
                <w:left w:val="none" w:sz="0" w:space="0" w:color="auto"/>
                <w:bottom w:val="none" w:sz="0" w:space="0" w:color="auto"/>
                <w:right w:val="none" w:sz="0" w:space="0" w:color="auto"/>
              </w:divBdr>
              <w:divsChild>
                <w:div w:id="1425297275">
                  <w:marLeft w:val="0"/>
                  <w:marRight w:val="0"/>
                  <w:marTop w:val="0"/>
                  <w:marBottom w:val="0"/>
                  <w:divBdr>
                    <w:top w:val="none" w:sz="0" w:space="0" w:color="auto"/>
                    <w:left w:val="none" w:sz="0" w:space="0" w:color="auto"/>
                    <w:bottom w:val="none" w:sz="0" w:space="0" w:color="auto"/>
                    <w:right w:val="none" w:sz="0" w:space="0" w:color="auto"/>
                  </w:divBdr>
                </w:div>
              </w:divsChild>
            </w:div>
            <w:div w:id="2085177862">
              <w:marLeft w:val="0"/>
              <w:marRight w:val="0"/>
              <w:marTop w:val="0"/>
              <w:marBottom w:val="0"/>
              <w:divBdr>
                <w:top w:val="none" w:sz="0" w:space="0" w:color="auto"/>
                <w:left w:val="none" w:sz="0" w:space="0" w:color="auto"/>
                <w:bottom w:val="none" w:sz="0" w:space="0" w:color="auto"/>
                <w:right w:val="none" w:sz="0" w:space="0" w:color="auto"/>
              </w:divBdr>
              <w:divsChild>
                <w:div w:id="350186610">
                  <w:marLeft w:val="0"/>
                  <w:marRight w:val="0"/>
                  <w:marTop w:val="0"/>
                  <w:marBottom w:val="0"/>
                  <w:divBdr>
                    <w:top w:val="none" w:sz="0" w:space="0" w:color="auto"/>
                    <w:left w:val="none" w:sz="0" w:space="0" w:color="auto"/>
                    <w:bottom w:val="none" w:sz="0" w:space="0" w:color="auto"/>
                    <w:right w:val="none" w:sz="0" w:space="0" w:color="auto"/>
                  </w:divBdr>
                </w:div>
              </w:divsChild>
            </w:div>
            <w:div w:id="1350911290">
              <w:marLeft w:val="0"/>
              <w:marRight w:val="0"/>
              <w:marTop w:val="0"/>
              <w:marBottom w:val="0"/>
              <w:divBdr>
                <w:top w:val="none" w:sz="0" w:space="0" w:color="auto"/>
                <w:left w:val="none" w:sz="0" w:space="0" w:color="auto"/>
                <w:bottom w:val="none" w:sz="0" w:space="0" w:color="auto"/>
                <w:right w:val="none" w:sz="0" w:space="0" w:color="auto"/>
              </w:divBdr>
              <w:divsChild>
                <w:div w:id="1543904380">
                  <w:marLeft w:val="0"/>
                  <w:marRight w:val="0"/>
                  <w:marTop w:val="0"/>
                  <w:marBottom w:val="0"/>
                  <w:divBdr>
                    <w:top w:val="none" w:sz="0" w:space="0" w:color="auto"/>
                    <w:left w:val="none" w:sz="0" w:space="0" w:color="auto"/>
                    <w:bottom w:val="none" w:sz="0" w:space="0" w:color="auto"/>
                    <w:right w:val="none" w:sz="0" w:space="0" w:color="auto"/>
                  </w:divBdr>
                </w:div>
              </w:divsChild>
            </w:div>
            <w:div w:id="1497110130">
              <w:marLeft w:val="0"/>
              <w:marRight w:val="0"/>
              <w:marTop w:val="0"/>
              <w:marBottom w:val="0"/>
              <w:divBdr>
                <w:top w:val="none" w:sz="0" w:space="0" w:color="auto"/>
                <w:left w:val="none" w:sz="0" w:space="0" w:color="auto"/>
                <w:bottom w:val="none" w:sz="0" w:space="0" w:color="auto"/>
                <w:right w:val="none" w:sz="0" w:space="0" w:color="auto"/>
              </w:divBdr>
              <w:divsChild>
                <w:div w:id="1555657054">
                  <w:marLeft w:val="0"/>
                  <w:marRight w:val="0"/>
                  <w:marTop w:val="0"/>
                  <w:marBottom w:val="0"/>
                  <w:divBdr>
                    <w:top w:val="none" w:sz="0" w:space="0" w:color="auto"/>
                    <w:left w:val="none" w:sz="0" w:space="0" w:color="auto"/>
                    <w:bottom w:val="none" w:sz="0" w:space="0" w:color="auto"/>
                    <w:right w:val="none" w:sz="0" w:space="0" w:color="auto"/>
                  </w:divBdr>
                </w:div>
              </w:divsChild>
            </w:div>
            <w:div w:id="785462726">
              <w:marLeft w:val="0"/>
              <w:marRight w:val="0"/>
              <w:marTop w:val="0"/>
              <w:marBottom w:val="0"/>
              <w:divBdr>
                <w:top w:val="none" w:sz="0" w:space="0" w:color="auto"/>
                <w:left w:val="none" w:sz="0" w:space="0" w:color="auto"/>
                <w:bottom w:val="none" w:sz="0" w:space="0" w:color="auto"/>
                <w:right w:val="none" w:sz="0" w:space="0" w:color="auto"/>
              </w:divBdr>
              <w:divsChild>
                <w:div w:id="890918502">
                  <w:marLeft w:val="0"/>
                  <w:marRight w:val="0"/>
                  <w:marTop w:val="0"/>
                  <w:marBottom w:val="0"/>
                  <w:divBdr>
                    <w:top w:val="none" w:sz="0" w:space="0" w:color="auto"/>
                    <w:left w:val="none" w:sz="0" w:space="0" w:color="auto"/>
                    <w:bottom w:val="none" w:sz="0" w:space="0" w:color="auto"/>
                    <w:right w:val="none" w:sz="0" w:space="0" w:color="auto"/>
                  </w:divBdr>
                </w:div>
              </w:divsChild>
            </w:div>
            <w:div w:id="479199583">
              <w:marLeft w:val="0"/>
              <w:marRight w:val="0"/>
              <w:marTop w:val="0"/>
              <w:marBottom w:val="0"/>
              <w:divBdr>
                <w:top w:val="none" w:sz="0" w:space="0" w:color="auto"/>
                <w:left w:val="none" w:sz="0" w:space="0" w:color="auto"/>
                <w:bottom w:val="none" w:sz="0" w:space="0" w:color="auto"/>
                <w:right w:val="none" w:sz="0" w:space="0" w:color="auto"/>
              </w:divBdr>
              <w:divsChild>
                <w:div w:id="296957286">
                  <w:marLeft w:val="0"/>
                  <w:marRight w:val="0"/>
                  <w:marTop w:val="0"/>
                  <w:marBottom w:val="0"/>
                  <w:divBdr>
                    <w:top w:val="none" w:sz="0" w:space="0" w:color="auto"/>
                    <w:left w:val="none" w:sz="0" w:space="0" w:color="auto"/>
                    <w:bottom w:val="none" w:sz="0" w:space="0" w:color="auto"/>
                    <w:right w:val="none" w:sz="0" w:space="0" w:color="auto"/>
                  </w:divBdr>
                </w:div>
              </w:divsChild>
            </w:div>
            <w:div w:id="114718809">
              <w:marLeft w:val="0"/>
              <w:marRight w:val="0"/>
              <w:marTop w:val="0"/>
              <w:marBottom w:val="0"/>
              <w:divBdr>
                <w:top w:val="none" w:sz="0" w:space="0" w:color="auto"/>
                <w:left w:val="none" w:sz="0" w:space="0" w:color="auto"/>
                <w:bottom w:val="none" w:sz="0" w:space="0" w:color="auto"/>
                <w:right w:val="none" w:sz="0" w:space="0" w:color="auto"/>
              </w:divBdr>
              <w:divsChild>
                <w:div w:id="257374305">
                  <w:marLeft w:val="0"/>
                  <w:marRight w:val="0"/>
                  <w:marTop w:val="0"/>
                  <w:marBottom w:val="0"/>
                  <w:divBdr>
                    <w:top w:val="none" w:sz="0" w:space="0" w:color="auto"/>
                    <w:left w:val="none" w:sz="0" w:space="0" w:color="auto"/>
                    <w:bottom w:val="none" w:sz="0" w:space="0" w:color="auto"/>
                    <w:right w:val="none" w:sz="0" w:space="0" w:color="auto"/>
                  </w:divBdr>
                </w:div>
              </w:divsChild>
            </w:div>
            <w:div w:id="628319674">
              <w:marLeft w:val="0"/>
              <w:marRight w:val="0"/>
              <w:marTop w:val="0"/>
              <w:marBottom w:val="0"/>
              <w:divBdr>
                <w:top w:val="none" w:sz="0" w:space="0" w:color="auto"/>
                <w:left w:val="none" w:sz="0" w:space="0" w:color="auto"/>
                <w:bottom w:val="none" w:sz="0" w:space="0" w:color="auto"/>
                <w:right w:val="none" w:sz="0" w:space="0" w:color="auto"/>
              </w:divBdr>
            </w:div>
          </w:divsChild>
        </w:div>
        <w:div w:id="1802528889">
          <w:marLeft w:val="0"/>
          <w:marRight w:val="0"/>
          <w:marTop w:val="0"/>
          <w:marBottom w:val="600"/>
          <w:divBdr>
            <w:top w:val="none" w:sz="0" w:space="0" w:color="auto"/>
            <w:left w:val="none" w:sz="0" w:space="0" w:color="auto"/>
            <w:bottom w:val="none" w:sz="0" w:space="0" w:color="auto"/>
            <w:right w:val="none" w:sz="0" w:space="0" w:color="auto"/>
          </w:divBdr>
        </w:div>
      </w:divsChild>
    </w:div>
    <w:div w:id="554044854">
      <w:marLeft w:val="0"/>
      <w:marRight w:val="0"/>
      <w:marTop w:val="0"/>
      <w:marBottom w:val="0"/>
      <w:divBdr>
        <w:top w:val="none" w:sz="0" w:space="0" w:color="auto"/>
        <w:left w:val="none" w:sz="0" w:space="0" w:color="auto"/>
        <w:bottom w:val="none" w:sz="0" w:space="0" w:color="auto"/>
        <w:right w:val="none" w:sz="0" w:space="0" w:color="auto"/>
      </w:divBdr>
      <w:divsChild>
        <w:div w:id="1397319415">
          <w:marLeft w:val="0"/>
          <w:marRight w:val="0"/>
          <w:marTop w:val="547"/>
          <w:marBottom w:val="0"/>
          <w:divBdr>
            <w:top w:val="none" w:sz="0" w:space="0" w:color="auto"/>
            <w:left w:val="none" w:sz="0" w:space="0" w:color="auto"/>
            <w:bottom w:val="none" w:sz="0" w:space="0" w:color="auto"/>
            <w:right w:val="none" w:sz="0" w:space="0" w:color="auto"/>
          </w:divBdr>
        </w:div>
        <w:div w:id="825517371">
          <w:marLeft w:val="0"/>
          <w:marRight w:val="0"/>
          <w:marTop w:val="0"/>
          <w:marBottom w:val="0"/>
          <w:divBdr>
            <w:top w:val="none" w:sz="0" w:space="0" w:color="auto"/>
            <w:left w:val="none" w:sz="0" w:space="0" w:color="auto"/>
            <w:bottom w:val="none" w:sz="0" w:space="0" w:color="auto"/>
            <w:right w:val="none" w:sz="0" w:space="0" w:color="auto"/>
          </w:divBdr>
          <w:divsChild>
            <w:div w:id="1435172983">
              <w:marLeft w:val="0"/>
              <w:marRight w:val="0"/>
              <w:marTop w:val="0"/>
              <w:marBottom w:val="0"/>
              <w:divBdr>
                <w:top w:val="none" w:sz="0" w:space="0" w:color="auto"/>
                <w:left w:val="none" w:sz="0" w:space="0" w:color="auto"/>
                <w:bottom w:val="none" w:sz="0" w:space="0" w:color="auto"/>
                <w:right w:val="none" w:sz="0" w:space="0" w:color="auto"/>
              </w:divBdr>
              <w:divsChild>
                <w:div w:id="646587730">
                  <w:marLeft w:val="0"/>
                  <w:marRight w:val="0"/>
                  <w:marTop w:val="0"/>
                  <w:marBottom w:val="0"/>
                  <w:divBdr>
                    <w:top w:val="none" w:sz="0" w:space="0" w:color="auto"/>
                    <w:left w:val="none" w:sz="0" w:space="0" w:color="auto"/>
                    <w:bottom w:val="none" w:sz="0" w:space="0" w:color="auto"/>
                    <w:right w:val="none" w:sz="0" w:space="0" w:color="auto"/>
                  </w:divBdr>
                </w:div>
              </w:divsChild>
            </w:div>
            <w:div w:id="167912994">
              <w:marLeft w:val="0"/>
              <w:marRight w:val="0"/>
              <w:marTop w:val="0"/>
              <w:marBottom w:val="0"/>
              <w:divBdr>
                <w:top w:val="none" w:sz="0" w:space="0" w:color="auto"/>
                <w:left w:val="none" w:sz="0" w:space="0" w:color="auto"/>
                <w:bottom w:val="none" w:sz="0" w:space="0" w:color="auto"/>
                <w:right w:val="none" w:sz="0" w:space="0" w:color="auto"/>
              </w:divBdr>
              <w:divsChild>
                <w:div w:id="1406026203">
                  <w:marLeft w:val="0"/>
                  <w:marRight w:val="0"/>
                  <w:marTop w:val="0"/>
                  <w:marBottom w:val="0"/>
                  <w:divBdr>
                    <w:top w:val="none" w:sz="0" w:space="0" w:color="auto"/>
                    <w:left w:val="none" w:sz="0" w:space="0" w:color="auto"/>
                    <w:bottom w:val="none" w:sz="0" w:space="0" w:color="auto"/>
                    <w:right w:val="none" w:sz="0" w:space="0" w:color="auto"/>
                  </w:divBdr>
                </w:div>
              </w:divsChild>
            </w:div>
            <w:div w:id="667755154">
              <w:marLeft w:val="0"/>
              <w:marRight w:val="0"/>
              <w:marTop w:val="0"/>
              <w:marBottom w:val="0"/>
              <w:divBdr>
                <w:top w:val="none" w:sz="0" w:space="0" w:color="auto"/>
                <w:left w:val="none" w:sz="0" w:space="0" w:color="auto"/>
                <w:bottom w:val="none" w:sz="0" w:space="0" w:color="auto"/>
                <w:right w:val="none" w:sz="0" w:space="0" w:color="auto"/>
              </w:divBdr>
              <w:divsChild>
                <w:div w:id="207304368">
                  <w:marLeft w:val="0"/>
                  <w:marRight w:val="0"/>
                  <w:marTop w:val="0"/>
                  <w:marBottom w:val="0"/>
                  <w:divBdr>
                    <w:top w:val="none" w:sz="0" w:space="0" w:color="auto"/>
                    <w:left w:val="none" w:sz="0" w:space="0" w:color="auto"/>
                    <w:bottom w:val="none" w:sz="0" w:space="0" w:color="auto"/>
                    <w:right w:val="none" w:sz="0" w:space="0" w:color="auto"/>
                  </w:divBdr>
                </w:div>
              </w:divsChild>
            </w:div>
            <w:div w:id="1217820429">
              <w:marLeft w:val="0"/>
              <w:marRight w:val="0"/>
              <w:marTop w:val="0"/>
              <w:marBottom w:val="0"/>
              <w:divBdr>
                <w:top w:val="none" w:sz="0" w:space="0" w:color="auto"/>
                <w:left w:val="none" w:sz="0" w:space="0" w:color="auto"/>
                <w:bottom w:val="none" w:sz="0" w:space="0" w:color="auto"/>
                <w:right w:val="none" w:sz="0" w:space="0" w:color="auto"/>
              </w:divBdr>
              <w:divsChild>
                <w:div w:id="1133405013">
                  <w:marLeft w:val="0"/>
                  <w:marRight w:val="0"/>
                  <w:marTop w:val="0"/>
                  <w:marBottom w:val="0"/>
                  <w:divBdr>
                    <w:top w:val="none" w:sz="0" w:space="0" w:color="auto"/>
                    <w:left w:val="none" w:sz="0" w:space="0" w:color="auto"/>
                    <w:bottom w:val="none" w:sz="0" w:space="0" w:color="auto"/>
                    <w:right w:val="none" w:sz="0" w:space="0" w:color="auto"/>
                  </w:divBdr>
                </w:div>
              </w:divsChild>
            </w:div>
            <w:div w:id="2147162043">
              <w:marLeft w:val="0"/>
              <w:marRight w:val="0"/>
              <w:marTop w:val="0"/>
              <w:marBottom w:val="0"/>
              <w:divBdr>
                <w:top w:val="none" w:sz="0" w:space="0" w:color="auto"/>
                <w:left w:val="none" w:sz="0" w:space="0" w:color="auto"/>
                <w:bottom w:val="none" w:sz="0" w:space="0" w:color="auto"/>
                <w:right w:val="none" w:sz="0" w:space="0" w:color="auto"/>
              </w:divBdr>
              <w:divsChild>
                <w:div w:id="1247883020">
                  <w:marLeft w:val="0"/>
                  <w:marRight w:val="0"/>
                  <w:marTop w:val="0"/>
                  <w:marBottom w:val="0"/>
                  <w:divBdr>
                    <w:top w:val="none" w:sz="0" w:space="0" w:color="auto"/>
                    <w:left w:val="none" w:sz="0" w:space="0" w:color="auto"/>
                    <w:bottom w:val="none" w:sz="0" w:space="0" w:color="auto"/>
                    <w:right w:val="none" w:sz="0" w:space="0" w:color="auto"/>
                  </w:divBdr>
                </w:div>
              </w:divsChild>
            </w:div>
            <w:div w:id="455877781">
              <w:marLeft w:val="0"/>
              <w:marRight w:val="0"/>
              <w:marTop w:val="0"/>
              <w:marBottom w:val="0"/>
              <w:divBdr>
                <w:top w:val="none" w:sz="0" w:space="0" w:color="auto"/>
                <w:left w:val="none" w:sz="0" w:space="0" w:color="auto"/>
                <w:bottom w:val="none" w:sz="0" w:space="0" w:color="auto"/>
                <w:right w:val="none" w:sz="0" w:space="0" w:color="auto"/>
              </w:divBdr>
              <w:divsChild>
                <w:div w:id="1756240979">
                  <w:marLeft w:val="0"/>
                  <w:marRight w:val="0"/>
                  <w:marTop w:val="0"/>
                  <w:marBottom w:val="0"/>
                  <w:divBdr>
                    <w:top w:val="none" w:sz="0" w:space="0" w:color="auto"/>
                    <w:left w:val="none" w:sz="0" w:space="0" w:color="auto"/>
                    <w:bottom w:val="none" w:sz="0" w:space="0" w:color="auto"/>
                    <w:right w:val="none" w:sz="0" w:space="0" w:color="auto"/>
                  </w:divBdr>
                </w:div>
              </w:divsChild>
            </w:div>
            <w:div w:id="1174567102">
              <w:marLeft w:val="0"/>
              <w:marRight w:val="0"/>
              <w:marTop w:val="0"/>
              <w:marBottom w:val="0"/>
              <w:divBdr>
                <w:top w:val="none" w:sz="0" w:space="0" w:color="auto"/>
                <w:left w:val="none" w:sz="0" w:space="0" w:color="auto"/>
                <w:bottom w:val="none" w:sz="0" w:space="0" w:color="auto"/>
                <w:right w:val="none" w:sz="0" w:space="0" w:color="auto"/>
              </w:divBdr>
              <w:divsChild>
                <w:div w:id="86122280">
                  <w:marLeft w:val="0"/>
                  <w:marRight w:val="0"/>
                  <w:marTop w:val="0"/>
                  <w:marBottom w:val="0"/>
                  <w:divBdr>
                    <w:top w:val="none" w:sz="0" w:space="0" w:color="auto"/>
                    <w:left w:val="none" w:sz="0" w:space="0" w:color="auto"/>
                    <w:bottom w:val="none" w:sz="0" w:space="0" w:color="auto"/>
                    <w:right w:val="none" w:sz="0" w:space="0" w:color="auto"/>
                  </w:divBdr>
                </w:div>
              </w:divsChild>
            </w:div>
            <w:div w:id="1428889601">
              <w:marLeft w:val="0"/>
              <w:marRight w:val="0"/>
              <w:marTop w:val="0"/>
              <w:marBottom w:val="0"/>
              <w:divBdr>
                <w:top w:val="none" w:sz="0" w:space="0" w:color="auto"/>
                <w:left w:val="none" w:sz="0" w:space="0" w:color="auto"/>
                <w:bottom w:val="none" w:sz="0" w:space="0" w:color="auto"/>
                <w:right w:val="none" w:sz="0" w:space="0" w:color="auto"/>
              </w:divBdr>
              <w:divsChild>
                <w:div w:id="943226868">
                  <w:marLeft w:val="0"/>
                  <w:marRight w:val="0"/>
                  <w:marTop w:val="0"/>
                  <w:marBottom w:val="0"/>
                  <w:divBdr>
                    <w:top w:val="none" w:sz="0" w:space="0" w:color="auto"/>
                    <w:left w:val="none" w:sz="0" w:space="0" w:color="auto"/>
                    <w:bottom w:val="none" w:sz="0" w:space="0" w:color="auto"/>
                    <w:right w:val="none" w:sz="0" w:space="0" w:color="auto"/>
                  </w:divBdr>
                </w:div>
              </w:divsChild>
            </w:div>
            <w:div w:id="694817484">
              <w:marLeft w:val="0"/>
              <w:marRight w:val="0"/>
              <w:marTop w:val="0"/>
              <w:marBottom w:val="0"/>
              <w:divBdr>
                <w:top w:val="none" w:sz="0" w:space="0" w:color="auto"/>
                <w:left w:val="none" w:sz="0" w:space="0" w:color="auto"/>
                <w:bottom w:val="none" w:sz="0" w:space="0" w:color="auto"/>
                <w:right w:val="none" w:sz="0" w:space="0" w:color="auto"/>
              </w:divBdr>
              <w:divsChild>
                <w:div w:id="1166939852">
                  <w:marLeft w:val="0"/>
                  <w:marRight w:val="0"/>
                  <w:marTop w:val="0"/>
                  <w:marBottom w:val="0"/>
                  <w:divBdr>
                    <w:top w:val="none" w:sz="0" w:space="0" w:color="auto"/>
                    <w:left w:val="none" w:sz="0" w:space="0" w:color="auto"/>
                    <w:bottom w:val="none" w:sz="0" w:space="0" w:color="auto"/>
                    <w:right w:val="none" w:sz="0" w:space="0" w:color="auto"/>
                  </w:divBdr>
                </w:div>
              </w:divsChild>
            </w:div>
            <w:div w:id="541209551">
              <w:marLeft w:val="0"/>
              <w:marRight w:val="0"/>
              <w:marTop w:val="0"/>
              <w:marBottom w:val="0"/>
              <w:divBdr>
                <w:top w:val="none" w:sz="0" w:space="0" w:color="auto"/>
                <w:left w:val="none" w:sz="0" w:space="0" w:color="auto"/>
                <w:bottom w:val="none" w:sz="0" w:space="0" w:color="auto"/>
                <w:right w:val="none" w:sz="0" w:space="0" w:color="auto"/>
              </w:divBdr>
              <w:divsChild>
                <w:div w:id="820847946">
                  <w:marLeft w:val="0"/>
                  <w:marRight w:val="0"/>
                  <w:marTop w:val="0"/>
                  <w:marBottom w:val="0"/>
                  <w:divBdr>
                    <w:top w:val="none" w:sz="0" w:space="0" w:color="auto"/>
                    <w:left w:val="none" w:sz="0" w:space="0" w:color="auto"/>
                    <w:bottom w:val="none" w:sz="0" w:space="0" w:color="auto"/>
                    <w:right w:val="none" w:sz="0" w:space="0" w:color="auto"/>
                  </w:divBdr>
                </w:div>
              </w:divsChild>
            </w:div>
            <w:div w:id="1596160366">
              <w:marLeft w:val="0"/>
              <w:marRight w:val="0"/>
              <w:marTop w:val="0"/>
              <w:marBottom w:val="0"/>
              <w:divBdr>
                <w:top w:val="none" w:sz="0" w:space="0" w:color="auto"/>
                <w:left w:val="none" w:sz="0" w:space="0" w:color="auto"/>
                <w:bottom w:val="none" w:sz="0" w:space="0" w:color="auto"/>
                <w:right w:val="none" w:sz="0" w:space="0" w:color="auto"/>
              </w:divBdr>
              <w:divsChild>
                <w:div w:id="889925624">
                  <w:marLeft w:val="0"/>
                  <w:marRight w:val="0"/>
                  <w:marTop w:val="0"/>
                  <w:marBottom w:val="0"/>
                  <w:divBdr>
                    <w:top w:val="none" w:sz="0" w:space="0" w:color="auto"/>
                    <w:left w:val="none" w:sz="0" w:space="0" w:color="auto"/>
                    <w:bottom w:val="none" w:sz="0" w:space="0" w:color="auto"/>
                    <w:right w:val="none" w:sz="0" w:space="0" w:color="auto"/>
                  </w:divBdr>
                </w:div>
              </w:divsChild>
            </w:div>
            <w:div w:id="101267475">
              <w:marLeft w:val="0"/>
              <w:marRight w:val="0"/>
              <w:marTop w:val="0"/>
              <w:marBottom w:val="0"/>
              <w:divBdr>
                <w:top w:val="none" w:sz="0" w:space="0" w:color="auto"/>
                <w:left w:val="none" w:sz="0" w:space="0" w:color="auto"/>
                <w:bottom w:val="none" w:sz="0" w:space="0" w:color="auto"/>
                <w:right w:val="none" w:sz="0" w:space="0" w:color="auto"/>
              </w:divBdr>
              <w:divsChild>
                <w:div w:id="630482010">
                  <w:marLeft w:val="0"/>
                  <w:marRight w:val="0"/>
                  <w:marTop w:val="0"/>
                  <w:marBottom w:val="0"/>
                  <w:divBdr>
                    <w:top w:val="none" w:sz="0" w:space="0" w:color="auto"/>
                    <w:left w:val="none" w:sz="0" w:space="0" w:color="auto"/>
                    <w:bottom w:val="none" w:sz="0" w:space="0" w:color="auto"/>
                    <w:right w:val="none" w:sz="0" w:space="0" w:color="auto"/>
                  </w:divBdr>
                </w:div>
              </w:divsChild>
            </w:div>
            <w:div w:id="153567357">
              <w:marLeft w:val="0"/>
              <w:marRight w:val="0"/>
              <w:marTop w:val="0"/>
              <w:marBottom w:val="0"/>
              <w:divBdr>
                <w:top w:val="none" w:sz="0" w:space="0" w:color="auto"/>
                <w:left w:val="none" w:sz="0" w:space="0" w:color="auto"/>
                <w:bottom w:val="none" w:sz="0" w:space="0" w:color="auto"/>
                <w:right w:val="none" w:sz="0" w:space="0" w:color="auto"/>
              </w:divBdr>
              <w:divsChild>
                <w:div w:id="11524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889">
          <w:marLeft w:val="0"/>
          <w:marRight w:val="0"/>
          <w:marTop w:val="0"/>
          <w:marBottom w:val="600"/>
          <w:divBdr>
            <w:top w:val="none" w:sz="0" w:space="0" w:color="auto"/>
            <w:left w:val="none" w:sz="0" w:space="0" w:color="auto"/>
            <w:bottom w:val="none" w:sz="0" w:space="0" w:color="auto"/>
            <w:right w:val="none" w:sz="0" w:space="0" w:color="auto"/>
          </w:divBdr>
        </w:div>
      </w:divsChild>
    </w:div>
    <w:div w:id="577130036">
      <w:marLeft w:val="0"/>
      <w:marRight w:val="0"/>
      <w:marTop w:val="0"/>
      <w:marBottom w:val="0"/>
      <w:divBdr>
        <w:top w:val="none" w:sz="0" w:space="0" w:color="auto"/>
        <w:left w:val="none" w:sz="0" w:space="0" w:color="auto"/>
        <w:bottom w:val="none" w:sz="0" w:space="0" w:color="auto"/>
        <w:right w:val="none" w:sz="0" w:space="0" w:color="auto"/>
      </w:divBdr>
      <w:divsChild>
        <w:div w:id="1161506974">
          <w:marLeft w:val="0"/>
          <w:marRight w:val="0"/>
          <w:marTop w:val="547"/>
          <w:marBottom w:val="0"/>
          <w:divBdr>
            <w:top w:val="none" w:sz="0" w:space="0" w:color="auto"/>
            <w:left w:val="none" w:sz="0" w:space="0" w:color="auto"/>
            <w:bottom w:val="none" w:sz="0" w:space="0" w:color="auto"/>
            <w:right w:val="none" w:sz="0" w:space="0" w:color="auto"/>
          </w:divBdr>
        </w:div>
        <w:div w:id="211815811">
          <w:marLeft w:val="0"/>
          <w:marRight w:val="0"/>
          <w:marTop w:val="0"/>
          <w:marBottom w:val="0"/>
          <w:divBdr>
            <w:top w:val="none" w:sz="0" w:space="0" w:color="auto"/>
            <w:left w:val="none" w:sz="0" w:space="0" w:color="auto"/>
            <w:bottom w:val="none" w:sz="0" w:space="0" w:color="auto"/>
            <w:right w:val="none" w:sz="0" w:space="0" w:color="auto"/>
          </w:divBdr>
          <w:divsChild>
            <w:div w:id="2075814628">
              <w:marLeft w:val="0"/>
              <w:marRight w:val="0"/>
              <w:marTop w:val="0"/>
              <w:marBottom w:val="0"/>
              <w:divBdr>
                <w:top w:val="none" w:sz="0" w:space="0" w:color="auto"/>
                <w:left w:val="none" w:sz="0" w:space="0" w:color="auto"/>
                <w:bottom w:val="none" w:sz="0" w:space="0" w:color="auto"/>
                <w:right w:val="none" w:sz="0" w:space="0" w:color="auto"/>
              </w:divBdr>
              <w:divsChild>
                <w:div w:id="584581370">
                  <w:marLeft w:val="0"/>
                  <w:marRight w:val="0"/>
                  <w:marTop w:val="0"/>
                  <w:marBottom w:val="0"/>
                  <w:divBdr>
                    <w:top w:val="none" w:sz="0" w:space="0" w:color="auto"/>
                    <w:left w:val="none" w:sz="0" w:space="0" w:color="auto"/>
                    <w:bottom w:val="none" w:sz="0" w:space="0" w:color="auto"/>
                    <w:right w:val="none" w:sz="0" w:space="0" w:color="auto"/>
                  </w:divBdr>
                </w:div>
              </w:divsChild>
            </w:div>
            <w:div w:id="222763446">
              <w:marLeft w:val="0"/>
              <w:marRight w:val="0"/>
              <w:marTop w:val="0"/>
              <w:marBottom w:val="0"/>
              <w:divBdr>
                <w:top w:val="none" w:sz="0" w:space="0" w:color="auto"/>
                <w:left w:val="none" w:sz="0" w:space="0" w:color="auto"/>
                <w:bottom w:val="none" w:sz="0" w:space="0" w:color="auto"/>
                <w:right w:val="none" w:sz="0" w:space="0" w:color="auto"/>
              </w:divBdr>
              <w:divsChild>
                <w:div w:id="1507555580">
                  <w:marLeft w:val="0"/>
                  <w:marRight w:val="0"/>
                  <w:marTop w:val="0"/>
                  <w:marBottom w:val="0"/>
                  <w:divBdr>
                    <w:top w:val="none" w:sz="0" w:space="0" w:color="auto"/>
                    <w:left w:val="none" w:sz="0" w:space="0" w:color="auto"/>
                    <w:bottom w:val="none" w:sz="0" w:space="0" w:color="auto"/>
                    <w:right w:val="none" w:sz="0" w:space="0" w:color="auto"/>
                  </w:divBdr>
                </w:div>
              </w:divsChild>
            </w:div>
            <w:div w:id="1781954238">
              <w:marLeft w:val="0"/>
              <w:marRight w:val="0"/>
              <w:marTop w:val="0"/>
              <w:marBottom w:val="0"/>
              <w:divBdr>
                <w:top w:val="none" w:sz="0" w:space="0" w:color="auto"/>
                <w:left w:val="none" w:sz="0" w:space="0" w:color="auto"/>
                <w:bottom w:val="none" w:sz="0" w:space="0" w:color="auto"/>
                <w:right w:val="none" w:sz="0" w:space="0" w:color="auto"/>
              </w:divBdr>
              <w:divsChild>
                <w:div w:id="1716005570">
                  <w:marLeft w:val="0"/>
                  <w:marRight w:val="0"/>
                  <w:marTop w:val="0"/>
                  <w:marBottom w:val="0"/>
                  <w:divBdr>
                    <w:top w:val="none" w:sz="0" w:space="0" w:color="auto"/>
                    <w:left w:val="none" w:sz="0" w:space="0" w:color="auto"/>
                    <w:bottom w:val="none" w:sz="0" w:space="0" w:color="auto"/>
                    <w:right w:val="none" w:sz="0" w:space="0" w:color="auto"/>
                  </w:divBdr>
                </w:div>
              </w:divsChild>
            </w:div>
            <w:div w:id="1576477743">
              <w:marLeft w:val="0"/>
              <w:marRight w:val="0"/>
              <w:marTop w:val="0"/>
              <w:marBottom w:val="0"/>
              <w:divBdr>
                <w:top w:val="none" w:sz="0" w:space="0" w:color="auto"/>
                <w:left w:val="none" w:sz="0" w:space="0" w:color="auto"/>
                <w:bottom w:val="none" w:sz="0" w:space="0" w:color="auto"/>
                <w:right w:val="none" w:sz="0" w:space="0" w:color="auto"/>
              </w:divBdr>
              <w:divsChild>
                <w:div w:id="149100014">
                  <w:marLeft w:val="0"/>
                  <w:marRight w:val="0"/>
                  <w:marTop w:val="0"/>
                  <w:marBottom w:val="0"/>
                  <w:divBdr>
                    <w:top w:val="none" w:sz="0" w:space="0" w:color="auto"/>
                    <w:left w:val="none" w:sz="0" w:space="0" w:color="auto"/>
                    <w:bottom w:val="none" w:sz="0" w:space="0" w:color="auto"/>
                    <w:right w:val="none" w:sz="0" w:space="0" w:color="auto"/>
                  </w:divBdr>
                </w:div>
              </w:divsChild>
            </w:div>
            <w:div w:id="1934703584">
              <w:marLeft w:val="0"/>
              <w:marRight w:val="0"/>
              <w:marTop w:val="0"/>
              <w:marBottom w:val="0"/>
              <w:divBdr>
                <w:top w:val="none" w:sz="0" w:space="0" w:color="auto"/>
                <w:left w:val="none" w:sz="0" w:space="0" w:color="auto"/>
                <w:bottom w:val="none" w:sz="0" w:space="0" w:color="auto"/>
                <w:right w:val="none" w:sz="0" w:space="0" w:color="auto"/>
              </w:divBdr>
              <w:divsChild>
                <w:div w:id="652176771">
                  <w:marLeft w:val="0"/>
                  <w:marRight w:val="0"/>
                  <w:marTop w:val="0"/>
                  <w:marBottom w:val="0"/>
                  <w:divBdr>
                    <w:top w:val="none" w:sz="0" w:space="0" w:color="auto"/>
                    <w:left w:val="none" w:sz="0" w:space="0" w:color="auto"/>
                    <w:bottom w:val="none" w:sz="0" w:space="0" w:color="auto"/>
                    <w:right w:val="none" w:sz="0" w:space="0" w:color="auto"/>
                  </w:divBdr>
                </w:div>
              </w:divsChild>
            </w:div>
            <w:div w:id="815339567">
              <w:marLeft w:val="0"/>
              <w:marRight w:val="0"/>
              <w:marTop w:val="0"/>
              <w:marBottom w:val="0"/>
              <w:divBdr>
                <w:top w:val="none" w:sz="0" w:space="0" w:color="auto"/>
                <w:left w:val="none" w:sz="0" w:space="0" w:color="auto"/>
                <w:bottom w:val="none" w:sz="0" w:space="0" w:color="auto"/>
                <w:right w:val="none" w:sz="0" w:space="0" w:color="auto"/>
              </w:divBdr>
              <w:divsChild>
                <w:div w:id="720447692">
                  <w:marLeft w:val="0"/>
                  <w:marRight w:val="0"/>
                  <w:marTop w:val="0"/>
                  <w:marBottom w:val="0"/>
                  <w:divBdr>
                    <w:top w:val="none" w:sz="0" w:space="0" w:color="auto"/>
                    <w:left w:val="none" w:sz="0" w:space="0" w:color="auto"/>
                    <w:bottom w:val="none" w:sz="0" w:space="0" w:color="auto"/>
                    <w:right w:val="none" w:sz="0" w:space="0" w:color="auto"/>
                  </w:divBdr>
                </w:div>
              </w:divsChild>
            </w:div>
            <w:div w:id="1706254015">
              <w:marLeft w:val="0"/>
              <w:marRight w:val="0"/>
              <w:marTop w:val="0"/>
              <w:marBottom w:val="0"/>
              <w:divBdr>
                <w:top w:val="none" w:sz="0" w:space="0" w:color="auto"/>
                <w:left w:val="none" w:sz="0" w:space="0" w:color="auto"/>
                <w:bottom w:val="none" w:sz="0" w:space="0" w:color="auto"/>
                <w:right w:val="none" w:sz="0" w:space="0" w:color="auto"/>
              </w:divBdr>
              <w:divsChild>
                <w:div w:id="1518542843">
                  <w:marLeft w:val="0"/>
                  <w:marRight w:val="0"/>
                  <w:marTop w:val="0"/>
                  <w:marBottom w:val="0"/>
                  <w:divBdr>
                    <w:top w:val="none" w:sz="0" w:space="0" w:color="auto"/>
                    <w:left w:val="none" w:sz="0" w:space="0" w:color="auto"/>
                    <w:bottom w:val="none" w:sz="0" w:space="0" w:color="auto"/>
                    <w:right w:val="none" w:sz="0" w:space="0" w:color="auto"/>
                  </w:divBdr>
                </w:div>
              </w:divsChild>
            </w:div>
            <w:div w:id="251932049">
              <w:marLeft w:val="0"/>
              <w:marRight w:val="0"/>
              <w:marTop w:val="0"/>
              <w:marBottom w:val="0"/>
              <w:divBdr>
                <w:top w:val="none" w:sz="0" w:space="0" w:color="auto"/>
                <w:left w:val="none" w:sz="0" w:space="0" w:color="auto"/>
                <w:bottom w:val="none" w:sz="0" w:space="0" w:color="auto"/>
                <w:right w:val="none" w:sz="0" w:space="0" w:color="auto"/>
              </w:divBdr>
              <w:divsChild>
                <w:div w:id="1882092572">
                  <w:marLeft w:val="0"/>
                  <w:marRight w:val="0"/>
                  <w:marTop w:val="0"/>
                  <w:marBottom w:val="0"/>
                  <w:divBdr>
                    <w:top w:val="none" w:sz="0" w:space="0" w:color="auto"/>
                    <w:left w:val="none" w:sz="0" w:space="0" w:color="auto"/>
                    <w:bottom w:val="none" w:sz="0" w:space="0" w:color="auto"/>
                    <w:right w:val="none" w:sz="0" w:space="0" w:color="auto"/>
                  </w:divBdr>
                </w:div>
              </w:divsChild>
            </w:div>
            <w:div w:id="435946296">
              <w:marLeft w:val="0"/>
              <w:marRight w:val="0"/>
              <w:marTop w:val="0"/>
              <w:marBottom w:val="0"/>
              <w:divBdr>
                <w:top w:val="none" w:sz="0" w:space="0" w:color="auto"/>
                <w:left w:val="none" w:sz="0" w:space="0" w:color="auto"/>
                <w:bottom w:val="none" w:sz="0" w:space="0" w:color="auto"/>
                <w:right w:val="none" w:sz="0" w:space="0" w:color="auto"/>
              </w:divBdr>
              <w:divsChild>
                <w:div w:id="574240419">
                  <w:marLeft w:val="0"/>
                  <w:marRight w:val="0"/>
                  <w:marTop w:val="0"/>
                  <w:marBottom w:val="0"/>
                  <w:divBdr>
                    <w:top w:val="none" w:sz="0" w:space="0" w:color="auto"/>
                    <w:left w:val="none" w:sz="0" w:space="0" w:color="auto"/>
                    <w:bottom w:val="none" w:sz="0" w:space="0" w:color="auto"/>
                    <w:right w:val="none" w:sz="0" w:space="0" w:color="auto"/>
                  </w:divBdr>
                </w:div>
              </w:divsChild>
            </w:div>
            <w:div w:id="2024740080">
              <w:marLeft w:val="0"/>
              <w:marRight w:val="0"/>
              <w:marTop w:val="0"/>
              <w:marBottom w:val="0"/>
              <w:divBdr>
                <w:top w:val="none" w:sz="0" w:space="0" w:color="auto"/>
                <w:left w:val="none" w:sz="0" w:space="0" w:color="auto"/>
                <w:bottom w:val="none" w:sz="0" w:space="0" w:color="auto"/>
                <w:right w:val="none" w:sz="0" w:space="0" w:color="auto"/>
              </w:divBdr>
              <w:divsChild>
                <w:div w:id="256250447">
                  <w:marLeft w:val="0"/>
                  <w:marRight w:val="0"/>
                  <w:marTop w:val="0"/>
                  <w:marBottom w:val="0"/>
                  <w:divBdr>
                    <w:top w:val="none" w:sz="0" w:space="0" w:color="auto"/>
                    <w:left w:val="none" w:sz="0" w:space="0" w:color="auto"/>
                    <w:bottom w:val="none" w:sz="0" w:space="0" w:color="auto"/>
                    <w:right w:val="none" w:sz="0" w:space="0" w:color="auto"/>
                  </w:divBdr>
                </w:div>
              </w:divsChild>
            </w:div>
            <w:div w:id="798885175">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9035894">
              <w:marLeft w:val="0"/>
              <w:marRight w:val="0"/>
              <w:marTop w:val="0"/>
              <w:marBottom w:val="0"/>
              <w:divBdr>
                <w:top w:val="none" w:sz="0" w:space="0" w:color="auto"/>
                <w:left w:val="none" w:sz="0" w:space="0" w:color="auto"/>
                <w:bottom w:val="none" w:sz="0" w:space="0" w:color="auto"/>
                <w:right w:val="none" w:sz="0" w:space="0" w:color="auto"/>
              </w:divBdr>
              <w:divsChild>
                <w:div w:id="591667818">
                  <w:marLeft w:val="0"/>
                  <w:marRight w:val="0"/>
                  <w:marTop w:val="0"/>
                  <w:marBottom w:val="0"/>
                  <w:divBdr>
                    <w:top w:val="none" w:sz="0" w:space="0" w:color="auto"/>
                    <w:left w:val="none" w:sz="0" w:space="0" w:color="auto"/>
                    <w:bottom w:val="none" w:sz="0" w:space="0" w:color="auto"/>
                    <w:right w:val="none" w:sz="0" w:space="0" w:color="auto"/>
                  </w:divBdr>
                </w:div>
              </w:divsChild>
            </w:div>
            <w:div w:id="903377037">
              <w:marLeft w:val="0"/>
              <w:marRight w:val="0"/>
              <w:marTop w:val="0"/>
              <w:marBottom w:val="0"/>
              <w:divBdr>
                <w:top w:val="none" w:sz="0" w:space="0" w:color="auto"/>
                <w:left w:val="none" w:sz="0" w:space="0" w:color="auto"/>
                <w:bottom w:val="none" w:sz="0" w:space="0" w:color="auto"/>
                <w:right w:val="none" w:sz="0" w:space="0" w:color="auto"/>
              </w:divBdr>
              <w:divsChild>
                <w:div w:id="1554383773">
                  <w:marLeft w:val="0"/>
                  <w:marRight w:val="0"/>
                  <w:marTop w:val="0"/>
                  <w:marBottom w:val="0"/>
                  <w:divBdr>
                    <w:top w:val="none" w:sz="0" w:space="0" w:color="auto"/>
                    <w:left w:val="none" w:sz="0" w:space="0" w:color="auto"/>
                    <w:bottom w:val="none" w:sz="0" w:space="0" w:color="auto"/>
                    <w:right w:val="none" w:sz="0" w:space="0" w:color="auto"/>
                  </w:divBdr>
                </w:div>
              </w:divsChild>
            </w:div>
            <w:div w:id="1558857687">
              <w:marLeft w:val="0"/>
              <w:marRight w:val="0"/>
              <w:marTop w:val="0"/>
              <w:marBottom w:val="0"/>
              <w:divBdr>
                <w:top w:val="none" w:sz="0" w:space="0" w:color="auto"/>
                <w:left w:val="none" w:sz="0" w:space="0" w:color="auto"/>
                <w:bottom w:val="none" w:sz="0" w:space="0" w:color="auto"/>
                <w:right w:val="none" w:sz="0" w:space="0" w:color="auto"/>
              </w:divBdr>
              <w:divsChild>
                <w:div w:id="1741246252">
                  <w:marLeft w:val="0"/>
                  <w:marRight w:val="0"/>
                  <w:marTop w:val="0"/>
                  <w:marBottom w:val="0"/>
                  <w:divBdr>
                    <w:top w:val="none" w:sz="0" w:space="0" w:color="auto"/>
                    <w:left w:val="none" w:sz="0" w:space="0" w:color="auto"/>
                    <w:bottom w:val="none" w:sz="0" w:space="0" w:color="auto"/>
                    <w:right w:val="none" w:sz="0" w:space="0" w:color="auto"/>
                  </w:divBdr>
                </w:div>
              </w:divsChild>
            </w:div>
            <w:div w:id="17244659">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457603226">
              <w:marLeft w:val="0"/>
              <w:marRight w:val="0"/>
              <w:marTop w:val="0"/>
              <w:marBottom w:val="0"/>
              <w:divBdr>
                <w:top w:val="none" w:sz="0" w:space="0" w:color="auto"/>
                <w:left w:val="none" w:sz="0" w:space="0" w:color="auto"/>
                <w:bottom w:val="none" w:sz="0" w:space="0" w:color="auto"/>
                <w:right w:val="none" w:sz="0" w:space="0" w:color="auto"/>
              </w:divBdr>
              <w:divsChild>
                <w:div w:id="1909344785">
                  <w:marLeft w:val="0"/>
                  <w:marRight w:val="0"/>
                  <w:marTop w:val="0"/>
                  <w:marBottom w:val="0"/>
                  <w:divBdr>
                    <w:top w:val="none" w:sz="0" w:space="0" w:color="auto"/>
                    <w:left w:val="none" w:sz="0" w:space="0" w:color="auto"/>
                    <w:bottom w:val="none" w:sz="0" w:space="0" w:color="auto"/>
                    <w:right w:val="none" w:sz="0" w:space="0" w:color="auto"/>
                  </w:divBdr>
                </w:div>
              </w:divsChild>
            </w:div>
            <w:div w:id="638195350">
              <w:marLeft w:val="0"/>
              <w:marRight w:val="0"/>
              <w:marTop w:val="0"/>
              <w:marBottom w:val="0"/>
              <w:divBdr>
                <w:top w:val="none" w:sz="0" w:space="0" w:color="auto"/>
                <w:left w:val="none" w:sz="0" w:space="0" w:color="auto"/>
                <w:bottom w:val="none" w:sz="0" w:space="0" w:color="auto"/>
                <w:right w:val="none" w:sz="0" w:space="0" w:color="auto"/>
              </w:divBdr>
              <w:divsChild>
                <w:div w:id="1670013780">
                  <w:marLeft w:val="0"/>
                  <w:marRight w:val="0"/>
                  <w:marTop w:val="0"/>
                  <w:marBottom w:val="0"/>
                  <w:divBdr>
                    <w:top w:val="none" w:sz="0" w:space="0" w:color="auto"/>
                    <w:left w:val="none" w:sz="0" w:space="0" w:color="auto"/>
                    <w:bottom w:val="none" w:sz="0" w:space="0" w:color="auto"/>
                    <w:right w:val="none" w:sz="0" w:space="0" w:color="auto"/>
                  </w:divBdr>
                </w:div>
              </w:divsChild>
            </w:div>
            <w:div w:id="518544405">
              <w:marLeft w:val="0"/>
              <w:marRight w:val="0"/>
              <w:marTop w:val="0"/>
              <w:marBottom w:val="0"/>
              <w:divBdr>
                <w:top w:val="none" w:sz="0" w:space="0" w:color="auto"/>
                <w:left w:val="none" w:sz="0" w:space="0" w:color="auto"/>
                <w:bottom w:val="none" w:sz="0" w:space="0" w:color="auto"/>
                <w:right w:val="none" w:sz="0" w:space="0" w:color="auto"/>
              </w:divBdr>
              <w:divsChild>
                <w:div w:id="419058034">
                  <w:marLeft w:val="0"/>
                  <w:marRight w:val="0"/>
                  <w:marTop w:val="0"/>
                  <w:marBottom w:val="0"/>
                  <w:divBdr>
                    <w:top w:val="none" w:sz="0" w:space="0" w:color="auto"/>
                    <w:left w:val="none" w:sz="0" w:space="0" w:color="auto"/>
                    <w:bottom w:val="none" w:sz="0" w:space="0" w:color="auto"/>
                    <w:right w:val="none" w:sz="0" w:space="0" w:color="auto"/>
                  </w:divBdr>
                </w:div>
              </w:divsChild>
            </w:div>
            <w:div w:id="1441490875">
              <w:marLeft w:val="0"/>
              <w:marRight w:val="0"/>
              <w:marTop w:val="0"/>
              <w:marBottom w:val="0"/>
              <w:divBdr>
                <w:top w:val="none" w:sz="0" w:space="0" w:color="auto"/>
                <w:left w:val="none" w:sz="0" w:space="0" w:color="auto"/>
                <w:bottom w:val="none" w:sz="0" w:space="0" w:color="auto"/>
                <w:right w:val="none" w:sz="0" w:space="0" w:color="auto"/>
              </w:divBdr>
              <w:divsChild>
                <w:div w:id="795949946">
                  <w:marLeft w:val="0"/>
                  <w:marRight w:val="0"/>
                  <w:marTop w:val="0"/>
                  <w:marBottom w:val="0"/>
                  <w:divBdr>
                    <w:top w:val="none" w:sz="0" w:space="0" w:color="auto"/>
                    <w:left w:val="none" w:sz="0" w:space="0" w:color="auto"/>
                    <w:bottom w:val="none" w:sz="0" w:space="0" w:color="auto"/>
                    <w:right w:val="none" w:sz="0" w:space="0" w:color="auto"/>
                  </w:divBdr>
                </w:div>
              </w:divsChild>
            </w:div>
            <w:div w:id="1749812154">
              <w:marLeft w:val="0"/>
              <w:marRight w:val="0"/>
              <w:marTop w:val="0"/>
              <w:marBottom w:val="0"/>
              <w:divBdr>
                <w:top w:val="none" w:sz="0" w:space="0" w:color="auto"/>
                <w:left w:val="none" w:sz="0" w:space="0" w:color="auto"/>
                <w:bottom w:val="none" w:sz="0" w:space="0" w:color="auto"/>
                <w:right w:val="none" w:sz="0" w:space="0" w:color="auto"/>
              </w:divBdr>
              <w:divsChild>
                <w:div w:id="156464089">
                  <w:marLeft w:val="0"/>
                  <w:marRight w:val="0"/>
                  <w:marTop w:val="0"/>
                  <w:marBottom w:val="0"/>
                  <w:divBdr>
                    <w:top w:val="none" w:sz="0" w:space="0" w:color="auto"/>
                    <w:left w:val="none" w:sz="0" w:space="0" w:color="auto"/>
                    <w:bottom w:val="none" w:sz="0" w:space="0" w:color="auto"/>
                    <w:right w:val="none" w:sz="0" w:space="0" w:color="auto"/>
                  </w:divBdr>
                </w:div>
              </w:divsChild>
            </w:div>
            <w:div w:id="1894004046">
              <w:marLeft w:val="0"/>
              <w:marRight w:val="0"/>
              <w:marTop w:val="0"/>
              <w:marBottom w:val="0"/>
              <w:divBdr>
                <w:top w:val="none" w:sz="0" w:space="0" w:color="auto"/>
                <w:left w:val="none" w:sz="0" w:space="0" w:color="auto"/>
                <w:bottom w:val="none" w:sz="0" w:space="0" w:color="auto"/>
                <w:right w:val="none" w:sz="0" w:space="0" w:color="auto"/>
              </w:divBdr>
              <w:divsChild>
                <w:div w:id="2076318298">
                  <w:marLeft w:val="0"/>
                  <w:marRight w:val="0"/>
                  <w:marTop w:val="0"/>
                  <w:marBottom w:val="0"/>
                  <w:divBdr>
                    <w:top w:val="none" w:sz="0" w:space="0" w:color="auto"/>
                    <w:left w:val="none" w:sz="0" w:space="0" w:color="auto"/>
                    <w:bottom w:val="none" w:sz="0" w:space="0" w:color="auto"/>
                    <w:right w:val="none" w:sz="0" w:space="0" w:color="auto"/>
                  </w:divBdr>
                </w:div>
              </w:divsChild>
            </w:div>
            <w:div w:id="313729246">
              <w:marLeft w:val="0"/>
              <w:marRight w:val="0"/>
              <w:marTop w:val="0"/>
              <w:marBottom w:val="0"/>
              <w:divBdr>
                <w:top w:val="none" w:sz="0" w:space="0" w:color="auto"/>
                <w:left w:val="none" w:sz="0" w:space="0" w:color="auto"/>
                <w:bottom w:val="none" w:sz="0" w:space="0" w:color="auto"/>
                <w:right w:val="none" w:sz="0" w:space="0" w:color="auto"/>
              </w:divBdr>
              <w:divsChild>
                <w:div w:id="219026027">
                  <w:marLeft w:val="0"/>
                  <w:marRight w:val="0"/>
                  <w:marTop w:val="0"/>
                  <w:marBottom w:val="0"/>
                  <w:divBdr>
                    <w:top w:val="none" w:sz="0" w:space="0" w:color="auto"/>
                    <w:left w:val="none" w:sz="0" w:space="0" w:color="auto"/>
                    <w:bottom w:val="none" w:sz="0" w:space="0" w:color="auto"/>
                    <w:right w:val="none" w:sz="0" w:space="0" w:color="auto"/>
                  </w:divBdr>
                </w:div>
              </w:divsChild>
            </w:div>
            <w:div w:id="842624659">
              <w:marLeft w:val="0"/>
              <w:marRight w:val="0"/>
              <w:marTop w:val="0"/>
              <w:marBottom w:val="0"/>
              <w:divBdr>
                <w:top w:val="none" w:sz="0" w:space="0" w:color="auto"/>
                <w:left w:val="none" w:sz="0" w:space="0" w:color="auto"/>
                <w:bottom w:val="none" w:sz="0" w:space="0" w:color="auto"/>
                <w:right w:val="none" w:sz="0" w:space="0" w:color="auto"/>
              </w:divBdr>
              <w:divsChild>
                <w:div w:id="1813598385">
                  <w:marLeft w:val="0"/>
                  <w:marRight w:val="0"/>
                  <w:marTop w:val="0"/>
                  <w:marBottom w:val="0"/>
                  <w:divBdr>
                    <w:top w:val="none" w:sz="0" w:space="0" w:color="auto"/>
                    <w:left w:val="none" w:sz="0" w:space="0" w:color="auto"/>
                    <w:bottom w:val="none" w:sz="0" w:space="0" w:color="auto"/>
                    <w:right w:val="none" w:sz="0" w:space="0" w:color="auto"/>
                  </w:divBdr>
                </w:div>
              </w:divsChild>
            </w:div>
            <w:div w:id="414789357">
              <w:marLeft w:val="0"/>
              <w:marRight w:val="0"/>
              <w:marTop w:val="0"/>
              <w:marBottom w:val="0"/>
              <w:divBdr>
                <w:top w:val="none" w:sz="0" w:space="0" w:color="auto"/>
                <w:left w:val="none" w:sz="0" w:space="0" w:color="auto"/>
                <w:bottom w:val="none" w:sz="0" w:space="0" w:color="auto"/>
                <w:right w:val="none" w:sz="0" w:space="0" w:color="auto"/>
              </w:divBdr>
              <w:divsChild>
                <w:div w:id="943998825">
                  <w:marLeft w:val="0"/>
                  <w:marRight w:val="0"/>
                  <w:marTop w:val="0"/>
                  <w:marBottom w:val="0"/>
                  <w:divBdr>
                    <w:top w:val="none" w:sz="0" w:space="0" w:color="auto"/>
                    <w:left w:val="none" w:sz="0" w:space="0" w:color="auto"/>
                    <w:bottom w:val="none" w:sz="0" w:space="0" w:color="auto"/>
                    <w:right w:val="none" w:sz="0" w:space="0" w:color="auto"/>
                  </w:divBdr>
                </w:div>
              </w:divsChild>
            </w:div>
            <w:div w:id="1365712454">
              <w:marLeft w:val="0"/>
              <w:marRight w:val="0"/>
              <w:marTop w:val="0"/>
              <w:marBottom w:val="0"/>
              <w:divBdr>
                <w:top w:val="none" w:sz="0" w:space="0" w:color="auto"/>
                <w:left w:val="none" w:sz="0" w:space="0" w:color="auto"/>
                <w:bottom w:val="none" w:sz="0" w:space="0" w:color="auto"/>
                <w:right w:val="none" w:sz="0" w:space="0" w:color="auto"/>
              </w:divBdr>
              <w:divsChild>
                <w:div w:id="1407144437">
                  <w:marLeft w:val="0"/>
                  <w:marRight w:val="0"/>
                  <w:marTop w:val="0"/>
                  <w:marBottom w:val="0"/>
                  <w:divBdr>
                    <w:top w:val="none" w:sz="0" w:space="0" w:color="auto"/>
                    <w:left w:val="none" w:sz="0" w:space="0" w:color="auto"/>
                    <w:bottom w:val="none" w:sz="0" w:space="0" w:color="auto"/>
                    <w:right w:val="none" w:sz="0" w:space="0" w:color="auto"/>
                  </w:divBdr>
                </w:div>
              </w:divsChild>
            </w:div>
            <w:div w:id="955525653">
              <w:marLeft w:val="0"/>
              <w:marRight w:val="0"/>
              <w:marTop w:val="0"/>
              <w:marBottom w:val="0"/>
              <w:divBdr>
                <w:top w:val="none" w:sz="0" w:space="0" w:color="auto"/>
                <w:left w:val="none" w:sz="0" w:space="0" w:color="auto"/>
                <w:bottom w:val="none" w:sz="0" w:space="0" w:color="auto"/>
                <w:right w:val="none" w:sz="0" w:space="0" w:color="auto"/>
              </w:divBdr>
              <w:divsChild>
                <w:div w:id="984239274">
                  <w:marLeft w:val="0"/>
                  <w:marRight w:val="0"/>
                  <w:marTop w:val="0"/>
                  <w:marBottom w:val="0"/>
                  <w:divBdr>
                    <w:top w:val="none" w:sz="0" w:space="0" w:color="auto"/>
                    <w:left w:val="none" w:sz="0" w:space="0" w:color="auto"/>
                    <w:bottom w:val="none" w:sz="0" w:space="0" w:color="auto"/>
                    <w:right w:val="none" w:sz="0" w:space="0" w:color="auto"/>
                  </w:divBdr>
                </w:div>
              </w:divsChild>
            </w:div>
            <w:div w:id="1891528645">
              <w:marLeft w:val="0"/>
              <w:marRight w:val="0"/>
              <w:marTop w:val="0"/>
              <w:marBottom w:val="0"/>
              <w:divBdr>
                <w:top w:val="none" w:sz="0" w:space="0" w:color="auto"/>
                <w:left w:val="none" w:sz="0" w:space="0" w:color="auto"/>
                <w:bottom w:val="none" w:sz="0" w:space="0" w:color="auto"/>
                <w:right w:val="none" w:sz="0" w:space="0" w:color="auto"/>
              </w:divBdr>
              <w:divsChild>
                <w:div w:id="1989937079">
                  <w:marLeft w:val="0"/>
                  <w:marRight w:val="0"/>
                  <w:marTop w:val="0"/>
                  <w:marBottom w:val="0"/>
                  <w:divBdr>
                    <w:top w:val="none" w:sz="0" w:space="0" w:color="auto"/>
                    <w:left w:val="none" w:sz="0" w:space="0" w:color="auto"/>
                    <w:bottom w:val="none" w:sz="0" w:space="0" w:color="auto"/>
                    <w:right w:val="none" w:sz="0" w:space="0" w:color="auto"/>
                  </w:divBdr>
                </w:div>
              </w:divsChild>
            </w:div>
            <w:div w:id="2100366290">
              <w:marLeft w:val="0"/>
              <w:marRight w:val="0"/>
              <w:marTop w:val="0"/>
              <w:marBottom w:val="0"/>
              <w:divBdr>
                <w:top w:val="none" w:sz="0" w:space="0" w:color="auto"/>
                <w:left w:val="none" w:sz="0" w:space="0" w:color="auto"/>
                <w:bottom w:val="none" w:sz="0" w:space="0" w:color="auto"/>
                <w:right w:val="none" w:sz="0" w:space="0" w:color="auto"/>
              </w:divBdr>
              <w:divsChild>
                <w:div w:id="118184616">
                  <w:marLeft w:val="0"/>
                  <w:marRight w:val="0"/>
                  <w:marTop w:val="0"/>
                  <w:marBottom w:val="0"/>
                  <w:divBdr>
                    <w:top w:val="none" w:sz="0" w:space="0" w:color="auto"/>
                    <w:left w:val="none" w:sz="0" w:space="0" w:color="auto"/>
                    <w:bottom w:val="none" w:sz="0" w:space="0" w:color="auto"/>
                    <w:right w:val="none" w:sz="0" w:space="0" w:color="auto"/>
                  </w:divBdr>
                </w:div>
              </w:divsChild>
            </w:div>
            <w:div w:id="1100877714">
              <w:marLeft w:val="0"/>
              <w:marRight w:val="0"/>
              <w:marTop w:val="0"/>
              <w:marBottom w:val="0"/>
              <w:divBdr>
                <w:top w:val="none" w:sz="0" w:space="0" w:color="auto"/>
                <w:left w:val="none" w:sz="0" w:space="0" w:color="auto"/>
                <w:bottom w:val="none" w:sz="0" w:space="0" w:color="auto"/>
                <w:right w:val="none" w:sz="0" w:space="0" w:color="auto"/>
              </w:divBdr>
              <w:divsChild>
                <w:div w:id="1932201693">
                  <w:marLeft w:val="0"/>
                  <w:marRight w:val="0"/>
                  <w:marTop w:val="0"/>
                  <w:marBottom w:val="0"/>
                  <w:divBdr>
                    <w:top w:val="none" w:sz="0" w:space="0" w:color="auto"/>
                    <w:left w:val="none" w:sz="0" w:space="0" w:color="auto"/>
                    <w:bottom w:val="none" w:sz="0" w:space="0" w:color="auto"/>
                    <w:right w:val="none" w:sz="0" w:space="0" w:color="auto"/>
                  </w:divBdr>
                </w:div>
              </w:divsChild>
            </w:div>
            <w:div w:id="1831285560">
              <w:marLeft w:val="0"/>
              <w:marRight w:val="0"/>
              <w:marTop w:val="0"/>
              <w:marBottom w:val="0"/>
              <w:divBdr>
                <w:top w:val="none" w:sz="0" w:space="0" w:color="auto"/>
                <w:left w:val="none" w:sz="0" w:space="0" w:color="auto"/>
                <w:bottom w:val="none" w:sz="0" w:space="0" w:color="auto"/>
                <w:right w:val="none" w:sz="0" w:space="0" w:color="auto"/>
              </w:divBdr>
              <w:divsChild>
                <w:div w:id="1486237152">
                  <w:marLeft w:val="0"/>
                  <w:marRight w:val="0"/>
                  <w:marTop w:val="0"/>
                  <w:marBottom w:val="0"/>
                  <w:divBdr>
                    <w:top w:val="none" w:sz="0" w:space="0" w:color="auto"/>
                    <w:left w:val="none" w:sz="0" w:space="0" w:color="auto"/>
                    <w:bottom w:val="none" w:sz="0" w:space="0" w:color="auto"/>
                    <w:right w:val="none" w:sz="0" w:space="0" w:color="auto"/>
                  </w:divBdr>
                </w:div>
              </w:divsChild>
            </w:div>
            <w:div w:id="1666937917">
              <w:marLeft w:val="0"/>
              <w:marRight w:val="0"/>
              <w:marTop w:val="0"/>
              <w:marBottom w:val="0"/>
              <w:divBdr>
                <w:top w:val="none" w:sz="0" w:space="0" w:color="auto"/>
                <w:left w:val="none" w:sz="0" w:space="0" w:color="auto"/>
                <w:bottom w:val="none" w:sz="0" w:space="0" w:color="auto"/>
                <w:right w:val="none" w:sz="0" w:space="0" w:color="auto"/>
              </w:divBdr>
              <w:divsChild>
                <w:div w:id="2057200773">
                  <w:marLeft w:val="0"/>
                  <w:marRight w:val="0"/>
                  <w:marTop w:val="0"/>
                  <w:marBottom w:val="0"/>
                  <w:divBdr>
                    <w:top w:val="none" w:sz="0" w:space="0" w:color="auto"/>
                    <w:left w:val="none" w:sz="0" w:space="0" w:color="auto"/>
                    <w:bottom w:val="none" w:sz="0" w:space="0" w:color="auto"/>
                    <w:right w:val="none" w:sz="0" w:space="0" w:color="auto"/>
                  </w:divBdr>
                </w:div>
              </w:divsChild>
            </w:div>
            <w:div w:id="99958443">
              <w:marLeft w:val="0"/>
              <w:marRight w:val="0"/>
              <w:marTop w:val="0"/>
              <w:marBottom w:val="0"/>
              <w:divBdr>
                <w:top w:val="none" w:sz="0" w:space="0" w:color="auto"/>
                <w:left w:val="none" w:sz="0" w:space="0" w:color="auto"/>
                <w:bottom w:val="none" w:sz="0" w:space="0" w:color="auto"/>
                <w:right w:val="none" w:sz="0" w:space="0" w:color="auto"/>
              </w:divBdr>
              <w:divsChild>
                <w:div w:id="1871528938">
                  <w:marLeft w:val="0"/>
                  <w:marRight w:val="0"/>
                  <w:marTop w:val="0"/>
                  <w:marBottom w:val="0"/>
                  <w:divBdr>
                    <w:top w:val="none" w:sz="0" w:space="0" w:color="auto"/>
                    <w:left w:val="none" w:sz="0" w:space="0" w:color="auto"/>
                    <w:bottom w:val="none" w:sz="0" w:space="0" w:color="auto"/>
                    <w:right w:val="none" w:sz="0" w:space="0" w:color="auto"/>
                  </w:divBdr>
                </w:div>
              </w:divsChild>
            </w:div>
            <w:div w:id="1611552004">
              <w:marLeft w:val="0"/>
              <w:marRight w:val="0"/>
              <w:marTop w:val="0"/>
              <w:marBottom w:val="0"/>
              <w:divBdr>
                <w:top w:val="none" w:sz="0" w:space="0" w:color="auto"/>
                <w:left w:val="none" w:sz="0" w:space="0" w:color="auto"/>
                <w:bottom w:val="none" w:sz="0" w:space="0" w:color="auto"/>
                <w:right w:val="none" w:sz="0" w:space="0" w:color="auto"/>
              </w:divBdr>
              <w:divsChild>
                <w:div w:id="1049643583">
                  <w:marLeft w:val="0"/>
                  <w:marRight w:val="0"/>
                  <w:marTop w:val="0"/>
                  <w:marBottom w:val="0"/>
                  <w:divBdr>
                    <w:top w:val="none" w:sz="0" w:space="0" w:color="auto"/>
                    <w:left w:val="none" w:sz="0" w:space="0" w:color="auto"/>
                    <w:bottom w:val="none" w:sz="0" w:space="0" w:color="auto"/>
                    <w:right w:val="none" w:sz="0" w:space="0" w:color="auto"/>
                  </w:divBdr>
                </w:div>
              </w:divsChild>
            </w:div>
            <w:div w:id="2000187496">
              <w:marLeft w:val="0"/>
              <w:marRight w:val="0"/>
              <w:marTop w:val="0"/>
              <w:marBottom w:val="0"/>
              <w:divBdr>
                <w:top w:val="none" w:sz="0" w:space="0" w:color="auto"/>
                <w:left w:val="none" w:sz="0" w:space="0" w:color="auto"/>
                <w:bottom w:val="none" w:sz="0" w:space="0" w:color="auto"/>
                <w:right w:val="none" w:sz="0" w:space="0" w:color="auto"/>
              </w:divBdr>
              <w:divsChild>
                <w:div w:id="766968024">
                  <w:marLeft w:val="0"/>
                  <w:marRight w:val="0"/>
                  <w:marTop w:val="0"/>
                  <w:marBottom w:val="0"/>
                  <w:divBdr>
                    <w:top w:val="none" w:sz="0" w:space="0" w:color="auto"/>
                    <w:left w:val="none" w:sz="0" w:space="0" w:color="auto"/>
                    <w:bottom w:val="none" w:sz="0" w:space="0" w:color="auto"/>
                    <w:right w:val="none" w:sz="0" w:space="0" w:color="auto"/>
                  </w:divBdr>
                </w:div>
              </w:divsChild>
            </w:div>
            <w:div w:id="858859121">
              <w:marLeft w:val="0"/>
              <w:marRight w:val="0"/>
              <w:marTop w:val="0"/>
              <w:marBottom w:val="0"/>
              <w:divBdr>
                <w:top w:val="none" w:sz="0" w:space="0" w:color="auto"/>
                <w:left w:val="none" w:sz="0" w:space="0" w:color="auto"/>
                <w:bottom w:val="none" w:sz="0" w:space="0" w:color="auto"/>
                <w:right w:val="none" w:sz="0" w:space="0" w:color="auto"/>
              </w:divBdr>
              <w:divsChild>
                <w:div w:id="1652903506">
                  <w:marLeft w:val="0"/>
                  <w:marRight w:val="0"/>
                  <w:marTop w:val="0"/>
                  <w:marBottom w:val="0"/>
                  <w:divBdr>
                    <w:top w:val="none" w:sz="0" w:space="0" w:color="auto"/>
                    <w:left w:val="none" w:sz="0" w:space="0" w:color="auto"/>
                    <w:bottom w:val="none" w:sz="0" w:space="0" w:color="auto"/>
                    <w:right w:val="none" w:sz="0" w:space="0" w:color="auto"/>
                  </w:divBdr>
                </w:div>
              </w:divsChild>
            </w:div>
            <w:div w:id="1441679568">
              <w:marLeft w:val="0"/>
              <w:marRight w:val="0"/>
              <w:marTop w:val="0"/>
              <w:marBottom w:val="0"/>
              <w:divBdr>
                <w:top w:val="none" w:sz="0" w:space="0" w:color="auto"/>
                <w:left w:val="none" w:sz="0" w:space="0" w:color="auto"/>
                <w:bottom w:val="none" w:sz="0" w:space="0" w:color="auto"/>
                <w:right w:val="none" w:sz="0" w:space="0" w:color="auto"/>
              </w:divBdr>
              <w:divsChild>
                <w:div w:id="1465542869">
                  <w:marLeft w:val="0"/>
                  <w:marRight w:val="0"/>
                  <w:marTop w:val="0"/>
                  <w:marBottom w:val="0"/>
                  <w:divBdr>
                    <w:top w:val="none" w:sz="0" w:space="0" w:color="auto"/>
                    <w:left w:val="none" w:sz="0" w:space="0" w:color="auto"/>
                    <w:bottom w:val="none" w:sz="0" w:space="0" w:color="auto"/>
                    <w:right w:val="none" w:sz="0" w:space="0" w:color="auto"/>
                  </w:divBdr>
                </w:div>
              </w:divsChild>
            </w:div>
            <w:div w:id="2086760520">
              <w:marLeft w:val="0"/>
              <w:marRight w:val="0"/>
              <w:marTop w:val="0"/>
              <w:marBottom w:val="0"/>
              <w:divBdr>
                <w:top w:val="none" w:sz="0" w:space="0" w:color="auto"/>
                <w:left w:val="none" w:sz="0" w:space="0" w:color="auto"/>
                <w:bottom w:val="none" w:sz="0" w:space="0" w:color="auto"/>
                <w:right w:val="none" w:sz="0" w:space="0" w:color="auto"/>
              </w:divBdr>
              <w:divsChild>
                <w:div w:id="51732580">
                  <w:marLeft w:val="0"/>
                  <w:marRight w:val="0"/>
                  <w:marTop w:val="0"/>
                  <w:marBottom w:val="0"/>
                  <w:divBdr>
                    <w:top w:val="none" w:sz="0" w:space="0" w:color="auto"/>
                    <w:left w:val="none" w:sz="0" w:space="0" w:color="auto"/>
                    <w:bottom w:val="none" w:sz="0" w:space="0" w:color="auto"/>
                    <w:right w:val="none" w:sz="0" w:space="0" w:color="auto"/>
                  </w:divBdr>
                </w:div>
              </w:divsChild>
            </w:div>
            <w:div w:id="1949465554">
              <w:marLeft w:val="0"/>
              <w:marRight w:val="0"/>
              <w:marTop w:val="0"/>
              <w:marBottom w:val="0"/>
              <w:divBdr>
                <w:top w:val="none" w:sz="0" w:space="0" w:color="auto"/>
                <w:left w:val="none" w:sz="0" w:space="0" w:color="auto"/>
                <w:bottom w:val="none" w:sz="0" w:space="0" w:color="auto"/>
                <w:right w:val="none" w:sz="0" w:space="0" w:color="auto"/>
              </w:divBdr>
              <w:divsChild>
                <w:div w:id="629022155">
                  <w:marLeft w:val="0"/>
                  <w:marRight w:val="0"/>
                  <w:marTop w:val="0"/>
                  <w:marBottom w:val="0"/>
                  <w:divBdr>
                    <w:top w:val="none" w:sz="0" w:space="0" w:color="auto"/>
                    <w:left w:val="none" w:sz="0" w:space="0" w:color="auto"/>
                    <w:bottom w:val="none" w:sz="0" w:space="0" w:color="auto"/>
                    <w:right w:val="none" w:sz="0" w:space="0" w:color="auto"/>
                  </w:divBdr>
                </w:div>
              </w:divsChild>
            </w:div>
            <w:div w:id="785075235">
              <w:marLeft w:val="0"/>
              <w:marRight w:val="0"/>
              <w:marTop w:val="0"/>
              <w:marBottom w:val="0"/>
              <w:divBdr>
                <w:top w:val="none" w:sz="0" w:space="0" w:color="auto"/>
                <w:left w:val="none" w:sz="0" w:space="0" w:color="auto"/>
                <w:bottom w:val="none" w:sz="0" w:space="0" w:color="auto"/>
                <w:right w:val="none" w:sz="0" w:space="0" w:color="auto"/>
              </w:divBdr>
              <w:divsChild>
                <w:div w:id="1308631901">
                  <w:marLeft w:val="0"/>
                  <w:marRight w:val="0"/>
                  <w:marTop w:val="0"/>
                  <w:marBottom w:val="0"/>
                  <w:divBdr>
                    <w:top w:val="none" w:sz="0" w:space="0" w:color="auto"/>
                    <w:left w:val="none" w:sz="0" w:space="0" w:color="auto"/>
                    <w:bottom w:val="none" w:sz="0" w:space="0" w:color="auto"/>
                    <w:right w:val="none" w:sz="0" w:space="0" w:color="auto"/>
                  </w:divBdr>
                </w:div>
              </w:divsChild>
            </w:div>
            <w:div w:id="1331327665">
              <w:marLeft w:val="0"/>
              <w:marRight w:val="0"/>
              <w:marTop w:val="0"/>
              <w:marBottom w:val="0"/>
              <w:divBdr>
                <w:top w:val="none" w:sz="0" w:space="0" w:color="auto"/>
                <w:left w:val="none" w:sz="0" w:space="0" w:color="auto"/>
                <w:bottom w:val="none" w:sz="0" w:space="0" w:color="auto"/>
                <w:right w:val="none" w:sz="0" w:space="0" w:color="auto"/>
              </w:divBdr>
              <w:divsChild>
                <w:div w:id="166092845">
                  <w:marLeft w:val="0"/>
                  <w:marRight w:val="0"/>
                  <w:marTop w:val="0"/>
                  <w:marBottom w:val="0"/>
                  <w:divBdr>
                    <w:top w:val="none" w:sz="0" w:space="0" w:color="auto"/>
                    <w:left w:val="none" w:sz="0" w:space="0" w:color="auto"/>
                    <w:bottom w:val="none" w:sz="0" w:space="0" w:color="auto"/>
                    <w:right w:val="none" w:sz="0" w:space="0" w:color="auto"/>
                  </w:divBdr>
                </w:div>
              </w:divsChild>
            </w:div>
            <w:div w:id="203904845">
              <w:marLeft w:val="0"/>
              <w:marRight w:val="0"/>
              <w:marTop w:val="0"/>
              <w:marBottom w:val="0"/>
              <w:divBdr>
                <w:top w:val="none" w:sz="0" w:space="0" w:color="auto"/>
                <w:left w:val="none" w:sz="0" w:space="0" w:color="auto"/>
                <w:bottom w:val="none" w:sz="0" w:space="0" w:color="auto"/>
                <w:right w:val="none" w:sz="0" w:space="0" w:color="auto"/>
              </w:divBdr>
              <w:divsChild>
                <w:div w:id="574628243">
                  <w:marLeft w:val="0"/>
                  <w:marRight w:val="0"/>
                  <w:marTop w:val="0"/>
                  <w:marBottom w:val="0"/>
                  <w:divBdr>
                    <w:top w:val="none" w:sz="0" w:space="0" w:color="auto"/>
                    <w:left w:val="none" w:sz="0" w:space="0" w:color="auto"/>
                    <w:bottom w:val="none" w:sz="0" w:space="0" w:color="auto"/>
                    <w:right w:val="none" w:sz="0" w:space="0" w:color="auto"/>
                  </w:divBdr>
                </w:div>
              </w:divsChild>
            </w:div>
            <w:div w:id="426661796">
              <w:marLeft w:val="0"/>
              <w:marRight w:val="0"/>
              <w:marTop w:val="0"/>
              <w:marBottom w:val="0"/>
              <w:divBdr>
                <w:top w:val="none" w:sz="0" w:space="0" w:color="auto"/>
                <w:left w:val="none" w:sz="0" w:space="0" w:color="auto"/>
                <w:bottom w:val="none" w:sz="0" w:space="0" w:color="auto"/>
                <w:right w:val="none" w:sz="0" w:space="0" w:color="auto"/>
              </w:divBdr>
              <w:divsChild>
                <w:div w:id="1406875035">
                  <w:marLeft w:val="0"/>
                  <w:marRight w:val="0"/>
                  <w:marTop w:val="0"/>
                  <w:marBottom w:val="0"/>
                  <w:divBdr>
                    <w:top w:val="none" w:sz="0" w:space="0" w:color="auto"/>
                    <w:left w:val="none" w:sz="0" w:space="0" w:color="auto"/>
                    <w:bottom w:val="none" w:sz="0" w:space="0" w:color="auto"/>
                    <w:right w:val="none" w:sz="0" w:space="0" w:color="auto"/>
                  </w:divBdr>
                </w:div>
              </w:divsChild>
            </w:div>
            <w:div w:id="1573008362">
              <w:marLeft w:val="0"/>
              <w:marRight w:val="0"/>
              <w:marTop w:val="0"/>
              <w:marBottom w:val="0"/>
              <w:divBdr>
                <w:top w:val="none" w:sz="0" w:space="0" w:color="auto"/>
                <w:left w:val="none" w:sz="0" w:space="0" w:color="auto"/>
                <w:bottom w:val="none" w:sz="0" w:space="0" w:color="auto"/>
                <w:right w:val="none" w:sz="0" w:space="0" w:color="auto"/>
              </w:divBdr>
              <w:divsChild>
                <w:div w:id="1648783444">
                  <w:marLeft w:val="0"/>
                  <w:marRight w:val="0"/>
                  <w:marTop w:val="0"/>
                  <w:marBottom w:val="0"/>
                  <w:divBdr>
                    <w:top w:val="none" w:sz="0" w:space="0" w:color="auto"/>
                    <w:left w:val="none" w:sz="0" w:space="0" w:color="auto"/>
                    <w:bottom w:val="none" w:sz="0" w:space="0" w:color="auto"/>
                    <w:right w:val="none" w:sz="0" w:space="0" w:color="auto"/>
                  </w:divBdr>
                </w:div>
              </w:divsChild>
            </w:div>
            <w:div w:id="1862935071">
              <w:marLeft w:val="0"/>
              <w:marRight w:val="0"/>
              <w:marTop w:val="0"/>
              <w:marBottom w:val="0"/>
              <w:divBdr>
                <w:top w:val="none" w:sz="0" w:space="0" w:color="auto"/>
                <w:left w:val="none" w:sz="0" w:space="0" w:color="auto"/>
                <w:bottom w:val="none" w:sz="0" w:space="0" w:color="auto"/>
                <w:right w:val="none" w:sz="0" w:space="0" w:color="auto"/>
              </w:divBdr>
              <w:divsChild>
                <w:div w:id="742068518">
                  <w:marLeft w:val="0"/>
                  <w:marRight w:val="0"/>
                  <w:marTop w:val="0"/>
                  <w:marBottom w:val="0"/>
                  <w:divBdr>
                    <w:top w:val="none" w:sz="0" w:space="0" w:color="auto"/>
                    <w:left w:val="none" w:sz="0" w:space="0" w:color="auto"/>
                    <w:bottom w:val="none" w:sz="0" w:space="0" w:color="auto"/>
                    <w:right w:val="none" w:sz="0" w:space="0" w:color="auto"/>
                  </w:divBdr>
                </w:div>
              </w:divsChild>
            </w:div>
            <w:div w:id="1920363905">
              <w:marLeft w:val="0"/>
              <w:marRight w:val="0"/>
              <w:marTop w:val="0"/>
              <w:marBottom w:val="0"/>
              <w:divBdr>
                <w:top w:val="none" w:sz="0" w:space="0" w:color="auto"/>
                <w:left w:val="none" w:sz="0" w:space="0" w:color="auto"/>
                <w:bottom w:val="none" w:sz="0" w:space="0" w:color="auto"/>
                <w:right w:val="none" w:sz="0" w:space="0" w:color="auto"/>
              </w:divBdr>
              <w:divsChild>
                <w:div w:id="383332702">
                  <w:marLeft w:val="0"/>
                  <w:marRight w:val="0"/>
                  <w:marTop w:val="0"/>
                  <w:marBottom w:val="0"/>
                  <w:divBdr>
                    <w:top w:val="none" w:sz="0" w:space="0" w:color="auto"/>
                    <w:left w:val="none" w:sz="0" w:space="0" w:color="auto"/>
                    <w:bottom w:val="none" w:sz="0" w:space="0" w:color="auto"/>
                    <w:right w:val="none" w:sz="0" w:space="0" w:color="auto"/>
                  </w:divBdr>
                </w:div>
              </w:divsChild>
            </w:div>
            <w:div w:id="1608921804">
              <w:marLeft w:val="0"/>
              <w:marRight w:val="0"/>
              <w:marTop w:val="0"/>
              <w:marBottom w:val="0"/>
              <w:divBdr>
                <w:top w:val="none" w:sz="0" w:space="0" w:color="auto"/>
                <w:left w:val="none" w:sz="0" w:space="0" w:color="auto"/>
                <w:bottom w:val="none" w:sz="0" w:space="0" w:color="auto"/>
                <w:right w:val="none" w:sz="0" w:space="0" w:color="auto"/>
              </w:divBdr>
              <w:divsChild>
                <w:div w:id="399211641">
                  <w:marLeft w:val="0"/>
                  <w:marRight w:val="0"/>
                  <w:marTop w:val="0"/>
                  <w:marBottom w:val="0"/>
                  <w:divBdr>
                    <w:top w:val="none" w:sz="0" w:space="0" w:color="auto"/>
                    <w:left w:val="none" w:sz="0" w:space="0" w:color="auto"/>
                    <w:bottom w:val="none" w:sz="0" w:space="0" w:color="auto"/>
                    <w:right w:val="none" w:sz="0" w:space="0" w:color="auto"/>
                  </w:divBdr>
                </w:div>
              </w:divsChild>
            </w:div>
            <w:div w:id="400562754">
              <w:marLeft w:val="0"/>
              <w:marRight w:val="0"/>
              <w:marTop w:val="0"/>
              <w:marBottom w:val="0"/>
              <w:divBdr>
                <w:top w:val="none" w:sz="0" w:space="0" w:color="auto"/>
                <w:left w:val="none" w:sz="0" w:space="0" w:color="auto"/>
                <w:bottom w:val="none" w:sz="0" w:space="0" w:color="auto"/>
                <w:right w:val="none" w:sz="0" w:space="0" w:color="auto"/>
              </w:divBdr>
              <w:divsChild>
                <w:div w:id="1200052437">
                  <w:marLeft w:val="0"/>
                  <w:marRight w:val="0"/>
                  <w:marTop w:val="0"/>
                  <w:marBottom w:val="0"/>
                  <w:divBdr>
                    <w:top w:val="none" w:sz="0" w:space="0" w:color="auto"/>
                    <w:left w:val="none" w:sz="0" w:space="0" w:color="auto"/>
                    <w:bottom w:val="none" w:sz="0" w:space="0" w:color="auto"/>
                    <w:right w:val="none" w:sz="0" w:space="0" w:color="auto"/>
                  </w:divBdr>
                </w:div>
              </w:divsChild>
            </w:div>
            <w:div w:id="959606253">
              <w:marLeft w:val="0"/>
              <w:marRight w:val="0"/>
              <w:marTop w:val="0"/>
              <w:marBottom w:val="0"/>
              <w:divBdr>
                <w:top w:val="none" w:sz="0" w:space="0" w:color="auto"/>
                <w:left w:val="none" w:sz="0" w:space="0" w:color="auto"/>
                <w:bottom w:val="none" w:sz="0" w:space="0" w:color="auto"/>
                <w:right w:val="none" w:sz="0" w:space="0" w:color="auto"/>
              </w:divBdr>
              <w:divsChild>
                <w:div w:id="1579054897">
                  <w:marLeft w:val="0"/>
                  <w:marRight w:val="0"/>
                  <w:marTop w:val="0"/>
                  <w:marBottom w:val="0"/>
                  <w:divBdr>
                    <w:top w:val="none" w:sz="0" w:space="0" w:color="auto"/>
                    <w:left w:val="none" w:sz="0" w:space="0" w:color="auto"/>
                    <w:bottom w:val="none" w:sz="0" w:space="0" w:color="auto"/>
                    <w:right w:val="none" w:sz="0" w:space="0" w:color="auto"/>
                  </w:divBdr>
                </w:div>
              </w:divsChild>
            </w:div>
            <w:div w:id="940261570">
              <w:marLeft w:val="0"/>
              <w:marRight w:val="0"/>
              <w:marTop w:val="0"/>
              <w:marBottom w:val="0"/>
              <w:divBdr>
                <w:top w:val="none" w:sz="0" w:space="0" w:color="auto"/>
                <w:left w:val="none" w:sz="0" w:space="0" w:color="auto"/>
                <w:bottom w:val="none" w:sz="0" w:space="0" w:color="auto"/>
                <w:right w:val="none" w:sz="0" w:space="0" w:color="auto"/>
              </w:divBdr>
              <w:divsChild>
                <w:div w:id="1116216684">
                  <w:marLeft w:val="0"/>
                  <w:marRight w:val="0"/>
                  <w:marTop w:val="0"/>
                  <w:marBottom w:val="0"/>
                  <w:divBdr>
                    <w:top w:val="none" w:sz="0" w:space="0" w:color="auto"/>
                    <w:left w:val="none" w:sz="0" w:space="0" w:color="auto"/>
                    <w:bottom w:val="none" w:sz="0" w:space="0" w:color="auto"/>
                    <w:right w:val="none" w:sz="0" w:space="0" w:color="auto"/>
                  </w:divBdr>
                </w:div>
              </w:divsChild>
            </w:div>
            <w:div w:id="1389456219">
              <w:marLeft w:val="0"/>
              <w:marRight w:val="0"/>
              <w:marTop w:val="0"/>
              <w:marBottom w:val="0"/>
              <w:divBdr>
                <w:top w:val="none" w:sz="0" w:space="0" w:color="auto"/>
                <w:left w:val="none" w:sz="0" w:space="0" w:color="auto"/>
                <w:bottom w:val="none" w:sz="0" w:space="0" w:color="auto"/>
                <w:right w:val="none" w:sz="0" w:space="0" w:color="auto"/>
              </w:divBdr>
              <w:divsChild>
                <w:div w:id="15431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0495">
          <w:marLeft w:val="0"/>
          <w:marRight w:val="0"/>
          <w:marTop w:val="0"/>
          <w:marBottom w:val="600"/>
          <w:divBdr>
            <w:top w:val="none" w:sz="0" w:space="0" w:color="auto"/>
            <w:left w:val="none" w:sz="0" w:space="0" w:color="auto"/>
            <w:bottom w:val="none" w:sz="0" w:space="0" w:color="auto"/>
            <w:right w:val="none" w:sz="0" w:space="0" w:color="auto"/>
          </w:divBdr>
        </w:div>
      </w:divsChild>
    </w:div>
    <w:div w:id="760838325">
      <w:marLeft w:val="0"/>
      <w:marRight w:val="0"/>
      <w:marTop w:val="0"/>
      <w:marBottom w:val="0"/>
      <w:divBdr>
        <w:top w:val="none" w:sz="0" w:space="0" w:color="auto"/>
        <w:left w:val="none" w:sz="0" w:space="0" w:color="auto"/>
        <w:bottom w:val="none" w:sz="0" w:space="0" w:color="auto"/>
        <w:right w:val="none" w:sz="0" w:space="0" w:color="auto"/>
      </w:divBdr>
      <w:divsChild>
        <w:div w:id="1490828435">
          <w:marLeft w:val="0"/>
          <w:marRight w:val="0"/>
          <w:marTop w:val="547"/>
          <w:marBottom w:val="0"/>
          <w:divBdr>
            <w:top w:val="none" w:sz="0" w:space="0" w:color="auto"/>
            <w:left w:val="none" w:sz="0" w:space="0" w:color="auto"/>
            <w:bottom w:val="none" w:sz="0" w:space="0" w:color="auto"/>
            <w:right w:val="none" w:sz="0" w:space="0" w:color="auto"/>
          </w:divBdr>
        </w:div>
        <w:div w:id="1997605376">
          <w:marLeft w:val="0"/>
          <w:marRight w:val="0"/>
          <w:marTop w:val="0"/>
          <w:marBottom w:val="0"/>
          <w:divBdr>
            <w:top w:val="none" w:sz="0" w:space="0" w:color="auto"/>
            <w:left w:val="none" w:sz="0" w:space="0" w:color="auto"/>
            <w:bottom w:val="none" w:sz="0" w:space="0" w:color="auto"/>
            <w:right w:val="none" w:sz="0" w:space="0" w:color="auto"/>
          </w:divBdr>
        </w:div>
        <w:div w:id="463616956">
          <w:marLeft w:val="0"/>
          <w:marRight w:val="0"/>
          <w:marTop w:val="0"/>
          <w:marBottom w:val="600"/>
          <w:divBdr>
            <w:top w:val="none" w:sz="0" w:space="0" w:color="auto"/>
            <w:left w:val="none" w:sz="0" w:space="0" w:color="auto"/>
            <w:bottom w:val="none" w:sz="0" w:space="0" w:color="auto"/>
            <w:right w:val="none" w:sz="0" w:space="0" w:color="auto"/>
          </w:divBdr>
        </w:div>
      </w:divsChild>
    </w:div>
    <w:div w:id="777681561">
      <w:marLeft w:val="0"/>
      <w:marRight w:val="0"/>
      <w:marTop w:val="0"/>
      <w:marBottom w:val="0"/>
      <w:divBdr>
        <w:top w:val="none" w:sz="0" w:space="0" w:color="auto"/>
        <w:left w:val="none" w:sz="0" w:space="0" w:color="auto"/>
        <w:bottom w:val="none" w:sz="0" w:space="0" w:color="auto"/>
        <w:right w:val="none" w:sz="0" w:space="0" w:color="auto"/>
      </w:divBdr>
      <w:divsChild>
        <w:div w:id="990134327">
          <w:marLeft w:val="0"/>
          <w:marRight w:val="0"/>
          <w:marTop w:val="547"/>
          <w:marBottom w:val="0"/>
          <w:divBdr>
            <w:top w:val="none" w:sz="0" w:space="0" w:color="auto"/>
            <w:left w:val="none" w:sz="0" w:space="0" w:color="auto"/>
            <w:bottom w:val="none" w:sz="0" w:space="0" w:color="auto"/>
            <w:right w:val="none" w:sz="0" w:space="0" w:color="auto"/>
          </w:divBdr>
        </w:div>
        <w:div w:id="595863553">
          <w:marLeft w:val="0"/>
          <w:marRight w:val="0"/>
          <w:marTop w:val="0"/>
          <w:marBottom w:val="0"/>
          <w:divBdr>
            <w:top w:val="none" w:sz="0" w:space="0" w:color="auto"/>
            <w:left w:val="none" w:sz="0" w:space="0" w:color="auto"/>
            <w:bottom w:val="none" w:sz="0" w:space="0" w:color="auto"/>
            <w:right w:val="none" w:sz="0" w:space="0" w:color="auto"/>
          </w:divBdr>
          <w:divsChild>
            <w:div w:id="1893231817">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 w:id="78529913">
              <w:marLeft w:val="0"/>
              <w:marRight w:val="0"/>
              <w:marTop w:val="0"/>
              <w:marBottom w:val="0"/>
              <w:divBdr>
                <w:top w:val="none" w:sz="0" w:space="0" w:color="auto"/>
                <w:left w:val="none" w:sz="0" w:space="0" w:color="auto"/>
                <w:bottom w:val="none" w:sz="0" w:space="0" w:color="auto"/>
                <w:right w:val="none" w:sz="0" w:space="0" w:color="auto"/>
              </w:divBdr>
              <w:divsChild>
                <w:div w:id="318774231">
                  <w:marLeft w:val="0"/>
                  <w:marRight w:val="0"/>
                  <w:marTop w:val="0"/>
                  <w:marBottom w:val="0"/>
                  <w:divBdr>
                    <w:top w:val="none" w:sz="0" w:space="0" w:color="auto"/>
                    <w:left w:val="none" w:sz="0" w:space="0" w:color="auto"/>
                    <w:bottom w:val="none" w:sz="0" w:space="0" w:color="auto"/>
                    <w:right w:val="none" w:sz="0" w:space="0" w:color="auto"/>
                  </w:divBdr>
                </w:div>
              </w:divsChild>
            </w:div>
            <w:div w:id="1933008908">
              <w:marLeft w:val="0"/>
              <w:marRight w:val="0"/>
              <w:marTop w:val="0"/>
              <w:marBottom w:val="0"/>
              <w:divBdr>
                <w:top w:val="none" w:sz="0" w:space="0" w:color="auto"/>
                <w:left w:val="none" w:sz="0" w:space="0" w:color="auto"/>
                <w:bottom w:val="none" w:sz="0" w:space="0" w:color="auto"/>
                <w:right w:val="none" w:sz="0" w:space="0" w:color="auto"/>
              </w:divBdr>
              <w:divsChild>
                <w:div w:id="1317955404">
                  <w:marLeft w:val="0"/>
                  <w:marRight w:val="0"/>
                  <w:marTop w:val="0"/>
                  <w:marBottom w:val="0"/>
                  <w:divBdr>
                    <w:top w:val="none" w:sz="0" w:space="0" w:color="auto"/>
                    <w:left w:val="none" w:sz="0" w:space="0" w:color="auto"/>
                    <w:bottom w:val="none" w:sz="0" w:space="0" w:color="auto"/>
                    <w:right w:val="none" w:sz="0" w:space="0" w:color="auto"/>
                  </w:divBdr>
                </w:div>
              </w:divsChild>
            </w:div>
            <w:div w:id="1185047977">
              <w:marLeft w:val="0"/>
              <w:marRight w:val="0"/>
              <w:marTop w:val="0"/>
              <w:marBottom w:val="0"/>
              <w:divBdr>
                <w:top w:val="none" w:sz="0" w:space="0" w:color="auto"/>
                <w:left w:val="none" w:sz="0" w:space="0" w:color="auto"/>
                <w:bottom w:val="none" w:sz="0" w:space="0" w:color="auto"/>
                <w:right w:val="none" w:sz="0" w:space="0" w:color="auto"/>
              </w:divBdr>
              <w:divsChild>
                <w:div w:id="1245144630">
                  <w:marLeft w:val="0"/>
                  <w:marRight w:val="0"/>
                  <w:marTop w:val="0"/>
                  <w:marBottom w:val="0"/>
                  <w:divBdr>
                    <w:top w:val="none" w:sz="0" w:space="0" w:color="auto"/>
                    <w:left w:val="none" w:sz="0" w:space="0" w:color="auto"/>
                    <w:bottom w:val="none" w:sz="0" w:space="0" w:color="auto"/>
                    <w:right w:val="none" w:sz="0" w:space="0" w:color="auto"/>
                  </w:divBdr>
                </w:div>
              </w:divsChild>
            </w:div>
            <w:div w:id="1750421034">
              <w:marLeft w:val="0"/>
              <w:marRight w:val="0"/>
              <w:marTop w:val="0"/>
              <w:marBottom w:val="0"/>
              <w:divBdr>
                <w:top w:val="none" w:sz="0" w:space="0" w:color="auto"/>
                <w:left w:val="none" w:sz="0" w:space="0" w:color="auto"/>
                <w:bottom w:val="none" w:sz="0" w:space="0" w:color="auto"/>
                <w:right w:val="none" w:sz="0" w:space="0" w:color="auto"/>
              </w:divBdr>
              <w:divsChild>
                <w:div w:id="874466098">
                  <w:marLeft w:val="0"/>
                  <w:marRight w:val="0"/>
                  <w:marTop w:val="0"/>
                  <w:marBottom w:val="0"/>
                  <w:divBdr>
                    <w:top w:val="none" w:sz="0" w:space="0" w:color="auto"/>
                    <w:left w:val="none" w:sz="0" w:space="0" w:color="auto"/>
                    <w:bottom w:val="none" w:sz="0" w:space="0" w:color="auto"/>
                    <w:right w:val="none" w:sz="0" w:space="0" w:color="auto"/>
                  </w:divBdr>
                </w:div>
              </w:divsChild>
            </w:div>
            <w:div w:id="1955021318">
              <w:marLeft w:val="0"/>
              <w:marRight w:val="0"/>
              <w:marTop w:val="0"/>
              <w:marBottom w:val="0"/>
              <w:divBdr>
                <w:top w:val="none" w:sz="0" w:space="0" w:color="auto"/>
                <w:left w:val="none" w:sz="0" w:space="0" w:color="auto"/>
                <w:bottom w:val="none" w:sz="0" w:space="0" w:color="auto"/>
                <w:right w:val="none" w:sz="0" w:space="0" w:color="auto"/>
              </w:divBdr>
              <w:divsChild>
                <w:div w:id="1060714443">
                  <w:marLeft w:val="0"/>
                  <w:marRight w:val="0"/>
                  <w:marTop w:val="0"/>
                  <w:marBottom w:val="0"/>
                  <w:divBdr>
                    <w:top w:val="none" w:sz="0" w:space="0" w:color="auto"/>
                    <w:left w:val="none" w:sz="0" w:space="0" w:color="auto"/>
                    <w:bottom w:val="none" w:sz="0" w:space="0" w:color="auto"/>
                    <w:right w:val="none" w:sz="0" w:space="0" w:color="auto"/>
                  </w:divBdr>
                </w:div>
              </w:divsChild>
            </w:div>
            <w:div w:id="1299723378">
              <w:marLeft w:val="0"/>
              <w:marRight w:val="0"/>
              <w:marTop w:val="0"/>
              <w:marBottom w:val="0"/>
              <w:divBdr>
                <w:top w:val="none" w:sz="0" w:space="0" w:color="auto"/>
                <w:left w:val="none" w:sz="0" w:space="0" w:color="auto"/>
                <w:bottom w:val="none" w:sz="0" w:space="0" w:color="auto"/>
                <w:right w:val="none" w:sz="0" w:space="0" w:color="auto"/>
              </w:divBdr>
              <w:divsChild>
                <w:div w:id="2120711002">
                  <w:marLeft w:val="0"/>
                  <w:marRight w:val="0"/>
                  <w:marTop w:val="0"/>
                  <w:marBottom w:val="0"/>
                  <w:divBdr>
                    <w:top w:val="none" w:sz="0" w:space="0" w:color="auto"/>
                    <w:left w:val="none" w:sz="0" w:space="0" w:color="auto"/>
                    <w:bottom w:val="none" w:sz="0" w:space="0" w:color="auto"/>
                    <w:right w:val="none" w:sz="0" w:space="0" w:color="auto"/>
                  </w:divBdr>
                </w:div>
              </w:divsChild>
            </w:div>
            <w:div w:id="814906779">
              <w:marLeft w:val="0"/>
              <w:marRight w:val="0"/>
              <w:marTop w:val="0"/>
              <w:marBottom w:val="0"/>
              <w:divBdr>
                <w:top w:val="none" w:sz="0" w:space="0" w:color="auto"/>
                <w:left w:val="none" w:sz="0" w:space="0" w:color="auto"/>
                <w:bottom w:val="none" w:sz="0" w:space="0" w:color="auto"/>
                <w:right w:val="none" w:sz="0" w:space="0" w:color="auto"/>
              </w:divBdr>
              <w:divsChild>
                <w:div w:id="355891496">
                  <w:marLeft w:val="0"/>
                  <w:marRight w:val="0"/>
                  <w:marTop w:val="0"/>
                  <w:marBottom w:val="0"/>
                  <w:divBdr>
                    <w:top w:val="none" w:sz="0" w:space="0" w:color="auto"/>
                    <w:left w:val="none" w:sz="0" w:space="0" w:color="auto"/>
                    <w:bottom w:val="none" w:sz="0" w:space="0" w:color="auto"/>
                    <w:right w:val="none" w:sz="0" w:space="0" w:color="auto"/>
                  </w:divBdr>
                </w:div>
              </w:divsChild>
            </w:div>
            <w:div w:id="1703358218">
              <w:marLeft w:val="0"/>
              <w:marRight w:val="0"/>
              <w:marTop w:val="0"/>
              <w:marBottom w:val="0"/>
              <w:divBdr>
                <w:top w:val="none" w:sz="0" w:space="0" w:color="auto"/>
                <w:left w:val="none" w:sz="0" w:space="0" w:color="auto"/>
                <w:bottom w:val="none" w:sz="0" w:space="0" w:color="auto"/>
                <w:right w:val="none" w:sz="0" w:space="0" w:color="auto"/>
              </w:divBdr>
              <w:divsChild>
                <w:div w:id="1248615063">
                  <w:marLeft w:val="0"/>
                  <w:marRight w:val="0"/>
                  <w:marTop w:val="0"/>
                  <w:marBottom w:val="0"/>
                  <w:divBdr>
                    <w:top w:val="none" w:sz="0" w:space="0" w:color="auto"/>
                    <w:left w:val="none" w:sz="0" w:space="0" w:color="auto"/>
                    <w:bottom w:val="none" w:sz="0" w:space="0" w:color="auto"/>
                    <w:right w:val="none" w:sz="0" w:space="0" w:color="auto"/>
                  </w:divBdr>
                </w:div>
              </w:divsChild>
            </w:div>
            <w:div w:id="1326859930">
              <w:marLeft w:val="0"/>
              <w:marRight w:val="0"/>
              <w:marTop w:val="0"/>
              <w:marBottom w:val="0"/>
              <w:divBdr>
                <w:top w:val="none" w:sz="0" w:space="0" w:color="auto"/>
                <w:left w:val="none" w:sz="0" w:space="0" w:color="auto"/>
                <w:bottom w:val="none" w:sz="0" w:space="0" w:color="auto"/>
                <w:right w:val="none" w:sz="0" w:space="0" w:color="auto"/>
              </w:divBdr>
              <w:divsChild>
                <w:div w:id="573782589">
                  <w:marLeft w:val="0"/>
                  <w:marRight w:val="0"/>
                  <w:marTop w:val="0"/>
                  <w:marBottom w:val="0"/>
                  <w:divBdr>
                    <w:top w:val="none" w:sz="0" w:space="0" w:color="auto"/>
                    <w:left w:val="none" w:sz="0" w:space="0" w:color="auto"/>
                    <w:bottom w:val="none" w:sz="0" w:space="0" w:color="auto"/>
                    <w:right w:val="none" w:sz="0" w:space="0" w:color="auto"/>
                  </w:divBdr>
                </w:div>
              </w:divsChild>
            </w:div>
            <w:div w:id="628098640">
              <w:marLeft w:val="0"/>
              <w:marRight w:val="0"/>
              <w:marTop w:val="0"/>
              <w:marBottom w:val="0"/>
              <w:divBdr>
                <w:top w:val="none" w:sz="0" w:space="0" w:color="auto"/>
                <w:left w:val="none" w:sz="0" w:space="0" w:color="auto"/>
                <w:bottom w:val="none" w:sz="0" w:space="0" w:color="auto"/>
                <w:right w:val="none" w:sz="0" w:space="0" w:color="auto"/>
              </w:divBdr>
              <w:divsChild>
                <w:div w:id="277033688">
                  <w:marLeft w:val="0"/>
                  <w:marRight w:val="0"/>
                  <w:marTop w:val="0"/>
                  <w:marBottom w:val="0"/>
                  <w:divBdr>
                    <w:top w:val="none" w:sz="0" w:space="0" w:color="auto"/>
                    <w:left w:val="none" w:sz="0" w:space="0" w:color="auto"/>
                    <w:bottom w:val="none" w:sz="0" w:space="0" w:color="auto"/>
                    <w:right w:val="none" w:sz="0" w:space="0" w:color="auto"/>
                  </w:divBdr>
                </w:div>
              </w:divsChild>
            </w:div>
            <w:div w:id="398482752">
              <w:marLeft w:val="0"/>
              <w:marRight w:val="0"/>
              <w:marTop w:val="0"/>
              <w:marBottom w:val="0"/>
              <w:divBdr>
                <w:top w:val="none" w:sz="0" w:space="0" w:color="auto"/>
                <w:left w:val="none" w:sz="0" w:space="0" w:color="auto"/>
                <w:bottom w:val="none" w:sz="0" w:space="0" w:color="auto"/>
                <w:right w:val="none" w:sz="0" w:space="0" w:color="auto"/>
              </w:divBdr>
              <w:divsChild>
                <w:div w:id="882711281">
                  <w:marLeft w:val="0"/>
                  <w:marRight w:val="0"/>
                  <w:marTop w:val="0"/>
                  <w:marBottom w:val="0"/>
                  <w:divBdr>
                    <w:top w:val="none" w:sz="0" w:space="0" w:color="auto"/>
                    <w:left w:val="none" w:sz="0" w:space="0" w:color="auto"/>
                    <w:bottom w:val="none" w:sz="0" w:space="0" w:color="auto"/>
                    <w:right w:val="none" w:sz="0" w:space="0" w:color="auto"/>
                  </w:divBdr>
                </w:div>
              </w:divsChild>
            </w:div>
            <w:div w:id="336932612">
              <w:marLeft w:val="0"/>
              <w:marRight w:val="0"/>
              <w:marTop w:val="0"/>
              <w:marBottom w:val="0"/>
              <w:divBdr>
                <w:top w:val="none" w:sz="0" w:space="0" w:color="auto"/>
                <w:left w:val="none" w:sz="0" w:space="0" w:color="auto"/>
                <w:bottom w:val="none" w:sz="0" w:space="0" w:color="auto"/>
                <w:right w:val="none" w:sz="0" w:space="0" w:color="auto"/>
              </w:divBdr>
              <w:divsChild>
                <w:div w:id="1995449460">
                  <w:marLeft w:val="0"/>
                  <w:marRight w:val="0"/>
                  <w:marTop w:val="0"/>
                  <w:marBottom w:val="0"/>
                  <w:divBdr>
                    <w:top w:val="none" w:sz="0" w:space="0" w:color="auto"/>
                    <w:left w:val="none" w:sz="0" w:space="0" w:color="auto"/>
                    <w:bottom w:val="none" w:sz="0" w:space="0" w:color="auto"/>
                    <w:right w:val="none" w:sz="0" w:space="0" w:color="auto"/>
                  </w:divBdr>
                </w:div>
              </w:divsChild>
            </w:div>
            <w:div w:id="1338338858">
              <w:marLeft w:val="0"/>
              <w:marRight w:val="0"/>
              <w:marTop w:val="0"/>
              <w:marBottom w:val="0"/>
              <w:divBdr>
                <w:top w:val="none" w:sz="0" w:space="0" w:color="auto"/>
                <w:left w:val="none" w:sz="0" w:space="0" w:color="auto"/>
                <w:bottom w:val="none" w:sz="0" w:space="0" w:color="auto"/>
                <w:right w:val="none" w:sz="0" w:space="0" w:color="auto"/>
              </w:divBdr>
              <w:divsChild>
                <w:div w:id="80104315">
                  <w:marLeft w:val="0"/>
                  <w:marRight w:val="0"/>
                  <w:marTop w:val="0"/>
                  <w:marBottom w:val="0"/>
                  <w:divBdr>
                    <w:top w:val="none" w:sz="0" w:space="0" w:color="auto"/>
                    <w:left w:val="none" w:sz="0" w:space="0" w:color="auto"/>
                    <w:bottom w:val="none" w:sz="0" w:space="0" w:color="auto"/>
                    <w:right w:val="none" w:sz="0" w:space="0" w:color="auto"/>
                  </w:divBdr>
                </w:div>
              </w:divsChild>
            </w:div>
            <w:div w:id="1684890797">
              <w:marLeft w:val="0"/>
              <w:marRight w:val="0"/>
              <w:marTop w:val="0"/>
              <w:marBottom w:val="0"/>
              <w:divBdr>
                <w:top w:val="none" w:sz="0" w:space="0" w:color="auto"/>
                <w:left w:val="none" w:sz="0" w:space="0" w:color="auto"/>
                <w:bottom w:val="none" w:sz="0" w:space="0" w:color="auto"/>
                <w:right w:val="none" w:sz="0" w:space="0" w:color="auto"/>
              </w:divBdr>
              <w:divsChild>
                <w:div w:id="1887064169">
                  <w:marLeft w:val="0"/>
                  <w:marRight w:val="0"/>
                  <w:marTop w:val="0"/>
                  <w:marBottom w:val="0"/>
                  <w:divBdr>
                    <w:top w:val="none" w:sz="0" w:space="0" w:color="auto"/>
                    <w:left w:val="none" w:sz="0" w:space="0" w:color="auto"/>
                    <w:bottom w:val="none" w:sz="0" w:space="0" w:color="auto"/>
                    <w:right w:val="none" w:sz="0" w:space="0" w:color="auto"/>
                  </w:divBdr>
                </w:div>
              </w:divsChild>
            </w:div>
            <w:div w:id="1736971399">
              <w:marLeft w:val="0"/>
              <w:marRight w:val="0"/>
              <w:marTop w:val="0"/>
              <w:marBottom w:val="0"/>
              <w:divBdr>
                <w:top w:val="none" w:sz="0" w:space="0" w:color="auto"/>
                <w:left w:val="none" w:sz="0" w:space="0" w:color="auto"/>
                <w:bottom w:val="none" w:sz="0" w:space="0" w:color="auto"/>
                <w:right w:val="none" w:sz="0" w:space="0" w:color="auto"/>
              </w:divBdr>
              <w:divsChild>
                <w:div w:id="1479105835">
                  <w:marLeft w:val="0"/>
                  <w:marRight w:val="0"/>
                  <w:marTop w:val="0"/>
                  <w:marBottom w:val="0"/>
                  <w:divBdr>
                    <w:top w:val="none" w:sz="0" w:space="0" w:color="auto"/>
                    <w:left w:val="none" w:sz="0" w:space="0" w:color="auto"/>
                    <w:bottom w:val="none" w:sz="0" w:space="0" w:color="auto"/>
                    <w:right w:val="none" w:sz="0" w:space="0" w:color="auto"/>
                  </w:divBdr>
                </w:div>
              </w:divsChild>
            </w:div>
            <w:div w:id="869728800">
              <w:marLeft w:val="0"/>
              <w:marRight w:val="0"/>
              <w:marTop w:val="0"/>
              <w:marBottom w:val="0"/>
              <w:divBdr>
                <w:top w:val="none" w:sz="0" w:space="0" w:color="auto"/>
                <w:left w:val="none" w:sz="0" w:space="0" w:color="auto"/>
                <w:bottom w:val="none" w:sz="0" w:space="0" w:color="auto"/>
                <w:right w:val="none" w:sz="0" w:space="0" w:color="auto"/>
              </w:divBdr>
              <w:divsChild>
                <w:div w:id="331297847">
                  <w:marLeft w:val="0"/>
                  <w:marRight w:val="0"/>
                  <w:marTop w:val="0"/>
                  <w:marBottom w:val="0"/>
                  <w:divBdr>
                    <w:top w:val="none" w:sz="0" w:space="0" w:color="auto"/>
                    <w:left w:val="none" w:sz="0" w:space="0" w:color="auto"/>
                    <w:bottom w:val="none" w:sz="0" w:space="0" w:color="auto"/>
                    <w:right w:val="none" w:sz="0" w:space="0" w:color="auto"/>
                  </w:divBdr>
                </w:div>
              </w:divsChild>
            </w:div>
            <w:div w:id="1240600362">
              <w:marLeft w:val="0"/>
              <w:marRight w:val="0"/>
              <w:marTop w:val="0"/>
              <w:marBottom w:val="0"/>
              <w:divBdr>
                <w:top w:val="none" w:sz="0" w:space="0" w:color="auto"/>
                <w:left w:val="none" w:sz="0" w:space="0" w:color="auto"/>
                <w:bottom w:val="none" w:sz="0" w:space="0" w:color="auto"/>
                <w:right w:val="none" w:sz="0" w:space="0" w:color="auto"/>
              </w:divBdr>
              <w:divsChild>
                <w:div w:id="2104643752">
                  <w:marLeft w:val="0"/>
                  <w:marRight w:val="0"/>
                  <w:marTop w:val="0"/>
                  <w:marBottom w:val="0"/>
                  <w:divBdr>
                    <w:top w:val="none" w:sz="0" w:space="0" w:color="auto"/>
                    <w:left w:val="none" w:sz="0" w:space="0" w:color="auto"/>
                    <w:bottom w:val="none" w:sz="0" w:space="0" w:color="auto"/>
                    <w:right w:val="none" w:sz="0" w:space="0" w:color="auto"/>
                  </w:divBdr>
                </w:div>
              </w:divsChild>
            </w:div>
            <w:div w:id="394748">
              <w:marLeft w:val="0"/>
              <w:marRight w:val="0"/>
              <w:marTop w:val="0"/>
              <w:marBottom w:val="0"/>
              <w:divBdr>
                <w:top w:val="none" w:sz="0" w:space="0" w:color="auto"/>
                <w:left w:val="none" w:sz="0" w:space="0" w:color="auto"/>
                <w:bottom w:val="none" w:sz="0" w:space="0" w:color="auto"/>
                <w:right w:val="none" w:sz="0" w:space="0" w:color="auto"/>
              </w:divBdr>
              <w:divsChild>
                <w:div w:id="1528104053">
                  <w:marLeft w:val="0"/>
                  <w:marRight w:val="0"/>
                  <w:marTop w:val="0"/>
                  <w:marBottom w:val="0"/>
                  <w:divBdr>
                    <w:top w:val="none" w:sz="0" w:space="0" w:color="auto"/>
                    <w:left w:val="none" w:sz="0" w:space="0" w:color="auto"/>
                    <w:bottom w:val="none" w:sz="0" w:space="0" w:color="auto"/>
                    <w:right w:val="none" w:sz="0" w:space="0" w:color="auto"/>
                  </w:divBdr>
                </w:div>
              </w:divsChild>
            </w:div>
            <w:div w:id="1594974074">
              <w:marLeft w:val="0"/>
              <w:marRight w:val="0"/>
              <w:marTop w:val="0"/>
              <w:marBottom w:val="0"/>
              <w:divBdr>
                <w:top w:val="none" w:sz="0" w:space="0" w:color="auto"/>
                <w:left w:val="none" w:sz="0" w:space="0" w:color="auto"/>
                <w:bottom w:val="none" w:sz="0" w:space="0" w:color="auto"/>
                <w:right w:val="none" w:sz="0" w:space="0" w:color="auto"/>
              </w:divBdr>
              <w:divsChild>
                <w:div w:id="344746487">
                  <w:marLeft w:val="0"/>
                  <w:marRight w:val="0"/>
                  <w:marTop w:val="0"/>
                  <w:marBottom w:val="0"/>
                  <w:divBdr>
                    <w:top w:val="none" w:sz="0" w:space="0" w:color="auto"/>
                    <w:left w:val="none" w:sz="0" w:space="0" w:color="auto"/>
                    <w:bottom w:val="none" w:sz="0" w:space="0" w:color="auto"/>
                    <w:right w:val="none" w:sz="0" w:space="0" w:color="auto"/>
                  </w:divBdr>
                </w:div>
              </w:divsChild>
            </w:div>
            <w:div w:id="107508504">
              <w:marLeft w:val="0"/>
              <w:marRight w:val="0"/>
              <w:marTop w:val="0"/>
              <w:marBottom w:val="0"/>
              <w:divBdr>
                <w:top w:val="none" w:sz="0" w:space="0" w:color="auto"/>
                <w:left w:val="none" w:sz="0" w:space="0" w:color="auto"/>
                <w:bottom w:val="none" w:sz="0" w:space="0" w:color="auto"/>
                <w:right w:val="none" w:sz="0" w:space="0" w:color="auto"/>
              </w:divBdr>
              <w:divsChild>
                <w:div w:id="1867712289">
                  <w:marLeft w:val="0"/>
                  <w:marRight w:val="0"/>
                  <w:marTop w:val="0"/>
                  <w:marBottom w:val="0"/>
                  <w:divBdr>
                    <w:top w:val="none" w:sz="0" w:space="0" w:color="auto"/>
                    <w:left w:val="none" w:sz="0" w:space="0" w:color="auto"/>
                    <w:bottom w:val="none" w:sz="0" w:space="0" w:color="auto"/>
                    <w:right w:val="none" w:sz="0" w:space="0" w:color="auto"/>
                  </w:divBdr>
                </w:div>
              </w:divsChild>
            </w:div>
            <w:div w:id="618993480">
              <w:marLeft w:val="0"/>
              <w:marRight w:val="0"/>
              <w:marTop w:val="0"/>
              <w:marBottom w:val="0"/>
              <w:divBdr>
                <w:top w:val="none" w:sz="0" w:space="0" w:color="auto"/>
                <w:left w:val="none" w:sz="0" w:space="0" w:color="auto"/>
                <w:bottom w:val="none" w:sz="0" w:space="0" w:color="auto"/>
                <w:right w:val="none" w:sz="0" w:space="0" w:color="auto"/>
              </w:divBdr>
              <w:divsChild>
                <w:div w:id="1337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5920">
          <w:marLeft w:val="0"/>
          <w:marRight w:val="0"/>
          <w:marTop w:val="0"/>
          <w:marBottom w:val="600"/>
          <w:divBdr>
            <w:top w:val="none" w:sz="0" w:space="0" w:color="auto"/>
            <w:left w:val="none" w:sz="0" w:space="0" w:color="auto"/>
            <w:bottom w:val="none" w:sz="0" w:space="0" w:color="auto"/>
            <w:right w:val="none" w:sz="0" w:space="0" w:color="auto"/>
          </w:divBdr>
        </w:div>
      </w:divsChild>
    </w:div>
    <w:div w:id="818300684">
      <w:marLeft w:val="0"/>
      <w:marRight w:val="0"/>
      <w:marTop w:val="0"/>
      <w:marBottom w:val="0"/>
      <w:divBdr>
        <w:top w:val="none" w:sz="0" w:space="0" w:color="auto"/>
        <w:left w:val="none" w:sz="0" w:space="0" w:color="auto"/>
        <w:bottom w:val="none" w:sz="0" w:space="0" w:color="auto"/>
        <w:right w:val="none" w:sz="0" w:space="0" w:color="auto"/>
      </w:divBdr>
      <w:divsChild>
        <w:div w:id="40833201">
          <w:marLeft w:val="0"/>
          <w:marRight w:val="0"/>
          <w:marTop w:val="547"/>
          <w:marBottom w:val="0"/>
          <w:divBdr>
            <w:top w:val="none" w:sz="0" w:space="0" w:color="auto"/>
            <w:left w:val="none" w:sz="0" w:space="0" w:color="auto"/>
            <w:bottom w:val="none" w:sz="0" w:space="0" w:color="auto"/>
            <w:right w:val="none" w:sz="0" w:space="0" w:color="auto"/>
          </w:divBdr>
        </w:div>
        <w:div w:id="1138180368">
          <w:marLeft w:val="0"/>
          <w:marRight w:val="0"/>
          <w:marTop w:val="0"/>
          <w:marBottom w:val="0"/>
          <w:divBdr>
            <w:top w:val="none" w:sz="0" w:space="0" w:color="auto"/>
            <w:left w:val="none" w:sz="0" w:space="0" w:color="auto"/>
            <w:bottom w:val="none" w:sz="0" w:space="0" w:color="auto"/>
            <w:right w:val="none" w:sz="0" w:space="0" w:color="auto"/>
          </w:divBdr>
        </w:div>
        <w:div w:id="472408205">
          <w:marLeft w:val="0"/>
          <w:marRight w:val="0"/>
          <w:marTop w:val="0"/>
          <w:marBottom w:val="600"/>
          <w:divBdr>
            <w:top w:val="none" w:sz="0" w:space="0" w:color="auto"/>
            <w:left w:val="none" w:sz="0" w:space="0" w:color="auto"/>
            <w:bottom w:val="none" w:sz="0" w:space="0" w:color="auto"/>
            <w:right w:val="none" w:sz="0" w:space="0" w:color="auto"/>
          </w:divBdr>
        </w:div>
      </w:divsChild>
    </w:div>
    <w:div w:id="820080821">
      <w:marLeft w:val="0"/>
      <w:marRight w:val="0"/>
      <w:marTop w:val="0"/>
      <w:marBottom w:val="0"/>
      <w:divBdr>
        <w:top w:val="none" w:sz="0" w:space="0" w:color="auto"/>
        <w:left w:val="none" w:sz="0" w:space="0" w:color="auto"/>
        <w:bottom w:val="none" w:sz="0" w:space="0" w:color="auto"/>
        <w:right w:val="none" w:sz="0" w:space="0" w:color="auto"/>
      </w:divBdr>
      <w:divsChild>
        <w:div w:id="987435643">
          <w:marLeft w:val="0"/>
          <w:marRight w:val="0"/>
          <w:marTop w:val="547"/>
          <w:marBottom w:val="0"/>
          <w:divBdr>
            <w:top w:val="none" w:sz="0" w:space="0" w:color="auto"/>
            <w:left w:val="none" w:sz="0" w:space="0" w:color="auto"/>
            <w:bottom w:val="none" w:sz="0" w:space="0" w:color="auto"/>
            <w:right w:val="none" w:sz="0" w:space="0" w:color="auto"/>
          </w:divBdr>
        </w:div>
        <w:div w:id="1791243253">
          <w:marLeft w:val="0"/>
          <w:marRight w:val="0"/>
          <w:marTop w:val="0"/>
          <w:marBottom w:val="0"/>
          <w:divBdr>
            <w:top w:val="none" w:sz="0" w:space="0" w:color="auto"/>
            <w:left w:val="none" w:sz="0" w:space="0" w:color="auto"/>
            <w:bottom w:val="none" w:sz="0" w:space="0" w:color="auto"/>
            <w:right w:val="none" w:sz="0" w:space="0" w:color="auto"/>
          </w:divBdr>
        </w:div>
        <w:div w:id="1522206351">
          <w:marLeft w:val="0"/>
          <w:marRight w:val="0"/>
          <w:marTop w:val="0"/>
          <w:marBottom w:val="600"/>
          <w:divBdr>
            <w:top w:val="none" w:sz="0" w:space="0" w:color="auto"/>
            <w:left w:val="none" w:sz="0" w:space="0" w:color="auto"/>
            <w:bottom w:val="none" w:sz="0" w:space="0" w:color="auto"/>
            <w:right w:val="none" w:sz="0" w:space="0" w:color="auto"/>
          </w:divBdr>
        </w:div>
      </w:divsChild>
    </w:div>
    <w:div w:id="832767101">
      <w:marLeft w:val="0"/>
      <w:marRight w:val="0"/>
      <w:marTop w:val="0"/>
      <w:marBottom w:val="0"/>
      <w:divBdr>
        <w:top w:val="none" w:sz="0" w:space="0" w:color="auto"/>
        <w:left w:val="none" w:sz="0" w:space="0" w:color="auto"/>
        <w:bottom w:val="none" w:sz="0" w:space="0" w:color="auto"/>
        <w:right w:val="none" w:sz="0" w:space="0" w:color="auto"/>
      </w:divBdr>
      <w:divsChild>
        <w:div w:id="1717468104">
          <w:marLeft w:val="0"/>
          <w:marRight w:val="0"/>
          <w:marTop w:val="547"/>
          <w:marBottom w:val="0"/>
          <w:divBdr>
            <w:top w:val="none" w:sz="0" w:space="0" w:color="auto"/>
            <w:left w:val="none" w:sz="0" w:space="0" w:color="auto"/>
            <w:bottom w:val="none" w:sz="0" w:space="0" w:color="auto"/>
            <w:right w:val="none" w:sz="0" w:space="0" w:color="auto"/>
          </w:divBdr>
        </w:div>
        <w:div w:id="289630274">
          <w:marLeft w:val="0"/>
          <w:marRight w:val="0"/>
          <w:marTop w:val="0"/>
          <w:marBottom w:val="0"/>
          <w:divBdr>
            <w:top w:val="none" w:sz="0" w:space="0" w:color="auto"/>
            <w:left w:val="none" w:sz="0" w:space="0" w:color="auto"/>
            <w:bottom w:val="none" w:sz="0" w:space="0" w:color="auto"/>
            <w:right w:val="none" w:sz="0" w:space="0" w:color="auto"/>
          </w:divBdr>
        </w:div>
        <w:div w:id="1138037389">
          <w:marLeft w:val="0"/>
          <w:marRight w:val="0"/>
          <w:marTop w:val="0"/>
          <w:marBottom w:val="600"/>
          <w:divBdr>
            <w:top w:val="none" w:sz="0" w:space="0" w:color="auto"/>
            <w:left w:val="none" w:sz="0" w:space="0" w:color="auto"/>
            <w:bottom w:val="none" w:sz="0" w:space="0" w:color="auto"/>
            <w:right w:val="none" w:sz="0" w:space="0" w:color="auto"/>
          </w:divBdr>
        </w:div>
      </w:divsChild>
    </w:div>
    <w:div w:id="833647552">
      <w:marLeft w:val="0"/>
      <w:marRight w:val="0"/>
      <w:marTop w:val="0"/>
      <w:marBottom w:val="0"/>
      <w:divBdr>
        <w:top w:val="none" w:sz="0" w:space="0" w:color="auto"/>
        <w:left w:val="none" w:sz="0" w:space="0" w:color="auto"/>
        <w:bottom w:val="none" w:sz="0" w:space="0" w:color="auto"/>
        <w:right w:val="none" w:sz="0" w:space="0" w:color="auto"/>
      </w:divBdr>
      <w:divsChild>
        <w:div w:id="1370958705">
          <w:marLeft w:val="0"/>
          <w:marRight w:val="0"/>
          <w:marTop w:val="547"/>
          <w:marBottom w:val="0"/>
          <w:divBdr>
            <w:top w:val="none" w:sz="0" w:space="0" w:color="auto"/>
            <w:left w:val="none" w:sz="0" w:space="0" w:color="auto"/>
            <w:bottom w:val="none" w:sz="0" w:space="0" w:color="auto"/>
            <w:right w:val="none" w:sz="0" w:space="0" w:color="auto"/>
          </w:divBdr>
        </w:div>
        <w:div w:id="2046326201">
          <w:marLeft w:val="0"/>
          <w:marRight w:val="0"/>
          <w:marTop w:val="0"/>
          <w:marBottom w:val="0"/>
          <w:divBdr>
            <w:top w:val="none" w:sz="0" w:space="0" w:color="auto"/>
            <w:left w:val="none" w:sz="0" w:space="0" w:color="auto"/>
            <w:bottom w:val="none" w:sz="0" w:space="0" w:color="auto"/>
            <w:right w:val="none" w:sz="0" w:space="0" w:color="auto"/>
          </w:divBdr>
          <w:divsChild>
            <w:div w:id="1344358767">
              <w:marLeft w:val="0"/>
              <w:marRight w:val="0"/>
              <w:marTop w:val="0"/>
              <w:marBottom w:val="0"/>
              <w:divBdr>
                <w:top w:val="none" w:sz="0" w:space="0" w:color="auto"/>
                <w:left w:val="none" w:sz="0" w:space="0" w:color="auto"/>
                <w:bottom w:val="none" w:sz="0" w:space="0" w:color="auto"/>
                <w:right w:val="none" w:sz="0" w:space="0" w:color="auto"/>
              </w:divBdr>
              <w:divsChild>
                <w:div w:id="814689345">
                  <w:marLeft w:val="0"/>
                  <w:marRight w:val="0"/>
                  <w:marTop w:val="0"/>
                  <w:marBottom w:val="0"/>
                  <w:divBdr>
                    <w:top w:val="none" w:sz="0" w:space="0" w:color="auto"/>
                    <w:left w:val="none" w:sz="0" w:space="0" w:color="auto"/>
                    <w:bottom w:val="none" w:sz="0" w:space="0" w:color="auto"/>
                    <w:right w:val="none" w:sz="0" w:space="0" w:color="auto"/>
                  </w:divBdr>
                </w:div>
              </w:divsChild>
            </w:div>
            <w:div w:id="1574928281">
              <w:marLeft w:val="0"/>
              <w:marRight w:val="0"/>
              <w:marTop w:val="0"/>
              <w:marBottom w:val="0"/>
              <w:divBdr>
                <w:top w:val="none" w:sz="0" w:space="0" w:color="auto"/>
                <w:left w:val="none" w:sz="0" w:space="0" w:color="auto"/>
                <w:bottom w:val="none" w:sz="0" w:space="0" w:color="auto"/>
                <w:right w:val="none" w:sz="0" w:space="0" w:color="auto"/>
              </w:divBdr>
              <w:divsChild>
                <w:div w:id="950165466">
                  <w:marLeft w:val="0"/>
                  <w:marRight w:val="0"/>
                  <w:marTop w:val="0"/>
                  <w:marBottom w:val="0"/>
                  <w:divBdr>
                    <w:top w:val="none" w:sz="0" w:space="0" w:color="auto"/>
                    <w:left w:val="none" w:sz="0" w:space="0" w:color="auto"/>
                    <w:bottom w:val="none" w:sz="0" w:space="0" w:color="auto"/>
                    <w:right w:val="none" w:sz="0" w:space="0" w:color="auto"/>
                  </w:divBdr>
                </w:div>
              </w:divsChild>
            </w:div>
            <w:div w:id="485903882">
              <w:marLeft w:val="0"/>
              <w:marRight w:val="0"/>
              <w:marTop w:val="0"/>
              <w:marBottom w:val="0"/>
              <w:divBdr>
                <w:top w:val="none" w:sz="0" w:space="0" w:color="auto"/>
                <w:left w:val="none" w:sz="0" w:space="0" w:color="auto"/>
                <w:bottom w:val="none" w:sz="0" w:space="0" w:color="auto"/>
                <w:right w:val="none" w:sz="0" w:space="0" w:color="auto"/>
              </w:divBdr>
              <w:divsChild>
                <w:div w:id="1326588718">
                  <w:marLeft w:val="0"/>
                  <w:marRight w:val="0"/>
                  <w:marTop w:val="0"/>
                  <w:marBottom w:val="0"/>
                  <w:divBdr>
                    <w:top w:val="none" w:sz="0" w:space="0" w:color="auto"/>
                    <w:left w:val="none" w:sz="0" w:space="0" w:color="auto"/>
                    <w:bottom w:val="none" w:sz="0" w:space="0" w:color="auto"/>
                    <w:right w:val="none" w:sz="0" w:space="0" w:color="auto"/>
                  </w:divBdr>
                </w:div>
              </w:divsChild>
            </w:div>
            <w:div w:id="1796216529">
              <w:marLeft w:val="0"/>
              <w:marRight w:val="0"/>
              <w:marTop w:val="0"/>
              <w:marBottom w:val="0"/>
              <w:divBdr>
                <w:top w:val="none" w:sz="0" w:space="0" w:color="auto"/>
                <w:left w:val="none" w:sz="0" w:space="0" w:color="auto"/>
                <w:bottom w:val="none" w:sz="0" w:space="0" w:color="auto"/>
                <w:right w:val="none" w:sz="0" w:space="0" w:color="auto"/>
              </w:divBdr>
              <w:divsChild>
                <w:div w:id="106168943">
                  <w:marLeft w:val="0"/>
                  <w:marRight w:val="0"/>
                  <w:marTop w:val="0"/>
                  <w:marBottom w:val="0"/>
                  <w:divBdr>
                    <w:top w:val="none" w:sz="0" w:space="0" w:color="auto"/>
                    <w:left w:val="none" w:sz="0" w:space="0" w:color="auto"/>
                    <w:bottom w:val="none" w:sz="0" w:space="0" w:color="auto"/>
                    <w:right w:val="none" w:sz="0" w:space="0" w:color="auto"/>
                  </w:divBdr>
                </w:div>
              </w:divsChild>
            </w:div>
            <w:div w:id="854347221">
              <w:marLeft w:val="0"/>
              <w:marRight w:val="0"/>
              <w:marTop w:val="0"/>
              <w:marBottom w:val="0"/>
              <w:divBdr>
                <w:top w:val="none" w:sz="0" w:space="0" w:color="auto"/>
                <w:left w:val="none" w:sz="0" w:space="0" w:color="auto"/>
                <w:bottom w:val="none" w:sz="0" w:space="0" w:color="auto"/>
                <w:right w:val="none" w:sz="0" w:space="0" w:color="auto"/>
              </w:divBdr>
              <w:divsChild>
                <w:div w:id="1539049884">
                  <w:marLeft w:val="0"/>
                  <w:marRight w:val="0"/>
                  <w:marTop w:val="0"/>
                  <w:marBottom w:val="0"/>
                  <w:divBdr>
                    <w:top w:val="none" w:sz="0" w:space="0" w:color="auto"/>
                    <w:left w:val="none" w:sz="0" w:space="0" w:color="auto"/>
                    <w:bottom w:val="none" w:sz="0" w:space="0" w:color="auto"/>
                    <w:right w:val="none" w:sz="0" w:space="0" w:color="auto"/>
                  </w:divBdr>
                </w:div>
              </w:divsChild>
            </w:div>
            <w:div w:id="1161198670">
              <w:marLeft w:val="0"/>
              <w:marRight w:val="0"/>
              <w:marTop w:val="0"/>
              <w:marBottom w:val="0"/>
              <w:divBdr>
                <w:top w:val="none" w:sz="0" w:space="0" w:color="auto"/>
                <w:left w:val="none" w:sz="0" w:space="0" w:color="auto"/>
                <w:bottom w:val="none" w:sz="0" w:space="0" w:color="auto"/>
                <w:right w:val="none" w:sz="0" w:space="0" w:color="auto"/>
              </w:divBdr>
              <w:divsChild>
                <w:div w:id="2052682562">
                  <w:marLeft w:val="0"/>
                  <w:marRight w:val="0"/>
                  <w:marTop w:val="0"/>
                  <w:marBottom w:val="0"/>
                  <w:divBdr>
                    <w:top w:val="none" w:sz="0" w:space="0" w:color="auto"/>
                    <w:left w:val="none" w:sz="0" w:space="0" w:color="auto"/>
                    <w:bottom w:val="none" w:sz="0" w:space="0" w:color="auto"/>
                    <w:right w:val="none" w:sz="0" w:space="0" w:color="auto"/>
                  </w:divBdr>
                </w:div>
              </w:divsChild>
            </w:div>
            <w:div w:id="677582161">
              <w:marLeft w:val="0"/>
              <w:marRight w:val="0"/>
              <w:marTop w:val="0"/>
              <w:marBottom w:val="0"/>
              <w:divBdr>
                <w:top w:val="none" w:sz="0" w:space="0" w:color="auto"/>
                <w:left w:val="none" w:sz="0" w:space="0" w:color="auto"/>
                <w:bottom w:val="none" w:sz="0" w:space="0" w:color="auto"/>
                <w:right w:val="none" w:sz="0" w:space="0" w:color="auto"/>
              </w:divBdr>
              <w:divsChild>
                <w:div w:id="1657874743">
                  <w:marLeft w:val="0"/>
                  <w:marRight w:val="0"/>
                  <w:marTop w:val="0"/>
                  <w:marBottom w:val="0"/>
                  <w:divBdr>
                    <w:top w:val="none" w:sz="0" w:space="0" w:color="auto"/>
                    <w:left w:val="none" w:sz="0" w:space="0" w:color="auto"/>
                    <w:bottom w:val="none" w:sz="0" w:space="0" w:color="auto"/>
                    <w:right w:val="none" w:sz="0" w:space="0" w:color="auto"/>
                  </w:divBdr>
                </w:div>
              </w:divsChild>
            </w:div>
            <w:div w:id="762604523">
              <w:marLeft w:val="0"/>
              <w:marRight w:val="0"/>
              <w:marTop w:val="0"/>
              <w:marBottom w:val="0"/>
              <w:divBdr>
                <w:top w:val="none" w:sz="0" w:space="0" w:color="auto"/>
                <w:left w:val="none" w:sz="0" w:space="0" w:color="auto"/>
                <w:bottom w:val="none" w:sz="0" w:space="0" w:color="auto"/>
                <w:right w:val="none" w:sz="0" w:space="0" w:color="auto"/>
              </w:divBdr>
              <w:divsChild>
                <w:div w:id="1089934455">
                  <w:marLeft w:val="0"/>
                  <w:marRight w:val="0"/>
                  <w:marTop w:val="0"/>
                  <w:marBottom w:val="0"/>
                  <w:divBdr>
                    <w:top w:val="none" w:sz="0" w:space="0" w:color="auto"/>
                    <w:left w:val="none" w:sz="0" w:space="0" w:color="auto"/>
                    <w:bottom w:val="none" w:sz="0" w:space="0" w:color="auto"/>
                    <w:right w:val="none" w:sz="0" w:space="0" w:color="auto"/>
                  </w:divBdr>
                </w:div>
              </w:divsChild>
            </w:div>
            <w:div w:id="832070386">
              <w:marLeft w:val="0"/>
              <w:marRight w:val="0"/>
              <w:marTop w:val="0"/>
              <w:marBottom w:val="0"/>
              <w:divBdr>
                <w:top w:val="none" w:sz="0" w:space="0" w:color="auto"/>
                <w:left w:val="none" w:sz="0" w:space="0" w:color="auto"/>
                <w:bottom w:val="none" w:sz="0" w:space="0" w:color="auto"/>
                <w:right w:val="none" w:sz="0" w:space="0" w:color="auto"/>
              </w:divBdr>
              <w:divsChild>
                <w:div w:id="1022318803">
                  <w:marLeft w:val="0"/>
                  <w:marRight w:val="0"/>
                  <w:marTop w:val="0"/>
                  <w:marBottom w:val="0"/>
                  <w:divBdr>
                    <w:top w:val="none" w:sz="0" w:space="0" w:color="auto"/>
                    <w:left w:val="none" w:sz="0" w:space="0" w:color="auto"/>
                    <w:bottom w:val="none" w:sz="0" w:space="0" w:color="auto"/>
                    <w:right w:val="none" w:sz="0" w:space="0" w:color="auto"/>
                  </w:divBdr>
                </w:div>
              </w:divsChild>
            </w:div>
            <w:div w:id="1274628048">
              <w:marLeft w:val="0"/>
              <w:marRight w:val="0"/>
              <w:marTop w:val="0"/>
              <w:marBottom w:val="0"/>
              <w:divBdr>
                <w:top w:val="none" w:sz="0" w:space="0" w:color="auto"/>
                <w:left w:val="none" w:sz="0" w:space="0" w:color="auto"/>
                <w:bottom w:val="none" w:sz="0" w:space="0" w:color="auto"/>
                <w:right w:val="none" w:sz="0" w:space="0" w:color="auto"/>
              </w:divBdr>
              <w:divsChild>
                <w:div w:id="358700120">
                  <w:marLeft w:val="0"/>
                  <w:marRight w:val="0"/>
                  <w:marTop w:val="0"/>
                  <w:marBottom w:val="0"/>
                  <w:divBdr>
                    <w:top w:val="none" w:sz="0" w:space="0" w:color="auto"/>
                    <w:left w:val="none" w:sz="0" w:space="0" w:color="auto"/>
                    <w:bottom w:val="none" w:sz="0" w:space="0" w:color="auto"/>
                    <w:right w:val="none" w:sz="0" w:space="0" w:color="auto"/>
                  </w:divBdr>
                </w:div>
              </w:divsChild>
            </w:div>
            <w:div w:id="11688442">
              <w:marLeft w:val="0"/>
              <w:marRight w:val="0"/>
              <w:marTop w:val="0"/>
              <w:marBottom w:val="0"/>
              <w:divBdr>
                <w:top w:val="none" w:sz="0" w:space="0" w:color="auto"/>
                <w:left w:val="none" w:sz="0" w:space="0" w:color="auto"/>
                <w:bottom w:val="none" w:sz="0" w:space="0" w:color="auto"/>
                <w:right w:val="none" w:sz="0" w:space="0" w:color="auto"/>
              </w:divBdr>
              <w:divsChild>
                <w:div w:id="421489828">
                  <w:marLeft w:val="0"/>
                  <w:marRight w:val="0"/>
                  <w:marTop w:val="0"/>
                  <w:marBottom w:val="0"/>
                  <w:divBdr>
                    <w:top w:val="none" w:sz="0" w:space="0" w:color="auto"/>
                    <w:left w:val="none" w:sz="0" w:space="0" w:color="auto"/>
                    <w:bottom w:val="none" w:sz="0" w:space="0" w:color="auto"/>
                    <w:right w:val="none" w:sz="0" w:space="0" w:color="auto"/>
                  </w:divBdr>
                </w:div>
              </w:divsChild>
            </w:div>
            <w:div w:id="1688100633">
              <w:marLeft w:val="0"/>
              <w:marRight w:val="0"/>
              <w:marTop w:val="0"/>
              <w:marBottom w:val="0"/>
              <w:divBdr>
                <w:top w:val="none" w:sz="0" w:space="0" w:color="auto"/>
                <w:left w:val="none" w:sz="0" w:space="0" w:color="auto"/>
                <w:bottom w:val="none" w:sz="0" w:space="0" w:color="auto"/>
                <w:right w:val="none" w:sz="0" w:space="0" w:color="auto"/>
              </w:divBdr>
              <w:divsChild>
                <w:div w:id="1577395859">
                  <w:marLeft w:val="0"/>
                  <w:marRight w:val="0"/>
                  <w:marTop w:val="0"/>
                  <w:marBottom w:val="0"/>
                  <w:divBdr>
                    <w:top w:val="none" w:sz="0" w:space="0" w:color="auto"/>
                    <w:left w:val="none" w:sz="0" w:space="0" w:color="auto"/>
                    <w:bottom w:val="none" w:sz="0" w:space="0" w:color="auto"/>
                    <w:right w:val="none" w:sz="0" w:space="0" w:color="auto"/>
                  </w:divBdr>
                </w:div>
              </w:divsChild>
            </w:div>
            <w:div w:id="669598034">
              <w:marLeft w:val="0"/>
              <w:marRight w:val="0"/>
              <w:marTop w:val="0"/>
              <w:marBottom w:val="0"/>
              <w:divBdr>
                <w:top w:val="none" w:sz="0" w:space="0" w:color="auto"/>
                <w:left w:val="none" w:sz="0" w:space="0" w:color="auto"/>
                <w:bottom w:val="none" w:sz="0" w:space="0" w:color="auto"/>
                <w:right w:val="none" w:sz="0" w:space="0" w:color="auto"/>
              </w:divBdr>
              <w:divsChild>
                <w:div w:id="1646230067">
                  <w:marLeft w:val="0"/>
                  <w:marRight w:val="0"/>
                  <w:marTop w:val="0"/>
                  <w:marBottom w:val="0"/>
                  <w:divBdr>
                    <w:top w:val="none" w:sz="0" w:space="0" w:color="auto"/>
                    <w:left w:val="none" w:sz="0" w:space="0" w:color="auto"/>
                    <w:bottom w:val="none" w:sz="0" w:space="0" w:color="auto"/>
                    <w:right w:val="none" w:sz="0" w:space="0" w:color="auto"/>
                  </w:divBdr>
                </w:div>
              </w:divsChild>
            </w:div>
            <w:div w:id="274872017">
              <w:marLeft w:val="0"/>
              <w:marRight w:val="0"/>
              <w:marTop w:val="0"/>
              <w:marBottom w:val="0"/>
              <w:divBdr>
                <w:top w:val="none" w:sz="0" w:space="0" w:color="auto"/>
                <w:left w:val="none" w:sz="0" w:space="0" w:color="auto"/>
                <w:bottom w:val="none" w:sz="0" w:space="0" w:color="auto"/>
                <w:right w:val="none" w:sz="0" w:space="0" w:color="auto"/>
              </w:divBdr>
              <w:divsChild>
                <w:div w:id="1920865669">
                  <w:marLeft w:val="0"/>
                  <w:marRight w:val="0"/>
                  <w:marTop w:val="0"/>
                  <w:marBottom w:val="0"/>
                  <w:divBdr>
                    <w:top w:val="none" w:sz="0" w:space="0" w:color="auto"/>
                    <w:left w:val="none" w:sz="0" w:space="0" w:color="auto"/>
                    <w:bottom w:val="none" w:sz="0" w:space="0" w:color="auto"/>
                    <w:right w:val="none" w:sz="0" w:space="0" w:color="auto"/>
                  </w:divBdr>
                </w:div>
              </w:divsChild>
            </w:div>
            <w:div w:id="1813326164">
              <w:marLeft w:val="0"/>
              <w:marRight w:val="0"/>
              <w:marTop w:val="0"/>
              <w:marBottom w:val="0"/>
              <w:divBdr>
                <w:top w:val="none" w:sz="0" w:space="0" w:color="auto"/>
                <w:left w:val="none" w:sz="0" w:space="0" w:color="auto"/>
                <w:bottom w:val="none" w:sz="0" w:space="0" w:color="auto"/>
                <w:right w:val="none" w:sz="0" w:space="0" w:color="auto"/>
              </w:divBdr>
              <w:divsChild>
                <w:div w:id="2117017942">
                  <w:marLeft w:val="0"/>
                  <w:marRight w:val="0"/>
                  <w:marTop w:val="0"/>
                  <w:marBottom w:val="0"/>
                  <w:divBdr>
                    <w:top w:val="none" w:sz="0" w:space="0" w:color="auto"/>
                    <w:left w:val="none" w:sz="0" w:space="0" w:color="auto"/>
                    <w:bottom w:val="none" w:sz="0" w:space="0" w:color="auto"/>
                    <w:right w:val="none" w:sz="0" w:space="0" w:color="auto"/>
                  </w:divBdr>
                </w:div>
              </w:divsChild>
            </w:div>
            <w:div w:id="854264822">
              <w:marLeft w:val="0"/>
              <w:marRight w:val="0"/>
              <w:marTop w:val="0"/>
              <w:marBottom w:val="0"/>
              <w:divBdr>
                <w:top w:val="none" w:sz="0" w:space="0" w:color="auto"/>
                <w:left w:val="none" w:sz="0" w:space="0" w:color="auto"/>
                <w:bottom w:val="none" w:sz="0" w:space="0" w:color="auto"/>
                <w:right w:val="none" w:sz="0" w:space="0" w:color="auto"/>
              </w:divBdr>
              <w:divsChild>
                <w:div w:id="462189514">
                  <w:marLeft w:val="0"/>
                  <w:marRight w:val="0"/>
                  <w:marTop w:val="0"/>
                  <w:marBottom w:val="0"/>
                  <w:divBdr>
                    <w:top w:val="none" w:sz="0" w:space="0" w:color="auto"/>
                    <w:left w:val="none" w:sz="0" w:space="0" w:color="auto"/>
                    <w:bottom w:val="none" w:sz="0" w:space="0" w:color="auto"/>
                    <w:right w:val="none" w:sz="0" w:space="0" w:color="auto"/>
                  </w:divBdr>
                </w:div>
              </w:divsChild>
            </w:div>
            <w:div w:id="1133476541">
              <w:marLeft w:val="0"/>
              <w:marRight w:val="0"/>
              <w:marTop w:val="0"/>
              <w:marBottom w:val="0"/>
              <w:divBdr>
                <w:top w:val="none" w:sz="0" w:space="0" w:color="auto"/>
                <w:left w:val="none" w:sz="0" w:space="0" w:color="auto"/>
                <w:bottom w:val="none" w:sz="0" w:space="0" w:color="auto"/>
                <w:right w:val="none" w:sz="0" w:space="0" w:color="auto"/>
              </w:divBdr>
              <w:divsChild>
                <w:div w:id="1512988313">
                  <w:marLeft w:val="0"/>
                  <w:marRight w:val="0"/>
                  <w:marTop w:val="0"/>
                  <w:marBottom w:val="0"/>
                  <w:divBdr>
                    <w:top w:val="none" w:sz="0" w:space="0" w:color="auto"/>
                    <w:left w:val="none" w:sz="0" w:space="0" w:color="auto"/>
                    <w:bottom w:val="none" w:sz="0" w:space="0" w:color="auto"/>
                    <w:right w:val="none" w:sz="0" w:space="0" w:color="auto"/>
                  </w:divBdr>
                </w:div>
              </w:divsChild>
            </w:div>
            <w:div w:id="43069898">
              <w:marLeft w:val="0"/>
              <w:marRight w:val="0"/>
              <w:marTop w:val="0"/>
              <w:marBottom w:val="0"/>
              <w:divBdr>
                <w:top w:val="none" w:sz="0" w:space="0" w:color="auto"/>
                <w:left w:val="none" w:sz="0" w:space="0" w:color="auto"/>
                <w:bottom w:val="none" w:sz="0" w:space="0" w:color="auto"/>
                <w:right w:val="none" w:sz="0" w:space="0" w:color="auto"/>
              </w:divBdr>
              <w:divsChild>
                <w:div w:id="1633828284">
                  <w:marLeft w:val="0"/>
                  <w:marRight w:val="0"/>
                  <w:marTop w:val="0"/>
                  <w:marBottom w:val="0"/>
                  <w:divBdr>
                    <w:top w:val="none" w:sz="0" w:space="0" w:color="auto"/>
                    <w:left w:val="none" w:sz="0" w:space="0" w:color="auto"/>
                    <w:bottom w:val="none" w:sz="0" w:space="0" w:color="auto"/>
                    <w:right w:val="none" w:sz="0" w:space="0" w:color="auto"/>
                  </w:divBdr>
                </w:div>
              </w:divsChild>
            </w:div>
            <w:div w:id="858081233">
              <w:marLeft w:val="0"/>
              <w:marRight w:val="0"/>
              <w:marTop w:val="0"/>
              <w:marBottom w:val="0"/>
              <w:divBdr>
                <w:top w:val="none" w:sz="0" w:space="0" w:color="auto"/>
                <w:left w:val="none" w:sz="0" w:space="0" w:color="auto"/>
                <w:bottom w:val="none" w:sz="0" w:space="0" w:color="auto"/>
                <w:right w:val="none" w:sz="0" w:space="0" w:color="auto"/>
              </w:divBdr>
              <w:divsChild>
                <w:div w:id="867257077">
                  <w:marLeft w:val="0"/>
                  <w:marRight w:val="0"/>
                  <w:marTop w:val="0"/>
                  <w:marBottom w:val="0"/>
                  <w:divBdr>
                    <w:top w:val="none" w:sz="0" w:space="0" w:color="auto"/>
                    <w:left w:val="none" w:sz="0" w:space="0" w:color="auto"/>
                    <w:bottom w:val="none" w:sz="0" w:space="0" w:color="auto"/>
                    <w:right w:val="none" w:sz="0" w:space="0" w:color="auto"/>
                  </w:divBdr>
                </w:div>
              </w:divsChild>
            </w:div>
            <w:div w:id="1328560457">
              <w:marLeft w:val="0"/>
              <w:marRight w:val="0"/>
              <w:marTop w:val="0"/>
              <w:marBottom w:val="0"/>
              <w:divBdr>
                <w:top w:val="none" w:sz="0" w:space="0" w:color="auto"/>
                <w:left w:val="none" w:sz="0" w:space="0" w:color="auto"/>
                <w:bottom w:val="none" w:sz="0" w:space="0" w:color="auto"/>
                <w:right w:val="none" w:sz="0" w:space="0" w:color="auto"/>
              </w:divBdr>
              <w:divsChild>
                <w:div w:id="1154951860">
                  <w:marLeft w:val="0"/>
                  <w:marRight w:val="0"/>
                  <w:marTop w:val="0"/>
                  <w:marBottom w:val="0"/>
                  <w:divBdr>
                    <w:top w:val="none" w:sz="0" w:space="0" w:color="auto"/>
                    <w:left w:val="none" w:sz="0" w:space="0" w:color="auto"/>
                    <w:bottom w:val="none" w:sz="0" w:space="0" w:color="auto"/>
                    <w:right w:val="none" w:sz="0" w:space="0" w:color="auto"/>
                  </w:divBdr>
                </w:div>
              </w:divsChild>
            </w:div>
            <w:div w:id="1823039503">
              <w:marLeft w:val="0"/>
              <w:marRight w:val="0"/>
              <w:marTop w:val="0"/>
              <w:marBottom w:val="0"/>
              <w:divBdr>
                <w:top w:val="none" w:sz="0" w:space="0" w:color="auto"/>
                <w:left w:val="none" w:sz="0" w:space="0" w:color="auto"/>
                <w:bottom w:val="none" w:sz="0" w:space="0" w:color="auto"/>
                <w:right w:val="none" w:sz="0" w:space="0" w:color="auto"/>
              </w:divBdr>
              <w:divsChild>
                <w:div w:id="1363745650">
                  <w:marLeft w:val="0"/>
                  <w:marRight w:val="0"/>
                  <w:marTop w:val="0"/>
                  <w:marBottom w:val="0"/>
                  <w:divBdr>
                    <w:top w:val="none" w:sz="0" w:space="0" w:color="auto"/>
                    <w:left w:val="none" w:sz="0" w:space="0" w:color="auto"/>
                    <w:bottom w:val="none" w:sz="0" w:space="0" w:color="auto"/>
                    <w:right w:val="none" w:sz="0" w:space="0" w:color="auto"/>
                  </w:divBdr>
                </w:div>
              </w:divsChild>
            </w:div>
            <w:div w:id="1359309420">
              <w:marLeft w:val="0"/>
              <w:marRight w:val="0"/>
              <w:marTop w:val="0"/>
              <w:marBottom w:val="0"/>
              <w:divBdr>
                <w:top w:val="none" w:sz="0" w:space="0" w:color="auto"/>
                <w:left w:val="none" w:sz="0" w:space="0" w:color="auto"/>
                <w:bottom w:val="none" w:sz="0" w:space="0" w:color="auto"/>
                <w:right w:val="none" w:sz="0" w:space="0" w:color="auto"/>
              </w:divBdr>
              <w:divsChild>
                <w:div w:id="912083688">
                  <w:marLeft w:val="0"/>
                  <w:marRight w:val="0"/>
                  <w:marTop w:val="0"/>
                  <w:marBottom w:val="0"/>
                  <w:divBdr>
                    <w:top w:val="none" w:sz="0" w:space="0" w:color="auto"/>
                    <w:left w:val="none" w:sz="0" w:space="0" w:color="auto"/>
                    <w:bottom w:val="none" w:sz="0" w:space="0" w:color="auto"/>
                    <w:right w:val="none" w:sz="0" w:space="0" w:color="auto"/>
                  </w:divBdr>
                </w:div>
              </w:divsChild>
            </w:div>
            <w:div w:id="541752448">
              <w:marLeft w:val="0"/>
              <w:marRight w:val="0"/>
              <w:marTop w:val="0"/>
              <w:marBottom w:val="0"/>
              <w:divBdr>
                <w:top w:val="none" w:sz="0" w:space="0" w:color="auto"/>
                <w:left w:val="none" w:sz="0" w:space="0" w:color="auto"/>
                <w:bottom w:val="none" w:sz="0" w:space="0" w:color="auto"/>
                <w:right w:val="none" w:sz="0" w:space="0" w:color="auto"/>
              </w:divBdr>
              <w:divsChild>
                <w:div w:id="1737390099">
                  <w:marLeft w:val="0"/>
                  <w:marRight w:val="0"/>
                  <w:marTop w:val="0"/>
                  <w:marBottom w:val="0"/>
                  <w:divBdr>
                    <w:top w:val="none" w:sz="0" w:space="0" w:color="auto"/>
                    <w:left w:val="none" w:sz="0" w:space="0" w:color="auto"/>
                    <w:bottom w:val="none" w:sz="0" w:space="0" w:color="auto"/>
                    <w:right w:val="none" w:sz="0" w:space="0" w:color="auto"/>
                  </w:divBdr>
                </w:div>
              </w:divsChild>
            </w:div>
            <w:div w:id="2053651760">
              <w:marLeft w:val="0"/>
              <w:marRight w:val="0"/>
              <w:marTop w:val="0"/>
              <w:marBottom w:val="0"/>
              <w:divBdr>
                <w:top w:val="none" w:sz="0" w:space="0" w:color="auto"/>
                <w:left w:val="none" w:sz="0" w:space="0" w:color="auto"/>
                <w:bottom w:val="none" w:sz="0" w:space="0" w:color="auto"/>
                <w:right w:val="none" w:sz="0" w:space="0" w:color="auto"/>
              </w:divBdr>
              <w:divsChild>
                <w:div w:id="2025009325">
                  <w:marLeft w:val="0"/>
                  <w:marRight w:val="0"/>
                  <w:marTop w:val="0"/>
                  <w:marBottom w:val="0"/>
                  <w:divBdr>
                    <w:top w:val="none" w:sz="0" w:space="0" w:color="auto"/>
                    <w:left w:val="none" w:sz="0" w:space="0" w:color="auto"/>
                    <w:bottom w:val="none" w:sz="0" w:space="0" w:color="auto"/>
                    <w:right w:val="none" w:sz="0" w:space="0" w:color="auto"/>
                  </w:divBdr>
                </w:div>
              </w:divsChild>
            </w:div>
            <w:div w:id="1494761834">
              <w:marLeft w:val="0"/>
              <w:marRight w:val="0"/>
              <w:marTop w:val="0"/>
              <w:marBottom w:val="0"/>
              <w:divBdr>
                <w:top w:val="none" w:sz="0" w:space="0" w:color="auto"/>
                <w:left w:val="none" w:sz="0" w:space="0" w:color="auto"/>
                <w:bottom w:val="none" w:sz="0" w:space="0" w:color="auto"/>
                <w:right w:val="none" w:sz="0" w:space="0" w:color="auto"/>
              </w:divBdr>
              <w:divsChild>
                <w:div w:id="80028730">
                  <w:marLeft w:val="0"/>
                  <w:marRight w:val="0"/>
                  <w:marTop w:val="0"/>
                  <w:marBottom w:val="0"/>
                  <w:divBdr>
                    <w:top w:val="none" w:sz="0" w:space="0" w:color="auto"/>
                    <w:left w:val="none" w:sz="0" w:space="0" w:color="auto"/>
                    <w:bottom w:val="none" w:sz="0" w:space="0" w:color="auto"/>
                    <w:right w:val="none" w:sz="0" w:space="0" w:color="auto"/>
                  </w:divBdr>
                </w:div>
              </w:divsChild>
            </w:div>
            <w:div w:id="1722316706">
              <w:marLeft w:val="0"/>
              <w:marRight w:val="0"/>
              <w:marTop w:val="0"/>
              <w:marBottom w:val="0"/>
              <w:divBdr>
                <w:top w:val="none" w:sz="0" w:space="0" w:color="auto"/>
                <w:left w:val="none" w:sz="0" w:space="0" w:color="auto"/>
                <w:bottom w:val="none" w:sz="0" w:space="0" w:color="auto"/>
                <w:right w:val="none" w:sz="0" w:space="0" w:color="auto"/>
              </w:divBdr>
              <w:divsChild>
                <w:div w:id="1814910177">
                  <w:marLeft w:val="0"/>
                  <w:marRight w:val="0"/>
                  <w:marTop w:val="0"/>
                  <w:marBottom w:val="0"/>
                  <w:divBdr>
                    <w:top w:val="none" w:sz="0" w:space="0" w:color="auto"/>
                    <w:left w:val="none" w:sz="0" w:space="0" w:color="auto"/>
                    <w:bottom w:val="none" w:sz="0" w:space="0" w:color="auto"/>
                    <w:right w:val="none" w:sz="0" w:space="0" w:color="auto"/>
                  </w:divBdr>
                </w:div>
              </w:divsChild>
            </w:div>
            <w:div w:id="591551648">
              <w:marLeft w:val="0"/>
              <w:marRight w:val="0"/>
              <w:marTop w:val="0"/>
              <w:marBottom w:val="0"/>
              <w:divBdr>
                <w:top w:val="none" w:sz="0" w:space="0" w:color="auto"/>
                <w:left w:val="none" w:sz="0" w:space="0" w:color="auto"/>
                <w:bottom w:val="none" w:sz="0" w:space="0" w:color="auto"/>
                <w:right w:val="none" w:sz="0" w:space="0" w:color="auto"/>
              </w:divBdr>
              <w:divsChild>
                <w:div w:id="555968750">
                  <w:marLeft w:val="0"/>
                  <w:marRight w:val="0"/>
                  <w:marTop w:val="0"/>
                  <w:marBottom w:val="0"/>
                  <w:divBdr>
                    <w:top w:val="none" w:sz="0" w:space="0" w:color="auto"/>
                    <w:left w:val="none" w:sz="0" w:space="0" w:color="auto"/>
                    <w:bottom w:val="none" w:sz="0" w:space="0" w:color="auto"/>
                    <w:right w:val="none" w:sz="0" w:space="0" w:color="auto"/>
                  </w:divBdr>
                </w:div>
              </w:divsChild>
            </w:div>
            <w:div w:id="1297377212">
              <w:marLeft w:val="0"/>
              <w:marRight w:val="0"/>
              <w:marTop w:val="0"/>
              <w:marBottom w:val="0"/>
              <w:divBdr>
                <w:top w:val="none" w:sz="0" w:space="0" w:color="auto"/>
                <w:left w:val="none" w:sz="0" w:space="0" w:color="auto"/>
                <w:bottom w:val="none" w:sz="0" w:space="0" w:color="auto"/>
                <w:right w:val="none" w:sz="0" w:space="0" w:color="auto"/>
              </w:divBdr>
              <w:divsChild>
                <w:div w:id="106856098">
                  <w:marLeft w:val="0"/>
                  <w:marRight w:val="0"/>
                  <w:marTop w:val="0"/>
                  <w:marBottom w:val="0"/>
                  <w:divBdr>
                    <w:top w:val="none" w:sz="0" w:space="0" w:color="auto"/>
                    <w:left w:val="none" w:sz="0" w:space="0" w:color="auto"/>
                    <w:bottom w:val="none" w:sz="0" w:space="0" w:color="auto"/>
                    <w:right w:val="none" w:sz="0" w:space="0" w:color="auto"/>
                  </w:divBdr>
                </w:div>
              </w:divsChild>
            </w:div>
            <w:div w:id="213975898">
              <w:marLeft w:val="0"/>
              <w:marRight w:val="0"/>
              <w:marTop w:val="0"/>
              <w:marBottom w:val="0"/>
              <w:divBdr>
                <w:top w:val="none" w:sz="0" w:space="0" w:color="auto"/>
                <w:left w:val="none" w:sz="0" w:space="0" w:color="auto"/>
                <w:bottom w:val="none" w:sz="0" w:space="0" w:color="auto"/>
                <w:right w:val="none" w:sz="0" w:space="0" w:color="auto"/>
              </w:divBdr>
              <w:divsChild>
                <w:div w:id="1150171757">
                  <w:marLeft w:val="0"/>
                  <w:marRight w:val="0"/>
                  <w:marTop w:val="0"/>
                  <w:marBottom w:val="0"/>
                  <w:divBdr>
                    <w:top w:val="none" w:sz="0" w:space="0" w:color="auto"/>
                    <w:left w:val="none" w:sz="0" w:space="0" w:color="auto"/>
                    <w:bottom w:val="none" w:sz="0" w:space="0" w:color="auto"/>
                    <w:right w:val="none" w:sz="0" w:space="0" w:color="auto"/>
                  </w:divBdr>
                </w:div>
              </w:divsChild>
            </w:div>
            <w:div w:id="1073309598">
              <w:marLeft w:val="0"/>
              <w:marRight w:val="0"/>
              <w:marTop w:val="0"/>
              <w:marBottom w:val="0"/>
              <w:divBdr>
                <w:top w:val="none" w:sz="0" w:space="0" w:color="auto"/>
                <w:left w:val="none" w:sz="0" w:space="0" w:color="auto"/>
                <w:bottom w:val="none" w:sz="0" w:space="0" w:color="auto"/>
                <w:right w:val="none" w:sz="0" w:space="0" w:color="auto"/>
              </w:divBdr>
              <w:divsChild>
                <w:div w:id="713384561">
                  <w:marLeft w:val="0"/>
                  <w:marRight w:val="0"/>
                  <w:marTop w:val="0"/>
                  <w:marBottom w:val="0"/>
                  <w:divBdr>
                    <w:top w:val="none" w:sz="0" w:space="0" w:color="auto"/>
                    <w:left w:val="none" w:sz="0" w:space="0" w:color="auto"/>
                    <w:bottom w:val="none" w:sz="0" w:space="0" w:color="auto"/>
                    <w:right w:val="none" w:sz="0" w:space="0" w:color="auto"/>
                  </w:divBdr>
                </w:div>
              </w:divsChild>
            </w:div>
            <w:div w:id="1719012343">
              <w:marLeft w:val="0"/>
              <w:marRight w:val="0"/>
              <w:marTop w:val="0"/>
              <w:marBottom w:val="0"/>
              <w:divBdr>
                <w:top w:val="none" w:sz="0" w:space="0" w:color="auto"/>
                <w:left w:val="none" w:sz="0" w:space="0" w:color="auto"/>
                <w:bottom w:val="none" w:sz="0" w:space="0" w:color="auto"/>
                <w:right w:val="none" w:sz="0" w:space="0" w:color="auto"/>
              </w:divBdr>
              <w:divsChild>
                <w:div w:id="786967831">
                  <w:marLeft w:val="0"/>
                  <w:marRight w:val="0"/>
                  <w:marTop w:val="0"/>
                  <w:marBottom w:val="0"/>
                  <w:divBdr>
                    <w:top w:val="none" w:sz="0" w:space="0" w:color="auto"/>
                    <w:left w:val="none" w:sz="0" w:space="0" w:color="auto"/>
                    <w:bottom w:val="none" w:sz="0" w:space="0" w:color="auto"/>
                    <w:right w:val="none" w:sz="0" w:space="0" w:color="auto"/>
                  </w:divBdr>
                </w:div>
              </w:divsChild>
            </w:div>
            <w:div w:id="2094663865">
              <w:marLeft w:val="0"/>
              <w:marRight w:val="0"/>
              <w:marTop w:val="0"/>
              <w:marBottom w:val="0"/>
              <w:divBdr>
                <w:top w:val="none" w:sz="0" w:space="0" w:color="auto"/>
                <w:left w:val="none" w:sz="0" w:space="0" w:color="auto"/>
                <w:bottom w:val="none" w:sz="0" w:space="0" w:color="auto"/>
                <w:right w:val="none" w:sz="0" w:space="0" w:color="auto"/>
              </w:divBdr>
              <w:divsChild>
                <w:div w:id="488250363">
                  <w:marLeft w:val="0"/>
                  <w:marRight w:val="0"/>
                  <w:marTop w:val="0"/>
                  <w:marBottom w:val="0"/>
                  <w:divBdr>
                    <w:top w:val="none" w:sz="0" w:space="0" w:color="auto"/>
                    <w:left w:val="none" w:sz="0" w:space="0" w:color="auto"/>
                    <w:bottom w:val="none" w:sz="0" w:space="0" w:color="auto"/>
                    <w:right w:val="none" w:sz="0" w:space="0" w:color="auto"/>
                  </w:divBdr>
                </w:div>
              </w:divsChild>
            </w:div>
            <w:div w:id="1485510762">
              <w:marLeft w:val="0"/>
              <w:marRight w:val="0"/>
              <w:marTop w:val="0"/>
              <w:marBottom w:val="0"/>
              <w:divBdr>
                <w:top w:val="none" w:sz="0" w:space="0" w:color="auto"/>
                <w:left w:val="none" w:sz="0" w:space="0" w:color="auto"/>
                <w:bottom w:val="none" w:sz="0" w:space="0" w:color="auto"/>
                <w:right w:val="none" w:sz="0" w:space="0" w:color="auto"/>
              </w:divBdr>
              <w:divsChild>
                <w:div w:id="517041689">
                  <w:marLeft w:val="0"/>
                  <w:marRight w:val="0"/>
                  <w:marTop w:val="0"/>
                  <w:marBottom w:val="0"/>
                  <w:divBdr>
                    <w:top w:val="none" w:sz="0" w:space="0" w:color="auto"/>
                    <w:left w:val="none" w:sz="0" w:space="0" w:color="auto"/>
                    <w:bottom w:val="none" w:sz="0" w:space="0" w:color="auto"/>
                    <w:right w:val="none" w:sz="0" w:space="0" w:color="auto"/>
                  </w:divBdr>
                </w:div>
              </w:divsChild>
            </w:div>
            <w:div w:id="2065519797">
              <w:marLeft w:val="0"/>
              <w:marRight w:val="0"/>
              <w:marTop w:val="0"/>
              <w:marBottom w:val="0"/>
              <w:divBdr>
                <w:top w:val="none" w:sz="0" w:space="0" w:color="auto"/>
                <w:left w:val="none" w:sz="0" w:space="0" w:color="auto"/>
                <w:bottom w:val="none" w:sz="0" w:space="0" w:color="auto"/>
                <w:right w:val="none" w:sz="0" w:space="0" w:color="auto"/>
              </w:divBdr>
              <w:divsChild>
                <w:div w:id="960762811">
                  <w:marLeft w:val="0"/>
                  <w:marRight w:val="0"/>
                  <w:marTop w:val="0"/>
                  <w:marBottom w:val="0"/>
                  <w:divBdr>
                    <w:top w:val="none" w:sz="0" w:space="0" w:color="auto"/>
                    <w:left w:val="none" w:sz="0" w:space="0" w:color="auto"/>
                    <w:bottom w:val="none" w:sz="0" w:space="0" w:color="auto"/>
                    <w:right w:val="none" w:sz="0" w:space="0" w:color="auto"/>
                  </w:divBdr>
                </w:div>
              </w:divsChild>
            </w:div>
            <w:div w:id="194929734">
              <w:marLeft w:val="0"/>
              <w:marRight w:val="0"/>
              <w:marTop w:val="0"/>
              <w:marBottom w:val="0"/>
              <w:divBdr>
                <w:top w:val="none" w:sz="0" w:space="0" w:color="auto"/>
                <w:left w:val="none" w:sz="0" w:space="0" w:color="auto"/>
                <w:bottom w:val="none" w:sz="0" w:space="0" w:color="auto"/>
                <w:right w:val="none" w:sz="0" w:space="0" w:color="auto"/>
              </w:divBdr>
              <w:divsChild>
                <w:div w:id="1142114743">
                  <w:marLeft w:val="0"/>
                  <w:marRight w:val="0"/>
                  <w:marTop w:val="0"/>
                  <w:marBottom w:val="0"/>
                  <w:divBdr>
                    <w:top w:val="none" w:sz="0" w:space="0" w:color="auto"/>
                    <w:left w:val="none" w:sz="0" w:space="0" w:color="auto"/>
                    <w:bottom w:val="none" w:sz="0" w:space="0" w:color="auto"/>
                    <w:right w:val="none" w:sz="0" w:space="0" w:color="auto"/>
                  </w:divBdr>
                </w:div>
              </w:divsChild>
            </w:div>
            <w:div w:id="1846242908">
              <w:marLeft w:val="0"/>
              <w:marRight w:val="0"/>
              <w:marTop w:val="0"/>
              <w:marBottom w:val="0"/>
              <w:divBdr>
                <w:top w:val="none" w:sz="0" w:space="0" w:color="auto"/>
                <w:left w:val="none" w:sz="0" w:space="0" w:color="auto"/>
                <w:bottom w:val="none" w:sz="0" w:space="0" w:color="auto"/>
                <w:right w:val="none" w:sz="0" w:space="0" w:color="auto"/>
              </w:divBdr>
              <w:divsChild>
                <w:div w:id="1947930358">
                  <w:marLeft w:val="0"/>
                  <w:marRight w:val="0"/>
                  <w:marTop w:val="0"/>
                  <w:marBottom w:val="0"/>
                  <w:divBdr>
                    <w:top w:val="none" w:sz="0" w:space="0" w:color="auto"/>
                    <w:left w:val="none" w:sz="0" w:space="0" w:color="auto"/>
                    <w:bottom w:val="none" w:sz="0" w:space="0" w:color="auto"/>
                    <w:right w:val="none" w:sz="0" w:space="0" w:color="auto"/>
                  </w:divBdr>
                </w:div>
              </w:divsChild>
            </w:div>
            <w:div w:id="1726485550">
              <w:marLeft w:val="0"/>
              <w:marRight w:val="0"/>
              <w:marTop w:val="0"/>
              <w:marBottom w:val="0"/>
              <w:divBdr>
                <w:top w:val="none" w:sz="0" w:space="0" w:color="auto"/>
                <w:left w:val="none" w:sz="0" w:space="0" w:color="auto"/>
                <w:bottom w:val="none" w:sz="0" w:space="0" w:color="auto"/>
                <w:right w:val="none" w:sz="0" w:space="0" w:color="auto"/>
              </w:divBdr>
              <w:divsChild>
                <w:div w:id="1951203814">
                  <w:marLeft w:val="0"/>
                  <w:marRight w:val="0"/>
                  <w:marTop w:val="0"/>
                  <w:marBottom w:val="0"/>
                  <w:divBdr>
                    <w:top w:val="none" w:sz="0" w:space="0" w:color="auto"/>
                    <w:left w:val="none" w:sz="0" w:space="0" w:color="auto"/>
                    <w:bottom w:val="none" w:sz="0" w:space="0" w:color="auto"/>
                    <w:right w:val="none" w:sz="0" w:space="0" w:color="auto"/>
                  </w:divBdr>
                </w:div>
              </w:divsChild>
            </w:div>
            <w:div w:id="281614853">
              <w:marLeft w:val="0"/>
              <w:marRight w:val="0"/>
              <w:marTop w:val="0"/>
              <w:marBottom w:val="0"/>
              <w:divBdr>
                <w:top w:val="none" w:sz="0" w:space="0" w:color="auto"/>
                <w:left w:val="none" w:sz="0" w:space="0" w:color="auto"/>
                <w:bottom w:val="none" w:sz="0" w:space="0" w:color="auto"/>
                <w:right w:val="none" w:sz="0" w:space="0" w:color="auto"/>
              </w:divBdr>
              <w:divsChild>
                <w:div w:id="915897423">
                  <w:marLeft w:val="0"/>
                  <w:marRight w:val="0"/>
                  <w:marTop w:val="0"/>
                  <w:marBottom w:val="0"/>
                  <w:divBdr>
                    <w:top w:val="none" w:sz="0" w:space="0" w:color="auto"/>
                    <w:left w:val="none" w:sz="0" w:space="0" w:color="auto"/>
                    <w:bottom w:val="none" w:sz="0" w:space="0" w:color="auto"/>
                    <w:right w:val="none" w:sz="0" w:space="0" w:color="auto"/>
                  </w:divBdr>
                </w:div>
              </w:divsChild>
            </w:div>
            <w:div w:id="1387534216">
              <w:marLeft w:val="0"/>
              <w:marRight w:val="0"/>
              <w:marTop w:val="0"/>
              <w:marBottom w:val="0"/>
              <w:divBdr>
                <w:top w:val="none" w:sz="0" w:space="0" w:color="auto"/>
                <w:left w:val="none" w:sz="0" w:space="0" w:color="auto"/>
                <w:bottom w:val="none" w:sz="0" w:space="0" w:color="auto"/>
                <w:right w:val="none" w:sz="0" w:space="0" w:color="auto"/>
              </w:divBdr>
              <w:divsChild>
                <w:div w:id="804198604">
                  <w:marLeft w:val="0"/>
                  <w:marRight w:val="0"/>
                  <w:marTop w:val="0"/>
                  <w:marBottom w:val="0"/>
                  <w:divBdr>
                    <w:top w:val="none" w:sz="0" w:space="0" w:color="auto"/>
                    <w:left w:val="none" w:sz="0" w:space="0" w:color="auto"/>
                    <w:bottom w:val="none" w:sz="0" w:space="0" w:color="auto"/>
                    <w:right w:val="none" w:sz="0" w:space="0" w:color="auto"/>
                  </w:divBdr>
                </w:div>
              </w:divsChild>
            </w:div>
            <w:div w:id="293869098">
              <w:marLeft w:val="0"/>
              <w:marRight w:val="0"/>
              <w:marTop w:val="0"/>
              <w:marBottom w:val="0"/>
              <w:divBdr>
                <w:top w:val="none" w:sz="0" w:space="0" w:color="auto"/>
                <w:left w:val="none" w:sz="0" w:space="0" w:color="auto"/>
                <w:bottom w:val="none" w:sz="0" w:space="0" w:color="auto"/>
                <w:right w:val="none" w:sz="0" w:space="0" w:color="auto"/>
              </w:divBdr>
              <w:divsChild>
                <w:div w:id="1304580552">
                  <w:marLeft w:val="0"/>
                  <w:marRight w:val="0"/>
                  <w:marTop w:val="0"/>
                  <w:marBottom w:val="0"/>
                  <w:divBdr>
                    <w:top w:val="none" w:sz="0" w:space="0" w:color="auto"/>
                    <w:left w:val="none" w:sz="0" w:space="0" w:color="auto"/>
                    <w:bottom w:val="none" w:sz="0" w:space="0" w:color="auto"/>
                    <w:right w:val="none" w:sz="0" w:space="0" w:color="auto"/>
                  </w:divBdr>
                </w:div>
              </w:divsChild>
            </w:div>
            <w:div w:id="94444720">
              <w:marLeft w:val="0"/>
              <w:marRight w:val="0"/>
              <w:marTop w:val="0"/>
              <w:marBottom w:val="0"/>
              <w:divBdr>
                <w:top w:val="none" w:sz="0" w:space="0" w:color="auto"/>
                <w:left w:val="none" w:sz="0" w:space="0" w:color="auto"/>
                <w:bottom w:val="none" w:sz="0" w:space="0" w:color="auto"/>
                <w:right w:val="none" w:sz="0" w:space="0" w:color="auto"/>
              </w:divBdr>
              <w:divsChild>
                <w:div w:id="1202089218">
                  <w:marLeft w:val="0"/>
                  <w:marRight w:val="0"/>
                  <w:marTop w:val="0"/>
                  <w:marBottom w:val="0"/>
                  <w:divBdr>
                    <w:top w:val="none" w:sz="0" w:space="0" w:color="auto"/>
                    <w:left w:val="none" w:sz="0" w:space="0" w:color="auto"/>
                    <w:bottom w:val="none" w:sz="0" w:space="0" w:color="auto"/>
                    <w:right w:val="none" w:sz="0" w:space="0" w:color="auto"/>
                  </w:divBdr>
                </w:div>
              </w:divsChild>
            </w:div>
            <w:div w:id="2033914706">
              <w:marLeft w:val="0"/>
              <w:marRight w:val="0"/>
              <w:marTop w:val="0"/>
              <w:marBottom w:val="0"/>
              <w:divBdr>
                <w:top w:val="none" w:sz="0" w:space="0" w:color="auto"/>
                <w:left w:val="none" w:sz="0" w:space="0" w:color="auto"/>
                <w:bottom w:val="none" w:sz="0" w:space="0" w:color="auto"/>
                <w:right w:val="none" w:sz="0" w:space="0" w:color="auto"/>
              </w:divBdr>
              <w:divsChild>
                <w:div w:id="380712360">
                  <w:marLeft w:val="0"/>
                  <w:marRight w:val="0"/>
                  <w:marTop w:val="0"/>
                  <w:marBottom w:val="0"/>
                  <w:divBdr>
                    <w:top w:val="none" w:sz="0" w:space="0" w:color="auto"/>
                    <w:left w:val="none" w:sz="0" w:space="0" w:color="auto"/>
                    <w:bottom w:val="none" w:sz="0" w:space="0" w:color="auto"/>
                    <w:right w:val="none" w:sz="0" w:space="0" w:color="auto"/>
                  </w:divBdr>
                </w:div>
              </w:divsChild>
            </w:div>
            <w:div w:id="840048172">
              <w:marLeft w:val="0"/>
              <w:marRight w:val="0"/>
              <w:marTop w:val="0"/>
              <w:marBottom w:val="0"/>
              <w:divBdr>
                <w:top w:val="none" w:sz="0" w:space="0" w:color="auto"/>
                <w:left w:val="none" w:sz="0" w:space="0" w:color="auto"/>
                <w:bottom w:val="none" w:sz="0" w:space="0" w:color="auto"/>
                <w:right w:val="none" w:sz="0" w:space="0" w:color="auto"/>
              </w:divBdr>
              <w:divsChild>
                <w:div w:id="1017928358">
                  <w:marLeft w:val="0"/>
                  <w:marRight w:val="0"/>
                  <w:marTop w:val="0"/>
                  <w:marBottom w:val="0"/>
                  <w:divBdr>
                    <w:top w:val="none" w:sz="0" w:space="0" w:color="auto"/>
                    <w:left w:val="none" w:sz="0" w:space="0" w:color="auto"/>
                    <w:bottom w:val="none" w:sz="0" w:space="0" w:color="auto"/>
                    <w:right w:val="none" w:sz="0" w:space="0" w:color="auto"/>
                  </w:divBdr>
                </w:div>
              </w:divsChild>
            </w:div>
            <w:div w:id="2084984529">
              <w:marLeft w:val="0"/>
              <w:marRight w:val="0"/>
              <w:marTop w:val="0"/>
              <w:marBottom w:val="0"/>
              <w:divBdr>
                <w:top w:val="none" w:sz="0" w:space="0" w:color="auto"/>
                <w:left w:val="none" w:sz="0" w:space="0" w:color="auto"/>
                <w:bottom w:val="none" w:sz="0" w:space="0" w:color="auto"/>
                <w:right w:val="none" w:sz="0" w:space="0" w:color="auto"/>
              </w:divBdr>
              <w:divsChild>
                <w:div w:id="323902514">
                  <w:marLeft w:val="0"/>
                  <w:marRight w:val="0"/>
                  <w:marTop w:val="0"/>
                  <w:marBottom w:val="0"/>
                  <w:divBdr>
                    <w:top w:val="none" w:sz="0" w:space="0" w:color="auto"/>
                    <w:left w:val="none" w:sz="0" w:space="0" w:color="auto"/>
                    <w:bottom w:val="none" w:sz="0" w:space="0" w:color="auto"/>
                    <w:right w:val="none" w:sz="0" w:space="0" w:color="auto"/>
                  </w:divBdr>
                </w:div>
              </w:divsChild>
            </w:div>
            <w:div w:id="405804722">
              <w:marLeft w:val="0"/>
              <w:marRight w:val="0"/>
              <w:marTop w:val="0"/>
              <w:marBottom w:val="0"/>
              <w:divBdr>
                <w:top w:val="none" w:sz="0" w:space="0" w:color="auto"/>
                <w:left w:val="none" w:sz="0" w:space="0" w:color="auto"/>
                <w:bottom w:val="none" w:sz="0" w:space="0" w:color="auto"/>
                <w:right w:val="none" w:sz="0" w:space="0" w:color="auto"/>
              </w:divBdr>
              <w:divsChild>
                <w:div w:id="657615333">
                  <w:marLeft w:val="0"/>
                  <w:marRight w:val="0"/>
                  <w:marTop w:val="0"/>
                  <w:marBottom w:val="0"/>
                  <w:divBdr>
                    <w:top w:val="none" w:sz="0" w:space="0" w:color="auto"/>
                    <w:left w:val="none" w:sz="0" w:space="0" w:color="auto"/>
                    <w:bottom w:val="none" w:sz="0" w:space="0" w:color="auto"/>
                    <w:right w:val="none" w:sz="0" w:space="0" w:color="auto"/>
                  </w:divBdr>
                </w:div>
              </w:divsChild>
            </w:div>
            <w:div w:id="130027003">
              <w:marLeft w:val="0"/>
              <w:marRight w:val="0"/>
              <w:marTop w:val="0"/>
              <w:marBottom w:val="0"/>
              <w:divBdr>
                <w:top w:val="none" w:sz="0" w:space="0" w:color="auto"/>
                <w:left w:val="none" w:sz="0" w:space="0" w:color="auto"/>
                <w:bottom w:val="none" w:sz="0" w:space="0" w:color="auto"/>
                <w:right w:val="none" w:sz="0" w:space="0" w:color="auto"/>
              </w:divBdr>
              <w:divsChild>
                <w:div w:id="670258499">
                  <w:marLeft w:val="0"/>
                  <w:marRight w:val="0"/>
                  <w:marTop w:val="0"/>
                  <w:marBottom w:val="0"/>
                  <w:divBdr>
                    <w:top w:val="none" w:sz="0" w:space="0" w:color="auto"/>
                    <w:left w:val="none" w:sz="0" w:space="0" w:color="auto"/>
                    <w:bottom w:val="none" w:sz="0" w:space="0" w:color="auto"/>
                    <w:right w:val="none" w:sz="0" w:space="0" w:color="auto"/>
                  </w:divBdr>
                </w:div>
              </w:divsChild>
            </w:div>
            <w:div w:id="18358540">
              <w:marLeft w:val="0"/>
              <w:marRight w:val="0"/>
              <w:marTop w:val="0"/>
              <w:marBottom w:val="0"/>
              <w:divBdr>
                <w:top w:val="none" w:sz="0" w:space="0" w:color="auto"/>
                <w:left w:val="none" w:sz="0" w:space="0" w:color="auto"/>
                <w:bottom w:val="none" w:sz="0" w:space="0" w:color="auto"/>
                <w:right w:val="none" w:sz="0" w:space="0" w:color="auto"/>
              </w:divBdr>
              <w:divsChild>
                <w:div w:id="1371222600">
                  <w:marLeft w:val="0"/>
                  <w:marRight w:val="0"/>
                  <w:marTop w:val="0"/>
                  <w:marBottom w:val="0"/>
                  <w:divBdr>
                    <w:top w:val="none" w:sz="0" w:space="0" w:color="auto"/>
                    <w:left w:val="none" w:sz="0" w:space="0" w:color="auto"/>
                    <w:bottom w:val="none" w:sz="0" w:space="0" w:color="auto"/>
                    <w:right w:val="none" w:sz="0" w:space="0" w:color="auto"/>
                  </w:divBdr>
                </w:div>
              </w:divsChild>
            </w:div>
            <w:div w:id="337386706">
              <w:marLeft w:val="0"/>
              <w:marRight w:val="0"/>
              <w:marTop w:val="0"/>
              <w:marBottom w:val="0"/>
              <w:divBdr>
                <w:top w:val="none" w:sz="0" w:space="0" w:color="auto"/>
                <w:left w:val="none" w:sz="0" w:space="0" w:color="auto"/>
                <w:bottom w:val="none" w:sz="0" w:space="0" w:color="auto"/>
                <w:right w:val="none" w:sz="0" w:space="0" w:color="auto"/>
              </w:divBdr>
              <w:divsChild>
                <w:div w:id="1782140484">
                  <w:marLeft w:val="0"/>
                  <w:marRight w:val="0"/>
                  <w:marTop w:val="0"/>
                  <w:marBottom w:val="0"/>
                  <w:divBdr>
                    <w:top w:val="none" w:sz="0" w:space="0" w:color="auto"/>
                    <w:left w:val="none" w:sz="0" w:space="0" w:color="auto"/>
                    <w:bottom w:val="none" w:sz="0" w:space="0" w:color="auto"/>
                    <w:right w:val="none" w:sz="0" w:space="0" w:color="auto"/>
                  </w:divBdr>
                </w:div>
              </w:divsChild>
            </w:div>
            <w:div w:id="654838117">
              <w:marLeft w:val="0"/>
              <w:marRight w:val="0"/>
              <w:marTop w:val="0"/>
              <w:marBottom w:val="0"/>
              <w:divBdr>
                <w:top w:val="none" w:sz="0" w:space="0" w:color="auto"/>
                <w:left w:val="none" w:sz="0" w:space="0" w:color="auto"/>
                <w:bottom w:val="none" w:sz="0" w:space="0" w:color="auto"/>
                <w:right w:val="none" w:sz="0" w:space="0" w:color="auto"/>
              </w:divBdr>
              <w:divsChild>
                <w:div w:id="655764944">
                  <w:marLeft w:val="0"/>
                  <w:marRight w:val="0"/>
                  <w:marTop w:val="0"/>
                  <w:marBottom w:val="0"/>
                  <w:divBdr>
                    <w:top w:val="none" w:sz="0" w:space="0" w:color="auto"/>
                    <w:left w:val="none" w:sz="0" w:space="0" w:color="auto"/>
                    <w:bottom w:val="none" w:sz="0" w:space="0" w:color="auto"/>
                    <w:right w:val="none" w:sz="0" w:space="0" w:color="auto"/>
                  </w:divBdr>
                </w:div>
              </w:divsChild>
            </w:div>
            <w:div w:id="1178422404">
              <w:marLeft w:val="0"/>
              <w:marRight w:val="0"/>
              <w:marTop w:val="0"/>
              <w:marBottom w:val="0"/>
              <w:divBdr>
                <w:top w:val="none" w:sz="0" w:space="0" w:color="auto"/>
                <w:left w:val="none" w:sz="0" w:space="0" w:color="auto"/>
                <w:bottom w:val="none" w:sz="0" w:space="0" w:color="auto"/>
                <w:right w:val="none" w:sz="0" w:space="0" w:color="auto"/>
              </w:divBdr>
              <w:divsChild>
                <w:div w:id="16034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93">
          <w:marLeft w:val="0"/>
          <w:marRight w:val="0"/>
          <w:marTop w:val="0"/>
          <w:marBottom w:val="600"/>
          <w:divBdr>
            <w:top w:val="none" w:sz="0" w:space="0" w:color="auto"/>
            <w:left w:val="none" w:sz="0" w:space="0" w:color="auto"/>
            <w:bottom w:val="none" w:sz="0" w:space="0" w:color="auto"/>
            <w:right w:val="none" w:sz="0" w:space="0" w:color="auto"/>
          </w:divBdr>
        </w:div>
      </w:divsChild>
    </w:div>
    <w:div w:id="856310083">
      <w:marLeft w:val="0"/>
      <w:marRight w:val="0"/>
      <w:marTop w:val="0"/>
      <w:marBottom w:val="0"/>
      <w:divBdr>
        <w:top w:val="none" w:sz="0" w:space="0" w:color="auto"/>
        <w:left w:val="none" w:sz="0" w:space="0" w:color="auto"/>
        <w:bottom w:val="none" w:sz="0" w:space="0" w:color="auto"/>
        <w:right w:val="none" w:sz="0" w:space="0" w:color="auto"/>
      </w:divBdr>
      <w:divsChild>
        <w:div w:id="837118525">
          <w:marLeft w:val="0"/>
          <w:marRight w:val="0"/>
          <w:marTop w:val="547"/>
          <w:marBottom w:val="0"/>
          <w:divBdr>
            <w:top w:val="none" w:sz="0" w:space="0" w:color="auto"/>
            <w:left w:val="none" w:sz="0" w:space="0" w:color="auto"/>
            <w:bottom w:val="none" w:sz="0" w:space="0" w:color="auto"/>
            <w:right w:val="none" w:sz="0" w:space="0" w:color="auto"/>
          </w:divBdr>
        </w:div>
        <w:div w:id="1212419113">
          <w:marLeft w:val="0"/>
          <w:marRight w:val="0"/>
          <w:marTop w:val="0"/>
          <w:marBottom w:val="0"/>
          <w:divBdr>
            <w:top w:val="none" w:sz="0" w:space="0" w:color="auto"/>
            <w:left w:val="none" w:sz="0" w:space="0" w:color="auto"/>
            <w:bottom w:val="none" w:sz="0" w:space="0" w:color="auto"/>
            <w:right w:val="none" w:sz="0" w:space="0" w:color="auto"/>
          </w:divBdr>
        </w:div>
        <w:div w:id="142088775">
          <w:marLeft w:val="0"/>
          <w:marRight w:val="0"/>
          <w:marTop w:val="0"/>
          <w:marBottom w:val="600"/>
          <w:divBdr>
            <w:top w:val="none" w:sz="0" w:space="0" w:color="auto"/>
            <w:left w:val="none" w:sz="0" w:space="0" w:color="auto"/>
            <w:bottom w:val="none" w:sz="0" w:space="0" w:color="auto"/>
            <w:right w:val="none" w:sz="0" w:space="0" w:color="auto"/>
          </w:divBdr>
        </w:div>
      </w:divsChild>
    </w:div>
    <w:div w:id="878275360">
      <w:marLeft w:val="0"/>
      <w:marRight w:val="0"/>
      <w:marTop w:val="0"/>
      <w:marBottom w:val="0"/>
      <w:divBdr>
        <w:top w:val="none" w:sz="0" w:space="0" w:color="auto"/>
        <w:left w:val="none" w:sz="0" w:space="0" w:color="auto"/>
        <w:bottom w:val="none" w:sz="0" w:space="0" w:color="auto"/>
        <w:right w:val="none" w:sz="0" w:space="0" w:color="auto"/>
      </w:divBdr>
      <w:divsChild>
        <w:div w:id="1664162020">
          <w:marLeft w:val="0"/>
          <w:marRight w:val="0"/>
          <w:marTop w:val="547"/>
          <w:marBottom w:val="0"/>
          <w:divBdr>
            <w:top w:val="none" w:sz="0" w:space="0" w:color="auto"/>
            <w:left w:val="none" w:sz="0" w:space="0" w:color="auto"/>
            <w:bottom w:val="none" w:sz="0" w:space="0" w:color="auto"/>
            <w:right w:val="none" w:sz="0" w:space="0" w:color="auto"/>
          </w:divBdr>
        </w:div>
        <w:div w:id="2007896764">
          <w:marLeft w:val="0"/>
          <w:marRight w:val="0"/>
          <w:marTop w:val="0"/>
          <w:marBottom w:val="0"/>
          <w:divBdr>
            <w:top w:val="none" w:sz="0" w:space="0" w:color="auto"/>
            <w:left w:val="none" w:sz="0" w:space="0" w:color="auto"/>
            <w:bottom w:val="none" w:sz="0" w:space="0" w:color="auto"/>
            <w:right w:val="none" w:sz="0" w:space="0" w:color="auto"/>
          </w:divBdr>
        </w:div>
        <w:div w:id="1140533752">
          <w:marLeft w:val="0"/>
          <w:marRight w:val="0"/>
          <w:marTop w:val="0"/>
          <w:marBottom w:val="600"/>
          <w:divBdr>
            <w:top w:val="none" w:sz="0" w:space="0" w:color="auto"/>
            <w:left w:val="none" w:sz="0" w:space="0" w:color="auto"/>
            <w:bottom w:val="none" w:sz="0" w:space="0" w:color="auto"/>
            <w:right w:val="none" w:sz="0" w:space="0" w:color="auto"/>
          </w:divBdr>
        </w:div>
      </w:divsChild>
    </w:div>
    <w:div w:id="903031056">
      <w:marLeft w:val="0"/>
      <w:marRight w:val="0"/>
      <w:marTop w:val="0"/>
      <w:marBottom w:val="0"/>
      <w:divBdr>
        <w:top w:val="none" w:sz="0" w:space="0" w:color="auto"/>
        <w:left w:val="none" w:sz="0" w:space="0" w:color="auto"/>
        <w:bottom w:val="none" w:sz="0" w:space="0" w:color="auto"/>
        <w:right w:val="none" w:sz="0" w:space="0" w:color="auto"/>
      </w:divBdr>
      <w:divsChild>
        <w:div w:id="2009476426">
          <w:marLeft w:val="0"/>
          <w:marRight w:val="0"/>
          <w:marTop w:val="547"/>
          <w:marBottom w:val="0"/>
          <w:divBdr>
            <w:top w:val="none" w:sz="0" w:space="0" w:color="auto"/>
            <w:left w:val="none" w:sz="0" w:space="0" w:color="auto"/>
            <w:bottom w:val="none" w:sz="0" w:space="0" w:color="auto"/>
            <w:right w:val="none" w:sz="0" w:space="0" w:color="auto"/>
          </w:divBdr>
        </w:div>
        <w:div w:id="492913293">
          <w:marLeft w:val="0"/>
          <w:marRight w:val="0"/>
          <w:marTop w:val="0"/>
          <w:marBottom w:val="0"/>
          <w:divBdr>
            <w:top w:val="none" w:sz="0" w:space="0" w:color="auto"/>
            <w:left w:val="none" w:sz="0" w:space="0" w:color="auto"/>
            <w:bottom w:val="none" w:sz="0" w:space="0" w:color="auto"/>
            <w:right w:val="none" w:sz="0" w:space="0" w:color="auto"/>
          </w:divBdr>
          <w:divsChild>
            <w:div w:id="413935460">
              <w:marLeft w:val="0"/>
              <w:marRight w:val="0"/>
              <w:marTop w:val="0"/>
              <w:marBottom w:val="0"/>
              <w:divBdr>
                <w:top w:val="none" w:sz="0" w:space="0" w:color="auto"/>
                <w:left w:val="none" w:sz="0" w:space="0" w:color="auto"/>
                <w:bottom w:val="none" w:sz="0" w:space="0" w:color="auto"/>
                <w:right w:val="none" w:sz="0" w:space="0" w:color="auto"/>
              </w:divBdr>
              <w:divsChild>
                <w:div w:id="713624958">
                  <w:marLeft w:val="0"/>
                  <w:marRight w:val="0"/>
                  <w:marTop w:val="0"/>
                  <w:marBottom w:val="0"/>
                  <w:divBdr>
                    <w:top w:val="none" w:sz="0" w:space="0" w:color="auto"/>
                    <w:left w:val="none" w:sz="0" w:space="0" w:color="auto"/>
                    <w:bottom w:val="none" w:sz="0" w:space="0" w:color="auto"/>
                    <w:right w:val="none" w:sz="0" w:space="0" w:color="auto"/>
                  </w:divBdr>
                </w:div>
              </w:divsChild>
            </w:div>
            <w:div w:id="1677463348">
              <w:marLeft w:val="0"/>
              <w:marRight w:val="0"/>
              <w:marTop w:val="0"/>
              <w:marBottom w:val="0"/>
              <w:divBdr>
                <w:top w:val="none" w:sz="0" w:space="0" w:color="auto"/>
                <w:left w:val="none" w:sz="0" w:space="0" w:color="auto"/>
                <w:bottom w:val="none" w:sz="0" w:space="0" w:color="auto"/>
                <w:right w:val="none" w:sz="0" w:space="0" w:color="auto"/>
              </w:divBdr>
              <w:divsChild>
                <w:div w:id="1253590250">
                  <w:marLeft w:val="0"/>
                  <w:marRight w:val="0"/>
                  <w:marTop w:val="0"/>
                  <w:marBottom w:val="0"/>
                  <w:divBdr>
                    <w:top w:val="none" w:sz="0" w:space="0" w:color="auto"/>
                    <w:left w:val="none" w:sz="0" w:space="0" w:color="auto"/>
                    <w:bottom w:val="none" w:sz="0" w:space="0" w:color="auto"/>
                    <w:right w:val="none" w:sz="0" w:space="0" w:color="auto"/>
                  </w:divBdr>
                </w:div>
              </w:divsChild>
            </w:div>
            <w:div w:id="1709448376">
              <w:marLeft w:val="0"/>
              <w:marRight w:val="0"/>
              <w:marTop w:val="0"/>
              <w:marBottom w:val="0"/>
              <w:divBdr>
                <w:top w:val="none" w:sz="0" w:space="0" w:color="auto"/>
                <w:left w:val="none" w:sz="0" w:space="0" w:color="auto"/>
                <w:bottom w:val="none" w:sz="0" w:space="0" w:color="auto"/>
                <w:right w:val="none" w:sz="0" w:space="0" w:color="auto"/>
              </w:divBdr>
              <w:divsChild>
                <w:div w:id="1505586153">
                  <w:marLeft w:val="0"/>
                  <w:marRight w:val="0"/>
                  <w:marTop w:val="0"/>
                  <w:marBottom w:val="0"/>
                  <w:divBdr>
                    <w:top w:val="none" w:sz="0" w:space="0" w:color="auto"/>
                    <w:left w:val="none" w:sz="0" w:space="0" w:color="auto"/>
                    <w:bottom w:val="none" w:sz="0" w:space="0" w:color="auto"/>
                    <w:right w:val="none" w:sz="0" w:space="0" w:color="auto"/>
                  </w:divBdr>
                </w:div>
              </w:divsChild>
            </w:div>
            <w:div w:id="1962804648">
              <w:marLeft w:val="0"/>
              <w:marRight w:val="0"/>
              <w:marTop w:val="0"/>
              <w:marBottom w:val="0"/>
              <w:divBdr>
                <w:top w:val="none" w:sz="0" w:space="0" w:color="auto"/>
                <w:left w:val="none" w:sz="0" w:space="0" w:color="auto"/>
                <w:bottom w:val="none" w:sz="0" w:space="0" w:color="auto"/>
                <w:right w:val="none" w:sz="0" w:space="0" w:color="auto"/>
              </w:divBdr>
              <w:divsChild>
                <w:div w:id="1431852608">
                  <w:marLeft w:val="0"/>
                  <w:marRight w:val="0"/>
                  <w:marTop w:val="0"/>
                  <w:marBottom w:val="0"/>
                  <w:divBdr>
                    <w:top w:val="none" w:sz="0" w:space="0" w:color="auto"/>
                    <w:left w:val="none" w:sz="0" w:space="0" w:color="auto"/>
                    <w:bottom w:val="none" w:sz="0" w:space="0" w:color="auto"/>
                    <w:right w:val="none" w:sz="0" w:space="0" w:color="auto"/>
                  </w:divBdr>
                </w:div>
              </w:divsChild>
            </w:div>
            <w:div w:id="2075932594">
              <w:marLeft w:val="0"/>
              <w:marRight w:val="0"/>
              <w:marTop w:val="0"/>
              <w:marBottom w:val="0"/>
              <w:divBdr>
                <w:top w:val="none" w:sz="0" w:space="0" w:color="auto"/>
                <w:left w:val="none" w:sz="0" w:space="0" w:color="auto"/>
                <w:bottom w:val="none" w:sz="0" w:space="0" w:color="auto"/>
                <w:right w:val="none" w:sz="0" w:space="0" w:color="auto"/>
              </w:divBdr>
              <w:divsChild>
                <w:div w:id="178205476">
                  <w:marLeft w:val="0"/>
                  <w:marRight w:val="0"/>
                  <w:marTop w:val="0"/>
                  <w:marBottom w:val="0"/>
                  <w:divBdr>
                    <w:top w:val="none" w:sz="0" w:space="0" w:color="auto"/>
                    <w:left w:val="none" w:sz="0" w:space="0" w:color="auto"/>
                    <w:bottom w:val="none" w:sz="0" w:space="0" w:color="auto"/>
                    <w:right w:val="none" w:sz="0" w:space="0" w:color="auto"/>
                  </w:divBdr>
                </w:div>
              </w:divsChild>
            </w:div>
            <w:div w:id="1937984114">
              <w:marLeft w:val="0"/>
              <w:marRight w:val="0"/>
              <w:marTop w:val="0"/>
              <w:marBottom w:val="0"/>
              <w:divBdr>
                <w:top w:val="none" w:sz="0" w:space="0" w:color="auto"/>
                <w:left w:val="none" w:sz="0" w:space="0" w:color="auto"/>
                <w:bottom w:val="none" w:sz="0" w:space="0" w:color="auto"/>
                <w:right w:val="none" w:sz="0" w:space="0" w:color="auto"/>
              </w:divBdr>
              <w:divsChild>
                <w:div w:id="1216510410">
                  <w:marLeft w:val="0"/>
                  <w:marRight w:val="0"/>
                  <w:marTop w:val="0"/>
                  <w:marBottom w:val="0"/>
                  <w:divBdr>
                    <w:top w:val="none" w:sz="0" w:space="0" w:color="auto"/>
                    <w:left w:val="none" w:sz="0" w:space="0" w:color="auto"/>
                    <w:bottom w:val="none" w:sz="0" w:space="0" w:color="auto"/>
                    <w:right w:val="none" w:sz="0" w:space="0" w:color="auto"/>
                  </w:divBdr>
                </w:div>
              </w:divsChild>
            </w:div>
            <w:div w:id="321810817">
              <w:marLeft w:val="0"/>
              <w:marRight w:val="0"/>
              <w:marTop w:val="0"/>
              <w:marBottom w:val="0"/>
              <w:divBdr>
                <w:top w:val="none" w:sz="0" w:space="0" w:color="auto"/>
                <w:left w:val="none" w:sz="0" w:space="0" w:color="auto"/>
                <w:bottom w:val="none" w:sz="0" w:space="0" w:color="auto"/>
                <w:right w:val="none" w:sz="0" w:space="0" w:color="auto"/>
              </w:divBdr>
              <w:divsChild>
                <w:div w:id="640310773">
                  <w:marLeft w:val="0"/>
                  <w:marRight w:val="0"/>
                  <w:marTop w:val="0"/>
                  <w:marBottom w:val="0"/>
                  <w:divBdr>
                    <w:top w:val="none" w:sz="0" w:space="0" w:color="auto"/>
                    <w:left w:val="none" w:sz="0" w:space="0" w:color="auto"/>
                    <w:bottom w:val="none" w:sz="0" w:space="0" w:color="auto"/>
                    <w:right w:val="none" w:sz="0" w:space="0" w:color="auto"/>
                  </w:divBdr>
                </w:div>
              </w:divsChild>
            </w:div>
            <w:div w:id="823737386">
              <w:marLeft w:val="0"/>
              <w:marRight w:val="0"/>
              <w:marTop w:val="0"/>
              <w:marBottom w:val="0"/>
              <w:divBdr>
                <w:top w:val="none" w:sz="0" w:space="0" w:color="auto"/>
                <w:left w:val="none" w:sz="0" w:space="0" w:color="auto"/>
                <w:bottom w:val="none" w:sz="0" w:space="0" w:color="auto"/>
                <w:right w:val="none" w:sz="0" w:space="0" w:color="auto"/>
              </w:divBdr>
              <w:divsChild>
                <w:div w:id="421950537">
                  <w:marLeft w:val="0"/>
                  <w:marRight w:val="0"/>
                  <w:marTop w:val="0"/>
                  <w:marBottom w:val="0"/>
                  <w:divBdr>
                    <w:top w:val="none" w:sz="0" w:space="0" w:color="auto"/>
                    <w:left w:val="none" w:sz="0" w:space="0" w:color="auto"/>
                    <w:bottom w:val="none" w:sz="0" w:space="0" w:color="auto"/>
                    <w:right w:val="none" w:sz="0" w:space="0" w:color="auto"/>
                  </w:divBdr>
                </w:div>
              </w:divsChild>
            </w:div>
            <w:div w:id="737749735">
              <w:marLeft w:val="0"/>
              <w:marRight w:val="0"/>
              <w:marTop w:val="0"/>
              <w:marBottom w:val="0"/>
              <w:divBdr>
                <w:top w:val="none" w:sz="0" w:space="0" w:color="auto"/>
                <w:left w:val="none" w:sz="0" w:space="0" w:color="auto"/>
                <w:bottom w:val="none" w:sz="0" w:space="0" w:color="auto"/>
                <w:right w:val="none" w:sz="0" w:space="0" w:color="auto"/>
              </w:divBdr>
              <w:divsChild>
                <w:div w:id="636490494">
                  <w:marLeft w:val="0"/>
                  <w:marRight w:val="0"/>
                  <w:marTop w:val="0"/>
                  <w:marBottom w:val="0"/>
                  <w:divBdr>
                    <w:top w:val="none" w:sz="0" w:space="0" w:color="auto"/>
                    <w:left w:val="none" w:sz="0" w:space="0" w:color="auto"/>
                    <w:bottom w:val="none" w:sz="0" w:space="0" w:color="auto"/>
                    <w:right w:val="none" w:sz="0" w:space="0" w:color="auto"/>
                  </w:divBdr>
                </w:div>
              </w:divsChild>
            </w:div>
            <w:div w:id="1203635039">
              <w:marLeft w:val="0"/>
              <w:marRight w:val="0"/>
              <w:marTop w:val="0"/>
              <w:marBottom w:val="0"/>
              <w:divBdr>
                <w:top w:val="none" w:sz="0" w:space="0" w:color="auto"/>
                <w:left w:val="none" w:sz="0" w:space="0" w:color="auto"/>
                <w:bottom w:val="none" w:sz="0" w:space="0" w:color="auto"/>
                <w:right w:val="none" w:sz="0" w:space="0" w:color="auto"/>
              </w:divBdr>
              <w:divsChild>
                <w:div w:id="1781948985">
                  <w:marLeft w:val="0"/>
                  <w:marRight w:val="0"/>
                  <w:marTop w:val="0"/>
                  <w:marBottom w:val="0"/>
                  <w:divBdr>
                    <w:top w:val="none" w:sz="0" w:space="0" w:color="auto"/>
                    <w:left w:val="none" w:sz="0" w:space="0" w:color="auto"/>
                    <w:bottom w:val="none" w:sz="0" w:space="0" w:color="auto"/>
                    <w:right w:val="none" w:sz="0" w:space="0" w:color="auto"/>
                  </w:divBdr>
                </w:div>
              </w:divsChild>
            </w:div>
            <w:div w:id="676152298">
              <w:marLeft w:val="0"/>
              <w:marRight w:val="0"/>
              <w:marTop w:val="0"/>
              <w:marBottom w:val="0"/>
              <w:divBdr>
                <w:top w:val="none" w:sz="0" w:space="0" w:color="auto"/>
                <w:left w:val="none" w:sz="0" w:space="0" w:color="auto"/>
                <w:bottom w:val="none" w:sz="0" w:space="0" w:color="auto"/>
                <w:right w:val="none" w:sz="0" w:space="0" w:color="auto"/>
              </w:divBdr>
              <w:divsChild>
                <w:div w:id="1803621385">
                  <w:marLeft w:val="0"/>
                  <w:marRight w:val="0"/>
                  <w:marTop w:val="0"/>
                  <w:marBottom w:val="0"/>
                  <w:divBdr>
                    <w:top w:val="none" w:sz="0" w:space="0" w:color="auto"/>
                    <w:left w:val="none" w:sz="0" w:space="0" w:color="auto"/>
                    <w:bottom w:val="none" w:sz="0" w:space="0" w:color="auto"/>
                    <w:right w:val="none" w:sz="0" w:space="0" w:color="auto"/>
                  </w:divBdr>
                </w:div>
              </w:divsChild>
            </w:div>
            <w:div w:id="969630546">
              <w:marLeft w:val="0"/>
              <w:marRight w:val="0"/>
              <w:marTop w:val="0"/>
              <w:marBottom w:val="0"/>
              <w:divBdr>
                <w:top w:val="none" w:sz="0" w:space="0" w:color="auto"/>
                <w:left w:val="none" w:sz="0" w:space="0" w:color="auto"/>
                <w:bottom w:val="none" w:sz="0" w:space="0" w:color="auto"/>
                <w:right w:val="none" w:sz="0" w:space="0" w:color="auto"/>
              </w:divBdr>
              <w:divsChild>
                <w:div w:id="141242109">
                  <w:marLeft w:val="0"/>
                  <w:marRight w:val="0"/>
                  <w:marTop w:val="0"/>
                  <w:marBottom w:val="0"/>
                  <w:divBdr>
                    <w:top w:val="none" w:sz="0" w:space="0" w:color="auto"/>
                    <w:left w:val="none" w:sz="0" w:space="0" w:color="auto"/>
                    <w:bottom w:val="none" w:sz="0" w:space="0" w:color="auto"/>
                    <w:right w:val="none" w:sz="0" w:space="0" w:color="auto"/>
                  </w:divBdr>
                </w:div>
              </w:divsChild>
            </w:div>
            <w:div w:id="1097562004">
              <w:marLeft w:val="0"/>
              <w:marRight w:val="0"/>
              <w:marTop w:val="0"/>
              <w:marBottom w:val="0"/>
              <w:divBdr>
                <w:top w:val="none" w:sz="0" w:space="0" w:color="auto"/>
                <w:left w:val="none" w:sz="0" w:space="0" w:color="auto"/>
                <w:bottom w:val="none" w:sz="0" w:space="0" w:color="auto"/>
                <w:right w:val="none" w:sz="0" w:space="0" w:color="auto"/>
              </w:divBdr>
              <w:divsChild>
                <w:div w:id="19637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2899">
          <w:marLeft w:val="0"/>
          <w:marRight w:val="0"/>
          <w:marTop w:val="0"/>
          <w:marBottom w:val="600"/>
          <w:divBdr>
            <w:top w:val="none" w:sz="0" w:space="0" w:color="auto"/>
            <w:left w:val="none" w:sz="0" w:space="0" w:color="auto"/>
            <w:bottom w:val="none" w:sz="0" w:space="0" w:color="auto"/>
            <w:right w:val="none" w:sz="0" w:space="0" w:color="auto"/>
          </w:divBdr>
        </w:div>
      </w:divsChild>
    </w:div>
    <w:div w:id="915937812">
      <w:marLeft w:val="0"/>
      <w:marRight w:val="0"/>
      <w:marTop w:val="0"/>
      <w:marBottom w:val="0"/>
      <w:divBdr>
        <w:top w:val="none" w:sz="0" w:space="0" w:color="auto"/>
        <w:left w:val="none" w:sz="0" w:space="0" w:color="auto"/>
        <w:bottom w:val="none" w:sz="0" w:space="0" w:color="auto"/>
        <w:right w:val="none" w:sz="0" w:space="0" w:color="auto"/>
      </w:divBdr>
      <w:divsChild>
        <w:div w:id="1886064153">
          <w:marLeft w:val="0"/>
          <w:marRight w:val="0"/>
          <w:marTop w:val="547"/>
          <w:marBottom w:val="0"/>
          <w:divBdr>
            <w:top w:val="none" w:sz="0" w:space="0" w:color="auto"/>
            <w:left w:val="none" w:sz="0" w:space="0" w:color="auto"/>
            <w:bottom w:val="none" w:sz="0" w:space="0" w:color="auto"/>
            <w:right w:val="none" w:sz="0" w:space="0" w:color="auto"/>
          </w:divBdr>
        </w:div>
        <w:div w:id="1550917959">
          <w:marLeft w:val="0"/>
          <w:marRight w:val="0"/>
          <w:marTop w:val="0"/>
          <w:marBottom w:val="0"/>
          <w:divBdr>
            <w:top w:val="none" w:sz="0" w:space="0" w:color="auto"/>
            <w:left w:val="none" w:sz="0" w:space="0" w:color="auto"/>
            <w:bottom w:val="none" w:sz="0" w:space="0" w:color="auto"/>
            <w:right w:val="none" w:sz="0" w:space="0" w:color="auto"/>
          </w:divBdr>
        </w:div>
        <w:div w:id="626085665">
          <w:marLeft w:val="0"/>
          <w:marRight w:val="0"/>
          <w:marTop w:val="0"/>
          <w:marBottom w:val="600"/>
          <w:divBdr>
            <w:top w:val="none" w:sz="0" w:space="0" w:color="auto"/>
            <w:left w:val="none" w:sz="0" w:space="0" w:color="auto"/>
            <w:bottom w:val="none" w:sz="0" w:space="0" w:color="auto"/>
            <w:right w:val="none" w:sz="0" w:space="0" w:color="auto"/>
          </w:divBdr>
        </w:div>
      </w:divsChild>
    </w:div>
    <w:div w:id="960184039">
      <w:marLeft w:val="0"/>
      <w:marRight w:val="0"/>
      <w:marTop w:val="0"/>
      <w:marBottom w:val="0"/>
      <w:divBdr>
        <w:top w:val="none" w:sz="0" w:space="0" w:color="auto"/>
        <w:left w:val="none" w:sz="0" w:space="0" w:color="auto"/>
        <w:bottom w:val="none" w:sz="0" w:space="0" w:color="auto"/>
        <w:right w:val="none" w:sz="0" w:space="0" w:color="auto"/>
      </w:divBdr>
      <w:divsChild>
        <w:div w:id="791628041">
          <w:marLeft w:val="0"/>
          <w:marRight w:val="0"/>
          <w:marTop w:val="547"/>
          <w:marBottom w:val="0"/>
          <w:divBdr>
            <w:top w:val="none" w:sz="0" w:space="0" w:color="auto"/>
            <w:left w:val="none" w:sz="0" w:space="0" w:color="auto"/>
            <w:bottom w:val="none" w:sz="0" w:space="0" w:color="auto"/>
            <w:right w:val="none" w:sz="0" w:space="0" w:color="auto"/>
          </w:divBdr>
        </w:div>
        <w:div w:id="1503543264">
          <w:marLeft w:val="0"/>
          <w:marRight w:val="0"/>
          <w:marTop w:val="0"/>
          <w:marBottom w:val="0"/>
          <w:divBdr>
            <w:top w:val="none" w:sz="0" w:space="0" w:color="auto"/>
            <w:left w:val="none" w:sz="0" w:space="0" w:color="auto"/>
            <w:bottom w:val="none" w:sz="0" w:space="0" w:color="auto"/>
            <w:right w:val="none" w:sz="0" w:space="0" w:color="auto"/>
          </w:divBdr>
          <w:divsChild>
            <w:div w:id="1692218462">
              <w:marLeft w:val="0"/>
              <w:marRight w:val="0"/>
              <w:marTop w:val="0"/>
              <w:marBottom w:val="0"/>
              <w:divBdr>
                <w:top w:val="none" w:sz="0" w:space="0" w:color="auto"/>
                <w:left w:val="none" w:sz="0" w:space="0" w:color="auto"/>
                <w:bottom w:val="none" w:sz="0" w:space="0" w:color="auto"/>
                <w:right w:val="none" w:sz="0" w:space="0" w:color="auto"/>
              </w:divBdr>
              <w:divsChild>
                <w:div w:id="350449628">
                  <w:marLeft w:val="0"/>
                  <w:marRight w:val="0"/>
                  <w:marTop w:val="0"/>
                  <w:marBottom w:val="0"/>
                  <w:divBdr>
                    <w:top w:val="none" w:sz="0" w:space="0" w:color="auto"/>
                    <w:left w:val="none" w:sz="0" w:space="0" w:color="auto"/>
                    <w:bottom w:val="none" w:sz="0" w:space="0" w:color="auto"/>
                    <w:right w:val="none" w:sz="0" w:space="0" w:color="auto"/>
                  </w:divBdr>
                </w:div>
              </w:divsChild>
            </w:div>
            <w:div w:id="1675450588">
              <w:marLeft w:val="0"/>
              <w:marRight w:val="0"/>
              <w:marTop w:val="0"/>
              <w:marBottom w:val="0"/>
              <w:divBdr>
                <w:top w:val="none" w:sz="0" w:space="0" w:color="auto"/>
                <w:left w:val="none" w:sz="0" w:space="0" w:color="auto"/>
                <w:bottom w:val="none" w:sz="0" w:space="0" w:color="auto"/>
                <w:right w:val="none" w:sz="0" w:space="0" w:color="auto"/>
              </w:divBdr>
              <w:divsChild>
                <w:div w:id="461853304">
                  <w:marLeft w:val="0"/>
                  <w:marRight w:val="0"/>
                  <w:marTop w:val="0"/>
                  <w:marBottom w:val="0"/>
                  <w:divBdr>
                    <w:top w:val="none" w:sz="0" w:space="0" w:color="auto"/>
                    <w:left w:val="none" w:sz="0" w:space="0" w:color="auto"/>
                    <w:bottom w:val="none" w:sz="0" w:space="0" w:color="auto"/>
                    <w:right w:val="none" w:sz="0" w:space="0" w:color="auto"/>
                  </w:divBdr>
                </w:div>
              </w:divsChild>
            </w:div>
            <w:div w:id="1130056942">
              <w:marLeft w:val="0"/>
              <w:marRight w:val="0"/>
              <w:marTop w:val="0"/>
              <w:marBottom w:val="0"/>
              <w:divBdr>
                <w:top w:val="none" w:sz="0" w:space="0" w:color="auto"/>
                <w:left w:val="none" w:sz="0" w:space="0" w:color="auto"/>
                <w:bottom w:val="none" w:sz="0" w:space="0" w:color="auto"/>
                <w:right w:val="none" w:sz="0" w:space="0" w:color="auto"/>
              </w:divBdr>
              <w:divsChild>
                <w:div w:id="148405669">
                  <w:marLeft w:val="0"/>
                  <w:marRight w:val="0"/>
                  <w:marTop w:val="0"/>
                  <w:marBottom w:val="0"/>
                  <w:divBdr>
                    <w:top w:val="none" w:sz="0" w:space="0" w:color="auto"/>
                    <w:left w:val="none" w:sz="0" w:space="0" w:color="auto"/>
                    <w:bottom w:val="none" w:sz="0" w:space="0" w:color="auto"/>
                    <w:right w:val="none" w:sz="0" w:space="0" w:color="auto"/>
                  </w:divBdr>
                </w:div>
              </w:divsChild>
            </w:div>
            <w:div w:id="219752991">
              <w:marLeft w:val="0"/>
              <w:marRight w:val="0"/>
              <w:marTop w:val="0"/>
              <w:marBottom w:val="0"/>
              <w:divBdr>
                <w:top w:val="none" w:sz="0" w:space="0" w:color="auto"/>
                <w:left w:val="none" w:sz="0" w:space="0" w:color="auto"/>
                <w:bottom w:val="none" w:sz="0" w:space="0" w:color="auto"/>
                <w:right w:val="none" w:sz="0" w:space="0" w:color="auto"/>
              </w:divBdr>
              <w:divsChild>
                <w:div w:id="1754928763">
                  <w:marLeft w:val="0"/>
                  <w:marRight w:val="0"/>
                  <w:marTop w:val="0"/>
                  <w:marBottom w:val="0"/>
                  <w:divBdr>
                    <w:top w:val="none" w:sz="0" w:space="0" w:color="auto"/>
                    <w:left w:val="none" w:sz="0" w:space="0" w:color="auto"/>
                    <w:bottom w:val="none" w:sz="0" w:space="0" w:color="auto"/>
                    <w:right w:val="none" w:sz="0" w:space="0" w:color="auto"/>
                  </w:divBdr>
                </w:div>
              </w:divsChild>
            </w:div>
            <w:div w:id="2115634945">
              <w:marLeft w:val="0"/>
              <w:marRight w:val="0"/>
              <w:marTop w:val="0"/>
              <w:marBottom w:val="0"/>
              <w:divBdr>
                <w:top w:val="none" w:sz="0" w:space="0" w:color="auto"/>
                <w:left w:val="none" w:sz="0" w:space="0" w:color="auto"/>
                <w:bottom w:val="none" w:sz="0" w:space="0" w:color="auto"/>
                <w:right w:val="none" w:sz="0" w:space="0" w:color="auto"/>
              </w:divBdr>
              <w:divsChild>
                <w:div w:id="143084429">
                  <w:marLeft w:val="0"/>
                  <w:marRight w:val="0"/>
                  <w:marTop w:val="0"/>
                  <w:marBottom w:val="0"/>
                  <w:divBdr>
                    <w:top w:val="none" w:sz="0" w:space="0" w:color="auto"/>
                    <w:left w:val="none" w:sz="0" w:space="0" w:color="auto"/>
                    <w:bottom w:val="none" w:sz="0" w:space="0" w:color="auto"/>
                    <w:right w:val="none" w:sz="0" w:space="0" w:color="auto"/>
                  </w:divBdr>
                </w:div>
              </w:divsChild>
            </w:div>
            <w:div w:id="1473137040">
              <w:marLeft w:val="0"/>
              <w:marRight w:val="0"/>
              <w:marTop w:val="0"/>
              <w:marBottom w:val="0"/>
              <w:divBdr>
                <w:top w:val="none" w:sz="0" w:space="0" w:color="auto"/>
                <w:left w:val="none" w:sz="0" w:space="0" w:color="auto"/>
                <w:bottom w:val="none" w:sz="0" w:space="0" w:color="auto"/>
                <w:right w:val="none" w:sz="0" w:space="0" w:color="auto"/>
              </w:divBdr>
              <w:divsChild>
                <w:div w:id="1259479835">
                  <w:marLeft w:val="0"/>
                  <w:marRight w:val="0"/>
                  <w:marTop w:val="0"/>
                  <w:marBottom w:val="0"/>
                  <w:divBdr>
                    <w:top w:val="none" w:sz="0" w:space="0" w:color="auto"/>
                    <w:left w:val="none" w:sz="0" w:space="0" w:color="auto"/>
                    <w:bottom w:val="none" w:sz="0" w:space="0" w:color="auto"/>
                    <w:right w:val="none" w:sz="0" w:space="0" w:color="auto"/>
                  </w:divBdr>
                </w:div>
              </w:divsChild>
            </w:div>
            <w:div w:id="2021198412">
              <w:marLeft w:val="0"/>
              <w:marRight w:val="0"/>
              <w:marTop w:val="0"/>
              <w:marBottom w:val="0"/>
              <w:divBdr>
                <w:top w:val="none" w:sz="0" w:space="0" w:color="auto"/>
                <w:left w:val="none" w:sz="0" w:space="0" w:color="auto"/>
                <w:bottom w:val="none" w:sz="0" w:space="0" w:color="auto"/>
                <w:right w:val="none" w:sz="0" w:space="0" w:color="auto"/>
              </w:divBdr>
              <w:divsChild>
                <w:div w:id="740563773">
                  <w:marLeft w:val="0"/>
                  <w:marRight w:val="0"/>
                  <w:marTop w:val="0"/>
                  <w:marBottom w:val="0"/>
                  <w:divBdr>
                    <w:top w:val="none" w:sz="0" w:space="0" w:color="auto"/>
                    <w:left w:val="none" w:sz="0" w:space="0" w:color="auto"/>
                    <w:bottom w:val="none" w:sz="0" w:space="0" w:color="auto"/>
                    <w:right w:val="none" w:sz="0" w:space="0" w:color="auto"/>
                  </w:divBdr>
                </w:div>
              </w:divsChild>
            </w:div>
            <w:div w:id="783961224">
              <w:marLeft w:val="0"/>
              <w:marRight w:val="0"/>
              <w:marTop w:val="0"/>
              <w:marBottom w:val="0"/>
              <w:divBdr>
                <w:top w:val="none" w:sz="0" w:space="0" w:color="auto"/>
                <w:left w:val="none" w:sz="0" w:space="0" w:color="auto"/>
                <w:bottom w:val="none" w:sz="0" w:space="0" w:color="auto"/>
                <w:right w:val="none" w:sz="0" w:space="0" w:color="auto"/>
              </w:divBdr>
              <w:divsChild>
                <w:div w:id="2135054880">
                  <w:marLeft w:val="0"/>
                  <w:marRight w:val="0"/>
                  <w:marTop w:val="0"/>
                  <w:marBottom w:val="0"/>
                  <w:divBdr>
                    <w:top w:val="none" w:sz="0" w:space="0" w:color="auto"/>
                    <w:left w:val="none" w:sz="0" w:space="0" w:color="auto"/>
                    <w:bottom w:val="none" w:sz="0" w:space="0" w:color="auto"/>
                    <w:right w:val="none" w:sz="0" w:space="0" w:color="auto"/>
                  </w:divBdr>
                </w:div>
              </w:divsChild>
            </w:div>
            <w:div w:id="799303425">
              <w:marLeft w:val="0"/>
              <w:marRight w:val="0"/>
              <w:marTop w:val="0"/>
              <w:marBottom w:val="0"/>
              <w:divBdr>
                <w:top w:val="none" w:sz="0" w:space="0" w:color="auto"/>
                <w:left w:val="none" w:sz="0" w:space="0" w:color="auto"/>
                <w:bottom w:val="none" w:sz="0" w:space="0" w:color="auto"/>
                <w:right w:val="none" w:sz="0" w:space="0" w:color="auto"/>
              </w:divBdr>
              <w:divsChild>
                <w:div w:id="483398018">
                  <w:marLeft w:val="0"/>
                  <w:marRight w:val="0"/>
                  <w:marTop w:val="0"/>
                  <w:marBottom w:val="0"/>
                  <w:divBdr>
                    <w:top w:val="none" w:sz="0" w:space="0" w:color="auto"/>
                    <w:left w:val="none" w:sz="0" w:space="0" w:color="auto"/>
                    <w:bottom w:val="none" w:sz="0" w:space="0" w:color="auto"/>
                    <w:right w:val="none" w:sz="0" w:space="0" w:color="auto"/>
                  </w:divBdr>
                </w:div>
              </w:divsChild>
            </w:div>
            <w:div w:id="315307035">
              <w:marLeft w:val="0"/>
              <w:marRight w:val="0"/>
              <w:marTop w:val="0"/>
              <w:marBottom w:val="0"/>
              <w:divBdr>
                <w:top w:val="none" w:sz="0" w:space="0" w:color="auto"/>
                <w:left w:val="none" w:sz="0" w:space="0" w:color="auto"/>
                <w:bottom w:val="none" w:sz="0" w:space="0" w:color="auto"/>
                <w:right w:val="none" w:sz="0" w:space="0" w:color="auto"/>
              </w:divBdr>
              <w:divsChild>
                <w:div w:id="751463345">
                  <w:marLeft w:val="0"/>
                  <w:marRight w:val="0"/>
                  <w:marTop w:val="0"/>
                  <w:marBottom w:val="0"/>
                  <w:divBdr>
                    <w:top w:val="none" w:sz="0" w:space="0" w:color="auto"/>
                    <w:left w:val="none" w:sz="0" w:space="0" w:color="auto"/>
                    <w:bottom w:val="none" w:sz="0" w:space="0" w:color="auto"/>
                    <w:right w:val="none" w:sz="0" w:space="0" w:color="auto"/>
                  </w:divBdr>
                </w:div>
              </w:divsChild>
            </w:div>
            <w:div w:id="1523200566">
              <w:marLeft w:val="0"/>
              <w:marRight w:val="0"/>
              <w:marTop w:val="0"/>
              <w:marBottom w:val="0"/>
              <w:divBdr>
                <w:top w:val="none" w:sz="0" w:space="0" w:color="auto"/>
                <w:left w:val="none" w:sz="0" w:space="0" w:color="auto"/>
                <w:bottom w:val="none" w:sz="0" w:space="0" w:color="auto"/>
                <w:right w:val="none" w:sz="0" w:space="0" w:color="auto"/>
              </w:divBdr>
              <w:divsChild>
                <w:div w:id="2072654564">
                  <w:marLeft w:val="0"/>
                  <w:marRight w:val="0"/>
                  <w:marTop w:val="0"/>
                  <w:marBottom w:val="0"/>
                  <w:divBdr>
                    <w:top w:val="none" w:sz="0" w:space="0" w:color="auto"/>
                    <w:left w:val="none" w:sz="0" w:space="0" w:color="auto"/>
                    <w:bottom w:val="none" w:sz="0" w:space="0" w:color="auto"/>
                    <w:right w:val="none" w:sz="0" w:space="0" w:color="auto"/>
                  </w:divBdr>
                </w:div>
              </w:divsChild>
            </w:div>
            <w:div w:id="1155336625">
              <w:marLeft w:val="0"/>
              <w:marRight w:val="0"/>
              <w:marTop w:val="0"/>
              <w:marBottom w:val="0"/>
              <w:divBdr>
                <w:top w:val="none" w:sz="0" w:space="0" w:color="auto"/>
                <w:left w:val="none" w:sz="0" w:space="0" w:color="auto"/>
                <w:bottom w:val="none" w:sz="0" w:space="0" w:color="auto"/>
                <w:right w:val="none" w:sz="0" w:space="0" w:color="auto"/>
              </w:divBdr>
              <w:divsChild>
                <w:div w:id="1285649364">
                  <w:marLeft w:val="0"/>
                  <w:marRight w:val="0"/>
                  <w:marTop w:val="0"/>
                  <w:marBottom w:val="0"/>
                  <w:divBdr>
                    <w:top w:val="none" w:sz="0" w:space="0" w:color="auto"/>
                    <w:left w:val="none" w:sz="0" w:space="0" w:color="auto"/>
                    <w:bottom w:val="none" w:sz="0" w:space="0" w:color="auto"/>
                    <w:right w:val="none" w:sz="0" w:space="0" w:color="auto"/>
                  </w:divBdr>
                </w:div>
              </w:divsChild>
            </w:div>
            <w:div w:id="1431583248">
              <w:marLeft w:val="0"/>
              <w:marRight w:val="0"/>
              <w:marTop w:val="0"/>
              <w:marBottom w:val="0"/>
              <w:divBdr>
                <w:top w:val="none" w:sz="0" w:space="0" w:color="auto"/>
                <w:left w:val="none" w:sz="0" w:space="0" w:color="auto"/>
                <w:bottom w:val="none" w:sz="0" w:space="0" w:color="auto"/>
                <w:right w:val="none" w:sz="0" w:space="0" w:color="auto"/>
              </w:divBdr>
              <w:divsChild>
                <w:div w:id="1520966703">
                  <w:marLeft w:val="0"/>
                  <w:marRight w:val="0"/>
                  <w:marTop w:val="0"/>
                  <w:marBottom w:val="0"/>
                  <w:divBdr>
                    <w:top w:val="none" w:sz="0" w:space="0" w:color="auto"/>
                    <w:left w:val="none" w:sz="0" w:space="0" w:color="auto"/>
                    <w:bottom w:val="none" w:sz="0" w:space="0" w:color="auto"/>
                    <w:right w:val="none" w:sz="0" w:space="0" w:color="auto"/>
                  </w:divBdr>
                </w:div>
              </w:divsChild>
            </w:div>
            <w:div w:id="768624653">
              <w:marLeft w:val="0"/>
              <w:marRight w:val="0"/>
              <w:marTop w:val="0"/>
              <w:marBottom w:val="0"/>
              <w:divBdr>
                <w:top w:val="none" w:sz="0" w:space="0" w:color="auto"/>
                <w:left w:val="none" w:sz="0" w:space="0" w:color="auto"/>
                <w:bottom w:val="none" w:sz="0" w:space="0" w:color="auto"/>
                <w:right w:val="none" w:sz="0" w:space="0" w:color="auto"/>
              </w:divBdr>
              <w:divsChild>
                <w:div w:id="87821774">
                  <w:marLeft w:val="0"/>
                  <w:marRight w:val="0"/>
                  <w:marTop w:val="0"/>
                  <w:marBottom w:val="0"/>
                  <w:divBdr>
                    <w:top w:val="none" w:sz="0" w:space="0" w:color="auto"/>
                    <w:left w:val="none" w:sz="0" w:space="0" w:color="auto"/>
                    <w:bottom w:val="none" w:sz="0" w:space="0" w:color="auto"/>
                    <w:right w:val="none" w:sz="0" w:space="0" w:color="auto"/>
                  </w:divBdr>
                </w:div>
              </w:divsChild>
            </w:div>
            <w:div w:id="1659731127">
              <w:marLeft w:val="0"/>
              <w:marRight w:val="0"/>
              <w:marTop w:val="0"/>
              <w:marBottom w:val="0"/>
              <w:divBdr>
                <w:top w:val="none" w:sz="0" w:space="0" w:color="auto"/>
                <w:left w:val="none" w:sz="0" w:space="0" w:color="auto"/>
                <w:bottom w:val="none" w:sz="0" w:space="0" w:color="auto"/>
                <w:right w:val="none" w:sz="0" w:space="0" w:color="auto"/>
              </w:divBdr>
              <w:divsChild>
                <w:div w:id="1215194659">
                  <w:marLeft w:val="0"/>
                  <w:marRight w:val="0"/>
                  <w:marTop w:val="0"/>
                  <w:marBottom w:val="0"/>
                  <w:divBdr>
                    <w:top w:val="none" w:sz="0" w:space="0" w:color="auto"/>
                    <w:left w:val="none" w:sz="0" w:space="0" w:color="auto"/>
                    <w:bottom w:val="none" w:sz="0" w:space="0" w:color="auto"/>
                    <w:right w:val="none" w:sz="0" w:space="0" w:color="auto"/>
                  </w:divBdr>
                </w:div>
              </w:divsChild>
            </w:div>
            <w:div w:id="1471902076">
              <w:marLeft w:val="0"/>
              <w:marRight w:val="0"/>
              <w:marTop w:val="0"/>
              <w:marBottom w:val="0"/>
              <w:divBdr>
                <w:top w:val="none" w:sz="0" w:space="0" w:color="auto"/>
                <w:left w:val="none" w:sz="0" w:space="0" w:color="auto"/>
                <w:bottom w:val="none" w:sz="0" w:space="0" w:color="auto"/>
                <w:right w:val="none" w:sz="0" w:space="0" w:color="auto"/>
              </w:divBdr>
              <w:divsChild>
                <w:div w:id="460347340">
                  <w:marLeft w:val="0"/>
                  <w:marRight w:val="0"/>
                  <w:marTop w:val="0"/>
                  <w:marBottom w:val="0"/>
                  <w:divBdr>
                    <w:top w:val="none" w:sz="0" w:space="0" w:color="auto"/>
                    <w:left w:val="none" w:sz="0" w:space="0" w:color="auto"/>
                    <w:bottom w:val="none" w:sz="0" w:space="0" w:color="auto"/>
                    <w:right w:val="none" w:sz="0" w:space="0" w:color="auto"/>
                  </w:divBdr>
                </w:div>
              </w:divsChild>
            </w:div>
            <w:div w:id="1395857656">
              <w:marLeft w:val="0"/>
              <w:marRight w:val="0"/>
              <w:marTop w:val="0"/>
              <w:marBottom w:val="0"/>
              <w:divBdr>
                <w:top w:val="none" w:sz="0" w:space="0" w:color="auto"/>
                <w:left w:val="none" w:sz="0" w:space="0" w:color="auto"/>
                <w:bottom w:val="none" w:sz="0" w:space="0" w:color="auto"/>
                <w:right w:val="none" w:sz="0" w:space="0" w:color="auto"/>
              </w:divBdr>
              <w:divsChild>
                <w:div w:id="1033729428">
                  <w:marLeft w:val="0"/>
                  <w:marRight w:val="0"/>
                  <w:marTop w:val="0"/>
                  <w:marBottom w:val="0"/>
                  <w:divBdr>
                    <w:top w:val="none" w:sz="0" w:space="0" w:color="auto"/>
                    <w:left w:val="none" w:sz="0" w:space="0" w:color="auto"/>
                    <w:bottom w:val="none" w:sz="0" w:space="0" w:color="auto"/>
                    <w:right w:val="none" w:sz="0" w:space="0" w:color="auto"/>
                  </w:divBdr>
                </w:div>
              </w:divsChild>
            </w:div>
            <w:div w:id="983047460">
              <w:marLeft w:val="0"/>
              <w:marRight w:val="0"/>
              <w:marTop w:val="0"/>
              <w:marBottom w:val="0"/>
              <w:divBdr>
                <w:top w:val="none" w:sz="0" w:space="0" w:color="auto"/>
                <w:left w:val="none" w:sz="0" w:space="0" w:color="auto"/>
                <w:bottom w:val="none" w:sz="0" w:space="0" w:color="auto"/>
                <w:right w:val="none" w:sz="0" w:space="0" w:color="auto"/>
              </w:divBdr>
              <w:divsChild>
                <w:div w:id="1861813363">
                  <w:marLeft w:val="0"/>
                  <w:marRight w:val="0"/>
                  <w:marTop w:val="0"/>
                  <w:marBottom w:val="0"/>
                  <w:divBdr>
                    <w:top w:val="none" w:sz="0" w:space="0" w:color="auto"/>
                    <w:left w:val="none" w:sz="0" w:space="0" w:color="auto"/>
                    <w:bottom w:val="none" w:sz="0" w:space="0" w:color="auto"/>
                    <w:right w:val="none" w:sz="0" w:space="0" w:color="auto"/>
                  </w:divBdr>
                </w:div>
              </w:divsChild>
            </w:div>
            <w:div w:id="849872334">
              <w:marLeft w:val="0"/>
              <w:marRight w:val="0"/>
              <w:marTop w:val="0"/>
              <w:marBottom w:val="0"/>
              <w:divBdr>
                <w:top w:val="none" w:sz="0" w:space="0" w:color="auto"/>
                <w:left w:val="none" w:sz="0" w:space="0" w:color="auto"/>
                <w:bottom w:val="none" w:sz="0" w:space="0" w:color="auto"/>
                <w:right w:val="none" w:sz="0" w:space="0" w:color="auto"/>
              </w:divBdr>
              <w:divsChild>
                <w:div w:id="1824739365">
                  <w:marLeft w:val="0"/>
                  <w:marRight w:val="0"/>
                  <w:marTop w:val="0"/>
                  <w:marBottom w:val="0"/>
                  <w:divBdr>
                    <w:top w:val="none" w:sz="0" w:space="0" w:color="auto"/>
                    <w:left w:val="none" w:sz="0" w:space="0" w:color="auto"/>
                    <w:bottom w:val="none" w:sz="0" w:space="0" w:color="auto"/>
                    <w:right w:val="none" w:sz="0" w:space="0" w:color="auto"/>
                  </w:divBdr>
                </w:div>
              </w:divsChild>
            </w:div>
            <w:div w:id="1229196400">
              <w:marLeft w:val="0"/>
              <w:marRight w:val="0"/>
              <w:marTop w:val="0"/>
              <w:marBottom w:val="0"/>
              <w:divBdr>
                <w:top w:val="none" w:sz="0" w:space="0" w:color="auto"/>
                <w:left w:val="none" w:sz="0" w:space="0" w:color="auto"/>
                <w:bottom w:val="none" w:sz="0" w:space="0" w:color="auto"/>
                <w:right w:val="none" w:sz="0" w:space="0" w:color="auto"/>
              </w:divBdr>
              <w:divsChild>
                <w:div w:id="711268519">
                  <w:marLeft w:val="0"/>
                  <w:marRight w:val="0"/>
                  <w:marTop w:val="0"/>
                  <w:marBottom w:val="0"/>
                  <w:divBdr>
                    <w:top w:val="none" w:sz="0" w:space="0" w:color="auto"/>
                    <w:left w:val="none" w:sz="0" w:space="0" w:color="auto"/>
                    <w:bottom w:val="none" w:sz="0" w:space="0" w:color="auto"/>
                    <w:right w:val="none" w:sz="0" w:space="0" w:color="auto"/>
                  </w:divBdr>
                </w:div>
              </w:divsChild>
            </w:div>
            <w:div w:id="499851257">
              <w:marLeft w:val="0"/>
              <w:marRight w:val="0"/>
              <w:marTop w:val="0"/>
              <w:marBottom w:val="0"/>
              <w:divBdr>
                <w:top w:val="none" w:sz="0" w:space="0" w:color="auto"/>
                <w:left w:val="none" w:sz="0" w:space="0" w:color="auto"/>
                <w:bottom w:val="none" w:sz="0" w:space="0" w:color="auto"/>
                <w:right w:val="none" w:sz="0" w:space="0" w:color="auto"/>
              </w:divBdr>
              <w:divsChild>
                <w:div w:id="953442552">
                  <w:marLeft w:val="0"/>
                  <w:marRight w:val="0"/>
                  <w:marTop w:val="0"/>
                  <w:marBottom w:val="0"/>
                  <w:divBdr>
                    <w:top w:val="none" w:sz="0" w:space="0" w:color="auto"/>
                    <w:left w:val="none" w:sz="0" w:space="0" w:color="auto"/>
                    <w:bottom w:val="none" w:sz="0" w:space="0" w:color="auto"/>
                    <w:right w:val="none" w:sz="0" w:space="0" w:color="auto"/>
                  </w:divBdr>
                </w:div>
              </w:divsChild>
            </w:div>
            <w:div w:id="326978602">
              <w:marLeft w:val="0"/>
              <w:marRight w:val="0"/>
              <w:marTop w:val="0"/>
              <w:marBottom w:val="0"/>
              <w:divBdr>
                <w:top w:val="none" w:sz="0" w:space="0" w:color="auto"/>
                <w:left w:val="none" w:sz="0" w:space="0" w:color="auto"/>
                <w:bottom w:val="none" w:sz="0" w:space="0" w:color="auto"/>
                <w:right w:val="none" w:sz="0" w:space="0" w:color="auto"/>
              </w:divBdr>
              <w:divsChild>
                <w:div w:id="592517069">
                  <w:marLeft w:val="0"/>
                  <w:marRight w:val="0"/>
                  <w:marTop w:val="0"/>
                  <w:marBottom w:val="0"/>
                  <w:divBdr>
                    <w:top w:val="none" w:sz="0" w:space="0" w:color="auto"/>
                    <w:left w:val="none" w:sz="0" w:space="0" w:color="auto"/>
                    <w:bottom w:val="none" w:sz="0" w:space="0" w:color="auto"/>
                    <w:right w:val="none" w:sz="0" w:space="0" w:color="auto"/>
                  </w:divBdr>
                </w:div>
              </w:divsChild>
            </w:div>
            <w:div w:id="729885482">
              <w:marLeft w:val="0"/>
              <w:marRight w:val="0"/>
              <w:marTop w:val="0"/>
              <w:marBottom w:val="0"/>
              <w:divBdr>
                <w:top w:val="none" w:sz="0" w:space="0" w:color="auto"/>
                <w:left w:val="none" w:sz="0" w:space="0" w:color="auto"/>
                <w:bottom w:val="none" w:sz="0" w:space="0" w:color="auto"/>
                <w:right w:val="none" w:sz="0" w:space="0" w:color="auto"/>
              </w:divBdr>
              <w:divsChild>
                <w:div w:id="402261127">
                  <w:marLeft w:val="0"/>
                  <w:marRight w:val="0"/>
                  <w:marTop w:val="0"/>
                  <w:marBottom w:val="0"/>
                  <w:divBdr>
                    <w:top w:val="none" w:sz="0" w:space="0" w:color="auto"/>
                    <w:left w:val="none" w:sz="0" w:space="0" w:color="auto"/>
                    <w:bottom w:val="none" w:sz="0" w:space="0" w:color="auto"/>
                    <w:right w:val="none" w:sz="0" w:space="0" w:color="auto"/>
                  </w:divBdr>
                </w:div>
              </w:divsChild>
            </w:div>
            <w:div w:id="2026636425">
              <w:marLeft w:val="0"/>
              <w:marRight w:val="0"/>
              <w:marTop w:val="0"/>
              <w:marBottom w:val="0"/>
              <w:divBdr>
                <w:top w:val="none" w:sz="0" w:space="0" w:color="auto"/>
                <w:left w:val="none" w:sz="0" w:space="0" w:color="auto"/>
                <w:bottom w:val="none" w:sz="0" w:space="0" w:color="auto"/>
                <w:right w:val="none" w:sz="0" w:space="0" w:color="auto"/>
              </w:divBdr>
              <w:divsChild>
                <w:div w:id="160656671">
                  <w:marLeft w:val="0"/>
                  <w:marRight w:val="0"/>
                  <w:marTop w:val="0"/>
                  <w:marBottom w:val="0"/>
                  <w:divBdr>
                    <w:top w:val="none" w:sz="0" w:space="0" w:color="auto"/>
                    <w:left w:val="none" w:sz="0" w:space="0" w:color="auto"/>
                    <w:bottom w:val="none" w:sz="0" w:space="0" w:color="auto"/>
                    <w:right w:val="none" w:sz="0" w:space="0" w:color="auto"/>
                  </w:divBdr>
                </w:div>
              </w:divsChild>
            </w:div>
            <w:div w:id="1509558438">
              <w:marLeft w:val="0"/>
              <w:marRight w:val="0"/>
              <w:marTop w:val="0"/>
              <w:marBottom w:val="0"/>
              <w:divBdr>
                <w:top w:val="none" w:sz="0" w:space="0" w:color="auto"/>
                <w:left w:val="none" w:sz="0" w:space="0" w:color="auto"/>
                <w:bottom w:val="none" w:sz="0" w:space="0" w:color="auto"/>
                <w:right w:val="none" w:sz="0" w:space="0" w:color="auto"/>
              </w:divBdr>
              <w:divsChild>
                <w:div w:id="20409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361">
          <w:marLeft w:val="0"/>
          <w:marRight w:val="0"/>
          <w:marTop w:val="0"/>
          <w:marBottom w:val="600"/>
          <w:divBdr>
            <w:top w:val="none" w:sz="0" w:space="0" w:color="auto"/>
            <w:left w:val="none" w:sz="0" w:space="0" w:color="auto"/>
            <w:bottom w:val="none" w:sz="0" w:space="0" w:color="auto"/>
            <w:right w:val="none" w:sz="0" w:space="0" w:color="auto"/>
          </w:divBdr>
        </w:div>
      </w:divsChild>
    </w:div>
    <w:div w:id="999189435">
      <w:marLeft w:val="0"/>
      <w:marRight w:val="0"/>
      <w:marTop w:val="0"/>
      <w:marBottom w:val="0"/>
      <w:divBdr>
        <w:top w:val="none" w:sz="0" w:space="0" w:color="auto"/>
        <w:left w:val="none" w:sz="0" w:space="0" w:color="auto"/>
        <w:bottom w:val="none" w:sz="0" w:space="0" w:color="auto"/>
        <w:right w:val="none" w:sz="0" w:space="0" w:color="auto"/>
      </w:divBdr>
      <w:divsChild>
        <w:div w:id="1948659380">
          <w:marLeft w:val="0"/>
          <w:marRight w:val="0"/>
          <w:marTop w:val="547"/>
          <w:marBottom w:val="0"/>
          <w:divBdr>
            <w:top w:val="none" w:sz="0" w:space="0" w:color="auto"/>
            <w:left w:val="none" w:sz="0" w:space="0" w:color="auto"/>
            <w:bottom w:val="none" w:sz="0" w:space="0" w:color="auto"/>
            <w:right w:val="none" w:sz="0" w:space="0" w:color="auto"/>
          </w:divBdr>
        </w:div>
        <w:div w:id="845022935">
          <w:marLeft w:val="0"/>
          <w:marRight w:val="0"/>
          <w:marTop w:val="0"/>
          <w:marBottom w:val="0"/>
          <w:divBdr>
            <w:top w:val="none" w:sz="0" w:space="0" w:color="auto"/>
            <w:left w:val="none" w:sz="0" w:space="0" w:color="auto"/>
            <w:bottom w:val="none" w:sz="0" w:space="0" w:color="auto"/>
            <w:right w:val="none" w:sz="0" w:space="0" w:color="auto"/>
          </w:divBdr>
        </w:div>
        <w:div w:id="2140146563">
          <w:marLeft w:val="0"/>
          <w:marRight w:val="0"/>
          <w:marTop w:val="0"/>
          <w:marBottom w:val="600"/>
          <w:divBdr>
            <w:top w:val="none" w:sz="0" w:space="0" w:color="auto"/>
            <w:left w:val="none" w:sz="0" w:space="0" w:color="auto"/>
            <w:bottom w:val="none" w:sz="0" w:space="0" w:color="auto"/>
            <w:right w:val="none" w:sz="0" w:space="0" w:color="auto"/>
          </w:divBdr>
        </w:div>
      </w:divsChild>
    </w:div>
    <w:div w:id="1028917117">
      <w:marLeft w:val="0"/>
      <w:marRight w:val="0"/>
      <w:marTop w:val="0"/>
      <w:marBottom w:val="0"/>
      <w:divBdr>
        <w:top w:val="none" w:sz="0" w:space="0" w:color="auto"/>
        <w:left w:val="none" w:sz="0" w:space="0" w:color="auto"/>
        <w:bottom w:val="none" w:sz="0" w:space="0" w:color="auto"/>
        <w:right w:val="none" w:sz="0" w:space="0" w:color="auto"/>
      </w:divBdr>
      <w:divsChild>
        <w:div w:id="928974361">
          <w:marLeft w:val="0"/>
          <w:marRight w:val="0"/>
          <w:marTop w:val="547"/>
          <w:marBottom w:val="0"/>
          <w:divBdr>
            <w:top w:val="none" w:sz="0" w:space="0" w:color="auto"/>
            <w:left w:val="none" w:sz="0" w:space="0" w:color="auto"/>
            <w:bottom w:val="none" w:sz="0" w:space="0" w:color="auto"/>
            <w:right w:val="none" w:sz="0" w:space="0" w:color="auto"/>
          </w:divBdr>
        </w:div>
        <w:div w:id="2089033437">
          <w:marLeft w:val="0"/>
          <w:marRight w:val="0"/>
          <w:marTop w:val="0"/>
          <w:marBottom w:val="0"/>
          <w:divBdr>
            <w:top w:val="none" w:sz="0" w:space="0" w:color="auto"/>
            <w:left w:val="none" w:sz="0" w:space="0" w:color="auto"/>
            <w:bottom w:val="none" w:sz="0" w:space="0" w:color="auto"/>
            <w:right w:val="none" w:sz="0" w:space="0" w:color="auto"/>
          </w:divBdr>
          <w:divsChild>
            <w:div w:id="307592975">
              <w:marLeft w:val="0"/>
              <w:marRight w:val="0"/>
              <w:marTop w:val="0"/>
              <w:marBottom w:val="0"/>
              <w:divBdr>
                <w:top w:val="none" w:sz="0" w:space="0" w:color="auto"/>
                <w:left w:val="none" w:sz="0" w:space="0" w:color="auto"/>
                <w:bottom w:val="none" w:sz="0" w:space="0" w:color="auto"/>
                <w:right w:val="none" w:sz="0" w:space="0" w:color="auto"/>
              </w:divBdr>
              <w:divsChild>
                <w:div w:id="102768412">
                  <w:marLeft w:val="0"/>
                  <w:marRight w:val="0"/>
                  <w:marTop w:val="0"/>
                  <w:marBottom w:val="0"/>
                  <w:divBdr>
                    <w:top w:val="none" w:sz="0" w:space="0" w:color="auto"/>
                    <w:left w:val="none" w:sz="0" w:space="0" w:color="auto"/>
                    <w:bottom w:val="none" w:sz="0" w:space="0" w:color="auto"/>
                    <w:right w:val="none" w:sz="0" w:space="0" w:color="auto"/>
                  </w:divBdr>
                </w:div>
              </w:divsChild>
            </w:div>
            <w:div w:id="1082526127">
              <w:marLeft w:val="0"/>
              <w:marRight w:val="0"/>
              <w:marTop w:val="0"/>
              <w:marBottom w:val="0"/>
              <w:divBdr>
                <w:top w:val="none" w:sz="0" w:space="0" w:color="auto"/>
                <w:left w:val="none" w:sz="0" w:space="0" w:color="auto"/>
                <w:bottom w:val="none" w:sz="0" w:space="0" w:color="auto"/>
                <w:right w:val="none" w:sz="0" w:space="0" w:color="auto"/>
              </w:divBdr>
              <w:divsChild>
                <w:div w:id="450246792">
                  <w:marLeft w:val="0"/>
                  <w:marRight w:val="0"/>
                  <w:marTop w:val="0"/>
                  <w:marBottom w:val="0"/>
                  <w:divBdr>
                    <w:top w:val="none" w:sz="0" w:space="0" w:color="auto"/>
                    <w:left w:val="none" w:sz="0" w:space="0" w:color="auto"/>
                    <w:bottom w:val="none" w:sz="0" w:space="0" w:color="auto"/>
                    <w:right w:val="none" w:sz="0" w:space="0" w:color="auto"/>
                  </w:divBdr>
                </w:div>
              </w:divsChild>
            </w:div>
            <w:div w:id="743450949">
              <w:marLeft w:val="0"/>
              <w:marRight w:val="0"/>
              <w:marTop w:val="0"/>
              <w:marBottom w:val="0"/>
              <w:divBdr>
                <w:top w:val="none" w:sz="0" w:space="0" w:color="auto"/>
                <w:left w:val="none" w:sz="0" w:space="0" w:color="auto"/>
                <w:bottom w:val="none" w:sz="0" w:space="0" w:color="auto"/>
                <w:right w:val="none" w:sz="0" w:space="0" w:color="auto"/>
              </w:divBdr>
              <w:divsChild>
                <w:div w:id="155996287">
                  <w:marLeft w:val="0"/>
                  <w:marRight w:val="0"/>
                  <w:marTop w:val="0"/>
                  <w:marBottom w:val="0"/>
                  <w:divBdr>
                    <w:top w:val="none" w:sz="0" w:space="0" w:color="auto"/>
                    <w:left w:val="none" w:sz="0" w:space="0" w:color="auto"/>
                    <w:bottom w:val="none" w:sz="0" w:space="0" w:color="auto"/>
                    <w:right w:val="none" w:sz="0" w:space="0" w:color="auto"/>
                  </w:divBdr>
                </w:div>
              </w:divsChild>
            </w:div>
            <w:div w:id="1239048694">
              <w:marLeft w:val="0"/>
              <w:marRight w:val="0"/>
              <w:marTop w:val="0"/>
              <w:marBottom w:val="0"/>
              <w:divBdr>
                <w:top w:val="none" w:sz="0" w:space="0" w:color="auto"/>
                <w:left w:val="none" w:sz="0" w:space="0" w:color="auto"/>
                <w:bottom w:val="none" w:sz="0" w:space="0" w:color="auto"/>
                <w:right w:val="none" w:sz="0" w:space="0" w:color="auto"/>
              </w:divBdr>
              <w:divsChild>
                <w:div w:id="1646737510">
                  <w:marLeft w:val="0"/>
                  <w:marRight w:val="0"/>
                  <w:marTop w:val="0"/>
                  <w:marBottom w:val="0"/>
                  <w:divBdr>
                    <w:top w:val="none" w:sz="0" w:space="0" w:color="auto"/>
                    <w:left w:val="none" w:sz="0" w:space="0" w:color="auto"/>
                    <w:bottom w:val="none" w:sz="0" w:space="0" w:color="auto"/>
                    <w:right w:val="none" w:sz="0" w:space="0" w:color="auto"/>
                  </w:divBdr>
                </w:div>
              </w:divsChild>
            </w:div>
            <w:div w:id="999818247">
              <w:marLeft w:val="0"/>
              <w:marRight w:val="0"/>
              <w:marTop w:val="0"/>
              <w:marBottom w:val="0"/>
              <w:divBdr>
                <w:top w:val="none" w:sz="0" w:space="0" w:color="auto"/>
                <w:left w:val="none" w:sz="0" w:space="0" w:color="auto"/>
                <w:bottom w:val="none" w:sz="0" w:space="0" w:color="auto"/>
                <w:right w:val="none" w:sz="0" w:space="0" w:color="auto"/>
              </w:divBdr>
              <w:divsChild>
                <w:div w:id="1017390538">
                  <w:marLeft w:val="0"/>
                  <w:marRight w:val="0"/>
                  <w:marTop w:val="0"/>
                  <w:marBottom w:val="0"/>
                  <w:divBdr>
                    <w:top w:val="none" w:sz="0" w:space="0" w:color="auto"/>
                    <w:left w:val="none" w:sz="0" w:space="0" w:color="auto"/>
                    <w:bottom w:val="none" w:sz="0" w:space="0" w:color="auto"/>
                    <w:right w:val="none" w:sz="0" w:space="0" w:color="auto"/>
                  </w:divBdr>
                </w:div>
              </w:divsChild>
            </w:div>
            <w:div w:id="670639545">
              <w:marLeft w:val="0"/>
              <w:marRight w:val="0"/>
              <w:marTop w:val="0"/>
              <w:marBottom w:val="0"/>
              <w:divBdr>
                <w:top w:val="none" w:sz="0" w:space="0" w:color="auto"/>
                <w:left w:val="none" w:sz="0" w:space="0" w:color="auto"/>
                <w:bottom w:val="none" w:sz="0" w:space="0" w:color="auto"/>
                <w:right w:val="none" w:sz="0" w:space="0" w:color="auto"/>
              </w:divBdr>
              <w:divsChild>
                <w:div w:id="2123914101">
                  <w:marLeft w:val="0"/>
                  <w:marRight w:val="0"/>
                  <w:marTop w:val="0"/>
                  <w:marBottom w:val="0"/>
                  <w:divBdr>
                    <w:top w:val="none" w:sz="0" w:space="0" w:color="auto"/>
                    <w:left w:val="none" w:sz="0" w:space="0" w:color="auto"/>
                    <w:bottom w:val="none" w:sz="0" w:space="0" w:color="auto"/>
                    <w:right w:val="none" w:sz="0" w:space="0" w:color="auto"/>
                  </w:divBdr>
                </w:div>
              </w:divsChild>
            </w:div>
            <w:div w:id="851072792">
              <w:marLeft w:val="0"/>
              <w:marRight w:val="0"/>
              <w:marTop w:val="0"/>
              <w:marBottom w:val="0"/>
              <w:divBdr>
                <w:top w:val="none" w:sz="0" w:space="0" w:color="auto"/>
                <w:left w:val="none" w:sz="0" w:space="0" w:color="auto"/>
                <w:bottom w:val="none" w:sz="0" w:space="0" w:color="auto"/>
                <w:right w:val="none" w:sz="0" w:space="0" w:color="auto"/>
              </w:divBdr>
              <w:divsChild>
                <w:div w:id="1097363638">
                  <w:marLeft w:val="0"/>
                  <w:marRight w:val="0"/>
                  <w:marTop w:val="0"/>
                  <w:marBottom w:val="0"/>
                  <w:divBdr>
                    <w:top w:val="none" w:sz="0" w:space="0" w:color="auto"/>
                    <w:left w:val="none" w:sz="0" w:space="0" w:color="auto"/>
                    <w:bottom w:val="none" w:sz="0" w:space="0" w:color="auto"/>
                    <w:right w:val="none" w:sz="0" w:space="0" w:color="auto"/>
                  </w:divBdr>
                </w:div>
              </w:divsChild>
            </w:div>
            <w:div w:id="318272393">
              <w:marLeft w:val="0"/>
              <w:marRight w:val="0"/>
              <w:marTop w:val="0"/>
              <w:marBottom w:val="0"/>
              <w:divBdr>
                <w:top w:val="none" w:sz="0" w:space="0" w:color="auto"/>
                <w:left w:val="none" w:sz="0" w:space="0" w:color="auto"/>
                <w:bottom w:val="none" w:sz="0" w:space="0" w:color="auto"/>
                <w:right w:val="none" w:sz="0" w:space="0" w:color="auto"/>
              </w:divBdr>
              <w:divsChild>
                <w:div w:id="1364360815">
                  <w:marLeft w:val="0"/>
                  <w:marRight w:val="0"/>
                  <w:marTop w:val="0"/>
                  <w:marBottom w:val="0"/>
                  <w:divBdr>
                    <w:top w:val="none" w:sz="0" w:space="0" w:color="auto"/>
                    <w:left w:val="none" w:sz="0" w:space="0" w:color="auto"/>
                    <w:bottom w:val="none" w:sz="0" w:space="0" w:color="auto"/>
                    <w:right w:val="none" w:sz="0" w:space="0" w:color="auto"/>
                  </w:divBdr>
                </w:div>
              </w:divsChild>
            </w:div>
            <w:div w:id="622154963">
              <w:marLeft w:val="0"/>
              <w:marRight w:val="0"/>
              <w:marTop w:val="0"/>
              <w:marBottom w:val="0"/>
              <w:divBdr>
                <w:top w:val="none" w:sz="0" w:space="0" w:color="auto"/>
                <w:left w:val="none" w:sz="0" w:space="0" w:color="auto"/>
                <w:bottom w:val="none" w:sz="0" w:space="0" w:color="auto"/>
                <w:right w:val="none" w:sz="0" w:space="0" w:color="auto"/>
              </w:divBdr>
              <w:divsChild>
                <w:div w:id="2050714349">
                  <w:marLeft w:val="0"/>
                  <w:marRight w:val="0"/>
                  <w:marTop w:val="0"/>
                  <w:marBottom w:val="0"/>
                  <w:divBdr>
                    <w:top w:val="none" w:sz="0" w:space="0" w:color="auto"/>
                    <w:left w:val="none" w:sz="0" w:space="0" w:color="auto"/>
                    <w:bottom w:val="none" w:sz="0" w:space="0" w:color="auto"/>
                    <w:right w:val="none" w:sz="0" w:space="0" w:color="auto"/>
                  </w:divBdr>
                </w:div>
              </w:divsChild>
            </w:div>
            <w:div w:id="1886985273">
              <w:marLeft w:val="0"/>
              <w:marRight w:val="0"/>
              <w:marTop w:val="0"/>
              <w:marBottom w:val="0"/>
              <w:divBdr>
                <w:top w:val="none" w:sz="0" w:space="0" w:color="auto"/>
                <w:left w:val="none" w:sz="0" w:space="0" w:color="auto"/>
                <w:bottom w:val="none" w:sz="0" w:space="0" w:color="auto"/>
                <w:right w:val="none" w:sz="0" w:space="0" w:color="auto"/>
              </w:divBdr>
              <w:divsChild>
                <w:div w:id="1327782744">
                  <w:marLeft w:val="0"/>
                  <w:marRight w:val="0"/>
                  <w:marTop w:val="0"/>
                  <w:marBottom w:val="0"/>
                  <w:divBdr>
                    <w:top w:val="none" w:sz="0" w:space="0" w:color="auto"/>
                    <w:left w:val="none" w:sz="0" w:space="0" w:color="auto"/>
                    <w:bottom w:val="none" w:sz="0" w:space="0" w:color="auto"/>
                    <w:right w:val="none" w:sz="0" w:space="0" w:color="auto"/>
                  </w:divBdr>
                </w:div>
              </w:divsChild>
            </w:div>
            <w:div w:id="1895922905">
              <w:marLeft w:val="0"/>
              <w:marRight w:val="0"/>
              <w:marTop w:val="0"/>
              <w:marBottom w:val="0"/>
              <w:divBdr>
                <w:top w:val="none" w:sz="0" w:space="0" w:color="auto"/>
                <w:left w:val="none" w:sz="0" w:space="0" w:color="auto"/>
                <w:bottom w:val="none" w:sz="0" w:space="0" w:color="auto"/>
                <w:right w:val="none" w:sz="0" w:space="0" w:color="auto"/>
              </w:divBdr>
              <w:divsChild>
                <w:div w:id="1270314909">
                  <w:marLeft w:val="0"/>
                  <w:marRight w:val="0"/>
                  <w:marTop w:val="0"/>
                  <w:marBottom w:val="0"/>
                  <w:divBdr>
                    <w:top w:val="none" w:sz="0" w:space="0" w:color="auto"/>
                    <w:left w:val="none" w:sz="0" w:space="0" w:color="auto"/>
                    <w:bottom w:val="none" w:sz="0" w:space="0" w:color="auto"/>
                    <w:right w:val="none" w:sz="0" w:space="0" w:color="auto"/>
                  </w:divBdr>
                </w:div>
              </w:divsChild>
            </w:div>
            <w:div w:id="1429429307">
              <w:marLeft w:val="0"/>
              <w:marRight w:val="0"/>
              <w:marTop w:val="0"/>
              <w:marBottom w:val="0"/>
              <w:divBdr>
                <w:top w:val="none" w:sz="0" w:space="0" w:color="auto"/>
                <w:left w:val="none" w:sz="0" w:space="0" w:color="auto"/>
                <w:bottom w:val="none" w:sz="0" w:space="0" w:color="auto"/>
                <w:right w:val="none" w:sz="0" w:space="0" w:color="auto"/>
              </w:divBdr>
              <w:divsChild>
                <w:div w:id="1009023777">
                  <w:marLeft w:val="0"/>
                  <w:marRight w:val="0"/>
                  <w:marTop w:val="0"/>
                  <w:marBottom w:val="0"/>
                  <w:divBdr>
                    <w:top w:val="none" w:sz="0" w:space="0" w:color="auto"/>
                    <w:left w:val="none" w:sz="0" w:space="0" w:color="auto"/>
                    <w:bottom w:val="none" w:sz="0" w:space="0" w:color="auto"/>
                    <w:right w:val="none" w:sz="0" w:space="0" w:color="auto"/>
                  </w:divBdr>
                </w:div>
              </w:divsChild>
            </w:div>
            <w:div w:id="937297426">
              <w:marLeft w:val="0"/>
              <w:marRight w:val="0"/>
              <w:marTop w:val="0"/>
              <w:marBottom w:val="0"/>
              <w:divBdr>
                <w:top w:val="none" w:sz="0" w:space="0" w:color="auto"/>
                <w:left w:val="none" w:sz="0" w:space="0" w:color="auto"/>
                <w:bottom w:val="none" w:sz="0" w:space="0" w:color="auto"/>
                <w:right w:val="none" w:sz="0" w:space="0" w:color="auto"/>
              </w:divBdr>
              <w:divsChild>
                <w:div w:id="20151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7164">
          <w:marLeft w:val="0"/>
          <w:marRight w:val="0"/>
          <w:marTop w:val="0"/>
          <w:marBottom w:val="600"/>
          <w:divBdr>
            <w:top w:val="none" w:sz="0" w:space="0" w:color="auto"/>
            <w:left w:val="none" w:sz="0" w:space="0" w:color="auto"/>
            <w:bottom w:val="none" w:sz="0" w:space="0" w:color="auto"/>
            <w:right w:val="none" w:sz="0" w:space="0" w:color="auto"/>
          </w:divBdr>
        </w:div>
      </w:divsChild>
    </w:div>
    <w:div w:id="1080523593">
      <w:marLeft w:val="0"/>
      <w:marRight w:val="0"/>
      <w:marTop w:val="0"/>
      <w:marBottom w:val="0"/>
      <w:divBdr>
        <w:top w:val="none" w:sz="0" w:space="0" w:color="auto"/>
        <w:left w:val="none" w:sz="0" w:space="0" w:color="auto"/>
        <w:bottom w:val="none" w:sz="0" w:space="0" w:color="auto"/>
        <w:right w:val="none" w:sz="0" w:space="0" w:color="auto"/>
      </w:divBdr>
      <w:divsChild>
        <w:div w:id="1543520148">
          <w:marLeft w:val="0"/>
          <w:marRight w:val="0"/>
          <w:marTop w:val="547"/>
          <w:marBottom w:val="0"/>
          <w:divBdr>
            <w:top w:val="none" w:sz="0" w:space="0" w:color="auto"/>
            <w:left w:val="none" w:sz="0" w:space="0" w:color="auto"/>
            <w:bottom w:val="none" w:sz="0" w:space="0" w:color="auto"/>
            <w:right w:val="none" w:sz="0" w:space="0" w:color="auto"/>
          </w:divBdr>
        </w:div>
        <w:div w:id="754478723">
          <w:marLeft w:val="0"/>
          <w:marRight w:val="0"/>
          <w:marTop w:val="0"/>
          <w:marBottom w:val="0"/>
          <w:divBdr>
            <w:top w:val="none" w:sz="0" w:space="0" w:color="auto"/>
            <w:left w:val="none" w:sz="0" w:space="0" w:color="auto"/>
            <w:bottom w:val="none" w:sz="0" w:space="0" w:color="auto"/>
            <w:right w:val="none" w:sz="0" w:space="0" w:color="auto"/>
          </w:divBdr>
        </w:div>
        <w:div w:id="1189415394">
          <w:marLeft w:val="0"/>
          <w:marRight w:val="0"/>
          <w:marTop w:val="0"/>
          <w:marBottom w:val="600"/>
          <w:divBdr>
            <w:top w:val="none" w:sz="0" w:space="0" w:color="auto"/>
            <w:left w:val="none" w:sz="0" w:space="0" w:color="auto"/>
            <w:bottom w:val="none" w:sz="0" w:space="0" w:color="auto"/>
            <w:right w:val="none" w:sz="0" w:space="0" w:color="auto"/>
          </w:divBdr>
        </w:div>
      </w:divsChild>
    </w:div>
    <w:div w:id="1153646113">
      <w:marLeft w:val="0"/>
      <w:marRight w:val="0"/>
      <w:marTop w:val="0"/>
      <w:marBottom w:val="0"/>
      <w:divBdr>
        <w:top w:val="none" w:sz="0" w:space="0" w:color="auto"/>
        <w:left w:val="none" w:sz="0" w:space="0" w:color="auto"/>
        <w:bottom w:val="none" w:sz="0" w:space="0" w:color="auto"/>
        <w:right w:val="none" w:sz="0" w:space="0" w:color="auto"/>
      </w:divBdr>
      <w:divsChild>
        <w:div w:id="1452936035">
          <w:marLeft w:val="0"/>
          <w:marRight w:val="0"/>
          <w:marTop w:val="547"/>
          <w:marBottom w:val="0"/>
          <w:divBdr>
            <w:top w:val="none" w:sz="0" w:space="0" w:color="auto"/>
            <w:left w:val="none" w:sz="0" w:space="0" w:color="auto"/>
            <w:bottom w:val="none" w:sz="0" w:space="0" w:color="auto"/>
            <w:right w:val="none" w:sz="0" w:space="0" w:color="auto"/>
          </w:divBdr>
        </w:div>
        <w:div w:id="1360816779">
          <w:marLeft w:val="0"/>
          <w:marRight w:val="0"/>
          <w:marTop w:val="0"/>
          <w:marBottom w:val="0"/>
          <w:divBdr>
            <w:top w:val="none" w:sz="0" w:space="0" w:color="auto"/>
            <w:left w:val="none" w:sz="0" w:space="0" w:color="auto"/>
            <w:bottom w:val="none" w:sz="0" w:space="0" w:color="auto"/>
            <w:right w:val="none" w:sz="0" w:space="0" w:color="auto"/>
          </w:divBdr>
        </w:div>
        <w:div w:id="168638306">
          <w:marLeft w:val="0"/>
          <w:marRight w:val="0"/>
          <w:marTop w:val="0"/>
          <w:marBottom w:val="600"/>
          <w:divBdr>
            <w:top w:val="none" w:sz="0" w:space="0" w:color="auto"/>
            <w:left w:val="none" w:sz="0" w:space="0" w:color="auto"/>
            <w:bottom w:val="none" w:sz="0" w:space="0" w:color="auto"/>
            <w:right w:val="none" w:sz="0" w:space="0" w:color="auto"/>
          </w:divBdr>
        </w:div>
      </w:divsChild>
    </w:div>
    <w:div w:id="1173688166">
      <w:marLeft w:val="0"/>
      <w:marRight w:val="0"/>
      <w:marTop w:val="0"/>
      <w:marBottom w:val="0"/>
      <w:divBdr>
        <w:top w:val="none" w:sz="0" w:space="0" w:color="auto"/>
        <w:left w:val="none" w:sz="0" w:space="0" w:color="auto"/>
        <w:bottom w:val="none" w:sz="0" w:space="0" w:color="auto"/>
        <w:right w:val="none" w:sz="0" w:space="0" w:color="auto"/>
      </w:divBdr>
      <w:divsChild>
        <w:div w:id="938871635">
          <w:marLeft w:val="0"/>
          <w:marRight w:val="0"/>
          <w:marTop w:val="547"/>
          <w:marBottom w:val="0"/>
          <w:divBdr>
            <w:top w:val="none" w:sz="0" w:space="0" w:color="auto"/>
            <w:left w:val="none" w:sz="0" w:space="0" w:color="auto"/>
            <w:bottom w:val="none" w:sz="0" w:space="0" w:color="auto"/>
            <w:right w:val="none" w:sz="0" w:space="0" w:color="auto"/>
          </w:divBdr>
        </w:div>
        <w:div w:id="31273968">
          <w:marLeft w:val="0"/>
          <w:marRight w:val="0"/>
          <w:marTop w:val="0"/>
          <w:marBottom w:val="0"/>
          <w:divBdr>
            <w:top w:val="none" w:sz="0" w:space="0" w:color="auto"/>
            <w:left w:val="none" w:sz="0" w:space="0" w:color="auto"/>
            <w:bottom w:val="none" w:sz="0" w:space="0" w:color="auto"/>
            <w:right w:val="none" w:sz="0" w:space="0" w:color="auto"/>
          </w:divBdr>
        </w:div>
        <w:div w:id="604271876">
          <w:marLeft w:val="0"/>
          <w:marRight w:val="0"/>
          <w:marTop w:val="0"/>
          <w:marBottom w:val="600"/>
          <w:divBdr>
            <w:top w:val="none" w:sz="0" w:space="0" w:color="auto"/>
            <w:left w:val="none" w:sz="0" w:space="0" w:color="auto"/>
            <w:bottom w:val="none" w:sz="0" w:space="0" w:color="auto"/>
            <w:right w:val="none" w:sz="0" w:space="0" w:color="auto"/>
          </w:divBdr>
        </w:div>
      </w:divsChild>
    </w:div>
    <w:div w:id="1222326303">
      <w:marLeft w:val="0"/>
      <w:marRight w:val="0"/>
      <w:marTop w:val="0"/>
      <w:marBottom w:val="0"/>
      <w:divBdr>
        <w:top w:val="none" w:sz="0" w:space="0" w:color="auto"/>
        <w:left w:val="none" w:sz="0" w:space="0" w:color="auto"/>
        <w:bottom w:val="none" w:sz="0" w:space="0" w:color="auto"/>
        <w:right w:val="none" w:sz="0" w:space="0" w:color="auto"/>
      </w:divBdr>
      <w:divsChild>
        <w:div w:id="1782533933">
          <w:marLeft w:val="0"/>
          <w:marRight w:val="0"/>
          <w:marTop w:val="547"/>
          <w:marBottom w:val="0"/>
          <w:divBdr>
            <w:top w:val="none" w:sz="0" w:space="0" w:color="auto"/>
            <w:left w:val="none" w:sz="0" w:space="0" w:color="auto"/>
            <w:bottom w:val="none" w:sz="0" w:space="0" w:color="auto"/>
            <w:right w:val="none" w:sz="0" w:space="0" w:color="auto"/>
          </w:divBdr>
        </w:div>
        <w:div w:id="553350048">
          <w:marLeft w:val="0"/>
          <w:marRight w:val="0"/>
          <w:marTop w:val="0"/>
          <w:marBottom w:val="0"/>
          <w:divBdr>
            <w:top w:val="none" w:sz="0" w:space="0" w:color="auto"/>
            <w:left w:val="none" w:sz="0" w:space="0" w:color="auto"/>
            <w:bottom w:val="none" w:sz="0" w:space="0" w:color="auto"/>
            <w:right w:val="none" w:sz="0" w:space="0" w:color="auto"/>
          </w:divBdr>
        </w:div>
        <w:div w:id="1617983532">
          <w:marLeft w:val="0"/>
          <w:marRight w:val="0"/>
          <w:marTop w:val="0"/>
          <w:marBottom w:val="600"/>
          <w:divBdr>
            <w:top w:val="none" w:sz="0" w:space="0" w:color="auto"/>
            <w:left w:val="none" w:sz="0" w:space="0" w:color="auto"/>
            <w:bottom w:val="none" w:sz="0" w:space="0" w:color="auto"/>
            <w:right w:val="none" w:sz="0" w:space="0" w:color="auto"/>
          </w:divBdr>
        </w:div>
      </w:divsChild>
    </w:div>
    <w:div w:id="1226062266">
      <w:marLeft w:val="0"/>
      <w:marRight w:val="0"/>
      <w:marTop w:val="0"/>
      <w:marBottom w:val="0"/>
      <w:divBdr>
        <w:top w:val="none" w:sz="0" w:space="0" w:color="auto"/>
        <w:left w:val="none" w:sz="0" w:space="0" w:color="auto"/>
        <w:bottom w:val="none" w:sz="0" w:space="0" w:color="auto"/>
        <w:right w:val="none" w:sz="0" w:space="0" w:color="auto"/>
      </w:divBdr>
      <w:divsChild>
        <w:div w:id="1541357389">
          <w:marLeft w:val="0"/>
          <w:marRight w:val="0"/>
          <w:marTop w:val="547"/>
          <w:marBottom w:val="0"/>
          <w:divBdr>
            <w:top w:val="none" w:sz="0" w:space="0" w:color="auto"/>
            <w:left w:val="none" w:sz="0" w:space="0" w:color="auto"/>
            <w:bottom w:val="none" w:sz="0" w:space="0" w:color="auto"/>
            <w:right w:val="none" w:sz="0" w:space="0" w:color="auto"/>
          </w:divBdr>
        </w:div>
        <w:div w:id="450514668">
          <w:marLeft w:val="0"/>
          <w:marRight w:val="0"/>
          <w:marTop w:val="0"/>
          <w:marBottom w:val="0"/>
          <w:divBdr>
            <w:top w:val="none" w:sz="0" w:space="0" w:color="auto"/>
            <w:left w:val="none" w:sz="0" w:space="0" w:color="auto"/>
            <w:bottom w:val="none" w:sz="0" w:space="0" w:color="auto"/>
            <w:right w:val="none" w:sz="0" w:space="0" w:color="auto"/>
          </w:divBdr>
          <w:divsChild>
            <w:div w:id="1462729775">
              <w:marLeft w:val="0"/>
              <w:marRight w:val="0"/>
              <w:marTop w:val="0"/>
              <w:marBottom w:val="0"/>
              <w:divBdr>
                <w:top w:val="none" w:sz="0" w:space="0" w:color="auto"/>
                <w:left w:val="none" w:sz="0" w:space="0" w:color="auto"/>
                <w:bottom w:val="none" w:sz="0" w:space="0" w:color="auto"/>
                <w:right w:val="none" w:sz="0" w:space="0" w:color="auto"/>
              </w:divBdr>
              <w:divsChild>
                <w:div w:id="120080788">
                  <w:marLeft w:val="0"/>
                  <w:marRight w:val="0"/>
                  <w:marTop w:val="0"/>
                  <w:marBottom w:val="0"/>
                  <w:divBdr>
                    <w:top w:val="none" w:sz="0" w:space="0" w:color="auto"/>
                    <w:left w:val="none" w:sz="0" w:space="0" w:color="auto"/>
                    <w:bottom w:val="none" w:sz="0" w:space="0" w:color="auto"/>
                    <w:right w:val="none" w:sz="0" w:space="0" w:color="auto"/>
                  </w:divBdr>
                </w:div>
              </w:divsChild>
            </w:div>
            <w:div w:id="518394318">
              <w:marLeft w:val="0"/>
              <w:marRight w:val="0"/>
              <w:marTop w:val="0"/>
              <w:marBottom w:val="0"/>
              <w:divBdr>
                <w:top w:val="none" w:sz="0" w:space="0" w:color="auto"/>
                <w:left w:val="none" w:sz="0" w:space="0" w:color="auto"/>
                <w:bottom w:val="none" w:sz="0" w:space="0" w:color="auto"/>
                <w:right w:val="none" w:sz="0" w:space="0" w:color="auto"/>
              </w:divBdr>
              <w:divsChild>
                <w:div w:id="1416240694">
                  <w:marLeft w:val="0"/>
                  <w:marRight w:val="0"/>
                  <w:marTop w:val="0"/>
                  <w:marBottom w:val="0"/>
                  <w:divBdr>
                    <w:top w:val="none" w:sz="0" w:space="0" w:color="auto"/>
                    <w:left w:val="none" w:sz="0" w:space="0" w:color="auto"/>
                    <w:bottom w:val="none" w:sz="0" w:space="0" w:color="auto"/>
                    <w:right w:val="none" w:sz="0" w:space="0" w:color="auto"/>
                  </w:divBdr>
                </w:div>
              </w:divsChild>
            </w:div>
            <w:div w:id="330718764">
              <w:marLeft w:val="0"/>
              <w:marRight w:val="0"/>
              <w:marTop w:val="0"/>
              <w:marBottom w:val="0"/>
              <w:divBdr>
                <w:top w:val="none" w:sz="0" w:space="0" w:color="auto"/>
                <w:left w:val="none" w:sz="0" w:space="0" w:color="auto"/>
                <w:bottom w:val="none" w:sz="0" w:space="0" w:color="auto"/>
                <w:right w:val="none" w:sz="0" w:space="0" w:color="auto"/>
              </w:divBdr>
              <w:divsChild>
                <w:div w:id="421730409">
                  <w:marLeft w:val="0"/>
                  <w:marRight w:val="0"/>
                  <w:marTop w:val="0"/>
                  <w:marBottom w:val="0"/>
                  <w:divBdr>
                    <w:top w:val="none" w:sz="0" w:space="0" w:color="auto"/>
                    <w:left w:val="none" w:sz="0" w:space="0" w:color="auto"/>
                    <w:bottom w:val="none" w:sz="0" w:space="0" w:color="auto"/>
                    <w:right w:val="none" w:sz="0" w:space="0" w:color="auto"/>
                  </w:divBdr>
                </w:div>
              </w:divsChild>
            </w:div>
            <w:div w:id="393479381">
              <w:marLeft w:val="0"/>
              <w:marRight w:val="0"/>
              <w:marTop w:val="0"/>
              <w:marBottom w:val="0"/>
              <w:divBdr>
                <w:top w:val="none" w:sz="0" w:space="0" w:color="auto"/>
                <w:left w:val="none" w:sz="0" w:space="0" w:color="auto"/>
                <w:bottom w:val="none" w:sz="0" w:space="0" w:color="auto"/>
                <w:right w:val="none" w:sz="0" w:space="0" w:color="auto"/>
              </w:divBdr>
              <w:divsChild>
                <w:div w:id="14920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8124">
          <w:marLeft w:val="0"/>
          <w:marRight w:val="0"/>
          <w:marTop w:val="0"/>
          <w:marBottom w:val="600"/>
          <w:divBdr>
            <w:top w:val="none" w:sz="0" w:space="0" w:color="auto"/>
            <w:left w:val="none" w:sz="0" w:space="0" w:color="auto"/>
            <w:bottom w:val="none" w:sz="0" w:space="0" w:color="auto"/>
            <w:right w:val="none" w:sz="0" w:space="0" w:color="auto"/>
          </w:divBdr>
        </w:div>
      </w:divsChild>
    </w:div>
    <w:div w:id="1244072769">
      <w:marLeft w:val="0"/>
      <w:marRight w:val="0"/>
      <w:marTop w:val="0"/>
      <w:marBottom w:val="0"/>
      <w:divBdr>
        <w:top w:val="none" w:sz="0" w:space="0" w:color="auto"/>
        <w:left w:val="none" w:sz="0" w:space="0" w:color="auto"/>
        <w:bottom w:val="none" w:sz="0" w:space="0" w:color="auto"/>
        <w:right w:val="none" w:sz="0" w:space="0" w:color="auto"/>
      </w:divBdr>
      <w:divsChild>
        <w:div w:id="1780946530">
          <w:marLeft w:val="0"/>
          <w:marRight w:val="0"/>
          <w:marTop w:val="547"/>
          <w:marBottom w:val="0"/>
          <w:divBdr>
            <w:top w:val="none" w:sz="0" w:space="0" w:color="auto"/>
            <w:left w:val="none" w:sz="0" w:space="0" w:color="auto"/>
            <w:bottom w:val="none" w:sz="0" w:space="0" w:color="auto"/>
            <w:right w:val="none" w:sz="0" w:space="0" w:color="auto"/>
          </w:divBdr>
        </w:div>
        <w:div w:id="621107933">
          <w:marLeft w:val="0"/>
          <w:marRight w:val="0"/>
          <w:marTop w:val="0"/>
          <w:marBottom w:val="0"/>
          <w:divBdr>
            <w:top w:val="none" w:sz="0" w:space="0" w:color="auto"/>
            <w:left w:val="none" w:sz="0" w:space="0" w:color="auto"/>
            <w:bottom w:val="none" w:sz="0" w:space="0" w:color="auto"/>
            <w:right w:val="none" w:sz="0" w:space="0" w:color="auto"/>
          </w:divBdr>
        </w:div>
        <w:div w:id="2125269061">
          <w:marLeft w:val="0"/>
          <w:marRight w:val="0"/>
          <w:marTop w:val="0"/>
          <w:marBottom w:val="600"/>
          <w:divBdr>
            <w:top w:val="none" w:sz="0" w:space="0" w:color="auto"/>
            <w:left w:val="none" w:sz="0" w:space="0" w:color="auto"/>
            <w:bottom w:val="none" w:sz="0" w:space="0" w:color="auto"/>
            <w:right w:val="none" w:sz="0" w:space="0" w:color="auto"/>
          </w:divBdr>
        </w:div>
      </w:divsChild>
    </w:div>
    <w:div w:id="1253273643">
      <w:marLeft w:val="0"/>
      <w:marRight w:val="0"/>
      <w:marTop w:val="0"/>
      <w:marBottom w:val="0"/>
      <w:divBdr>
        <w:top w:val="none" w:sz="0" w:space="0" w:color="auto"/>
        <w:left w:val="none" w:sz="0" w:space="0" w:color="auto"/>
        <w:bottom w:val="none" w:sz="0" w:space="0" w:color="auto"/>
        <w:right w:val="none" w:sz="0" w:space="0" w:color="auto"/>
      </w:divBdr>
      <w:divsChild>
        <w:div w:id="302082775">
          <w:marLeft w:val="0"/>
          <w:marRight w:val="0"/>
          <w:marTop w:val="547"/>
          <w:marBottom w:val="0"/>
          <w:divBdr>
            <w:top w:val="none" w:sz="0" w:space="0" w:color="auto"/>
            <w:left w:val="none" w:sz="0" w:space="0" w:color="auto"/>
            <w:bottom w:val="none" w:sz="0" w:space="0" w:color="auto"/>
            <w:right w:val="none" w:sz="0" w:space="0" w:color="auto"/>
          </w:divBdr>
        </w:div>
        <w:div w:id="1734347742">
          <w:marLeft w:val="0"/>
          <w:marRight w:val="0"/>
          <w:marTop w:val="0"/>
          <w:marBottom w:val="0"/>
          <w:divBdr>
            <w:top w:val="none" w:sz="0" w:space="0" w:color="auto"/>
            <w:left w:val="none" w:sz="0" w:space="0" w:color="auto"/>
            <w:bottom w:val="none" w:sz="0" w:space="0" w:color="auto"/>
            <w:right w:val="none" w:sz="0" w:space="0" w:color="auto"/>
          </w:divBdr>
        </w:div>
        <w:div w:id="1185709120">
          <w:marLeft w:val="0"/>
          <w:marRight w:val="0"/>
          <w:marTop w:val="0"/>
          <w:marBottom w:val="600"/>
          <w:divBdr>
            <w:top w:val="none" w:sz="0" w:space="0" w:color="auto"/>
            <w:left w:val="none" w:sz="0" w:space="0" w:color="auto"/>
            <w:bottom w:val="none" w:sz="0" w:space="0" w:color="auto"/>
            <w:right w:val="none" w:sz="0" w:space="0" w:color="auto"/>
          </w:divBdr>
        </w:div>
      </w:divsChild>
    </w:div>
    <w:div w:id="1258252722">
      <w:marLeft w:val="0"/>
      <w:marRight w:val="0"/>
      <w:marTop w:val="0"/>
      <w:marBottom w:val="0"/>
      <w:divBdr>
        <w:top w:val="none" w:sz="0" w:space="0" w:color="auto"/>
        <w:left w:val="none" w:sz="0" w:space="0" w:color="auto"/>
        <w:bottom w:val="none" w:sz="0" w:space="0" w:color="auto"/>
        <w:right w:val="none" w:sz="0" w:space="0" w:color="auto"/>
      </w:divBdr>
      <w:divsChild>
        <w:div w:id="2132163011">
          <w:marLeft w:val="0"/>
          <w:marRight w:val="0"/>
          <w:marTop w:val="547"/>
          <w:marBottom w:val="0"/>
          <w:divBdr>
            <w:top w:val="none" w:sz="0" w:space="0" w:color="auto"/>
            <w:left w:val="none" w:sz="0" w:space="0" w:color="auto"/>
            <w:bottom w:val="none" w:sz="0" w:space="0" w:color="auto"/>
            <w:right w:val="none" w:sz="0" w:space="0" w:color="auto"/>
          </w:divBdr>
        </w:div>
        <w:div w:id="134883232">
          <w:marLeft w:val="0"/>
          <w:marRight w:val="0"/>
          <w:marTop w:val="0"/>
          <w:marBottom w:val="0"/>
          <w:divBdr>
            <w:top w:val="none" w:sz="0" w:space="0" w:color="auto"/>
            <w:left w:val="none" w:sz="0" w:space="0" w:color="auto"/>
            <w:bottom w:val="none" w:sz="0" w:space="0" w:color="auto"/>
            <w:right w:val="none" w:sz="0" w:space="0" w:color="auto"/>
          </w:divBdr>
          <w:divsChild>
            <w:div w:id="1386492970">
              <w:marLeft w:val="0"/>
              <w:marRight w:val="0"/>
              <w:marTop w:val="0"/>
              <w:marBottom w:val="0"/>
              <w:divBdr>
                <w:top w:val="none" w:sz="0" w:space="0" w:color="auto"/>
                <w:left w:val="none" w:sz="0" w:space="0" w:color="auto"/>
                <w:bottom w:val="none" w:sz="0" w:space="0" w:color="auto"/>
                <w:right w:val="none" w:sz="0" w:space="0" w:color="auto"/>
              </w:divBdr>
              <w:divsChild>
                <w:div w:id="166603134">
                  <w:marLeft w:val="0"/>
                  <w:marRight w:val="0"/>
                  <w:marTop w:val="0"/>
                  <w:marBottom w:val="0"/>
                  <w:divBdr>
                    <w:top w:val="none" w:sz="0" w:space="0" w:color="auto"/>
                    <w:left w:val="none" w:sz="0" w:space="0" w:color="auto"/>
                    <w:bottom w:val="none" w:sz="0" w:space="0" w:color="auto"/>
                    <w:right w:val="none" w:sz="0" w:space="0" w:color="auto"/>
                  </w:divBdr>
                </w:div>
              </w:divsChild>
            </w:div>
            <w:div w:id="1385759846">
              <w:marLeft w:val="0"/>
              <w:marRight w:val="0"/>
              <w:marTop w:val="0"/>
              <w:marBottom w:val="0"/>
              <w:divBdr>
                <w:top w:val="none" w:sz="0" w:space="0" w:color="auto"/>
                <w:left w:val="none" w:sz="0" w:space="0" w:color="auto"/>
                <w:bottom w:val="none" w:sz="0" w:space="0" w:color="auto"/>
                <w:right w:val="none" w:sz="0" w:space="0" w:color="auto"/>
              </w:divBdr>
              <w:divsChild>
                <w:div w:id="1329096456">
                  <w:marLeft w:val="0"/>
                  <w:marRight w:val="0"/>
                  <w:marTop w:val="0"/>
                  <w:marBottom w:val="0"/>
                  <w:divBdr>
                    <w:top w:val="none" w:sz="0" w:space="0" w:color="auto"/>
                    <w:left w:val="none" w:sz="0" w:space="0" w:color="auto"/>
                    <w:bottom w:val="none" w:sz="0" w:space="0" w:color="auto"/>
                    <w:right w:val="none" w:sz="0" w:space="0" w:color="auto"/>
                  </w:divBdr>
                </w:div>
              </w:divsChild>
            </w:div>
            <w:div w:id="1031496933">
              <w:marLeft w:val="0"/>
              <w:marRight w:val="0"/>
              <w:marTop w:val="0"/>
              <w:marBottom w:val="0"/>
              <w:divBdr>
                <w:top w:val="none" w:sz="0" w:space="0" w:color="auto"/>
                <w:left w:val="none" w:sz="0" w:space="0" w:color="auto"/>
                <w:bottom w:val="none" w:sz="0" w:space="0" w:color="auto"/>
                <w:right w:val="none" w:sz="0" w:space="0" w:color="auto"/>
              </w:divBdr>
              <w:divsChild>
                <w:div w:id="1279027279">
                  <w:marLeft w:val="0"/>
                  <w:marRight w:val="0"/>
                  <w:marTop w:val="0"/>
                  <w:marBottom w:val="0"/>
                  <w:divBdr>
                    <w:top w:val="none" w:sz="0" w:space="0" w:color="auto"/>
                    <w:left w:val="none" w:sz="0" w:space="0" w:color="auto"/>
                    <w:bottom w:val="none" w:sz="0" w:space="0" w:color="auto"/>
                    <w:right w:val="none" w:sz="0" w:space="0" w:color="auto"/>
                  </w:divBdr>
                </w:div>
              </w:divsChild>
            </w:div>
            <w:div w:id="364060995">
              <w:marLeft w:val="0"/>
              <w:marRight w:val="0"/>
              <w:marTop w:val="0"/>
              <w:marBottom w:val="0"/>
              <w:divBdr>
                <w:top w:val="none" w:sz="0" w:space="0" w:color="auto"/>
                <w:left w:val="none" w:sz="0" w:space="0" w:color="auto"/>
                <w:bottom w:val="none" w:sz="0" w:space="0" w:color="auto"/>
                <w:right w:val="none" w:sz="0" w:space="0" w:color="auto"/>
              </w:divBdr>
              <w:divsChild>
                <w:div w:id="1258296195">
                  <w:marLeft w:val="0"/>
                  <w:marRight w:val="0"/>
                  <w:marTop w:val="0"/>
                  <w:marBottom w:val="0"/>
                  <w:divBdr>
                    <w:top w:val="none" w:sz="0" w:space="0" w:color="auto"/>
                    <w:left w:val="none" w:sz="0" w:space="0" w:color="auto"/>
                    <w:bottom w:val="none" w:sz="0" w:space="0" w:color="auto"/>
                    <w:right w:val="none" w:sz="0" w:space="0" w:color="auto"/>
                  </w:divBdr>
                </w:div>
              </w:divsChild>
            </w:div>
            <w:div w:id="521626331">
              <w:marLeft w:val="0"/>
              <w:marRight w:val="0"/>
              <w:marTop w:val="0"/>
              <w:marBottom w:val="0"/>
              <w:divBdr>
                <w:top w:val="none" w:sz="0" w:space="0" w:color="auto"/>
                <w:left w:val="none" w:sz="0" w:space="0" w:color="auto"/>
                <w:bottom w:val="none" w:sz="0" w:space="0" w:color="auto"/>
                <w:right w:val="none" w:sz="0" w:space="0" w:color="auto"/>
              </w:divBdr>
              <w:divsChild>
                <w:div w:id="333731917">
                  <w:marLeft w:val="0"/>
                  <w:marRight w:val="0"/>
                  <w:marTop w:val="0"/>
                  <w:marBottom w:val="0"/>
                  <w:divBdr>
                    <w:top w:val="none" w:sz="0" w:space="0" w:color="auto"/>
                    <w:left w:val="none" w:sz="0" w:space="0" w:color="auto"/>
                    <w:bottom w:val="none" w:sz="0" w:space="0" w:color="auto"/>
                    <w:right w:val="none" w:sz="0" w:space="0" w:color="auto"/>
                  </w:divBdr>
                </w:div>
              </w:divsChild>
            </w:div>
            <w:div w:id="2021470326">
              <w:marLeft w:val="0"/>
              <w:marRight w:val="0"/>
              <w:marTop w:val="0"/>
              <w:marBottom w:val="0"/>
              <w:divBdr>
                <w:top w:val="none" w:sz="0" w:space="0" w:color="auto"/>
                <w:left w:val="none" w:sz="0" w:space="0" w:color="auto"/>
                <w:bottom w:val="none" w:sz="0" w:space="0" w:color="auto"/>
                <w:right w:val="none" w:sz="0" w:space="0" w:color="auto"/>
              </w:divBdr>
              <w:divsChild>
                <w:div w:id="98840472">
                  <w:marLeft w:val="0"/>
                  <w:marRight w:val="0"/>
                  <w:marTop w:val="0"/>
                  <w:marBottom w:val="0"/>
                  <w:divBdr>
                    <w:top w:val="none" w:sz="0" w:space="0" w:color="auto"/>
                    <w:left w:val="none" w:sz="0" w:space="0" w:color="auto"/>
                    <w:bottom w:val="none" w:sz="0" w:space="0" w:color="auto"/>
                    <w:right w:val="none" w:sz="0" w:space="0" w:color="auto"/>
                  </w:divBdr>
                </w:div>
              </w:divsChild>
            </w:div>
            <w:div w:id="965744494">
              <w:marLeft w:val="0"/>
              <w:marRight w:val="0"/>
              <w:marTop w:val="0"/>
              <w:marBottom w:val="0"/>
              <w:divBdr>
                <w:top w:val="none" w:sz="0" w:space="0" w:color="auto"/>
                <w:left w:val="none" w:sz="0" w:space="0" w:color="auto"/>
                <w:bottom w:val="none" w:sz="0" w:space="0" w:color="auto"/>
                <w:right w:val="none" w:sz="0" w:space="0" w:color="auto"/>
              </w:divBdr>
              <w:divsChild>
                <w:div w:id="10831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7815">
          <w:marLeft w:val="0"/>
          <w:marRight w:val="0"/>
          <w:marTop w:val="0"/>
          <w:marBottom w:val="600"/>
          <w:divBdr>
            <w:top w:val="none" w:sz="0" w:space="0" w:color="auto"/>
            <w:left w:val="none" w:sz="0" w:space="0" w:color="auto"/>
            <w:bottom w:val="none" w:sz="0" w:space="0" w:color="auto"/>
            <w:right w:val="none" w:sz="0" w:space="0" w:color="auto"/>
          </w:divBdr>
        </w:div>
      </w:divsChild>
    </w:div>
    <w:div w:id="1361394845">
      <w:marLeft w:val="0"/>
      <w:marRight w:val="0"/>
      <w:marTop w:val="0"/>
      <w:marBottom w:val="0"/>
      <w:divBdr>
        <w:top w:val="none" w:sz="0" w:space="0" w:color="auto"/>
        <w:left w:val="none" w:sz="0" w:space="0" w:color="auto"/>
        <w:bottom w:val="none" w:sz="0" w:space="0" w:color="auto"/>
        <w:right w:val="none" w:sz="0" w:space="0" w:color="auto"/>
      </w:divBdr>
      <w:divsChild>
        <w:div w:id="2094665527">
          <w:marLeft w:val="0"/>
          <w:marRight w:val="0"/>
          <w:marTop w:val="547"/>
          <w:marBottom w:val="0"/>
          <w:divBdr>
            <w:top w:val="none" w:sz="0" w:space="0" w:color="auto"/>
            <w:left w:val="none" w:sz="0" w:space="0" w:color="auto"/>
            <w:bottom w:val="none" w:sz="0" w:space="0" w:color="auto"/>
            <w:right w:val="none" w:sz="0" w:space="0" w:color="auto"/>
          </w:divBdr>
        </w:div>
        <w:div w:id="825974892">
          <w:marLeft w:val="0"/>
          <w:marRight w:val="0"/>
          <w:marTop w:val="0"/>
          <w:marBottom w:val="0"/>
          <w:divBdr>
            <w:top w:val="none" w:sz="0" w:space="0" w:color="auto"/>
            <w:left w:val="none" w:sz="0" w:space="0" w:color="auto"/>
            <w:bottom w:val="none" w:sz="0" w:space="0" w:color="auto"/>
            <w:right w:val="none" w:sz="0" w:space="0" w:color="auto"/>
          </w:divBdr>
        </w:div>
        <w:div w:id="1150096701">
          <w:marLeft w:val="0"/>
          <w:marRight w:val="0"/>
          <w:marTop w:val="0"/>
          <w:marBottom w:val="600"/>
          <w:divBdr>
            <w:top w:val="none" w:sz="0" w:space="0" w:color="auto"/>
            <w:left w:val="none" w:sz="0" w:space="0" w:color="auto"/>
            <w:bottom w:val="none" w:sz="0" w:space="0" w:color="auto"/>
            <w:right w:val="none" w:sz="0" w:space="0" w:color="auto"/>
          </w:divBdr>
        </w:div>
      </w:divsChild>
    </w:div>
    <w:div w:id="1363435694">
      <w:marLeft w:val="0"/>
      <w:marRight w:val="0"/>
      <w:marTop w:val="0"/>
      <w:marBottom w:val="0"/>
      <w:divBdr>
        <w:top w:val="none" w:sz="0" w:space="0" w:color="auto"/>
        <w:left w:val="none" w:sz="0" w:space="0" w:color="auto"/>
        <w:bottom w:val="none" w:sz="0" w:space="0" w:color="auto"/>
        <w:right w:val="none" w:sz="0" w:space="0" w:color="auto"/>
      </w:divBdr>
      <w:divsChild>
        <w:div w:id="378629342">
          <w:marLeft w:val="0"/>
          <w:marRight w:val="0"/>
          <w:marTop w:val="547"/>
          <w:marBottom w:val="0"/>
          <w:divBdr>
            <w:top w:val="none" w:sz="0" w:space="0" w:color="auto"/>
            <w:left w:val="none" w:sz="0" w:space="0" w:color="auto"/>
            <w:bottom w:val="none" w:sz="0" w:space="0" w:color="auto"/>
            <w:right w:val="none" w:sz="0" w:space="0" w:color="auto"/>
          </w:divBdr>
        </w:div>
        <w:div w:id="770010386">
          <w:marLeft w:val="0"/>
          <w:marRight w:val="0"/>
          <w:marTop w:val="0"/>
          <w:marBottom w:val="0"/>
          <w:divBdr>
            <w:top w:val="none" w:sz="0" w:space="0" w:color="auto"/>
            <w:left w:val="none" w:sz="0" w:space="0" w:color="auto"/>
            <w:bottom w:val="none" w:sz="0" w:space="0" w:color="auto"/>
            <w:right w:val="none" w:sz="0" w:space="0" w:color="auto"/>
          </w:divBdr>
        </w:div>
        <w:div w:id="2049210345">
          <w:marLeft w:val="0"/>
          <w:marRight w:val="0"/>
          <w:marTop w:val="0"/>
          <w:marBottom w:val="600"/>
          <w:divBdr>
            <w:top w:val="none" w:sz="0" w:space="0" w:color="auto"/>
            <w:left w:val="none" w:sz="0" w:space="0" w:color="auto"/>
            <w:bottom w:val="none" w:sz="0" w:space="0" w:color="auto"/>
            <w:right w:val="none" w:sz="0" w:space="0" w:color="auto"/>
          </w:divBdr>
        </w:div>
      </w:divsChild>
    </w:div>
    <w:div w:id="1366910611">
      <w:marLeft w:val="0"/>
      <w:marRight w:val="0"/>
      <w:marTop w:val="0"/>
      <w:marBottom w:val="0"/>
      <w:divBdr>
        <w:top w:val="none" w:sz="0" w:space="0" w:color="auto"/>
        <w:left w:val="none" w:sz="0" w:space="0" w:color="auto"/>
        <w:bottom w:val="none" w:sz="0" w:space="0" w:color="auto"/>
        <w:right w:val="none" w:sz="0" w:space="0" w:color="auto"/>
      </w:divBdr>
      <w:divsChild>
        <w:div w:id="223489628">
          <w:marLeft w:val="0"/>
          <w:marRight w:val="0"/>
          <w:marTop w:val="547"/>
          <w:marBottom w:val="0"/>
          <w:divBdr>
            <w:top w:val="none" w:sz="0" w:space="0" w:color="auto"/>
            <w:left w:val="none" w:sz="0" w:space="0" w:color="auto"/>
            <w:bottom w:val="none" w:sz="0" w:space="0" w:color="auto"/>
            <w:right w:val="none" w:sz="0" w:space="0" w:color="auto"/>
          </w:divBdr>
        </w:div>
        <w:div w:id="343094208">
          <w:marLeft w:val="0"/>
          <w:marRight w:val="0"/>
          <w:marTop w:val="0"/>
          <w:marBottom w:val="0"/>
          <w:divBdr>
            <w:top w:val="none" w:sz="0" w:space="0" w:color="auto"/>
            <w:left w:val="none" w:sz="0" w:space="0" w:color="auto"/>
            <w:bottom w:val="none" w:sz="0" w:space="0" w:color="auto"/>
            <w:right w:val="none" w:sz="0" w:space="0" w:color="auto"/>
          </w:divBdr>
        </w:div>
        <w:div w:id="1484930134">
          <w:marLeft w:val="0"/>
          <w:marRight w:val="0"/>
          <w:marTop w:val="0"/>
          <w:marBottom w:val="600"/>
          <w:divBdr>
            <w:top w:val="none" w:sz="0" w:space="0" w:color="auto"/>
            <w:left w:val="none" w:sz="0" w:space="0" w:color="auto"/>
            <w:bottom w:val="none" w:sz="0" w:space="0" w:color="auto"/>
            <w:right w:val="none" w:sz="0" w:space="0" w:color="auto"/>
          </w:divBdr>
        </w:div>
      </w:divsChild>
    </w:div>
    <w:div w:id="1383871865">
      <w:marLeft w:val="0"/>
      <w:marRight w:val="0"/>
      <w:marTop w:val="0"/>
      <w:marBottom w:val="0"/>
      <w:divBdr>
        <w:top w:val="none" w:sz="0" w:space="0" w:color="auto"/>
        <w:left w:val="none" w:sz="0" w:space="0" w:color="auto"/>
        <w:bottom w:val="none" w:sz="0" w:space="0" w:color="auto"/>
        <w:right w:val="none" w:sz="0" w:space="0" w:color="auto"/>
      </w:divBdr>
      <w:divsChild>
        <w:div w:id="635647230">
          <w:marLeft w:val="0"/>
          <w:marRight w:val="0"/>
          <w:marTop w:val="547"/>
          <w:marBottom w:val="0"/>
          <w:divBdr>
            <w:top w:val="none" w:sz="0" w:space="0" w:color="auto"/>
            <w:left w:val="none" w:sz="0" w:space="0" w:color="auto"/>
            <w:bottom w:val="none" w:sz="0" w:space="0" w:color="auto"/>
            <w:right w:val="none" w:sz="0" w:space="0" w:color="auto"/>
          </w:divBdr>
        </w:div>
        <w:div w:id="1600022499">
          <w:marLeft w:val="0"/>
          <w:marRight w:val="0"/>
          <w:marTop w:val="0"/>
          <w:marBottom w:val="0"/>
          <w:divBdr>
            <w:top w:val="none" w:sz="0" w:space="0" w:color="auto"/>
            <w:left w:val="none" w:sz="0" w:space="0" w:color="auto"/>
            <w:bottom w:val="none" w:sz="0" w:space="0" w:color="auto"/>
            <w:right w:val="none" w:sz="0" w:space="0" w:color="auto"/>
          </w:divBdr>
        </w:div>
        <w:div w:id="469514836">
          <w:marLeft w:val="0"/>
          <w:marRight w:val="0"/>
          <w:marTop w:val="0"/>
          <w:marBottom w:val="600"/>
          <w:divBdr>
            <w:top w:val="none" w:sz="0" w:space="0" w:color="auto"/>
            <w:left w:val="none" w:sz="0" w:space="0" w:color="auto"/>
            <w:bottom w:val="none" w:sz="0" w:space="0" w:color="auto"/>
            <w:right w:val="none" w:sz="0" w:space="0" w:color="auto"/>
          </w:divBdr>
        </w:div>
      </w:divsChild>
    </w:div>
    <w:div w:id="1386681184">
      <w:marLeft w:val="0"/>
      <w:marRight w:val="0"/>
      <w:marTop w:val="0"/>
      <w:marBottom w:val="0"/>
      <w:divBdr>
        <w:top w:val="none" w:sz="0" w:space="0" w:color="auto"/>
        <w:left w:val="none" w:sz="0" w:space="0" w:color="auto"/>
        <w:bottom w:val="none" w:sz="0" w:space="0" w:color="auto"/>
        <w:right w:val="none" w:sz="0" w:space="0" w:color="auto"/>
      </w:divBdr>
      <w:divsChild>
        <w:div w:id="648749326">
          <w:marLeft w:val="0"/>
          <w:marRight w:val="0"/>
          <w:marTop w:val="547"/>
          <w:marBottom w:val="0"/>
          <w:divBdr>
            <w:top w:val="none" w:sz="0" w:space="0" w:color="auto"/>
            <w:left w:val="none" w:sz="0" w:space="0" w:color="auto"/>
            <w:bottom w:val="none" w:sz="0" w:space="0" w:color="auto"/>
            <w:right w:val="none" w:sz="0" w:space="0" w:color="auto"/>
          </w:divBdr>
        </w:div>
        <w:div w:id="905726994">
          <w:marLeft w:val="0"/>
          <w:marRight w:val="0"/>
          <w:marTop w:val="0"/>
          <w:marBottom w:val="0"/>
          <w:divBdr>
            <w:top w:val="none" w:sz="0" w:space="0" w:color="auto"/>
            <w:left w:val="none" w:sz="0" w:space="0" w:color="auto"/>
            <w:bottom w:val="none" w:sz="0" w:space="0" w:color="auto"/>
            <w:right w:val="none" w:sz="0" w:space="0" w:color="auto"/>
          </w:divBdr>
        </w:div>
        <w:div w:id="1627849460">
          <w:marLeft w:val="0"/>
          <w:marRight w:val="0"/>
          <w:marTop w:val="0"/>
          <w:marBottom w:val="600"/>
          <w:divBdr>
            <w:top w:val="none" w:sz="0" w:space="0" w:color="auto"/>
            <w:left w:val="none" w:sz="0" w:space="0" w:color="auto"/>
            <w:bottom w:val="none" w:sz="0" w:space="0" w:color="auto"/>
            <w:right w:val="none" w:sz="0" w:space="0" w:color="auto"/>
          </w:divBdr>
        </w:div>
      </w:divsChild>
    </w:div>
    <w:div w:id="1408112179">
      <w:marLeft w:val="0"/>
      <w:marRight w:val="0"/>
      <w:marTop w:val="0"/>
      <w:marBottom w:val="0"/>
      <w:divBdr>
        <w:top w:val="none" w:sz="0" w:space="0" w:color="auto"/>
        <w:left w:val="none" w:sz="0" w:space="0" w:color="auto"/>
        <w:bottom w:val="none" w:sz="0" w:space="0" w:color="auto"/>
        <w:right w:val="none" w:sz="0" w:space="0" w:color="auto"/>
      </w:divBdr>
      <w:divsChild>
        <w:div w:id="1403287424">
          <w:marLeft w:val="0"/>
          <w:marRight w:val="0"/>
          <w:marTop w:val="547"/>
          <w:marBottom w:val="0"/>
          <w:divBdr>
            <w:top w:val="none" w:sz="0" w:space="0" w:color="auto"/>
            <w:left w:val="none" w:sz="0" w:space="0" w:color="auto"/>
            <w:bottom w:val="none" w:sz="0" w:space="0" w:color="auto"/>
            <w:right w:val="none" w:sz="0" w:space="0" w:color="auto"/>
          </w:divBdr>
        </w:div>
        <w:div w:id="1920869341">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600"/>
          <w:divBdr>
            <w:top w:val="none" w:sz="0" w:space="0" w:color="auto"/>
            <w:left w:val="none" w:sz="0" w:space="0" w:color="auto"/>
            <w:bottom w:val="none" w:sz="0" w:space="0" w:color="auto"/>
            <w:right w:val="none" w:sz="0" w:space="0" w:color="auto"/>
          </w:divBdr>
        </w:div>
      </w:divsChild>
    </w:div>
    <w:div w:id="1415084972">
      <w:marLeft w:val="0"/>
      <w:marRight w:val="0"/>
      <w:marTop w:val="0"/>
      <w:marBottom w:val="0"/>
      <w:divBdr>
        <w:top w:val="none" w:sz="0" w:space="0" w:color="auto"/>
        <w:left w:val="none" w:sz="0" w:space="0" w:color="auto"/>
        <w:bottom w:val="none" w:sz="0" w:space="0" w:color="auto"/>
        <w:right w:val="none" w:sz="0" w:space="0" w:color="auto"/>
      </w:divBdr>
      <w:divsChild>
        <w:div w:id="1545293773">
          <w:marLeft w:val="0"/>
          <w:marRight w:val="0"/>
          <w:marTop w:val="547"/>
          <w:marBottom w:val="0"/>
          <w:divBdr>
            <w:top w:val="none" w:sz="0" w:space="0" w:color="auto"/>
            <w:left w:val="none" w:sz="0" w:space="0" w:color="auto"/>
            <w:bottom w:val="none" w:sz="0" w:space="0" w:color="auto"/>
            <w:right w:val="none" w:sz="0" w:space="0" w:color="auto"/>
          </w:divBdr>
        </w:div>
        <w:div w:id="1314482118">
          <w:marLeft w:val="0"/>
          <w:marRight w:val="0"/>
          <w:marTop w:val="0"/>
          <w:marBottom w:val="0"/>
          <w:divBdr>
            <w:top w:val="none" w:sz="0" w:space="0" w:color="auto"/>
            <w:left w:val="none" w:sz="0" w:space="0" w:color="auto"/>
            <w:bottom w:val="none" w:sz="0" w:space="0" w:color="auto"/>
            <w:right w:val="none" w:sz="0" w:space="0" w:color="auto"/>
          </w:divBdr>
        </w:div>
        <w:div w:id="1089346814">
          <w:marLeft w:val="0"/>
          <w:marRight w:val="0"/>
          <w:marTop w:val="0"/>
          <w:marBottom w:val="600"/>
          <w:divBdr>
            <w:top w:val="none" w:sz="0" w:space="0" w:color="auto"/>
            <w:left w:val="none" w:sz="0" w:space="0" w:color="auto"/>
            <w:bottom w:val="none" w:sz="0" w:space="0" w:color="auto"/>
            <w:right w:val="none" w:sz="0" w:space="0" w:color="auto"/>
          </w:divBdr>
        </w:div>
      </w:divsChild>
    </w:div>
    <w:div w:id="1432504038">
      <w:marLeft w:val="0"/>
      <w:marRight w:val="0"/>
      <w:marTop w:val="0"/>
      <w:marBottom w:val="0"/>
      <w:divBdr>
        <w:top w:val="none" w:sz="0" w:space="0" w:color="auto"/>
        <w:left w:val="none" w:sz="0" w:space="0" w:color="auto"/>
        <w:bottom w:val="none" w:sz="0" w:space="0" w:color="auto"/>
        <w:right w:val="none" w:sz="0" w:space="0" w:color="auto"/>
      </w:divBdr>
      <w:divsChild>
        <w:div w:id="1981375951">
          <w:marLeft w:val="0"/>
          <w:marRight w:val="0"/>
          <w:marTop w:val="547"/>
          <w:marBottom w:val="0"/>
          <w:divBdr>
            <w:top w:val="none" w:sz="0" w:space="0" w:color="auto"/>
            <w:left w:val="none" w:sz="0" w:space="0" w:color="auto"/>
            <w:bottom w:val="none" w:sz="0" w:space="0" w:color="auto"/>
            <w:right w:val="none" w:sz="0" w:space="0" w:color="auto"/>
          </w:divBdr>
        </w:div>
        <w:div w:id="1410729174">
          <w:marLeft w:val="0"/>
          <w:marRight w:val="0"/>
          <w:marTop w:val="0"/>
          <w:marBottom w:val="0"/>
          <w:divBdr>
            <w:top w:val="none" w:sz="0" w:space="0" w:color="auto"/>
            <w:left w:val="none" w:sz="0" w:space="0" w:color="auto"/>
            <w:bottom w:val="none" w:sz="0" w:space="0" w:color="auto"/>
            <w:right w:val="none" w:sz="0" w:space="0" w:color="auto"/>
          </w:divBdr>
        </w:div>
        <w:div w:id="2137603338">
          <w:marLeft w:val="0"/>
          <w:marRight w:val="0"/>
          <w:marTop w:val="0"/>
          <w:marBottom w:val="600"/>
          <w:divBdr>
            <w:top w:val="none" w:sz="0" w:space="0" w:color="auto"/>
            <w:left w:val="none" w:sz="0" w:space="0" w:color="auto"/>
            <w:bottom w:val="none" w:sz="0" w:space="0" w:color="auto"/>
            <w:right w:val="none" w:sz="0" w:space="0" w:color="auto"/>
          </w:divBdr>
        </w:div>
      </w:divsChild>
    </w:div>
    <w:div w:id="1507134670">
      <w:marLeft w:val="0"/>
      <w:marRight w:val="0"/>
      <w:marTop w:val="0"/>
      <w:marBottom w:val="0"/>
      <w:divBdr>
        <w:top w:val="none" w:sz="0" w:space="0" w:color="auto"/>
        <w:left w:val="none" w:sz="0" w:space="0" w:color="auto"/>
        <w:bottom w:val="none" w:sz="0" w:space="0" w:color="auto"/>
        <w:right w:val="none" w:sz="0" w:space="0" w:color="auto"/>
      </w:divBdr>
      <w:divsChild>
        <w:div w:id="1357852560">
          <w:marLeft w:val="0"/>
          <w:marRight w:val="0"/>
          <w:marTop w:val="547"/>
          <w:marBottom w:val="0"/>
          <w:divBdr>
            <w:top w:val="none" w:sz="0" w:space="0" w:color="auto"/>
            <w:left w:val="none" w:sz="0" w:space="0" w:color="auto"/>
            <w:bottom w:val="none" w:sz="0" w:space="0" w:color="auto"/>
            <w:right w:val="none" w:sz="0" w:space="0" w:color="auto"/>
          </w:divBdr>
        </w:div>
        <w:div w:id="694117610">
          <w:marLeft w:val="0"/>
          <w:marRight w:val="0"/>
          <w:marTop w:val="0"/>
          <w:marBottom w:val="0"/>
          <w:divBdr>
            <w:top w:val="none" w:sz="0" w:space="0" w:color="auto"/>
            <w:left w:val="none" w:sz="0" w:space="0" w:color="auto"/>
            <w:bottom w:val="none" w:sz="0" w:space="0" w:color="auto"/>
            <w:right w:val="none" w:sz="0" w:space="0" w:color="auto"/>
          </w:divBdr>
        </w:div>
        <w:div w:id="269048784">
          <w:marLeft w:val="0"/>
          <w:marRight w:val="0"/>
          <w:marTop w:val="0"/>
          <w:marBottom w:val="600"/>
          <w:divBdr>
            <w:top w:val="none" w:sz="0" w:space="0" w:color="auto"/>
            <w:left w:val="none" w:sz="0" w:space="0" w:color="auto"/>
            <w:bottom w:val="none" w:sz="0" w:space="0" w:color="auto"/>
            <w:right w:val="none" w:sz="0" w:space="0" w:color="auto"/>
          </w:divBdr>
        </w:div>
      </w:divsChild>
    </w:div>
    <w:div w:id="1507552206">
      <w:marLeft w:val="0"/>
      <w:marRight w:val="0"/>
      <w:marTop w:val="0"/>
      <w:marBottom w:val="0"/>
      <w:divBdr>
        <w:top w:val="none" w:sz="0" w:space="0" w:color="auto"/>
        <w:left w:val="none" w:sz="0" w:space="0" w:color="auto"/>
        <w:bottom w:val="none" w:sz="0" w:space="0" w:color="auto"/>
        <w:right w:val="none" w:sz="0" w:space="0" w:color="auto"/>
      </w:divBdr>
      <w:divsChild>
        <w:div w:id="1747873615">
          <w:marLeft w:val="0"/>
          <w:marRight w:val="0"/>
          <w:marTop w:val="547"/>
          <w:marBottom w:val="0"/>
          <w:divBdr>
            <w:top w:val="none" w:sz="0" w:space="0" w:color="auto"/>
            <w:left w:val="none" w:sz="0" w:space="0" w:color="auto"/>
            <w:bottom w:val="none" w:sz="0" w:space="0" w:color="auto"/>
            <w:right w:val="none" w:sz="0" w:space="0" w:color="auto"/>
          </w:divBdr>
        </w:div>
        <w:div w:id="1608659255">
          <w:marLeft w:val="0"/>
          <w:marRight w:val="0"/>
          <w:marTop w:val="0"/>
          <w:marBottom w:val="0"/>
          <w:divBdr>
            <w:top w:val="none" w:sz="0" w:space="0" w:color="auto"/>
            <w:left w:val="none" w:sz="0" w:space="0" w:color="auto"/>
            <w:bottom w:val="none" w:sz="0" w:space="0" w:color="auto"/>
            <w:right w:val="none" w:sz="0" w:space="0" w:color="auto"/>
          </w:divBdr>
          <w:divsChild>
            <w:div w:id="240716775">
              <w:marLeft w:val="0"/>
              <w:marRight w:val="0"/>
              <w:marTop w:val="0"/>
              <w:marBottom w:val="0"/>
              <w:divBdr>
                <w:top w:val="none" w:sz="0" w:space="0" w:color="auto"/>
                <w:left w:val="none" w:sz="0" w:space="0" w:color="auto"/>
                <w:bottom w:val="none" w:sz="0" w:space="0" w:color="auto"/>
                <w:right w:val="none" w:sz="0" w:space="0" w:color="auto"/>
              </w:divBdr>
              <w:divsChild>
                <w:div w:id="12838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6829">
          <w:marLeft w:val="0"/>
          <w:marRight w:val="0"/>
          <w:marTop w:val="0"/>
          <w:marBottom w:val="600"/>
          <w:divBdr>
            <w:top w:val="none" w:sz="0" w:space="0" w:color="auto"/>
            <w:left w:val="none" w:sz="0" w:space="0" w:color="auto"/>
            <w:bottom w:val="none" w:sz="0" w:space="0" w:color="auto"/>
            <w:right w:val="none" w:sz="0" w:space="0" w:color="auto"/>
          </w:divBdr>
        </w:div>
      </w:divsChild>
    </w:div>
    <w:div w:id="1593540412">
      <w:marLeft w:val="0"/>
      <w:marRight w:val="0"/>
      <w:marTop w:val="0"/>
      <w:marBottom w:val="0"/>
      <w:divBdr>
        <w:top w:val="none" w:sz="0" w:space="0" w:color="auto"/>
        <w:left w:val="none" w:sz="0" w:space="0" w:color="auto"/>
        <w:bottom w:val="none" w:sz="0" w:space="0" w:color="auto"/>
        <w:right w:val="none" w:sz="0" w:space="0" w:color="auto"/>
      </w:divBdr>
      <w:divsChild>
        <w:div w:id="1720856176">
          <w:marLeft w:val="0"/>
          <w:marRight w:val="0"/>
          <w:marTop w:val="547"/>
          <w:marBottom w:val="0"/>
          <w:divBdr>
            <w:top w:val="none" w:sz="0" w:space="0" w:color="auto"/>
            <w:left w:val="none" w:sz="0" w:space="0" w:color="auto"/>
            <w:bottom w:val="none" w:sz="0" w:space="0" w:color="auto"/>
            <w:right w:val="none" w:sz="0" w:space="0" w:color="auto"/>
          </w:divBdr>
        </w:div>
        <w:div w:id="432822109">
          <w:marLeft w:val="0"/>
          <w:marRight w:val="0"/>
          <w:marTop w:val="0"/>
          <w:marBottom w:val="0"/>
          <w:divBdr>
            <w:top w:val="none" w:sz="0" w:space="0" w:color="auto"/>
            <w:left w:val="none" w:sz="0" w:space="0" w:color="auto"/>
            <w:bottom w:val="none" w:sz="0" w:space="0" w:color="auto"/>
            <w:right w:val="none" w:sz="0" w:space="0" w:color="auto"/>
          </w:divBdr>
          <w:divsChild>
            <w:div w:id="508327495">
              <w:marLeft w:val="0"/>
              <w:marRight w:val="0"/>
              <w:marTop w:val="0"/>
              <w:marBottom w:val="0"/>
              <w:divBdr>
                <w:top w:val="none" w:sz="0" w:space="0" w:color="auto"/>
                <w:left w:val="none" w:sz="0" w:space="0" w:color="auto"/>
                <w:bottom w:val="none" w:sz="0" w:space="0" w:color="auto"/>
                <w:right w:val="none" w:sz="0" w:space="0" w:color="auto"/>
              </w:divBdr>
              <w:divsChild>
                <w:div w:id="245766657">
                  <w:marLeft w:val="0"/>
                  <w:marRight w:val="0"/>
                  <w:marTop w:val="0"/>
                  <w:marBottom w:val="0"/>
                  <w:divBdr>
                    <w:top w:val="none" w:sz="0" w:space="0" w:color="auto"/>
                    <w:left w:val="none" w:sz="0" w:space="0" w:color="auto"/>
                    <w:bottom w:val="none" w:sz="0" w:space="0" w:color="auto"/>
                    <w:right w:val="none" w:sz="0" w:space="0" w:color="auto"/>
                  </w:divBdr>
                </w:div>
              </w:divsChild>
            </w:div>
            <w:div w:id="643774185">
              <w:marLeft w:val="0"/>
              <w:marRight w:val="0"/>
              <w:marTop w:val="0"/>
              <w:marBottom w:val="0"/>
              <w:divBdr>
                <w:top w:val="none" w:sz="0" w:space="0" w:color="auto"/>
                <w:left w:val="none" w:sz="0" w:space="0" w:color="auto"/>
                <w:bottom w:val="none" w:sz="0" w:space="0" w:color="auto"/>
                <w:right w:val="none" w:sz="0" w:space="0" w:color="auto"/>
              </w:divBdr>
              <w:divsChild>
                <w:div w:id="758018374">
                  <w:marLeft w:val="0"/>
                  <w:marRight w:val="0"/>
                  <w:marTop w:val="0"/>
                  <w:marBottom w:val="0"/>
                  <w:divBdr>
                    <w:top w:val="none" w:sz="0" w:space="0" w:color="auto"/>
                    <w:left w:val="none" w:sz="0" w:space="0" w:color="auto"/>
                    <w:bottom w:val="none" w:sz="0" w:space="0" w:color="auto"/>
                    <w:right w:val="none" w:sz="0" w:space="0" w:color="auto"/>
                  </w:divBdr>
                </w:div>
              </w:divsChild>
            </w:div>
            <w:div w:id="1917938958">
              <w:marLeft w:val="0"/>
              <w:marRight w:val="0"/>
              <w:marTop w:val="0"/>
              <w:marBottom w:val="0"/>
              <w:divBdr>
                <w:top w:val="none" w:sz="0" w:space="0" w:color="auto"/>
                <w:left w:val="none" w:sz="0" w:space="0" w:color="auto"/>
                <w:bottom w:val="none" w:sz="0" w:space="0" w:color="auto"/>
                <w:right w:val="none" w:sz="0" w:space="0" w:color="auto"/>
              </w:divBdr>
              <w:divsChild>
                <w:div w:id="232738894">
                  <w:marLeft w:val="0"/>
                  <w:marRight w:val="0"/>
                  <w:marTop w:val="0"/>
                  <w:marBottom w:val="0"/>
                  <w:divBdr>
                    <w:top w:val="none" w:sz="0" w:space="0" w:color="auto"/>
                    <w:left w:val="none" w:sz="0" w:space="0" w:color="auto"/>
                    <w:bottom w:val="none" w:sz="0" w:space="0" w:color="auto"/>
                    <w:right w:val="none" w:sz="0" w:space="0" w:color="auto"/>
                  </w:divBdr>
                </w:div>
              </w:divsChild>
            </w:div>
            <w:div w:id="2043631506">
              <w:marLeft w:val="0"/>
              <w:marRight w:val="0"/>
              <w:marTop w:val="0"/>
              <w:marBottom w:val="0"/>
              <w:divBdr>
                <w:top w:val="none" w:sz="0" w:space="0" w:color="auto"/>
                <w:left w:val="none" w:sz="0" w:space="0" w:color="auto"/>
                <w:bottom w:val="none" w:sz="0" w:space="0" w:color="auto"/>
                <w:right w:val="none" w:sz="0" w:space="0" w:color="auto"/>
              </w:divBdr>
              <w:divsChild>
                <w:div w:id="1493597379">
                  <w:marLeft w:val="0"/>
                  <w:marRight w:val="0"/>
                  <w:marTop w:val="0"/>
                  <w:marBottom w:val="0"/>
                  <w:divBdr>
                    <w:top w:val="none" w:sz="0" w:space="0" w:color="auto"/>
                    <w:left w:val="none" w:sz="0" w:space="0" w:color="auto"/>
                    <w:bottom w:val="none" w:sz="0" w:space="0" w:color="auto"/>
                    <w:right w:val="none" w:sz="0" w:space="0" w:color="auto"/>
                  </w:divBdr>
                </w:div>
              </w:divsChild>
            </w:div>
            <w:div w:id="429931964">
              <w:marLeft w:val="0"/>
              <w:marRight w:val="0"/>
              <w:marTop w:val="0"/>
              <w:marBottom w:val="0"/>
              <w:divBdr>
                <w:top w:val="none" w:sz="0" w:space="0" w:color="auto"/>
                <w:left w:val="none" w:sz="0" w:space="0" w:color="auto"/>
                <w:bottom w:val="none" w:sz="0" w:space="0" w:color="auto"/>
                <w:right w:val="none" w:sz="0" w:space="0" w:color="auto"/>
              </w:divBdr>
              <w:divsChild>
                <w:div w:id="243035761">
                  <w:marLeft w:val="0"/>
                  <w:marRight w:val="0"/>
                  <w:marTop w:val="0"/>
                  <w:marBottom w:val="0"/>
                  <w:divBdr>
                    <w:top w:val="none" w:sz="0" w:space="0" w:color="auto"/>
                    <w:left w:val="none" w:sz="0" w:space="0" w:color="auto"/>
                    <w:bottom w:val="none" w:sz="0" w:space="0" w:color="auto"/>
                    <w:right w:val="none" w:sz="0" w:space="0" w:color="auto"/>
                  </w:divBdr>
                </w:div>
              </w:divsChild>
            </w:div>
            <w:div w:id="953168527">
              <w:marLeft w:val="0"/>
              <w:marRight w:val="0"/>
              <w:marTop w:val="0"/>
              <w:marBottom w:val="0"/>
              <w:divBdr>
                <w:top w:val="none" w:sz="0" w:space="0" w:color="auto"/>
                <w:left w:val="none" w:sz="0" w:space="0" w:color="auto"/>
                <w:bottom w:val="none" w:sz="0" w:space="0" w:color="auto"/>
                <w:right w:val="none" w:sz="0" w:space="0" w:color="auto"/>
              </w:divBdr>
              <w:divsChild>
                <w:div w:id="2097052131">
                  <w:marLeft w:val="0"/>
                  <w:marRight w:val="0"/>
                  <w:marTop w:val="0"/>
                  <w:marBottom w:val="0"/>
                  <w:divBdr>
                    <w:top w:val="none" w:sz="0" w:space="0" w:color="auto"/>
                    <w:left w:val="none" w:sz="0" w:space="0" w:color="auto"/>
                    <w:bottom w:val="none" w:sz="0" w:space="0" w:color="auto"/>
                    <w:right w:val="none" w:sz="0" w:space="0" w:color="auto"/>
                  </w:divBdr>
                </w:div>
              </w:divsChild>
            </w:div>
            <w:div w:id="1714309243">
              <w:marLeft w:val="0"/>
              <w:marRight w:val="0"/>
              <w:marTop w:val="0"/>
              <w:marBottom w:val="0"/>
              <w:divBdr>
                <w:top w:val="none" w:sz="0" w:space="0" w:color="auto"/>
                <w:left w:val="none" w:sz="0" w:space="0" w:color="auto"/>
                <w:bottom w:val="none" w:sz="0" w:space="0" w:color="auto"/>
                <w:right w:val="none" w:sz="0" w:space="0" w:color="auto"/>
              </w:divBdr>
              <w:divsChild>
                <w:div w:id="705907787">
                  <w:marLeft w:val="0"/>
                  <w:marRight w:val="0"/>
                  <w:marTop w:val="0"/>
                  <w:marBottom w:val="0"/>
                  <w:divBdr>
                    <w:top w:val="none" w:sz="0" w:space="0" w:color="auto"/>
                    <w:left w:val="none" w:sz="0" w:space="0" w:color="auto"/>
                    <w:bottom w:val="none" w:sz="0" w:space="0" w:color="auto"/>
                    <w:right w:val="none" w:sz="0" w:space="0" w:color="auto"/>
                  </w:divBdr>
                </w:div>
              </w:divsChild>
            </w:div>
            <w:div w:id="1094328550">
              <w:marLeft w:val="0"/>
              <w:marRight w:val="0"/>
              <w:marTop w:val="0"/>
              <w:marBottom w:val="0"/>
              <w:divBdr>
                <w:top w:val="none" w:sz="0" w:space="0" w:color="auto"/>
                <w:left w:val="none" w:sz="0" w:space="0" w:color="auto"/>
                <w:bottom w:val="none" w:sz="0" w:space="0" w:color="auto"/>
                <w:right w:val="none" w:sz="0" w:space="0" w:color="auto"/>
              </w:divBdr>
              <w:divsChild>
                <w:div w:id="572550380">
                  <w:marLeft w:val="0"/>
                  <w:marRight w:val="0"/>
                  <w:marTop w:val="0"/>
                  <w:marBottom w:val="0"/>
                  <w:divBdr>
                    <w:top w:val="none" w:sz="0" w:space="0" w:color="auto"/>
                    <w:left w:val="none" w:sz="0" w:space="0" w:color="auto"/>
                    <w:bottom w:val="none" w:sz="0" w:space="0" w:color="auto"/>
                    <w:right w:val="none" w:sz="0" w:space="0" w:color="auto"/>
                  </w:divBdr>
                </w:div>
              </w:divsChild>
            </w:div>
            <w:div w:id="1211645324">
              <w:marLeft w:val="0"/>
              <w:marRight w:val="0"/>
              <w:marTop w:val="0"/>
              <w:marBottom w:val="0"/>
              <w:divBdr>
                <w:top w:val="none" w:sz="0" w:space="0" w:color="auto"/>
                <w:left w:val="none" w:sz="0" w:space="0" w:color="auto"/>
                <w:bottom w:val="none" w:sz="0" w:space="0" w:color="auto"/>
                <w:right w:val="none" w:sz="0" w:space="0" w:color="auto"/>
              </w:divBdr>
              <w:divsChild>
                <w:div w:id="966936866">
                  <w:marLeft w:val="0"/>
                  <w:marRight w:val="0"/>
                  <w:marTop w:val="0"/>
                  <w:marBottom w:val="0"/>
                  <w:divBdr>
                    <w:top w:val="none" w:sz="0" w:space="0" w:color="auto"/>
                    <w:left w:val="none" w:sz="0" w:space="0" w:color="auto"/>
                    <w:bottom w:val="none" w:sz="0" w:space="0" w:color="auto"/>
                    <w:right w:val="none" w:sz="0" w:space="0" w:color="auto"/>
                  </w:divBdr>
                </w:div>
              </w:divsChild>
            </w:div>
            <w:div w:id="901790951">
              <w:marLeft w:val="0"/>
              <w:marRight w:val="0"/>
              <w:marTop w:val="0"/>
              <w:marBottom w:val="0"/>
              <w:divBdr>
                <w:top w:val="none" w:sz="0" w:space="0" w:color="auto"/>
                <w:left w:val="none" w:sz="0" w:space="0" w:color="auto"/>
                <w:bottom w:val="none" w:sz="0" w:space="0" w:color="auto"/>
                <w:right w:val="none" w:sz="0" w:space="0" w:color="auto"/>
              </w:divBdr>
              <w:divsChild>
                <w:div w:id="1014377747">
                  <w:marLeft w:val="0"/>
                  <w:marRight w:val="0"/>
                  <w:marTop w:val="0"/>
                  <w:marBottom w:val="0"/>
                  <w:divBdr>
                    <w:top w:val="none" w:sz="0" w:space="0" w:color="auto"/>
                    <w:left w:val="none" w:sz="0" w:space="0" w:color="auto"/>
                    <w:bottom w:val="none" w:sz="0" w:space="0" w:color="auto"/>
                    <w:right w:val="none" w:sz="0" w:space="0" w:color="auto"/>
                  </w:divBdr>
                </w:div>
              </w:divsChild>
            </w:div>
            <w:div w:id="1385835205">
              <w:marLeft w:val="0"/>
              <w:marRight w:val="0"/>
              <w:marTop w:val="0"/>
              <w:marBottom w:val="0"/>
              <w:divBdr>
                <w:top w:val="none" w:sz="0" w:space="0" w:color="auto"/>
                <w:left w:val="none" w:sz="0" w:space="0" w:color="auto"/>
                <w:bottom w:val="none" w:sz="0" w:space="0" w:color="auto"/>
                <w:right w:val="none" w:sz="0" w:space="0" w:color="auto"/>
              </w:divBdr>
              <w:divsChild>
                <w:div w:id="199635466">
                  <w:marLeft w:val="0"/>
                  <w:marRight w:val="0"/>
                  <w:marTop w:val="0"/>
                  <w:marBottom w:val="0"/>
                  <w:divBdr>
                    <w:top w:val="none" w:sz="0" w:space="0" w:color="auto"/>
                    <w:left w:val="none" w:sz="0" w:space="0" w:color="auto"/>
                    <w:bottom w:val="none" w:sz="0" w:space="0" w:color="auto"/>
                    <w:right w:val="none" w:sz="0" w:space="0" w:color="auto"/>
                  </w:divBdr>
                </w:div>
              </w:divsChild>
            </w:div>
            <w:div w:id="2094930514">
              <w:marLeft w:val="0"/>
              <w:marRight w:val="0"/>
              <w:marTop w:val="0"/>
              <w:marBottom w:val="0"/>
              <w:divBdr>
                <w:top w:val="none" w:sz="0" w:space="0" w:color="auto"/>
                <w:left w:val="none" w:sz="0" w:space="0" w:color="auto"/>
                <w:bottom w:val="none" w:sz="0" w:space="0" w:color="auto"/>
                <w:right w:val="none" w:sz="0" w:space="0" w:color="auto"/>
              </w:divBdr>
              <w:divsChild>
                <w:div w:id="1350252618">
                  <w:marLeft w:val="0"/>
                  <w:marRight w:val="0"/>
                  <w:marTop w:val="0"/>
                  <w:marBottom w:val="0"/>
                  <w:divBdr>
                    <w:top w:val="none" w:sz="0" w:space="0" w:color="auto"/>
                    <w:left w:val="none" w:sz="0" w:space="0" w:color="auto"/>
                    <w:bottom w:val="none" w:sz="0" w:space="0" w:color="auto"/>
                    <w:right w:val="none" w:sz="0" w:space="0" w:color="auto"/>
                  </w:divBdr>
                </w:div>
              </w:divsChild>
            </w:div>
            <w:div w:id="1037462048">
              <w:marLeft w:val="0"/>
              <w:marRight w:val="0"/>
              <w:marTop w:val="0"/>
              <w:marBottom w:val="0"/>
              <w:divBdr>
                <w:top w:val="none" w:sz="0" w:space="0" w:color="auto"/>
                <w:left w:val="none" w:sz="0" w:space="0" w:color="auto"/>
                <w:bottom w:val="none" w:sz="0" w:space="0" w:color="auto"/>
                <w:right w:val="none" w:sz="0" w:space="0" w:color="auto"/>
              </w:divBdr>
              <w:divsChild>
                <w:div w:id="1035227196">
                  <w:marLeft w:val="0"/>
                  <w:marRight w:val="0"/>
                  <w:marTop w:val="0"/>
                  <w:marBottom w:val="0"/>
                  <w:divBdr>
                    <w:top w:val="none" w:sz="0" w:space="0" w:color="auto"/>
                    <w:left w:val="none" w:sz="0" w:space="0" w:color="auto"/>
                    <w:bottom w:val="none" w:sz="0" w:space="0" w:color="auto"/>
                    <w:right w:val="none" w:sz="0" w:space="0" w:color="auto"/>
                  </w:divBdr>
                </w:div>
              </w:divsChild>
            </w:div>
            <w:div w:id="812719824">
              <w:marLeft w:val="0"/>
              <w:marRight w:val="0"/>
              <w:marTop w:val="0"/>
              <w:marBottom w:val="0"/>
              <w:divBdr>
                <w:top w:val="none" w:sz="0" w:space="0" w:color="auto"/>
                <w:left w:val="none" w:sz="0" w:space="0" w:color="auto"/>
                <w:bottom w:val="none" w:sz="0" w:space="0" w:color="auto"/>
                <w:right w:val="none" w:sz="0" w:space="0" w:color="auto"/>
              </w:divBdr>
              <w:divsChild>
                <w:div w:id="1693729528">
                  <w:marLeft w:val="0"/>
                  <w:marRight w:val="0"/>
                  <w:marTop w:val="0"/>
                  <w:marBottom w:val="0"/>
                  <w:divBdr>
                    <w:top w:val="none" w:sz="0" w:space="0" w:color="auto"/>
                    <w:left w:val="none" w:sz="0" w:space="0" w:color="auto"/>
                    <w:bottom w:val="none" w:sz="0" w:space="0" w:color="auto"/>
                    <w:right w:val="none" w:sz="0" w:space="0" w:color="auto"/>
                  </w:divBdr>
                </w:div>
              </w:divsChild>
            </w:div>
            <w:div w:id="696547946">
              <w:marLeft w:val="0"/>
              <w:marRight w:val="0"/>
              <w:marTop w:val="0"/>
              <w:marBottom w:val="0"/>
              <w:divBdr>
                <w:top w:val="none" w:sz="0" w:space="0" w:color="auto"/>
                <w:left w:val="none" w:sz="0" w:space="0" w:color="auto"/>
                <w:bottom w:val="none" w:sz="0" w:space="0" w:color="auto"/>
                <w:right w:val="none" w:sz="0" w:space="0" w:color="auto"/>
              </w:divBdr>
              <w:divsChild>
                <w:div w:id="576399420">
                  <w:marLeft w:val="0"/>
                  <w:marRight w:val="0"/>
                  <w:marTop w:val="0"/>
                  <w:marBottom w:val="0"/>
                  <w:divBdr>
                    <w:top w:val="none" w:sz="0" w:space="0" w:color="auto"/>
                    <w:left w:val="none" w:sz="0" w:space="0" w:color="auto"/>
                    <w:bottom w:val="none" w:sz="0" w:space="0" w:color="auto"/>
                    <w:right w:val="none" w:sz="0" w:space="0" w:color="auto"/>
                  </w:divBdr>
                </w:div>
              </w:divsChild>
            </w:div>
            <w:div w:id="106317439">
              <w:marLeft w:val="0"/>
              <w:marRight w:val="0"/>
              <w:marTop w:val="0"/>
              <w:marBottom w:val="0"/>
              <w:divBdr>
                <w:top w:val="none" w:sz="0" w:space="0" w:color="auto"/>
                <w:left w:val="none" w:sz="0" w:space="0" w:color="auto"/>
                <w:bottom w:val="none" w:sz="0" w:space="0" w:color="auto"/>
                <w:right w:val="none" w:sz="0" w:space="0" w:color="auto"/>
              </w:divBdr>
              <w:divsChild>
                <w:div w:id="1325863157">
                  <w:marLeft w:val="0"/>
                  <w:marRight w:val="0"/>
                  <w:marTop w:val="0"/>
                  <w:marBottom w:val="0"/>
                  <w:divBdr>
                    <w:top w:val="none" w:sz="0" w:space="0" w:color="auto"/>
                    <w:left w:val="none" w:sz="0" w:space="0" w:color="auto"/>
                    <w:bottom w:val="none" w:sz="0" w:space="0" w:color="auto"/>
                    <w:right w:val="none" w:sz="0" w:space="0" w:color="auto"/>
                  </w:divBdr>
                </w:div>
              </w:divsChild>
            </w:div>
            <w:div w:id="1801804527">
              <w:marLeft w:val="0"/>
              <w:marRight w:val="0"/>
              <w:marTop w:val="0"/>
              <w:marBottom w:val="0"/>
              <w:divBdr>
                <w:top w:val="none" w:sz="0" w:space="0" w:color="auto"/>
                <w:left w:val="none" w:sz="0" w:space="0" w:color="auto"/>
                <w:bottom w:val="none" w:sz="0" w:space="0" w:color="auto"/>
                <w:right w:val="none" w:sz="0" w:space="0" w:color="auto"/>
              </w:divBdr>
              <w:divsChild>
                <w:div w:id="431049132">
                  <w:marLeft w:val="0"/>
                  <w:marRight w:val="0"/>
                  <w:marTop w:val="0"/>
                  <w:marBottom w:val="0"/>
                  <w:divBdr>
                    <w:top w:val="none" w:sz="0" w:space="0" w:color="auto"/>
                    <w:left w:val="none" w:sz="0" w:space="0" w:color="auto"/>
                    <w:bottom w:val="none" w:sz="0" w:space="0" w:color="auto"/>
                    <w:right w:val="none" w:sz="0" w:space="0" w:color="auto"/>
                  </w:divBdr>
                </w:div>
              </w:divsChild>
            </w:div>
            <w:div w:id="579994342">
              <w:marLeft w:val="0"/>
              <w:marRight w:val="0"/>
              <w:marTop w:val="0"/>
              <w:marBottom w:val="0"/>
              <w:divBdr>
                <w:top w:val="none" w:sz="0" w:space="0" w:color="auto"/>
                <w:left w:val="none" w:sz="0" w:space="0" w:color="auto"/>
                <w:bottom w:val="none" w:sz="0" w:space="0" w:color="auto"/>
                <w:right w:val="none" w:sz="0" w:space="0" w:color="auto"/>
              </w:divBdr>
              <w:divsChild>
                <w:div w:id="695279582">
                  <w:marLeft w:val="0"/>
                  <w:marRight w:val="0"/>
                  <w:marTop w:val="0"/>
                  <w:marBottom w:val="0"/>
                  <w:divBdr>
                    <w:top w:val="none" w:sz="0" w:space="0" w:color="auto"/>
                    <w:left w:val="none" w:sz="0" w:space="0" w:color="auto"/>
                    <w:bottom w:val="none" w:sz="0" w:space="0" w:color="auto"/>
                    <w:right w:val="none" w:sz="0" w:space="0" w:color="auto"/>
                  </w:divBdr>
                </w:div>
              </w:divsChild>
            </w:div>
            <w:div w:id="2107725547">
              <w:marLeft w:val="0"/>
              <w:marRight w:val="0"/>
              <w:marTop w:val="0"/>
              <w:marBottom w:val="0"/>
              <w:divBdr>
                <w:top w:val="none" w:sz="0" w:space="0" w:color="auto"/>
                <w:left w:val="none" w:sz="0" w:space="0" w:color="auto"/>
                <w:bottom w:val="none" w:sz="0" w:space="0" w:color="auto"/>
                <w:right w:val="none" w:sz="0" w:space="0" w:color="auto"/>
              </w:divBdr>
              <w:divsChild>
                <w:div w:id="998656375">
                  <w:marLeft w:val="0"/>
                  <w:marRight w:val="0"/>
                  <w:marTop w:val="0"/>
                  <w:marBottom w:val="0"/>
                  <w:divBdr>
                    <w:top w:val="none" w:sz="0" w:space="0" w:color="auto"/>
                    <w:left w:val="none" w:sz="0" w:space="0" w:color="auto"/>
                    <w:bottom w:val="none" w:sz="0" w:space="0" w:color="auto"/>
                    <w:right w:val="none" w:sz="0" w:space="0" w:color="auto"/>
                  </w:divBdr>
                </w:div>
              </w:divsChild>
            </w:div>
            <w:div w:id="487206577">
              <w:marLeft w:val="0"/>
              <w:marRight w:val="0"/>
              <w:marTop w:val="0"/>
              <w:marBottom w:val="0"/>
              <w:divBdr>
                <w:top w:val="none" w:sz="0" w:space="0" w:color="auto"/>
                <w:left w:val="none" w:sz="0" w:space="0" w:color="auto"/>
                <w:bottom w:val="none" w:sz="0" w:space="0" w:color="auto"/>
                <w:right w:val="none" w:sz="0" w:space="0" w:color="auto"/>
              </w:divBdr>
              <w:divsChild>
                <w:div w:id="287901333">
                  <w:marLeft w:val="0"/>
                  <w:marRight w:val="0"/>
                  <w:marTop w:val="0"/>
                  <w:marBottom w:val="0"/>
                  <w:divBdr>
                    <w:top w:val="none" w:sz="0" w:space="0" w:color="auto"/>
                    <w:left w:val="none" w:sz="0" w:space="0" w:color="auto"/>
                    <w:bottom w:val="none" w:sz="0" w:space="0" w:color="auto"/>
                    <w:right w:val="none" w:sz="0" w:space="0" w:color="auto"/>
                  </w:divBdr>
                </w:div>
              </w:divsChild>
            </w:div>
            <w:div w:id="637106822">
              <w:marLeft w:val="0"/>
              <w:marRight w:val="0"/>
              <w:marTop w:val="0"/>
              <w:marBottom w:val="0"/>
              <w:divBdr>
                <w:top w:val="none" w:sz="0" w:space="0" w:color="auto"/>
                <w:left w:val="none" w:sz="0" w:space="0" w:color="auto"/>
                <w:bottom w:val="none" w:sz="0" w:space="0" w:color="auto"/>
                <w:right w:val="none" w:sz="0" w:space="0" w:color="auto"/>
              </w:divBdr>
              <w:divsChild>
                <w:div w:id="1306816788">
                  <w:marLeft w:val="0"/>
                  <w:marRight w:val="0"/>
                  <w:marTop w:val="0"/>
                  <w:marBottom w:val="0"/>
                  <w:divBdr>
                    <w:top w:val="none" w:sz="0" w:space="0" w:color="auto"/>
                    <w:left w:val="none" w:sz="0" w:space="0" w:color="auto"/>
                    <w:bottom w:val="none" w:sz="0" w:space="0" w:color="auto"/>
                    <w:right w:val="none" w:sz="0" w:space="0" w:color="auto"/>
                  </w:divBdr>
                </w:div>
              </w:divsChild>
            </w:div>
            <w:div w:id="582956316">
              <w:marLeft w:val="0"/>
              <w:marRight w:val="0"/>
              <w:marTop w:val="0"/>
              <w:marBottom w:val="0"/>
              <w:divBdr>
                <w:top w:val="none" w:sz="0" w:space="0" w:color="auto"/>
                <w:left w:val="none" w:sz="0" w:space="0" w:color="auto"/>
                <w:bottom w:val="none" w:sz="0" w:space="0" w:color="auto"/>
                <w:right w:val="none" w:sz="0" w:space="0" w:color="auto"/>
              </w:divBdr>
              <w:divsChild>
                <w:div w:id="32313723">
                  <w:marLeft w:val="0"/>
                  <w:marRight w:val="0"/>
                  <w:marTop w:val="0"/>
                  <w:marBottom w:val="0"/>
                  <w:divBdr>
                    <w:top w:val="none" w:sz="0" w:space="0" w:color="auto"/>
                    <w:left w:val="none" w:sz="0" w:space="0" w:color="auto"/>
                    <w:bottom w:val="none" w:sz="0" w:space="0" w:color="auto"/>
                    <w:right w:val="none" w:sz="0" w:space="0" w:color="auto"/>
                  </w:divBdr>
                </w:div>
              </w:divsChild>
            </w:div>
            <w:div w:id="1968273373">
              <w:marLeft w:val="0"/>
              <w:marRight w:val="0"/>
              <w:marTop w:val="0"/>
              <w:marBottom w:val="0"/>
              <w:divBdr>
                <w:top w:val="none" w:sz="0" w:space="0" w:color="auto"/>
                <w:left w:val="none" w:sz="0" w:space="0" w:color="auto"/>
                <w:bottom w:val="none" w:sz="0" w:space="0" w:color="auto"/>
                <w:right w:val="none" w:sz="0" w:space="0" w:color="auto"/>
              </w:divBdr>
              <w:divsChild>
                <w:div w:id="94399468">
                  <w:marLeft w:val="0"/>
                  <w:marRight w:val="0"/>
                  <w:marTop w:val="0"/>
                  <w:marBottom w:val="0"/>
                  <w:divBdr>
                    <w:top w:val="none" w:sz="0" w:space="0" w:color="auto"/>
                    <w:left w:val="none" w:sz="0" w:space="0" w:color="auto"/>
                    <w:bottom w:val="none" w:sz="0" w:space="0" w:color="auto"/>
                    <w:right w:val="none" w:sz="0" w:space="0" w:color="auto"/>
                  </w:divBdr>
                </w:div>
              </w:divsChild>
            </w:div>
            <w:div w:id="1368065447">
              <w:marLeft w:val="0"/>
              <w:marRight w:val="0"/>
              <w:marTop w:val="0"/>
              <w:marBottom w:val="0"/>
              <w:divBdr>
                <w:top w:val="none" w:sz="0" w:space="0" w:color="auto"/>
                <w:left w:val="none" w:sz="0" w:space="0" w:color="auto"/>
                <w:bottom w:val="none" w:sz="0" w:space="0" w:color="auto"/>
                <w:right w:val="none" w:sz="0" w:space="0" w:color="auto"/>
              </w:divBdr>
              <w:divsChild>
                <w:div w:id="320231205">
                  <w:marLeft w:val="0"/>
                  <w:marRight w:val="0"/>
                  <w:marTop w:val="0"/>
                  <w:marBottom w:val="0"/>
                  <w:divBdr>
                    <w:top w:val="none" w:sz="0" w:space="0" w:color="auto"/>
                    <w:left w:val="none" w:sz="0" w:space="0" w:color="auto"/>
                    <w:bottom w:val="none" w:sz="0" w:space="0" w:color="auto"/>
                    <w:right w:val="none" w:sz="0" w:space="0" w:color="auto"/>
                  </w:divBdr>
                </w:div>
              </w:divsChild>
            </w:div>
            <w:div w:id="1262447838">
              <w:marLeft w:val="0"/>
              <w:marRight w:val="0"/>
              <w:marTop w:val="0"/>
              <w:marBottom w:val="0"/>
              <w:divBdr>
                <w:top w:val="none" w:sz="0" w:space="0" w:color="auto"/>
                <w:left w:val="none" w:sz="0" w:space="0" w:color="auto"/>
                <w:bottom w:val="none" w:sz="0" w:space="0" w:color="auto"/>
                <w:right w:val="none" w:sz="0" w:space="0" w:color="auto"/>
              </w:divBdr>
              <w:divsChild>
                <w:div w:id="1939870406">
                  <w:marLeft w:val="0"/>
                  <w:marRight w:val="0"/>
                  <w:marTop w:val="0"/>
                  <w:marBottom w:val="0"/>
                  <w:divBdr>
                    <w:top w:val="none" w:sz="0" w:space="0" w:color="auto"/>
                    <w:left w:val="none" w:sz="0" w:space="0" w:color="auto"/>
                    <w:bottom w:val="none" w:sz="0" w:space="0" w:color="auto"/>
                    <w:right w:val="none" w:sz="0" w:space="0" w:color="auto"/>
                  </w:divBdr>
                </w:div>
              </w:divsChild>
            </w:div>
            <w:div w:id="310328893">
              <w:marLeft w:val="0"/>
              <w:marRight w:val="0"/>
              <w:marTop w:val="0"/>
              <w:marBottom w:val="0"/>
              <w:divBdr>
                <w:top w:val="none" w:sz="0" w:space="0" w:color="auto"/>
                <w:left w:val="none" w:sz="0" w:space="0" w:color="auto"/>
                <w:bottom w:val="none" w:sz="0" w:space="0" w:color="auto"/>
                <w:right w:val="none" w:sz="0" w:space="0" w:color="auto"/>
              </w:divBdr>
              <w:divsChild>
                <w:div w:id="8491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1726">
          <w:marLeft w:val="0"/>
          <w:marRight w:val="0"/>
          <w:marTop w:val="0"/>
          <w:marBottom w:val="600"/>
          <w:divBdr>
            <w:top w:val="none" w:sz="0" w:space="0" w:color="auto"/>
            <w:left w:val="none" w:sz="0" w:space="0" w:color="auto"/>
            <w:bottom w:val="none" w:sz="0" w:space="0" w:color="auto"/>
            <w:right w:val="none" w:sz="0" w:space="0" w:color="auto"/>
          </w:divBdr>
        </w:div>
      </w:divsChild>
    </w:div>
    <w:div w:id="1594239253">
      <w:marLeft w:val="0"/>
      <w:marRight w:val="0"/>
      <w:marTop w:val="0"/>
      <w:marBottom w:val="0"/>
      <w:divBdr>
        <w:top w:val="none" w:sz="0" w:space="0" w:color="auto"/>
        <w:left w:val="none" w:sz="0" w:space="0" w:color="auto"/>
        <w:bottom w:val="none" w:sz="0" w:space="0" w:color="auto"/>
        <w:right w:val="none" w:sz="0" w:space="0" w:color="auto"/>
      </w:divBdr>
      <w:divsChild>
        <w:div w:id="742870932">
          <w:marLeft w:val="0"/>
          <w:marRight w:val="0"/>
          <w:marTop w:val="547"/>
          <w:marBottom w:val="0"/>
          <w:divBdr>
            <w:top w:val="none" w:sz="0" w:space="0" w:color="auto"/>
            <w:left w:val="none" w:sz="0" w:space="0" w:color="auto"/>
            <w:bottom w:val="none" w:sz="0" w:space="0" w:color="auto"/>
            <w:right w:val="none" w:sz="0" w:space="0" w:color="auto"/>
          </w:divBdr>
        </w:div>
        <w:div w:id="470636457">
          <w:marLeft w:val="0"/>
          <w:marRight w:val="0"/>
          <w:marTop w:val="0"/>
          <w:marBottom w:val="0"/>
          <w:divBdr>
            <w:top w:val="none" w:sz="0" w:space="0" w:color="auto"/>
            <w:left w:val="none" w:sz="0" w:space="0" w:color="auto"/>
            <w:bottom w:val="none" w:sz="0" w:space="0" w:color="auto"/>
            <w:right w:val="none" w:sz="0" w:space="0" w:color="auto"/>
          </w:divBdr>
        </w:div>
        <w:div w:id="2109495451">
          <w:marLeft w:val="0"/>
          <w:marRight w:val="0"/>
          <w:marTop w:val="0"/>
          <w:marBottom w:val="600"/>
          <w:divBdr>
            <w:top w:val="none" w:sz="0" w:space="0" w:color="auto"/>
            <w:left w:val="none" w:sz="0" w:space="0" w:color="auto"/>
            <w:bottom w:val="none" w:sz="0" w:space="0" w:color="auto"/>
            <w:right w:val="none" w:sz="0" w:space="0" w:color="auto"/>
          </w:divBdr>
        </w:div>
      </w:divsChild>
    </w:div>
    <w:div w:id="1595699663">
      <w:marLeft w:val="0"/>
      <w:marRight w:val="0"/>
      <w:marTop w:val="0"/>
      <w:marBottom w:val="0"/>
      <w:divBdr>
        <w:top w:val="none" w:sz="0" w:space="0" w:color="auto"/>
        <w:left w:val="none" w:sz="0" w:space="0" w:color="auto"/>
        <w:bottom w:val="none" w:sz="0" w:space="0" w:color="auto"/>
        <w:right w:val="none" w:sz="0" w:space="0" w:color="auto"/>
      </w:divBdr>
      <w:divsChild>
        <w:div w:id="1818376925">
          <w:marLeft w:val="0"/>
          <w:marRight w:val="0"/>
          <w:marTop w:val="547"/>
          <w:marBottom w:val="0"/>
          <w:divBdr>
            <w:top w:val="none" w:sz="0" w:space="0" w:color="auto"/>
            <w:left w:val="none" w:sz="0" w:space="0" w:color="auto"/>
            <w:bottom w:val="none" w:sz="0" w:space="0" w:color="auto"/>
            <w:right w:val="none" w:sz="0" w:space="0" w:color="auto"/>
          </w:divBdr>
        </w:div>
        <w:div w:id="1145853248">
          <w:marLeft w:val="0"/>
          <w:marRight w:val="0"/>
          <w:marTop w:val="0"/>
          <w:marBottom w:val="0"/>
          <w:divBdr>
            <w:top w:val="none" w:sz="0" w:space="0" w:color="auto"/>
            <w:left w:val="none" w:sz="0" w:space="0" w:color="auto"/>
            <w:bottom w:val="none" w:sz="0" w:space="0" w:color="auto"/>
            <w:right w:val="none" w:sz="0" w:space="0" w:color="auto"/>
          </w:divBdr>
        </w:div>
        <w:div w:id="195237475">
          <w:marLeft w:val="0"/>
          <w:marRight w:val="0"/>
          <w:marTop w:val="0"/>
          <w:marBottom w:val="600"/>
          <w:divBdr>
            <w:top w:val="none" w:sz="0" w:space="0" w:color="auto"/>
            <w:left w:val="none" w:sz="0" w:space="0" w:color="auto"/>
            <w:bottom w:val="none" w:sz="0" w:space="0" w:color="auto"/>
            <w:right w:val="none" w:sz="0" w:space="0" w:color="auto"/>
          </w:divBdr>
        </w:div>
      </w:divsChild>
    </w:div>
    <w:div w:id="1691758589">
      <w:marLeft w:val="0"/>
      <w:marRight w:val="0"/>
      <w:marTop w:val="0"/>
      <w:marBottom w:val="0"/>
      <w:divBdr>
        <w:top w:val="none" w:sz="0" w:space="0" w:color="auto"/>
        <w:left w:val="none" w:sz="0" w:space="0" w:color="auto"/>
        <w:bottom w:val="none" w:sz="0" w:space="0" w:color="auto"/>
        <w:right w:val="none" w:sz="0" w:space="0" w:color="auto"/>
      </w:divBdr>
      <w:divsChild>
        <w:div w:id="1973361231">
          <w:marLeft w:val="0"/>
          <w:marRight w:val="0"/>
          <w:marTop w:val="547"/>
          <w:marBottom w:val="0"/>
          <w:divBdr>
            <w:top w:val="none" w:sz="0" w:space="0" w:color="auto"/>
            <w:left w:val="none" w:sz="0" w:space="0" w:color="auto"/>
            <w:bottom w:val="none" w:sz="0" w:space="0" w:color="auto"/>
            <w:right w:val="none" w:sz="0" w:space="0" w:color="auto"/>
          </w:divBdr>
        </w:div>
        <w:div w:id="1663004036">
          <w:marLeft w:val="0"/>
          <w:marRight w:val="0"/>
          <w:marTop w:val="0"/>
          <w:marBottom w:val="0"/>
          <w:divBdr>
            <w:top w:val="none" w:sz="0" w:space="0" w:color="auto"/>
            <w:left w:val="none" w:sz="0" w:space="0" w:color="auto"/>
            <w:bottom w:val="none" w:sz="0" w:space="0" w:color="auto"/>
            <w:right w:val="none" w:sz="0" w:space="0" w:color="auto"/>
          </w:divBdr>
        </w:div>
        <w:div w:id="2118670892">
          <w:marLeft w:val="0"/>
          <w:marRight w:val="0"/>
          <w:marTop w:val="0"/>
          <w:marBottom w:val="600"/>
          <w:divBdr>
            <w:top w:val="none" w:sz="0" w:space="0" w:color="auto"/>
            <w:left w:val="none" w:sz="0" w:space="0" w:color="auto"/>
            <w:bottom w:val="none" w:sz="0" w:space="0" w:color="auto"/>
            <w:right w:val="none" w:sz="0" w:space="0" w:color="auto"/>
          </w:divBdr>
        </w:div>
      </w:divsChild>
    </w:div>
    <w:div w:id="1723941019">
      <w:marLeft w:val="0"/>
      <w:marRight w:val="0"/>
      <w:marTop w:val="0"/>
      <w:marBottom w:val="0"/>
      <w:divBdr>
        <w:top w:val="none" w:sz="0" w:space="0" w:color="auto"/>
        <w:left w:val="none" w:sz="0" w:space="0" w:color="auto"/>
        <w:bottom w:val="none" w:sz="0" w:space="0" w:color="auto"/>
        <w:right w:val="none" w:sz="0" w:space="0" w:color="auto"/>
      </w:divBdr>
      <w:divsChild>
        <w:div w:id="234780323">
          <w:marLeft w:val="0"/>
          <w:marRight w:val="0"/>
          <w:marTop w:val="547"/>
          <w:marBottom w:val="0"/>
          <w:divBdr>
            <w:top w:val="none" w:sz="0" w:space="0" w:color="auto"/>
            <w:left w:val="none" w:sz="0" w:space="0" w:color="auto"/>
            <w:bottom w:val="none" w:sz="0" w:space="0" w:color="auto"/>
            <w:right w:val="none" w:sz="0" w:space="0" w:color="auto"/>
          </w:divBdr>
        </w:div>
        <w:div w:id="1948732622">
          <w:marLeft w:val="0"/>
          <w:marRight w:val="0"/>
          <w:marTop w:val="0"/>
          <w:marBottom w:val="0"/>
          <w:divBdr>
            <w:top w:val="none" w:sz="0" w:space="0" w:color="auto"/>
            <w:left w:val="none" w:sz="0" w:space="0" w:color="auto"/>
            <w:bottom w:val="none" w:sz="0" w:space="0" w:color="auto"/>
            <w:right w:val="none" w:sz="0" w:space="0" w:color="auto"/>
          </w:divBdr>
        </w:div>
        <w:div w:id="553153767">
          <w:marLeft w:val="0"/>
          <w:marRight w:val="0"/>
          <w:marTop w:val="0"/>
          <w:marBottom w:val="600"/>
          <w:divBdr>
            <w:top w:val="none" w:sz="0" w:space="0" w:color="auto"/>
            <w:left w:val="none" w:sz="0" w:space="0" w:color="auto"/>
            <w:bottom w:val="none" w:sz="0" w:space="0" w:color="auto"/>
            <w:right w:val="none" w:sz="0" w:space="0" w:color="auto"/>
          </w:divBdr>
        </w:div>
      </w:divsChild>
    </w:div>
    <w:div w:id="1756969946">
      <w:marLeft w:val="0"/>
      <w:marRight w:val="0"/>
      <w:marTop w:val="0"/>
      <w:marBottom w:val="0"/>
      <w:divBdr>
        <w:top w:val="none" w:sz="0" w:space="0" w:color="auto"/>
        <w:left w:val="none" w:sz="0" w:space="0" w:color="auto"/>
        <w:bottom w:val="none" w:sz="0" w:space="0" w:color="auto"/>
        <w:right w:val="none" w:sz="0" w:space="0" w:color="auto"/>
      </w:divBdr>
      <w:divsChild>
        <w:div w:id="1853756896">
          <w:marLeft w:val="0"/>
          <w:marRight w:val="0"/>
          <w:marTop w:val="547"/>
          <w:marBottom w:val="0"/>
          <w:divBdr>
            <w:top w:val="none" w:sz="0" w:space="0" w:color="auto"/>
            <w:left w:val="none" w:sz="0" w:space="0" w:color="auto"/>
            <w:bottom w:val="none" w:sz="0" w:space="0" w:color="auto"/>
            <w:right w:val="none" w:sz="0" w:space="0" w:color="auto"/>
          </w:divBdr>
        </w:div>
        <w:div w:id="1124080849">
          <w:marLeft w:val="0"/>
          <w:marRight w:val="0"/>
          <w:marTop w:val="0"/>
          <w:marBottom w:val="0"/>
          <w:divBdr>
            <w:top w:val="none" w:sz="0" w:space="0" w:color="auto"/>
            <w:left w:val="none" w:sz="0" w:space="0" w:color="auto"/>
            <w:bottom w:val="none" w:sz="0" w:space="0" w:color="auto"/>
            <w:right w:val="none" w:sz="0" w:space="0" w:color="auto"/>
          </w:divBdr>
        </w:div>
        <w:div w:id="453326414">
          <w:marLeft w:val="0"/>
          <w:marRight w:val="0"/>
          <w:marTop w:val="0"/>
          <w:marBottom w:val="600"/>
          <w:divBdr>
            <w:top w:val="none" w:sz="0" w:space="0" w:color="auto"/>
            <w:left w:val="none" w:sz="0" w:space="0" w:color="auto"/>
            <w:bottom w:val="none" w:sz="0" w:space="0" w:color="auto"/>
            <w:right w:val="none" w:sz="0" w:space="0" w:color="auto"/>
          </w:divBdr>
        </w:div>
      </w:divsChild>
    </w:div>
    <w:div w:id="1784573937">
      <w:marLeft w:val="0"/>
      <w:marRight w:val="0"/>
      <w:marTop w:val="0"/>
      <w:marBottom w:val="0"/>
      <w:divBdr>
        <w:top w:val="none" w:sz="0" w:space="0" w:color="auto"/>
        <w:left w:val="none" w:sz="0" w:space="0" w:color="auto"/>
        <w:bottom w:val="none" w:sz="0" w:space="0" w:color="auto"/>
        <w:right w:val="none" w:sz="0" w:space="0" w:color="auto"/>
      </w:divBdr>
      <w:divsChild>
        <w:div w:id="1799832497">
          <w:marLeft w:val="0"/>
          <w:marRight w:val="0"/>
          <w:marTop w:val="547"/>
          <w:marBottom w:val="0"/>
          <w:divBdr>
            <w:top w:val="none" w:sz="0" w:space="0" w:color="auto"/>
            <w:left w:val="none" w:sz="0" w:space="0" w:color="auto"/>
            <w:bottom w:val="none" w:sz="0" w:space="0" w:color="auto"/>
            <w:right w:val="none" w:sz="0" w:space="0" w:color="auto"/>
          </w:divBdr>
        </w:div>
        <w:div w:id="1253735716">
          <w:marLeft w:val="0"/>
          <w:marRight w:val="0"/>
          <w:marTop w:val="0"/>
          <w:marBottom w:val="0"/>
          <w:divBdr>
            <w:top w:val="none" w:sz="0" w:space="0" w:color="auto"/>
            <w:left w:val="none" w:sz="0" w:space="0" w:color="auto"/>
            <w:bottom w:val="none" w:sz="0" w:space="0" w:color="auto"/>
            <w:right w:val="none" w:sz="0" w:space="0" w:color="auto"/>
          </w:divBdr>
        </w:div>
        <w:div w:id="2087073405">
          <w:marLeft w:val="0"/>
          <w:marRight w:val="0"/>
          <w:marTop w:val="0"/>
          <w:marBottom w:val="600"/>
          <w:divBdr>
            <w:top w:val="none" w:sz="0" w:space="0" w:color="auto"/>
            <w:left w:val="none" w:sz="0" w:space="0" w:color="auto"/>
            <w:bottom w:val="none" w:sz="0" w:space="0" w:color="auto"/>
            <w:right w:val="none" w:sz="0" w:space="0" w:color="auto"/>
          </w:divBdr>
        </w:div>
      </w:divsChild>
    </w:div>
    <w:div w:id="1787315210">
      <w:marLeft w:val="0"/>
      <w:marRight w:val="0"/>
      <w:marTop w:val="0"/>
      <w:marBottom w:val="0"/>
      <w:divBdr>
        <w:top w:val="none" w:sz="0" w:space="0" w:color="auto"/>
        <w:left w:val="none" w:sz="0" w:space="0" w:color="auto"/>
        <w:bottom w:val="none" w:sz="0" w:space="0" w:color="auto"/>
        <w:right w:val="none" w:sz="0" w:space="0" w:color="auto"/>
      </w:divBdr>
      <w:divsChild>
        <w:div w:id="559633768">
          <w:marLeft w:val="0"/>
          <w:marRight w:val="0"/>
          <w:marTop w:val="547"/>
          <w:marBottom w:val="0"/>
          <w:divBdr>
            <w:top w:val="none" w:sz="0" w:space="0" w:color="auto"/>
            <w:left w:val="none" w:sz="0" w:space="0" w:color="auto"/>
            <w:bottom w:val="none" w:sz="0" w:space="0" w:color="auto"/>
            <w:right w:val="none" w:sz="0" w:space="0" w:color="auto"/>
          </w:divBdr>
        </w:div>
        <w:div w:id="1601912327">
          <w:marLeft w:val="0"/>
          <w:marRight w:val="0"/>
          <w:marTop w:val="0"/>
          <w:marBottom w:val="0"/>
          <w:divBdr>
            <w:top w:val="none" w:sz="0" w:space="0" w:color="auto"/>
            <w:left w:val="none" w:sz="0" w:space="0" w:color="auto"/>
            <w:bottom w:val="none" w:sz="0" w:space="0" w:color="auto"/>
            <w:right w:val="none" w:sz="0" w:space="0" w:color="auto"/>
          </w:divBdr>
        </w:div>
        <w:div w:id="1074007891">
          <w:marLeft w:val="0"/>
          <w:marRight w:val="0"/>
          <w:marTop w:val="0"/>
          <w:marBottom w:val="600"/>
          <w:divBdr>
            <w:top w:val="none" w:sz="0" w:space="0" w:color="auto"/>
            <w:left w:val="none" w:sz="0" w:space="0" w:color="auto"/>
            <w:bottom w:val="none" w:sz="0" w:space="0" w:color="auto"/>
            <w:right w:val="none" w:sz="0" w:space="0" w:color="auto"/>
          </w:divBdr>
        </w:div>
      </w:divsChild>
    </w:div>
    <w:div w:id="1797022845">
      <w:marLeft w:val="0"/>
      <w:marRight w:val="0"/>
      <w:marTop w:val="0"/>
      <w:marBottom w:val="0"/>
      <w:divBdr>
        <w:top w:val="none" w:sz="0" w:space="0" w:color="auto"/>
        <w:left w:val="none" w:sz="0" w:space="0" w:color="auto"/>
        <w:bottom w:val="none" w:sz="0" w:space="0" w:color="auto"/>
        <w:right w:val="none" w:sz="0" w:space="0" w:color="auto"/>
      </w:divBdr>
      <w:divsChild>
        <w:div w:id="528295728">
          <w:marLeft w:val="0"/>
          <w:marRight w:val="0"/>
          <w:marTop w:val="547"/>
          <w:marBottom w:val="0"/>
          <w:divBdr>
            <w:top w:val="none" w:sz="0" w:space="0" w:color="auto"/>
            <w:left w:val="none" w:sz="0" w:space="0" w:color="auto"/>
            <w:bottom w:val="none" w:sz="0" w:space="0" w:color="auto"/>
            <w:right w:val="none" w:sz="0" w:space="0" w:color="auto"/>
          </w:divBdr>
        </w:div>
        <w:div w:id="1762144495">
          <w:marLeft w:val="0"/>
          <w:marRight w:val="0"/>
          <w:marTop w:val="0"/>
          <w:marBottom w:val="0"/>
          <w:divBdr>
            <w:top w:val="none" w:sz="0" w:space="0" w:color="auto"/>
            <w:left w:val="none" w:sz="0" w:space="0" w:color="auto"/>
            <w:bottom w:val="none" w:sz="0" w:space="0" w:color="auto"/>
            <w:right w:val="none" w:sz="0" w:space="0" w:color="auto"/>
          </w:divBdr>
        </w:div>
        <w:div w:id="1450052928">
          <w:marLeft w:val="0"/>
          <w:marRight w:val="0"/>
          <w:marTop w:val="0"/>
          <w:marBottom w:val="600"/>
          <w:divBdr>
            <w:top w:val="none" w:sz="0" w:space="0" w:color="auto"/>
            <w:left w:val="none" w:sz="0" w:space="0" w:color="auto"/>
            <w:bottom w:val="none" w:sz="0" w:space="0" w:color="auto"/>
            <w:right w:val="none" w:sz="0" w:space="0" w:color="auto"/>
          </w:divBdr>
        </w:div>
      </w:divsChild>
    </w:div>
    <w:div w:id="1836728270">
      <w:marLeft w:val="0"/>
      <w:marRight w:val="0"/>
      <w:marTop w:val="0"/>
      <w:marBottom w:val="0"/>
      <w:divBdr>
        <w:top w:val="none" w:sz="0" w:space="0" w:color="auto"/>
        <w:left w:val="none" w:sz="0" w:space="0" w:color="auto"/>
        <w:bottom w:val="none" w:sz="0" w:space="0" w:color="auto"/>
        <w:right w:val="none" w:sz="0" w:space="0" w:color="auto"/>
      </w:divBdr>
      <w:divsChild>
        <w:div w:id="884029119">
          <w:marLeft w:val="0"/>
          <w:marRight w:val="0"/>
          <w:marTop w:val="547"/>
          <w:marBottom w:val="0"/>
          <w:divBdr>
            <w:top w:val="none" w:sz="0" w:space="0" w:color="auto"/>
            <w:left w:val="none" w:sz="0" w:space="0" w:color="auto"/>
            <w:bottom w:val="none" w:sz="0" w:space="0" w:color="auto"/>
            <w:right w:val="none" w:sz="0" w:space="0" w:color="auto"/>
          </w:divBdr>
        </w:div>
        <w:div w:id="270941725">
          <w:marLeft w:val="0"/>
          <w:marRight w:val="0"/>
          <w:marTop w:val="0"/>
          <w:marBottom w:val="0"/>
          <w:divBdr>
            <w:top w:val="none" w:sz="0" w:space="0" w:color="auto"/>
            <w:left w:val="none" w:sz="0" w:space="0" w:color="auto"/>
            <w:bottom w:val="none" w:sz="0" w:space="0" w:color="auto"/>
            <w:right w:val="none" w:sz="0" w:space="0" w:color="auto"/>
          </w:divBdr>
        </w:div>
        <w:div w:id="43525189">
          <w:marLeft w:val="0"/>
          <w:marRight w:val="0"/>
          <w:marTop w:val="0"/>
          <w:marBottom w:val="600"/>
          <w:divBdr>
            <w:top w:val="none" w:sz="0" w:space="0" w:color="auto"/>
            <w:left w:val="none" w:sz="0" w:space="0" w:color="auto"/>
            <w:bottom w:val="none" w:sz="0" w:space="0" w:color="auto"/>
            <w:right w:val="none" w:sz="0" w:space="0" w:color="auto"/>
          </w:divBdr>
        </w:div>
      </w:divsChild>
    </w:div>
    <w:div w:id="1845129475">
      <w:marLeft w:val="0"/>
      <w:marRight w:val="0"/>
      <w:marTop w:val="0"/>
      <w:marBottom w:val="0"/>
      <w:divBdr>
        <w:top w:val="none" w:sz="0" w:space="0" w:color="auto"/>
        <w:left w:val="none" w:sz="0" w:space="0" w:color="auto"/>
        <w:bottom w:val="none" w:sz="0" w:space="0" w:color="auto"/>
        <w:right w:val="none" w:sz="0" w:space="0" w:color="auto"/>
      </w:divBdr>
      <w:divsChild>
        <w:div w:id="1043823406">
          <w:marLeft w:val="0"/>
          <w:marRight w:val="0"/>
          <w:marTop w:val="547"/>
          <w:marBottom w:val="0"/>
          <w:divBdr>
            <w:top w:val="none" w:sz="0" w:space="0" w:color="auto"/>
            <w:left w:val="none" w:sz="0" w:space="0" w:color="auto"/>
            <w:bottom w:val="none" w:sz="0" w:space="0" w:color="auto"/>
            <w:right w:val="none" w:sz="0" w:space="0" w:color="auto"/>
          </w:divBdr>
        </w:div>
        <w:div w:id="1114985816">
          <w:marLeft w:val="0"/>
          <w:marRight w:val="0"/>
          <w:marTop w:val="0"/>
          <w:marBottom w:val="0"/>
          <w:divBdr>
            <w:top w:val="none" w:sz="0" w:space="0" w:color="auto"/>
            <w:left w:val="none" w:sz="0" w:space="0" w:color="auto"/>
            <w:bottom w:val="none" w:sz="0" w:space="0" w:color="auto"/>
            <w:right w:val="none" w:sz="0" w:space="0" w:color="auto"/>
          </w:divBdr>
        </w:div>
        <w:div w:id="1066341630">
          <w:marLeft w:val="0"/>
          <w:marRight w:val="0"/>
          <w:marTop w:val="0"/>
          <w:marBottom w:val="600"/>
          <w:divBdr>
            <w:top w:val="none" w:sz="0" w:space="0" w:color="auto"/>
            <w:left w:val="none" w:sz="0" w:space="0" w:color="auto"/>
            <w:bottom w:val="none" w:sz="0" w:space="0" w:color="auto"/>
            <w:right w:val="none" w:sz="0" w:space="0" w:color="auto"/>
          </w:divBdr>
        </w:div>
      </w:divsChild>
    </w:div>
    <w:div w:id="1868904286">
      <w:marLeft w:val="0"/>
      <w:marRight w:val="0"/>
      <w:marTop w:val="0"/>
      <w:marBottom w:val="0"/>
      <w:divBdr>
        <w:top w:val="none" w:sz="0" w:space="0" w:color="auto"/>
        <w:left w:val="none" w:sz="0" w:space="0" w:color="auto"/>
        <w:bottom w:val="none" w:sz="0" w:space="0" w:color="auto"/>
        <w:right w:val="none" w:sz="0" w:space="0" w:color="auto"/>
      </w:divBdr>
      <w:divsChild>
        <w:div w:id="1493443843">
          <w:marLeft w:val="0"/>
          <w:marRight w:val="0"/>
          <w:marTop w:val="547"/>
          <w:marBottom w:val="0"/>
          <w:divBdr>
            <w:top w:val="none" w:sz="0" w:space="0" w:color="auto"/>
            <w:left w:val="none" w:sz="0" w:space="0" w:color="auto"/>
            <w:bottom w:val="none" w:sz="0" w:space="0" w:color="auto"/>
            <w:right w:val="none" w:sz="0" w:space="0" w:color="auto"/>
          </w:divBdr>
        </w:div>
        <w:div w:id="61872546">
          <w:marLeft w:val="0"/>
          <w:marRight w:val="0"/>
          <w:marTop w:val="0"/>
          <w:marBottom w:val="0"/>
          <w:divBdr>
            <w:top w:val="none" w:sz="0" w:space="0" w:color="auto"/>
            <w:left w:val="none" w:sz="0" w:space="0" w:color="auto"/>
            <w:bottom w:val="none" w:sz="0" w:space="0" w:color="auto"/>
            <w:right w:val="none" w:sz="0" w:space="0" w:color="auto"/>
          </w:divBdr>
        </w:div>
        <w:div w:id="2049721849">
          <w:marLeft w:val="0"/>
          <w:marRight w:val="0"/>
          <w:marTop w:val="0"/>
          <w:marBottom w:val="600"/>
          <w:divBdr>
            <w:top w:val="none" w:sz="0" w:space="0" w:color="auto"/>
            <w:left w:val="none" w:sz="0" w:space="0" w:color="auto"/>
            <w:bottom w:val="none" w:sz="0" w:space="0" w:color="auto"/>
            <w:right w:val="none" w:sz="0" w:space="0" w:color="auto"/>
          </w:divBdr>
        </w:div>
      </w:divsChild>
    </w:div>
    <w:div w:id="1913808309">
      <w:marLeft w:val="0"/>
      <w:marRight w:val="0"/>
      <w:marTop w:val="0"/>
      <w:marBottom w:val="0"/>
      <w:divBdr>
        <w:top w:val="none" w:sz="0" w:space="0" w:color="auto"/>
        <w:left w:val="none" w:sz="0" w:space="0" w:color="auto"/>
        <w:bottom w:val="none" w:sz="0" w:space="0" w:color="auto"/>
        <w:right w:val="none" w:sz="0" w:space="0" w:color="auto"/>
      </w:divBdr>
      <w:divsChild>
        <w:div w:id="937327063">
          <w:marLeft w:val="0"/>
          <w:marRight w:val="0"/>
          <w:marTop w:val="547"/>
          <w:marBottom w:val="0"/>
          <w:divBdr>
            <w:top w:val="none" w:sz="0" w:space="0" w:color="auto"/>
            <w:left w:val="none" w:sz="0" w:space="0" w:color="auto"/>
            <w:bottom w:val="none" w:sz="0" w:space="0" w:color="auto"/>
            <w:right w:val="none" w:sz="0" w:space="0" w:color="auto"/>
          </w:divBdr>
        </w:div>
        <w:div w:id="1956400125">
          <w:marLeft w:val="0"/>
          <w:marRight w:val="0"/>
          <w:marTop w:val="0"/>
          <w:marBottom w:val="0"/>
          <w:divBdr>
            <w:top w:val="none" w:sz="0" w:space="0" w:color="auto"/>
            <w:left w:val="none" w:sz="0" w:space="0" w:color="auto"/>
            <w:bottom w:val="none" w:sz="0" w:space="0" w:color="auto"/>
            <w:right w:val="none" w:sz="0" w:space="0" w:color="auto"/>
          </w:divBdr>
        </w:div>
        <w:div w:id="1449932156">
          <w:marLeft w:val="0"/>
          <w:marRight w:val="0"/>
          <w:marTop w:val="0"/>
          <w:marBottom w:val="600"/>
          <w:divBdr>
            <w:top w:val="none" w:sz="0" w:space="0" w:color="auto"/>
            <w:left w:val="none" w:sz="0" w:space="0" w:color="auto"/>
            <w:bottom w:val="none" w:sz="0" w:space="0" w:color="auto"/>
            <w:right w:val="none" w:sz="0" w:space="0" w:color="auto"/>
          </w:divBdr>
        </w:div>
      </w:divsChild>
    </w:div>
    <w:div w:id="1933009997">
      <w:marLeft w:val="0"/>
      <w:marRight w:val="0"/>
      <w:marTop w:val="0"/>
      <w:marBottom w:val="0"/>
      <w:divBdr>
        <w:top w:val="none" w:sz="0" w:space="0" w:color="auto"/>
        <w:left w:val="none" w:sz="0" w:space="0" w:color="auto"/>
        <w:bottom w:val="none" w:sz="0" w:space="0" w:color="auto"/>
        <w:right w:val="none" w:sz="0" w:space="0" w:color="auto"/>
      </w:divBdr>
      <w:divsChild>
        <w:div w:id="1931812939">
          <w:marLeft w:val="0"/>
          <w:marRight w:val="0"/>
          <w:marTop w:val="547"/>
          <w:marBottom w:val="0"/>
          <w:divBdr>
            <w:top w:val="none" w:sz="0" w:space="0" w:color="auto"/>
            <w:left w:val="none" w:sz="0" w:space="0" w:color="auto"/>
            <w:bottom w:val="none" w:sz="0" w:space="0" w:color="auto"/>
            <w:right w:val="none" w:sz="0" w:space="0" w:color="auto"/>
          </w:divBdr>
        </w:div>
        <w:div w:id="1500537343">
          <w:marLeft w:val="0"/>
          <w:marRight w:val="0"/>
          <w:marTop w:val="0"/>
          <w:marBottom w:val="0"/>
          <w:divBdr>
            <w:top w:val="none" w:sz="0" w:space="0" w:color="auto"/>
            <w:left w:val="none" w:sz="0" w:space="0" w:color="auto"/>
            <w:bottom w:val="none" w:sz="0" w:space="0" w:color="auto"/>
            <w:right w:val="none" w:sz="0" w:space="0" w:color="auto"/>
          </w:divBdr>
          <w:divsChild>
            <w:div w:id="669143235">
              <w:marLeft w:val="0"/>
              <w:marRight w:val="0"/>
              <w:marTop w:val="0"/>
              <w:marBottom w:val="0"/>
              <w:divBdr>
                <w:top w:val="none" w:sz="0" w:space="0" w:color="auto"/>
                <w:left w:val="none" w:sz="0" w:space="0" w:color="auto"/>
                <w:bottom w:val="none" w:sz="0" w:space="0" w:color="auto"/>
                <w:right w:val="none" w:sz="0" w:space="0" w:color="auto"/>
              </w:divBdr>
              <w:divsChild>
                <w:div w:id="1754469799">
                  <w:marLeft w:val="0"/>
                  <w:marRight w:val="0"/>
                  <w:marTop w:val="0"/>
                  <w:marBottom w:val="0"/>
                  <w:divBdr>
                    <w:top w:val="none" w:sz="0" w:space="0" w:color="auto"/>
                    <w:left w:val="none" w:sz="0" w:space="0" w:color="auto"/>
                    <w:bottom w:val="none" w:sz="0" w:space="0" w:color="auto"/>
                    <w:right w:val="none" w:sz="0" w:space="0" w:color="auto"/>
                  </w:divBdr>
                </w:div>
              </w:divsChild>
            </w:div>
            <w:div w:id="1215435178">
              <w:marLeft w:val="0"/>
              <w:marRight w:val="0"/>
              <w:marTop w:val="0"/>
              <w:marBottom w:val="0"/>
              <w:divBdr>
                <w:top w:val="none" w:sz="0" w:space="0" w:color="auto"/>
                <w:left w:val="none" w:sz="0" w:space="0" w:color="auto"/>
                <w:bottom w:val="none" w:sz="0" w:space="0" w:color="auto"/>
                <w:right w:val="none" w:sz="0" w:space="0" w:color="auto"/>
              </w:divBdr>
              <w:divsChild>
                <w:div w:id="1961305129">
                  <w:marLeft w:val="0"/>
                  <w:marRight w:val="0"/>
                  <w:marTop w:val="0"/>
                  <w:marBottom w:val="0"/>
                  <w:divBdr>
                    <w:top w:val="none" w:sz="0" w:space="0" w:color="auto"/>
                    <w:left w:val="none" w:sz="0" w:space="0" w:color="auto"/>
                    <w:bottom w:val="none" w:sz="0" w:space="0" w:color="auto"/>
                    <w:right w:val="none" w:sz="0" w:space="0" w:color="auto"/>
                  </w:divBdr>
                </w:div>
              </w:divsChild>
            </w:div>
            <w:div w:id="2128306352">
              <w:marLeft w:val="0"/>
              <w:marRight w:val="0"/>
              <w:marTop w:val="0"/>
              <w:marBottom w:val="0"/>
              <w:divBdr>
                <w:top w:val="none" w:sz="0" w:space="0" w:color="auto"/>
                <w:left w:val="none" w:sz="0" w:space="0" w:color="auto"/>
                <w:bottom w:val="none" w:sz="0" w:space="0" w:color="auto"/>
                <w:right w:val="none" w:sz="0" w:space="0" w:color="auto"/>
              </w:divBdr>
              <w:divsChild>
                <w:div w:id="1020163183">
                  <w:marLeft w:val="0"/>
                  <w:marRight w:val="0"/>
                  <w:marTop w:val="0"/>
                  <w:marBottom w:val="0"/>
                  <w:divBdr>
                    <w:top w:val="none" w:sz="0" w:space="0" w:color="auto"/>
                    <w:left w:val="none" w:sz="0" w:space="0" w:color="auto"/>
                    <w:bottom w:val="none" w:sz="0" w:space="0" w:color="auto"/>
                    <w:right w:val="none" w:sz="0" w:space="0" w:color="auto"/>
                  </w:divBdr>
                </w:div>
              </w:divsChild>
            </w:div>
            <w:div w:id="538275621">
              <w:marLeft w:val="0"/>
              <w:marRight w:val="0"/>
              <w:marTop w:val="0"/>
              <w:marBottom w:val="0"/>
              <w:divBdr>
                <w:top w:val="none" w:sz="0" w:space="0" w:color="auto"/>
                <w:left w:val="none" w:sz="0" w:space="0" w:color="auto"/>
                <w:bottom w:val="none" w:sz="0" w:space="0" w:color="auto"/>
                <w:right w:val="none" w:sz="0" w:space="0" w:color="auto"/>
              </w:divBdr>
              <w:divsChild>
                <w:div w:id="1818260245">
                  <w:marLeft w:val="0"/>
                  <w:marRight w:val="0"/>
                  <w:marTop w:val="0"/>
                  <w:marBottom w:val="0"/>
                  <w:divBdr>
                    <w:top w:val="none" w:sz="0" w:space="0" w:color="auto"/>
                    <w:left w:val="none" w:sz="0" w:space="0" w:color="auto"/>
                    <w:bottom w:val="none" w:sz="0" w:space="0" w:color="auto"/>
                    <w:right w:val="none" w:sz="0" w:space="0" w:color="auto"/>
                  </w:divBdr>
                </w:div>
              </w:divsChild>
            </w:div>
            <w:div w:id="814100283">
              <w:marLeft w:val="0"/>
              <w:marRight w:val="0"/>
              <w:marTop w:val="0"/>
              <w:marBottom w:val="0"/>
              <w:divBdr>
                <w:top w:val="none" w:sz="0" w:space="0" w:color="auto"/>
                <w:left w:val="none" w:sz="0" w:space="0" w:color="auto"/>
                <w:bottom w:val="none" w:sz="0" w:space="0" w:color="auto"/>
                <w:right w:val="none" w:sz="0" w:space="0" w:color="auto"/>
              </w:divBdr>
              <w:divsChild>
                <w:div w:id="2147359103">
                  <w:marLeft w:val="0"/>
                  <w:marRight w:val="0"/>
                  <w:marTop w:val="0"/>
                  <w:marBottom w:val="0"/>
                  <w:divBdr>
                    <w:top w:val="none" w:sz="0" w:space="0" w:color="auto"/>
                    <w:left w:val="none" w:sz="0" w:space="0" w:color="auto"/>
                    <w:bottom w:val="none" w:sz="0" w:space="0" w:color="auto"/>
                    <w:right w:val="none" w:sz="0" w:space="0" w:color="auto"/>
                  </w:divBdr>
                </w:div>
              </w:divsChild>
            </w:div>
            <w:div w:id="243993143">
              <w:marLeft w:val="0"/>
              <w:marRight w:val="0"/>
              <w:marTop w:val="0"/>
              <w:marBottom w:val="0"/>
              <w:divBdr>
                <w:top w:val="none" w:sz="0" w:space="0" w:color="auto"/>
                <w:left w:val="none" w:sz="0" w:space="0" w:color="auto"/>
                <w:bottom w:val="none" w:sz="0" w:space="0" w:color="auto"/>
                <w:right w:val="none" w:sz="0" w:space="0" w:color="auto"/>
              </w:divBdr>
              <w:divsChild>
                <w:div w:id="296841825">
                  <w:marLeft w:val="0"/>
                  <w:marRight w:val="0"/>
                  <w:marTop w:val="0"/>
                  <w:marBottom w:val="0"/>
                  <w:divBdr>
                    <w:top w:val="none" w:sz="0" w:space="0" w:color="auto"/>
                    <w:left w:val="none" w:sz="0" w:space="0" w:color="auto"/>
                    <w:bottom w:val="none" w:sz="0" w:space="0" w:color="auto"/>
                    <w:right w:val="none" w:sz="0" w:space="0" w:color="auto"/>
                  </w:divBdr>
                </w:div>
              </w:divsChild>
            </w:div>
            <w:div w:id="1229609549">
              <w:marLeft w:val="0"/>
              <w:marRight w:val="0"/>
              <w:marTop w:val="0"/>
              <w:marBottom w:val="0"/>
              <w:divBdr>
                <w:top w:val="none" w:sz="0" w:space="0" w:color="auto"/>
                <w:left w:val="none" w:sz="0" w:space="0" w:color="auto"/>
                <w:bottom w:val="none" w:sz="0" w:space="0" w:color="auto"/>
                <w:right w:val="none" w:sz="0" w:space="0" w:color="auto"/>
              </w:divBdr>
              <w:divsChild>
                <w:div w:id="1879662467">
                  <w:marLeft w:val="0"/>
                  <w:marRight w:val="0"/>
                  <w:marTop w:val="0"/>
                  <w:marBottom w:val="0"/>
                  <w:divBdr>
                    <w:top w:val="none" w:sz="0" w:space="0" w:color="auto"/>
                    <w:left w:val="none" w:sz="0" w:space="0" w:color="auto"/>
                    <w:bottom w:val="none" w:sz="0" w:space="0" w:color="auto"/>
                    <w:right w:val="none" w:sz="0" w:space="0" w:color="auto"/>
                  </w:divBdr>
                </w:div>
              </w:divsChild>
            </w:div>
            <w:div w:id="213663618">
              <w:marLeft w:val="0"/>
              <w:marRight w:val="0"/>
              <w:marTop w:val="0"/>
              <w:marBottom w:val="0"/>
              <w:divBdr>
                <w:top w:val="none" w:sz="0" w:space="0" w:color="auto"/>
                <w:left w:val="none" w:sz="0" w:space="0" w:color="auto"/>
                <w:bottom w:val="none" w:sz="0" w:space="0" w:color="auto"/>
                <w:right w:val="none" w:sz="0" w:space="0" w:color="auto"/>
              </w:divBdr>
              <w:divsChild>
                <w:div w:id="1500656680">
                  <w:marLeft w:val="0"/>
                  <w:marRight w:val="0"/>
                  <w:marTop w:val="0"/>
                  <w:marBottom w:val="0"/>
                  <w:divBdr>
                    <w:top w:val="none" w:sz="0" w:space="0" w:color="auto"/>
                    <w:left w:val="none" w:sz="0" w:space="0" w:color="auto"/>
                    <w:bottom w:val="none" w:sz="0" w:space="0" w:color="auto"/>
                    <w:right w:val="none" w:sz="0" w:space="0" w:color="auto"/>
                  </w:divBdr>
                </w:div>
              </w:divsChild>
            </w:div>
            <w:div w:id="234053629">
              <w:marLeft w:val="0"/>
              <w:marRight w:val="0"/>
              <w:marTop w:val="0"/>
              <w:marBottom w:val="0"/>
              <w:divBdr>
                <w:top w:val="none" w:sz="0" w:space="0" w:color="auto"/>
                <w:left w:val="none" w:sz="0" w:space="0" w:color="auto"/>
                <w:bottom w:val="none" w:sz="0" w:space="0" w:color="auto"/>
                <w:right w:val="none" w:sz="0" w:space="0" w:color="auto"/>
              </w:divBdr>
              <w:divsChild>
                <w:div w:id="2008941342">
                  <w:marLeft w:val="0"/>
                  <w:marRight w:val="0"/>
                  <w:marTop w:val="0"/>
                  <w:marBottom w:val="0"/>
                  <w:divBdr>
                    <w:top w:val="none" w:sz="0" w:space="0" w:color="auto"/>
                    <w:left w:val="none" w:sz="0" w:space="0" w:color="auto"/>
                    <w:bottom w:val="none" w:sz="0" w:space="0" w:color="auto"/>
                    <w:right w:val="none" w:sz="0" w:space="0" w:color="auto"/>
                  </w:divBdr>
                </w:div>
              </w:divsChild>
            </w:div>
            <w:div w:id="2027517600">
              <w:marLeft w:val="0"/>
              <w:marRight w:val="0"/>
              <w:marTop w:val="0"/>
              <w:marBottom w:val="0"/>
              <w:divBdr>
                <w:top w:val="none" w:sz="0" w:space="0" w:color="auto"/>
                <w:left w:val="none" w:sz="0" w:space="0" w:color="auto"/>
                <w:bottom w:val="none" w:sz="0" w:space="0" w:color="auto"/>
                <w:right w:val="none" w:sz="0" w:space="0" w:color="auto"/>
              </w:divBdr>
              <w:divsChild>
                <w:div w:id="1442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1498">
          <w:marLeft w:val="0"/>
          <w:marRight w:val="0"/>
          <w:marTop w:val="0"/>
          <w:marBottom w:val="600"/>
          <w:divBdr>
            <w:top w:val="none" w:sz="0" w:space="0" w:color="auto"/>
            <w:left w:val="none" w:sz="0" w:space="0" w:color="auto"/>
            <w:bottom w:val="none" w:sz="0" w:space="0" w:color="auto"/>
            <w:right w:val="none" w:sz="0" w:space="0" w:color="auto"/>
          </w:divBdr>
        </w:div>
      </w:divsChild>
    </w:div>
    <w:div w:id="2008172594">
      <w:marLeft w:val="0"/>
      <w:marRight w:val="0"/>
      <w:marTop w:val="0"/>
      <w:marBottom w:val="0"/>
      <w:divBdr>
        <w:top w:val="none" w:sz="0" w:space="0" w:color="auto"/>
        <w:left w:val="none" w:sz="0" w:space="0" w:color="auto"/>
        <w:bottom w:val="none" w:sz="0" w:space="0" w:color="auto"/>
        <w:right w:val="none" w:sz="0" w:space="0" w:color="auto"/>
      </w:divBdr>
      <w:divsChild>
        <w:div w:id="692728675">
          <w:marLeft w:val="0"/>
          <w:marRight w:val="0"/>
          <w:marTop w:val="547"/>
          <w:marBottom w:val="0"/>
          <w:divBdr>
            <w:top w:val="none" w:sz="0" w:space="0" w:color="auto"/>
            <w:left w:val="none" w:sz="0" w:space="0" w:color="auto"/>
            <w:bottom w:val="none" w:sz="0" w:space="0" w:color="auto"/>
            <w:right w:val="none" w:sz="0" w:space="0" w:color="auto"/>
          </w:divBdr>
        </w:div>
        <w:div w:id="1525167274">
          <w:marLeft w:val="0"/>
          <w:marRight w:val="0"/>
          <w:marTop w:val="0"/>
          <w:marBottom w:val="0"/>
          <w:divBdr>
            <w:top w:val="none" w:sz="0" w:space="0" w:color="auto"/>
            <w:left w:val="none" w:sz="0" w:space="0" w:color="auto"/>
            <w:bottom w:val="none" w:sz="0" w:space="0" w:color="auto"/>
            <w:right w:val="none" w:sz="0" w:space="0" w:color="auto"/>
          </w:divBdr>
        </w:div>
        <w:div w:id="97216302">
          <w:marLeft w:val="0"/>
          <w:marRight w:val="0"/>
          <w:marTop w:val="0"/>
          <w:marBottom w:val="600"/>
          <w:divBdr>
            <w:top w:val="none" w:sz="0" w:space="0" w:color="auto"/>
            <w:left w:val="none" w:sz="0" w:space="0" w:color="auto"/>
            <w:bottom w:val="none" w:sz="0" w:space="0" w:color="auto"/>
            <w:right w:val="none" w:sz="0" w:space="0" w:color="auto"/>
          </w:divBdr>
        </w:div>
      </w:divsChild>
    </w:div>
    <w:div w:id="2016837082">
      <w:marLeft w:val="0"/>
      <w:marRight w:val="0"/>
      <w:marTop w:val="0"/>
      <w:marBottom w:val="0"/>
      <w:divBdr>
        <w:top w:val="none" w:sz="0" w:space="0" w:color="auto"/>
        <w:left w:val="none" w:sz="0" w:space="0" w:color="auto"/>
        <w:bottom w:val="none" w:sz="0" w:space="0" w:color="auto"/>
        <w:right w:val="none" w:sz="0" w:space="0" w:color="auto"/>
      </w:divBdr>
      <w:divsChild>
        <w:div w:id="1915627135">
          <w:marLeft w:val="0"/>
          <w:marRight w:val="0"/>
          <w:marTop w:val="547"/>
          <w:marBottom w:val="0"/>
          <w:divBdr>
            <w:top w:val="none" w:sz="0" w:space="0" w:color="auto"/>
            <w:left w:val="none" w:sz="0" w:space="0" w:color="auto"/>
            <w:bottom w:val="none" w:sz="0" w:space="0" w:color="auto"/>
            <w:right w:val="none" w:sz="0" w:space="0" w:color="auto"/>
          </w:divBdr>
        </w:div>
        <w:div w:id="1578202722">
          <w:marLeft w:val="0"/>
          <w:marRight w:val="0"/>
          <w:marTop w:val="0"/>
          <w:marBottom w:val="0"/>
          <w:divBdr>
            <w:top w:val="none" w:sz="0" w:space="0" w:color="auto"/>
            <w:left w:val="none" w:sz="0" w:space="0" w:color="auto"/>
            <w:bottom w:val="none" w:sz="0" w:space="0" w:color="auto"/>
            <w:right w:val="none" w:sz="0" w:space="0" w:color="auto"/>
          </w:divBdr>
        </w:div>
        <w:div w:id="687367572">
          <w:marLeft w:val="0"/>
          <w:marRight w:val="0"/>
          <w:marTop w:val="0"/>
          <w:marBottom w:val="600"/>
          <w:divBdr>
            <w:top w:val="none" w:sz="0" w:space="0" w:color="auto"/>
            <w:left w:val="none" w:sz="0" w:space="0" w:color="auto"/>
            <w:bottom w:val="none" w:sz="0" w:space="0" w:color="auto"/>
            <w:right w:val="none" w:sz="0" w:space="0" w:color="auto"/>
          </w:divBdr>
        </w:div>
      </w:divsChild>
    </w:div>
    <w:div w:id="2074354633">
      <w:marLeft w:val="0"/>
      <w:marRight w:val="0"/>
      <w:marTop w:val="0"/>
      <w:marBottom w:val="0"/>
      <w:divBdr>
        <w:top w:val="none" w:sz="0" w:space="0" w:color="auto"/>
        <w:left w:val="none" w:sz="0" w:space="0" w:color="auto"/>
        <w:bottom w:val="none" w:sz="0" w:space="0" w:color="auto"/>
        <w:right w:val="none" w:sz="0" w:space="0" w:color="auto"/>
      </w:divBdr>
      <w:divsChild>
        <w:div w:id="405032713">
          <w:marLeft w:val="0"/>
          <w:marRight w:val="0"/>
          <w:marTop w:val="547"/>
          <w:marBottom w:val="0"/>
          <w:divBdr>
            <w:top w:val="none" w:sz="0" w:space="0" w:color="auto"/>
            <w:left w:val="none" w:sz="0" w:space="0" w:color="auto"/>
            <w:bottom w:val="none" w:sz="0" w:space="0" w:color="auto"/>
            <w:right w:val="none" w:sz="0" w:space="0" w:color="auto"/>
          </w:divBdr>
        </w:div>
        <w:div w:id="756903370">
          <w:marLeft w:val="0"/>
          <w:marRight w:val="0"/>
          <w:marTop w:val="0"/>
          <w:marBottom w:val="0"/>
          <w:divBdr>
            <w:top w:val="none" w:sz="0" w:space="0" w:color="auto"/>
            <w:left w:val="none" w:sz="0" w:space="0" w:color="auto"/>
            <w:bottom w:val="none" w:sz="0" w:space="0" w:color="auto"/>
            <w:right w:val="none" w:sz="0" w:space="0" w:color="auto"/>
          </w:divBdr>
        </w:div>
        <w:div w:id="432286216">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bph-20200930xex32d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bph-20200930xex31d2.htm" TargetMode="External"/><Relationship Id="rId5" Type="http://schemas.openxmlformats.org/officeDocument/2006/relationships/hyperlink" Target="tbph-20200930xex31d1.htm" TargetMode="External"/><Relationship Id="rId4" Type="http://schemas.openxmlformats.org/officeDocument/2006/relationships/hyperlink" Target="tbph-20200930xex10d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51672</Words>
  <Characters>294537</Characters>
  <Application>Microsoft Office Word</Application>
  <DocSecurity>0</DocSecurity>
  <Lines>2454</Lines>
  <Paragraphs>691</Paragraphs>
  <ScaleCrop>false</ScaleCrop>
  <Company/>
  <LinksUpToDate>false</LinksUpToDate>
  <CharactersWithSpaces>345518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2024-01-04T16:16:00Z</dcterms:created>
  <dcterms:modified xsi:type="dcterms:W3CDTF">2024-01-04T16:16:00Z</dcterms:modified>
</cp:coreProperties>
</file>