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E52F77">
      <w:pPr>
        <w:divId w:val="1893417452"/>
        <w:rPr>
          <w:rFonts w:eastAsia="Times New Roman"/>
          <w:vanish/>
        </w:rPr>
      </w:pPr>
      <w:r>
        <w:rPr>
          <w:rFonts w:eastAsia="Times New Roman"/>
          <w:vanish/>
        </w:rPr>
        <w:t>000001583107--12-312021Q2false643280007347000040001583107tbph:PublicOfferingMember2021-06-292021-06-2900015831072021-06-292021-06-290001583107us-gaap:RetainedEarningsMember2021-06-300001583107</w:t>
      </w:r>
      <w:r>
        <w:rPr>
          <w:rFonts w:eastAsia="Times New Roman"/>
          <w:vanish/>
        </w:rPr>
        <w:t>us-gaap:AdditionalPaidInCapitalMember2021-06-300001583107us-gaap:AccumulatedOtherComprehensiveIncomeMember2021-06-300001583107us-gaap:RetainedEarningsMember2021-03-310001583107us-gaap:AdditionalPaidInCapitalMember2021-03-310001583107us-gaap:AccumulatedOthe</w:t>
      </w:r>
      <w:r>
        <w:rPr>
          <w:rFonts w:eastAsia="Times New Roman"/>
          <w:vanish/>
        </w:rPr>
        <w:t>rComprehensiveIncomeMember2021-03-3100015831072021-03-310001583107us-gaap:RetainedEarningsMember2020-12-310001583107us-gaap:AdditionalPaidInCapitalMember2020-12-310001583107us-gaap:AccumulatedOtherComprehensiveIncomeMember2020-12-310001583107us-gaap:Retain</w:t>
      </w:r>
      <w:r>
        <w:rPr>
          <w:rFonts w:eastAsia="Times New Roman"/>
          <w:vanish/>
        </w:rPr>
        <w:t>edEarningsMember2020-06-300001583107us-gaap:AdditionalPaidInCapitalMember2020-06-300001583107us-gaap:AccumulatedOtherComprehensiveIncomeMember2020-06-300001583107us-gaap:RetainedEarningsMember2020-03-310001583107us-gaap:AdditionalPaidInCapitalMember2020-03</w:t>
      </w:r>
      <w:r>
        <w:rPr>
          <w:rFonts w:eastAsia="Times New Roman"/>
          <w:vanish/>
        </w:rPr>
        <w:t>-310001583107us-gaap:AccumulatedOtherComprehensiveIncomeMember2020-03-3100015831072020-03-310001583107us-gaap:RetainedEarningsMember2019-12-310001583107us-gaap:AdditionalPaidInCapitalMember2019-12-310001583107us-gaap:AccumulatedOtherComprehensiveIncomeMemb</w:t>
      </w:r>
      <w:r>
        <w:rPr>
          <w:rFonts w:eastAsia="Times New Roman"/>
          <w:vanish/>
        </w:rPr>
        <w:t>er2019-12-310001583107us-gaap:CommonStockMember2021-04-012021-06-300001583107us-gaap:CommonStockMember2021-01-012021-06-300001583107us-gaap:CommonStockMember2020-04-012020-06-300001583107us-gaap:CommonStockMember2020-01-012020-06-3000015831072021-06-290001</w:t>
      </w:r>
      <w:r>
        <w:rPr>
          <w:rFonts w:eastAsia="Times New Roman"/>
          <w:vanish/>
        </w:rPr>
        <w:t>583107tbph:ViatrisMembertbph:NebulizedTD4208Member2016-12-310001583107us-gaap:RoyaltyMembertbph:TheravanceRespiratoryCompanyLlcMember2021-04-012021-06-300001583107tbph:CoPromoteAgreementMember2021-04-012021-06-300001583107tbph:ViatrisMembertbph:YupelriMono</w:t>
      </w:r>
      <w:r>
        <w:rPr>
          <w:rFonts w:eastAsia="Times New Roman"/>
          <w:vanish/>
        </w:rPr>
        <w:t>therapyMembertbph:SalesMilestonesMember2021-01-012021-06-300001583107tbph:ViatrisMembertbph:YupelriMonotherapyMembertbph:RegulatoryActionsMember2021-01-012021-06-300001583107tbph:ViatrisMembertbph:YupelriMonotherapyMembertbph:DevelopmentAndCommercializatio</w:t>
      </w:r>
      <w:r>
        <w:rPr>
          <w:rFonts w:eastAsia="Times New Roman"/>
          <w:vanish/>
        </w:rPr>
        <w:t>nAgreementMember2021-01-012021-06-300001583107us-gaap:RoyaltyMembertbph:TheravanceRespiratoryCompanyLlcMember2021-01-012021-06-300001583107tbph:ViatrisMembertbph:SalesMilestonesMember2021-01-012021-06-300001583107tbph:ViatrisMembertbph:NebulizedTD4208Membe</w:t>
      </w:r>
      <w:r>
        <w:rPr>
          <w:rFonts w:eastAsia="Times New Roman"/>
          <w:vanish/>
        </w:rPr>
        <w:t>r2021-01-012021-06-300001583107tbph:ViatrisMembertbph:FuturePotentialCombinationProductsMember2021-01-012021-06-300001583107tbph:CoPromoteAgreementMember2021-01-012021-06-300001583107us-gaap:RoyaltyMembertbph:TheravanceRespiratoryCompanyLlcMember2020-04-01</w:t>
      </w:r>
      <w:r>
        <w:rPr>
          <w:rFonts w:eastAsia="Times New Roman"/>
          <w:vanish/>
        </w:rPr>
        <w:t>2020-06-300001583107tbph:CoPromoteAgreementMember2020-04-012020-06-300001583107tbph:ViatrisMember2020-03-012020-03-310001583107us-gaap:RoyaltyMembertbph:TheravanceRespiratoryCompanyLlcMember2020-01-012020-06-300001583107us-gaap:LicenseMember2020-01-012020-</w:t>
      </w:r>
      <w:r>
        <w:rPr>
          <w:rFonts w:eastAsia="Times New Roman"/>
          <w:vanish/>
        </w:rPr>
        <w:t>06-300001583107tbph:CoPromoteAgreementMember2020-01-012020-06-300001583107tbph:ViatrisMembertbph:FuturePotentialCombinationProductsMembertbph:DevelopmentAndSalesMilestonesMember2019-06-012019-06-300001583107tbph:ViatrisMembertbph:YupelriMonotherapyMember20</w:t>
      </w:r>
      <w:r>
        <w:rPr>
          <w:rFonts w:eastAsia="Times New Roman"/>
          <w:vanish/>
        </w:rPr>
        <w:t>19-06-012019-06-300001583107tbph:ViatrisMembertbph:SalesMilestonesMember2019-06-012019-06-300001583107tbph:ViatrisMembertbph:FuturePotentialCombinationProductsMember2019-06-012019-06-300001583107us-gaap:AccumulatedOtherComprehensiveIncomeMember2021-04-0120</w:t>
      </w:r>
      <w:r>
        <w:rPr>
          <w:rFonts w:eastAsia="Times New Roman"/>
          <w:vanish/>
        </w:rPr>
        <w:t>21-06-300001583107us-gaap:AccumulatedOtherComprehensiveIncomeMember2021-01-012021-06-300001583107us-gaap:AccumulatedOtherComprehensiveIncomeMember2020-04-012020-06-300001583107us-gaap:AccumulatedOtherComprehensiveIncomeMember2020-01-012020-06-300001583107u</w:t>
      </w:r>
      <w:r>
        <w:rPr>
          <w:rFonts w:eastAsia="Times New Roman"/>
          <w:vanish/>
        </w:rPr>
        <w:t>s-gaap:RetainedEarningsMember2021-04-012021-06-300001583107tbph:TheravanceRespiratoryCompanyLlcMember2021-04-012021-06-300001583107us-gaap:RetainedEarningsMember2021-01-012021-06-300001583107us-gaap:RetainedEarningsMember2020-04-012020-06-300001583107tbph:</w:t>
      </w:r>
      <w:r>
        <w:rPr>
          <w:rFonts w:eastAsia="Times New Roman"/>
          <w:vanish/>
        </w:rPr>
        <w:t>TheravanceRespiratoryCompanyLlcMember2020-04-012020-06-300001583107us-gaap:RetainedEarningsMember2020-01-012020-06-300001583107tbph:TheravanceRespiratoryCompanyLlcMember2020-01-012020-06-3000015831072021-01-012021-03-310001583107tbph:TheravanceRespiratoryC</w:t>
      </w:r>
      <w:r>
        <w:rPr>
          <w:rFonts w:eastAsia="Times New Roman"/>
          <w:vanish/>
        </w:rPr>
        <w:t>ompanyLlcMember2020-02-210001583107tbph:IssuerTwoClassCUnitsMember2020-02-210001583107tbph:TheravanceRespiratoryCompanyLlcMember2021-06-300001583107us-gaap:CorporateNoteSecuritiesMember2020-12-310001583107us-gaap:CommercialPaperMember2020-12-310001583107tb</w:t>
      </w:r>
      <w:r>
        <w:rPr>
          <w:rFonts w:eastAsia="Times New Roman"/>
          <w:vanish/>
        </w:rPr>
        <w:t>ph:TheravanceBiopharmaRAndDIncMembertbph:TermNotesDue2035Member2021-06-300001583107tbph:NonRecourseDebt2035Member2021-06-300001583107tbph:NonRecourseDebt2033Member2021-06-300001583107us-gaap:SeniorNotesMember2021-06-300001583107tbph:ViatrisMember2019-06-01</w:t>
      </w:r>
      <w:r>
        <w:rPr>
          <w:rFonts w:eastAsia="Times New Roman"/>
          <w:vanish/>
        </w:rPr>
        <w:t>2019-06-300001583107tbph:JanssenBiotechIncMember2021-06-300001583107us-gaap:CommonStockMember2021-06-300001583107us-gaap:CommonStockMember2021-03-310001583107us-gaap:CommonStockMember2020-12-310001583107us-gaap:CommonStockMember2020-06-300001583107us-gaap:</w:t>
      </w:r>
      <w:r>
        <w:rPr>
          <w:rFonts w:eastAsia="Times New Roman"/>
          <w:vanish/>
        </w:rPr>
        <w:t>CommonStockMember2020-03-310001583107us-gaap:CommonStockMember2019-12-3100015831072019-12-3100015831072020-06-300001583107us-gaap:FairValueInputsLevel1Memberus-gaap:MoneyMarketFundsMember2021-06-300001583107us-gaap:FairValueInputsLevel2Memberus-gaap:Corpor</w:t>
      </w:r>
      <w:r>
        <w:rPr>
          <w:rFonts w:eastAsia="Times New Roman"/>
          <w:vanish/>
        </w:rPr>
        <w:t>ateNoteSecuritiesMember2020-12-310001583107us-gaap:FairValueInputsLevel2Memberus-gaap:CommercialPaperMember2021-06-300001583107us-gaap:FairValueInputsLevel1Memberus-gaap:USTreasuryAndGovernmentMember2021-06-300001583107tbph:MarketableSecuritiesMember2021-0</w:t>
      </w:r>
      <w:r>
        <w:rPr>
          <w:rFonts w:eastAsia="Times New Roman"/>
          <w:vanish/>
        </w:rPr>
        <w:t>6-300001583107us-gaap:FairValueInputsLevel2Memberus-gaap:USGovernmentAgenciesDebtSecuritiesMember2020-12-310001583107us-gaap:FairValueInputsLevel2Memberus-gaap:CommercialPaperMember2020-12-310001583107us-gaap:FairValueInputsLevel1Memberus-gaap:USTreasuryAn</w:t>
      </w:r>
      <w:r>
        <w:rPr>
          <w:rFonts w:eastAsia="Times New Roman"/>
          <w:vanish/>
        </w:rPr>
        <w:t>dGovernmentMember2020-12-310001583107tbph:MarketableSecuritiesMember2020-12-310001583107us-gaap:StockCompensationPlanMember2021-04-012021-06-300001583107us-gaap:ConvertibleSubordinatedDebtMember2021-04-012021-06-300001583107us-gaap:StockCompensationPlanMem</w:t>
      </w:r>
      <w:r>
        <w:rPr>
          <w:rFonts w:eastAsia="Times New Roman"/>
          <w:vanish/>
        </w:rPr>
        <w:t>ber2021-01-012021-06-300001583107us-gaap:ConvertibleSubordinatedDebtMember2021-01-012021-06-300001583107us-gaap:StockCompensationPlanMember2020-04-012020-06-300001583107us-gaap:ConvertibleSubordinatedDebtMember2020-04-012020-06-300001583107us-gaap:StockCom</w:t>
      </w:r>
      <w:r>
        <w:rPr>
          <w:rFonts w:eastAsia="Times New Roman"/>
          <w:vanish/>
        </w:rPr>
        <w:t>pensationPlanMember2020-01-012020-06-300001583107us-gaap:ConvertibleSubordinatedDebtMember2020-01-012020-06-300001583107us-gaap:SellingGeneralAndAdministrativeExpensesMember2021-04-012021-06-300001583107us-gaap:ResearchAndDevelopmentExpenseMember2021-04-01</w:t>
      </w:r>
      <w:r>
        <w:rPr>
          <w:rFonts w:eastAsia="Times New Roman"/>
          <w:vanish/>
        </w:rPr>
        <w:t>2021-06-300001583107tbph:EmployeePerformanceRestrictedStockUnitsRsuAndCashBonusMilestonesMember2021-04-012021-06-300001583107us-gaap:ScenarioPlanMembertbph:EmployeePerformanceRestrictedStockUnitsRsuAndCashBonusMilestonesMember2021-01-012021-06-300001583107</w:t>
      </w:r>
      <w:r>
        <w:rPr>
          <w:rFonts w:eastAsia="Times New Roman"/>
          <w:vanish/>
        </w:rPr>
        <w:t>us-gaap:SellingGeneralAndAdministrativeExpensesMember2021-01-012021-06-300001583107us-gaap:ResearchAndDevelopmentExpenseMember2021-01-012021-06-300001583107tbph:EmployeePerformanceRestrictedStockUnitsRsuAndCashBonusMilestonesMember2021-01-012021-06-3000015</w:t>
      </w:r>
      <w:r>
        <w:rPr>
          <w:rFonts w:eastAsia="Times New Roman"/>
          <w:vanish/>
        </w:rPr>
        <w:t>83107us-gaap:SellingGeneralAndAdministrativeExpensesMember2020-04-012020-06-300001583107us-gaap:ResearchAndDevelopmentExpenseMember2020-04-012020-06-300001583107tbph:EmployeePerformanceRestrictedStockUnitsRsuAndCashBonusMilestonesMember2020-04-012020-06-30</w:t>
      </w:r>
      <w:r>
        <w:rPr>
          <w:rFonts w:eastAsia="Times New Roman"/>
          <w:vanish/>
        </w:rPr>
        <w:t>0001583107us-gaap:SellingGeneralAndAdministrativeExpensesMember2020-01-012020-06-300001583107us-gaap:ResearchAndDevelopmentExpenseMember2020-01-012020-06-300001583107tbph:EmployeePerformanceRestrictedStockUnitsRsuAndCashBonusMilestonesMember2020-01-012020-</w:t>
      </w:r>
      <w:r>
        <w:rPr>
          <w:rFonts w:eastAsia="Times New Roman"/>
          <w:vanish/>
        </w:rPr>
        <w:t>06-300001583107us-gaap:AdditionalPaidInCapitalMember2021-04-012021-06-300001583107us-gaap:AdditionalPaidInCapitalMember2021-01-012021-06-300001583107us-gaap:AdditionalPaidInCapitalMember2020-04-012020-06-300001583107us-gaap:AdditionalPaidInCapitalMember202</w:t>
      </w:r>
      <w:r>
        <w:rPr>
          <w:rFonts w:eastAsia="Times New Roman"/>
          <w:vanish/>
        </w:rPr>
        <w:t>0-01-012020-06-3000015831072018-02-012018-02-280001583107srt:MinimumMembertbph:TheravanceRespiratoryCompanyLlcMember2020-02-212020-02-210001583107srt:MaximumMembertbph:TheravanceRespiratoryCompanyLlcMember2020-02-212020-02-210001583107tbph:TermNotesDue2035</w:t>
      </w:r>
      <w:r>
        <w:rPr>
          <w:rFonts w:eastAsia="Times New Roman"/>
          <w:vanish/>
        </w:rPr>
        <w:t>Member2020-02-210001583107us-gaap:OverAllotmentOptionMember2021-06-292021-06-290001583107tbph:ViatrisMembertbph:NebulizedTD4208Member2016-01-012016-12-310001583107tbph:TheravanceRespiratoryCompanyLlcMember2021-01-012021-06-300001583107tbph:TheravanceRespir</w:t>
      </w:r>
      <w:r>
        <w:rPr>
          <w:rFonts w:eastAsia="Times New Roman"/>
          <w:vanish/>
        </w:rPr>
        <w:t>atoryCompanyLlcMembertbph:IssuerTwoClassCUnitsMember2020-02-212020-02-210001583107tbph:IssuerTwoClassCUnitsMember2020-02-212020-02-210001583107tbph:TermNotesDue2035Member2021-06-300001583107tbph:YupelriMonotherapyMembertbph:CoPromoteAgreementMember2021-04-</w:t>
      </w:r>
      <w:r>
        <w:rPr>
          <w:rFonts w:eastAsia="Times New Roman"/>
          <w:vanish/>
        </w:rPr>
        <w:t>012021-06-300001583107tbph:OthersMember2021-04-012021-06-300001583107tbph:CoPromoteAgreementMember2021-04-012021-06-300001583107tbph:CollaborativeArrangementRevenueMember2021-04-012021-06-300001583107tbph:YupelriMonotherapyMembertbph:CoPromoteAgreementMemb</w:t>
      </w:r>
      <w:r>
        <w:rPr>
          <w:rFonts w:eastAsia="Times New Roman"/>
          <w:vanish/>
        </w:rPr>
        <w:t>er2021-01-012021-06-300001583107tbph:OthersMember2021-01-012021-06-300001583107tbph:CoPromoteAgreementMember2021-01-012021-06-300001583107tbph:CollaborativeArrangementRevenueMember2021-01-012021-06-300001583107tbph:YupelriMonotherapyMembertbph:CoPromoteAgr</w:t>
      </w:r>
      <w:r>
        <w:rPr>
          <w:rFonts w:eastAsia="Times New Roman"/>
          <w:vanish/>
        </w:rPr>
        <w:t>eementMember2020-04-012020-06-300001583107tbph:OthersMember2020-04-012020-06-300001583107tbph:CoPromoteAgreementMember2020-04-012020-06-300001583107tbph:CollaborativeArrangementRevenueMember2020-04-012020-06-300001583107tbph:YupelriMonotherapyMembertbph:Co</w:t>
      </w:r>
      <w:r>
        <w:rPr>
          <w:rFonts w:eastAsia="Times New Roman"/>
          <w:vanish/>
        </w:rPr>
        <w:t>PromoteAgreementMember2020-01-012020-06-300001583107tbph:OthersMember2020-01-012020-06-300001583107tbph:CoPromoteAgreementMember2020-01-012020-06-300001583107tbph:CollaborativeArrangementRevenueMember2020-01-012020-06-300001583107tbph:ViatrisMember2021-04-</w:t>
      </w:r>
      <w:r>
        <w:rPr>
          <w:rFonts w:eastAsia="Times New Roman"/>
          <w:vanish/>
        </w:rPr>
        <w:t>012021-06-300001583107tbph:JanssenBiotechIncMember2021-04-012021-06-3000015831072021-04-012021-06-300001583107tbph:ViatrisMember2021-01-012021-06-300001583107tbph:ViatrisMember2020-04-012020-06-300001583107tbph:JanssenBiotechIncMember2020-04-012020-06-3000</w:t>
      </w:r>
      <w:r>
        <w:rPr>
          <w:rFonts w:eastAsia="Times New Roman"/>
          <w:vanish/>
        </w:rPr>
        <w:t>015831072020-04-012020-06-300001583107tbph:ViatrisMember2020-01-012020-06-300001583107tbph:JanssenBiotechIncMember2020-01-012020-06-300001583107tbph:JanssenBiotechIncMembertbph:IzencitinibMemberus-gaap:CollaborativeArrangementMember2018-02-012018-02-280001</w:t>
      </w:r>
      <w:r>
        <w:rPr>
          <w:rFonts w:eastAsia="Times New Roman"/>
          <w:vanish/>
        </w:rPr>
        <w:t>583107tbph:JanssenBiotechIncMember2021-01-012021-06-300001583107tbph:JanssenBiotechIncMemberus-gaap:CollaborativeArrangementMember2018-02-012018-02-280001583107tbph:JanssenBiotechIncMember2018-02-012018-02-2800015831072020-01-012020-06-3000015831072021-06-</w:t>
      </w:r>
      <w:r>
        <w:rPr>
          <w:rFonts w:eastAsia="Times New Roman"/>
          <w:vanish/>
        </w:rPr>
        <w:t>3000015831072020-12-3100015831072021-07-3000015831072021-01-012021-06-30xbrli:sharesiso4217:USDxbrli:puretbph:itemiso4217:USDxbrli:shares</w:t>
      </w:r>
    </w:p>
    <w:p w:rsidR="00000000" w:rsidRDefault="00E52F77">
      <w:pPr>
        <w:pStyle w:val="a3"/>
        <w:spacing w:before="0" w:beforeAutospacing="0" w:after="120" w:afterAutospacing="0"/>
        <w:divId w:val="303317983"/>
        <w:rPr>
          <w:sz w:val="20"/>
          <w:szCs w:val="20"/>
        </w:rPr>
      </w:pPr>
      <w:hyperlink w:anchor="TOC" w:history="1">
        <w:r>
          <w:rPr>
            <w:rStyle w:val="a4"/>
            <w:sz w:val="20"/>
            <w:szCs w:val="20"/>
          </w:rPr>
          <w:t>Table of Contents</w:t>
        </w:r>
      </w:hyperlink>
    </w:p>
    <w:p w:rsidR="00000000" w:rsidRDefault="00E52F77">
      <w:pPr>
        <w:pStyle w:val="a3"/>
        <w:pBdr>
          <w:top w:val="single" w:sz="24" w:space="1" w:color="000000"/>
          <w:bottom w:val="single" w:sz="8" w:space="1" w:color="000000"/>
        </w:pBdr>
        <w:spacing w:before="0" w:beforeAutospacing="0" w:after="0" w:afterAutospacing="0"/>
        <w:divId w:val="1722485284"/>
        <w:rPr>
          <w:sz w:val="20"/>
          <w:szCs w:val="20"/>
        </w:rPr>
      </w:pPr>
      <w:r>
        <w:rPr>
          <w:sz w:val="2"/>
          <w:szCs w:val="2"/>
        </w:rPr>
        <w:t>​</w:t>
      </w:r>
    </w:p>
    <w:p w:rsidR="00000000" w:rsidRDefault="00E52F77">
      <w:pPr>
        <w:pStyle w:val="a3"/>
        <w:spacing w:before="0" w:beforeAutospacing="0" w:after="0" w:afterAutospacing="0"/>
        <w:divId w:val="1722485284"/>
        <w:rPr>
          <w:sz w:val="20"/>
          <w:szCs w:val="20"/>
        </w:rPr>
      </w:pPr>
      <w:r>
        <w:rPr>
          <w:sz w:val="10"/>
          <w:szCs w:val="10"/>
        </w:rPr>
        <w:t>​</w:t>
      </w:r>
    </w:p>
    <w:p w:rsidR="00000000" w:rsidRDefault="00E52F77">
      <w:pPr>
        <w:pStyle w:val="a3"/>
        <w:spacing w:before="0" w:beforeAutospacing="0" w:after="0" w:afterAutospacing="0"/>
        <w:jc w:val="center"/>
        <w:divId w:val="1722485284"/>
        <w:rPr>
          <w:sz w:val="20"/>
          <w:szCs w:val="20"/>
        </w:rPr>
      </w:pPr>
      <w:r>
        <w:rPr>
          <w:b/>
          <w:bCs/>
          <w:sz w:val="34"/>
          <w:szCs w:val="34"/>
        </w:rPr>
        <w:t>UNITED STATES</w:t>
      </w:r>
    </w:p>
    <w:p w:rsidR="00000000" w:rsidRDefault="00E52F77">
      <w:pPr>
        <w:pStyle w:val="a3"/>
        <w:spacing w:before="0" w:beforeAutospacing="0" w:after="0" w:afterAutospacing="0"/>
        <w:jc w:val="center"/>
        <w:divId w:val="1722485284"/>
        <w:rPr>
          <w:sz w:val="20"/>
          <w:szCs w:val="20"/>
        </w:rPr>
      </w:pPr>
      <w:r>
        <w:rPr>
          <w:b/>
          <w:bCs/>
          <w:sz w:val="34"/>
          <w:szCs w:val="34"/>
        </w:rPr>
        <w:t>SECURITIES AND EXCHANGE COMMISSION</w:t>
      </w:r>
    </w:p>
    <w:p w:rsidR="00000000" w:rsidRDefault="00E52F77">
      <w:pPr>
        <w:pStyle w:val="a3"/>
        <w:spacing w:before="0" w:beforeAutospacing="0" w:after="0" w:afterAutospacing="0"/>
        <w:jc w:val="center"/>
        <w:divId w:val="1722485284"/>
        <w:rPr>
          <w:sz w:val="18"/>
          <w:szCs w:val="18"/>
        </w:rPr>
      </w:pPr>
      <w:r>
        <w:rPr>
          <w:b/>
          <w:bCs/>
          <w:sz w:val="18"/>
          <w:szCs w:val="18"/>
        </w:rPr>
        <w:t>Washington, D.C. 2054</w:t>
      </w:r>
      <w:r>
        <w:rPr>
          <w:b/>
          <w:bCs/>
          <w:sz w:val="18"/>
          <w:szCs w:val="18"/>
        </w:rPr>
        <w:t>9</w:t>
      </w:r>
    </w:p>
    <w:p w:rsidR="00000000" w:rsidRDefault="00E52F77">
      <w:pPr>
        <w:pStyle w:val="a3"/>
        <w:spacing w:before="0" w:beforeAutospacing="0" w:after="0" w:afterAutospacing="0"/>
        <w:jc w:val="center"/>
        <w:divId w:val="1722485284"/>
        <w:rPr>
          <w:sz w:val="20"/>
          <w:szCs w:val="20"/>
        </w:rPr>
      </w:pPr>
      <w:r>
        <w:rPr>
          <w:b/>
          <w:bCs/>
          <w:sz w:val="10"/>
          <w:szCs w:val="10"/>
        </w:rPr>
        <w:t>​</w:t>
      </w:r>
    </w:p>
    <w:p w:rsidR="00000000" w:rsidRDefault="00E52F77">
      <w:pPr>
        <w:pStyle w:val="a3"/>
        <w:spacing w:before="0" w:beforeAutospacing="0" w:after="0" w:afterAutospacing="0"/>
        <w:jc w:val="center"/>
        <w:divId w:val="1722485284"/>
        <w:rPr>
          <w:sz w:val="34"/>
          <w:szCs w:val="34"/>
        </w:rPr>
      </w:pPr>
      <w:r>
        <w:rPr>
          <w:b/>
          <w:bCs/>
          <w:sz w:val="34"/>
          <w:szCs w:val="34"/>
        </w:rPr>
        <w:t>Form 10-Q</w:t>
      </w:r>
    </w:p>
    <w:p w:rsidR="00000000" w:rsidRDefault="00E52F77">
      <w:pPr>
        <w:pStyle w:val="a3"/>
        <w:spacing w:before="0" w:beforeAutospacing="0" w:after="0" w:afterAutospacing="0"/>
        <w:divId w:val="1722485284"/>
        <w:rPr>
          <w:sz w:val="20"/>
          <w:szCs w:val="20"/>
        </w:rPr>
      </w:pPr>
      <w:r>
        <w:rPr>
          <w:b/>
          <w:bCs/>
          <w:sz w:val="10"/>
          <w:szCs w:val="10"/>
        </w:rPr>
        <w:t>​</w:t>
      </w:r>
    </w:p>
    <w:p w:rsidR="00000000" w:rsidRDefault="00E52F77">
      <w:pPr>
        <w:pStyle w:val="a3"/>
        <w:spacing w:before="0" w:beforeAutospacing="0" w:after="0" w:afterAutospacing="0"/>
        <w:divId w:val="1722485284"/>
        <w:rPr>
          <w:sz w:val="18"/>
          <w:szCs w:val="18"/>
        </w:rPr>
      </w:pPr>
      <w:r>
        <w:rPr>
          <w:b/>
          <w:bCs/>
          <w:sz w:val="18"/>
          <w:szCs w:val="18"/>
        </w:rPr>
        <w:t>(Mark One)</w:t>
      </w:r>
    </w:p>
    <w:p w:rsidR="00000000" w:rsidRDefault="00E52F77">
      <w:pPr>
        <w:pStyle w:val="a3"/>
        <w:spacing w:before="0" w:beforeAutospacing="0" w:after="0" w:afterAutospacing="0"/>
        <w:ind w:left="360" w:hanging="360"/>
        <w:divId w:val="1722485284"/>
        <w:rPr>
          <w:sz w:val="20"/>
          <w:szCs w:val="20"/>
        </w:rPr>
      </w:pPr>
      <w:r>
        <w:rPr>
          <w:b/>
          <w:bCs/>
          <w:sz w:val="10"/>
          <w:szCs w:val="10"/>
        </w:rPr>
        <w:t>​</w:t>
      </w:r>
    </w:p>
    <w:tbl>
      <w:tblPr>
        <w:tblW w:w="0" w:type="auto"/>
        <w:tblCellMar>
          <w:top w:w="15" w:type="dxa"/>
          <w:left w:w="15" w:type="dxa"/>
          <w:bottom w:w="15" w:type="dxa"/>
          <w:right w:w="15" w:type="dxa"/>
        </w:tblCellMar>
        <w:tblLook w:val="04A0" w:firstRow="1" w:lastRow="0" w:firstColumn="1" w:lastColumn="0" w:noHBand="0" w:noVBand="1"/>
      </w:tblPr>
      <w:tblGrid>
        <w:gridCol w:w="360"/>
        <w:gridCol w:w="373"/>
        <w:gridCol w:w="7573"/>
      </w:tblGrid>
      <w:tr w:rsidR="00000000">
        <w:trPr>
          <w:divId w:val="1722485284"/>
        </w:trPr>
        <w:tc>
          <w:tcPr>
            <w:tcW w:w="360" w:type="dxa"/>
            <w:tcMar>
              <w:top w:w="0" w:type="dxa"/>
              <w:left w:w="0" w:type="dxa"/>
              <w:bottom w:w="0" w:type="dxa"/>
              <w:right w:w="0" w:type="dxa"/>
            </w:tcMar>
            <w:vAlign w:val="center"/>
            <w:hideMark/>
          </w:tcPr>
          <w:p w:rsidR="00000000" w:rsidRDefault="00E52F77">
            <w:pPr>
              <w:rPr>
                <w:sz w:val="20"/>
                <w:szCs w:val="20"/>
              </w:rPr>
            </w:pPr>
          </w:p>
        </w:tc>
        <w:tc>
          <w:tcPr>
            <w:tcW w:w="357" w:type="dxa"/>
            <w:noWrap/>
            <w:tcMar>
              <w:top w:w="0" w:type="dxa"/>
              <w:left w:w="0" w:type="dxa"/>
              <w:bottom w:w="0" w:type="dxa"/>
              <w:right w:w="0" w:type="dxa"/>
            </w:tcMar>
            <w:hideMark/>
          </w:tcPr>
          <w:p w:rsidR="00000000" w:rsidRDefault="00E52F77">
            <w:pPr>
              <w:pStyle w:val="a3"/>
              <w:spacing w:before="0" w:beforeAutospacing="0" w:after="0" w:afterAutospacing="0"/>
              <w:rPr>
                <w:sz w:val="20"/>
                <w:szCs w:val="20"/>
              </w:rPr>
            </w:pPr>
            <w:r>
              <w:rPr>
                <w:rFonts w:ascii="Segoe UI Symbol" w:hAnsi="Segoe UI Symbol"/>
                <w:b/>
                <w:bCs/>
                <w:sz w:val="18"/>
                <w:szCs w:val="18"/>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0" w:afterAutospacing="0"/>
              <w:rPr>
                <w:sz w:val="20"/>
                <w:szCs w:val="20"/>
              </w:rPr>
            </w:pPr>
            <w:r>
              <w:rPr>
                <w:b/>
                <w:bCs/>
                <w:sz w:val="18"/>
                <w:szCs w:val="18"/>
              </w:rPr>
              <w:t>QUARTERLY REPORT PURSUANT TO SECTION 13 OR 15(d) OF THE SECURITIES EXCHANGE ACT OF 1934</w:t>
            </w:r>
          </w:p>
        </w:tc>
      </w:tr>
    </w:tbl>
    <w:p w:rsidR="00000000" w:rsidRDefault="00E52F77">
      <w:pPr>
        <w:pStyle w:val="a3"/>
        <w:spacing w:before="0" w:beforeAutospacing="0" w:after="0" w:afterAutospacing="0"/>
        <w:jc w:val="center"/>
        <w:divId w:val="1722485284"/>
        <w:rPr>
          <w:sz w:val="20"/>
          <w:szCs w:val="20"/>
        </w:rPr>
      </w:pPr>
      <w:r>
        <w:rPr>
          <w:sz w:val="10"/>
          <w:szCs w:val="10"/>
        </w:rPr>
        <w:t>​</w:t>
      </w:r>
    </w:p>
    <w:p w:rsidR="00000000" w:rsidRDefault="00E52F77">
      <w:pPr>
        <w:pStyle w:val="a3"/>
        <w:spacing w:before="0" w:beforeAutospacing="0" w:after="0" w:afterAutospacing="0"/>
        <w:jc w:val="center"/>
        <w:divId w:val="1722485284"/>
        <w:rPr>
          <w:sz w:val="20"/>
          <w:szCs w:val="20"/>
        </w:rPr>
      </w:pPr>
      <w:r>
        <w:rPr>
          <w:b/>
          <w:bCs/>
          <w:sz w:val="18"/>
          <w:szCs w:val="18"/>
        </w:rPr>
        <w:t>For the quarterly period ended June 30, 2021</w:t>
      </w:r>
    </w:p>
    <w:p w:rsidR="00000000" w:rsidRDefault="00E52F77">
      <w:pPr>
        <w:pStyle w:val="a3"/>
        <w:spacing w:before="0" w:beforeAutospacing="0" w:after="0" w:afterAutospacing="0"/>
        <w:jc w:val="center"/>
        <w:divId w:val="1722485284"/>
        <w:rPr>
          <w:sz w:val="20"/>
          <w:szCs w:val="20"/>
        </w:rPr>
      </w:pPr>
      <w:r>
        <w:rPr>
          <w:sz w:val="10"/>
          <w:szCs w:val="10"/>
        </w:rPr>
        <w:t>​</w:t>
      </w:r>
    </w:p>
    <w:p w:rsidR="00000000" w:rsidRDefault="00E52F77">
      <w:pPr>
        <w:pStyle w:val="a3"/>
        <w:spacing w:before="0" w:beforeAutospacing="0" w:after="0" w:afterAutospacing="0"/>
        <w:jc w:val="center"/>
        <w:divId w:val="1722485284"/>
        <w:rPr>
          <w:sz w:val="18"/>
          <w:szCs w:val="18"/>
        </w:rPr>
      </w:pPr>
      <w:r>
        <w:rPr>
          <w:b/>
          <w:bCs/>
          <w:sz w:val="18"/>
          <w:szCs w:val="18"/>
        </w:rPr>
        <w:t>OR</w:t>
      </w:r>
    </w:p>
    <w:p w:rsidR="00000000" w:rsidRDefault="00E52F77">
      <w:pPr>
        <w:pStyle w:val="a3"/>
        <w:spacing w:before="0" w:beforeAutospacing="0" w:after="0" w:afterAutospacing="0"/>
        <w:jc w:val="center"/>
        <w:divId w:val="1722485284"/>
        <w:rPr>
          <w:sz w:val="20"/>
          <w:szCs w:val="20"/>
        </w:rPr>
      </w:pPr>
      <w:r>
        <w:rPr>
          <w:sz w:val="10"/>
          <w:szCs w:val="10"/>
        </w:rPr>
        <w:t>​</w:t>
      </w:r>
    </w:p>
    <w:tbl>
      <w:tblPr>
        <w:tblW w:w="0" w:type="auto"/>
        <w:tblCellMar>
          <w:top w:w="15" w:type="dxa"/>
          <w:left w:w="15" w:type="dxa"/>
          <w:bottom w:w="15" w:type="dxa"/>
          <w:right w:w="15" w:type="dxa"/>
        </w:tblCellMar>
        <w:tblLook w:val="04A0" w:firstRow="1" w:lastRow="0" w:firstColumn="1" w:lastColumn="0" w:noHBand="0" w:noVBand="1"/>
      </w:tblPr>
      <w:tblGrid>
        <w:gridCol w:w="360"/>
        <w:gridCol w:w="375"/>
        <w:gridCol w:w="7571"/>
      </w:tblGrid>
      <w:tr w:rsidR="00000000">
        <w:trPr>
          <w:divId w:val="1722485284"/>
        </w:trPr>
        <w:tc>
          <w:tcPr>
            <w:tcW w:w="360" w:type="dxa"/>
            <w:tcMar>
              <w:top w:w="0" w:type="dxa"/>
              <w:left w:w="0" w:type="dxa"/>
              <w:bottom w:w="0" w:type="dxa"/>
              <w:right w:w="0" w:type="dxa"/>
            </w:tcMar>
            <w:vAlign w:val="center"/>
            <w:hideMark/>
          </w:tcPr>
          <w:p w:rsidR="00000000" w:rsidRDefault="00E52F77">
            <w:pPr>
              <w:rPr>
                <w:sz w:val="20"/>
                <w:szCs w:val="20"/>
              </w:rPr>
            </w:pPr>
          </w:p>
        </w:tc>
        <w:tc>
          <w:tcPr>
            <w:tcW w:w="359" w:type="dxa"/>
            <w:noWrap/>
            <w:tcMar>
              <w:top w:w="0" w:type="dxa"/>
              <w:left w:w="0" w:type="dxa"/>
              <w:bottom w:w="0" w:type="dxa"/>
              <w:right w:w="0" w:type="dxa"/>
            </w:tcMar>
            <w:hideMark/>
          </w:tcPr>
          <w:p w:rsidR="00000000" w:rsidRDefault="00E52F77">
            <w:pPr>
              <w:pStyle w:val="a3"/>
              <w:spacing w:before="0" w:beforeAutospacing="0" w:after="0" w:afterAutospacing="0"/>
              <w:rPr>
                <w:sz w:val="20"/>
                <w:szCs w:val="20"/>
              </w:rPr>
            </w:pPr>
            <w:r>
              <w:rPr>
                <w:rFonts w:ascii="Segoe UI Symbol" w:hAnsi="Segoe UI Symbol"/>
                <w:b/>
                <w:bCs/>
                <w:sz w:val="18"/>
                <w:szCs w:val="18"/>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0" w:afterAutospacing="0"/>
              <w:rPr>
                <w:sz w:val="20"/>
                <w:szCs w:val="20"/>
              </w:rPr>
            </w:pPr>
            <w:r>
              <w:rPr>
                <w:b/>
                <w:bCs/>
                <w:sz w:val="18"/>
                <w:szCs w:val="18"/>
              </w:rPr>
              <w:t>TRANSITION REPORT PURSUANT TO SECTION 13 OR 15(d) </w:t>
            </w:r>
            <w:r>
              <w:rPr>
                <w:b/>
                <w:bCs/>
                <w:sz w:val="18"/>
                <w:szCs w:val="18"/>
              </w:rPr>
              <w:t>OF THE SECURITIES EXCHANGE ACT OF 1934</w:t>
            </w:r>
          </w:p>
        </w:tc>
      </w:tr>
    </w:tbl>
    <w:p w:rsidR="00000000" w:rsidRDefault="00E52F77">
      <w:pPr>
        <w:pStyle w:val="a3"/>
        <w:spacing w:before="0" w:beforeAutospacing="0" w:after="0" w:afterAutospacing="0"/>
        <w:ind w:hanging="490"/>
        <w:jc w:val="center"/>
        <w:divId w:val="1722485284"/>
        <w:rPr>
          <w:sz w:val="20"/>
          <w:szCs w:val="20"/>
        </w:rPr>
      </w:pPr>
      <w:r>
        <w:rPr>
          <w:sz w:val="10"/>
          <w:szCs w:val="10"/>
        </w:rPr>
        <w:t>​</w:t>
      </w:r>
    </w:p>
    <w:p w:rsidR="00000000" w:rsidRDefault="00E52F77">
      <w:pPr>
        <w:pStyle w:val="a3"/>
        <w:spacing w:before="0" w:beforeAutospacing="0" w:after="0" w:afterAutospacing="0"/>
        <w:jc w:val="center"/>
        <w:divId w:val="1722485284"/>
        <w:rPr>
          <w:sz w:val="18"/>
          <w:szCs w:val="18"/>
        </w:rPr>
      </w:pPr>
      <w:r>
        <w:rPr>
          <w:b/>
          <w:bCs/>
          <w:sz w:val="18"/>
          <w:szCs w:val="18"/>
        </w:rPr>
        <w:t>For the transition period from                  to</w:t>
      </w:r>
    </w:p>
    <w:p w:rsidR="00000000" w:rsidRDefault="00E52F77">
      <w:pPr>
        <w:pStyle w:val="a3"/>
        <w:spacing w:before="0" w:beforeAutospacing="0" w:after="0" w:afterAutospacing="0"/>
        <w:jc w:val="center"/>
        <w:divId w:val="1722485284"/>
        <w:rPr>
          <w:sz w:val="20"/>
          <w:szCs w:val="20"/>
        </w:rPr>
      </w:pPr>
      <w:r>
        <w:rPr>
          <w:sz w:val="10"/>
          <w:szCs w:val="10"/>
        </w:rPr>
        <w:t>​</w:t>
      </w:r>
    </w:p>
    <w:p w:rsidR="00000000" w:rsidRDefault="00E52F77">
      <w:pPr>
        <w:pStyle w:val="a3"/>
        <w:spacing w:before="0" w:beforeAutospacing="0" w:after="0" w:afterAutospacing="0"/>
        <w:jc w:val="center"/>
        <w:divId w:val="1722485284"/>
        <w:rPr>
          <w:sz w:val="20"/>
          <w:szCs w:val="20"/>
        </w:rPr>
      </w:pPr>
      <w:r>
        <w:rPr>
          <w:b/>
          <w:bCs/>
          <w:sz w:val="18"/>
          <w:szCs w:val="18"/>
        </w:rPr>
        <w:t>Commission file number: 001-36033</w:t>
      </w:r>
    </w:p>
    <w:p w:rsidR="00000000" w:rsidRDefault="00E52F77">
      <w:pPr>
        <w:pStyle w:val="a3"/>
        <w:spacing w:before="0" w:beforeAutospacing="0" w:after="0" w:afterAutospacing="0"/>
        <w:jc w:val="center"/>
        <w:divId w:val="1722485284"/>
        <w:rPr>
          <w:sz w:val="20"/>
          <w:szCs w:val="20"/>
        </w:rPr>
      </w:pPr>
      <w:r>
        <w:rPr>
          <w:sz w:val="10"/>
          <w:szCs w:val="10"/>
        </w:rPr>
        <w:t>​</w:t>
      </w:r>
    </w:p>
    <w:p w:rsidR="00000000" w:rsidRDefault="00E52F77">
      <w:pPr>
        <w:pStyle w:val="a3"/>
        <w:spacing w:before="0" w:beforeAutospacing="0" w:after="0" w:afterAutospacing="0"/>
        <w:jc w:val="center"/>
        <w:divId w:val="1722485284"/>
        <w:rPr>
          <w:sz w:val="34"/>
          <w:szCs w:val="34"/>
        </w:rPr>
      </w:pPr>
      <w:r>
        <w:rPr>
          <w:b/>
          <w:bCs/>
          <w:sz w:val="34"/>
          <w:szCs w:val="34"/>
        </w:rPr>
        <w:t>THERAVANCE BIOPHARMA, INC.</w:t>
      </w:r>
    </w:p>
    <w:p w:rsidR="00000000" w:rsidRDefault="00E52F77">
      <w:pPr>
        <w:pStyle w:val="a3"/>
        <w:spacing w:before="0" w:beforeAutospacing="0" w:after="0" w:afterAutospacing="0"/>
        <w:jc w:val="center"/>
        <w:divId w:val="1722485284"/>
        <w:rPr>
          <w:sz w:val="18"/>
          <w:szCs w:val="18"/>
        </w:rPr>
      </w:pPr>
      <w:r>
        <w:rPr>
          <w:sz w:val="18"/>
          <w:szCs w:val="18"/>
        </w:rPr>
        <w:t>(Exact Name of Registrant as Specified in its Charter)</w:t>
      </w:r>
    </w:p>
    <w:p w:rsidR="00000000" w:rsidRDefault="00E52F77">
      <w:pPr>
        <w:pStyle w:val="a3"/>
        <w:spacing w:before="0" w:beforeAutospacing="0" w:after="0" w:afterAutospacing="0"/>
        <w:jc w:val="center"/>
        <w:divId w:val="1722485284"/>
        <w:rPr>
          <w:sz w:val="20"/>
          <w:szCs w:val="20"/>
        </w:rPr>
      </w:pPr>
      <w:r>
        <w:rPr>
          <w:sz w:val="10"/>
          <w:szCs w:val="10"/>
        </w:rPr>
        <w:t>​</w:t>
      </w:r>
    </w:p>
    <w:p w:rsidR="00000000" w:rsidRDefault="00E52F77">
      <w:pPr>
        <w:pStyle w:val="a3"/>
        <w:spacing w:before="0" w:beforeAutospacing="0" w:after="0" w:afterAutospacing="0"/>
        <w:divId w:val="1722485284"/>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4063"/>
        <w:gridCol w:w="180"/>
        <w:gridCol w:w="4063"/>
      </w:tblGrid>
      <w:tr w:rsidR="00000000">
        <w:trPr>
          <w:divId w:val="1722485284"/>
        </w:trPr>
        <w:tc>
          <w:tcPr>
            <w:tcW w:w="2449" w:type="pct"/>
            <w:tcMar>
              <w:top w:w="0" w:type="dxa"/>
              <w:left w:w="0" w:type="dxa"/>
              <w:bottom w:w="0" w:type="dxa"/>
              <w:right w:w="0" w:type="dxa"/>
            </w:tcMar>
            <w:hideMark/>
          </w:tcPr>
          <w:p w:rsidR="00000000" w:rsidRDefault="00E52F77">
            <w:pPr>
              <w:pStyle w:val="a3"/>
              <w:spacing w:before="0" w:beforeAutospacing="0" w:after="0" w:afterAutospacing="0"/>
              <w:rPr>
                <w:sz w:val="20"/>
                <w:szCs w:val="20"/>
              </w:rPr>
            </w:pPr>
            <w:r>
              <w:rPr>
                <w:sz w:val="2"/>
                <w:szCs w:val="2"/>
              </w:rPr>
              <w:t>​</w:t>
            </w:r>
          </w:p>
        </w:tc>
        <w:tc>
          <w:tcPr>
            <w:tcW w:w="100"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
                <w:szCs w:val="2"/>
              </w:rPr>
              <w:t>​</w:t>
            </w:r>
          </w:p>
        </w:tc>
        <w:tc>
          <w:tcPr>
            <w:tcW w:w="2449" w:type="pct"/>
            <w:tcMar>
              <w:top w:w="0" w:type="dxa"/>
              <w:left w:w="0" w:type="dxa"/>
              <w:bottom w:w="0" w:type="dxa"/>
              <w:right w:w="0" w:type="dxa"/>
            </w:tcMar>
            <w:hideMark/>
          </w:tcPr>
          <w:p w:rsidR="00000000" w:rsidRDefault="00E52F77">
            <w:pPr>
              <w:pStyle w:val="a3"/>
              <w:spacing w:before="0" w:beforeAutospacing="0" w:after="0" w:afterAutospacing="0"/>
              <w:rPr>
                <w:sz w:val="20"/>
                <w:szCs w:val="20"/>
              </w:rPr>
            </w:pPr>
            <w:r>
              <w:rPr>
                <w:sz w:val="2"/>
                <w:szCs w:val="2"/>
              </w:rPr>
              <w:t>​</w:t>
            </w:r>
          </w:p>
        </w:tc>
      </w:tr>
      <w:tr w:rsidR="00000000">
        <w:trPr>
          <w:divId w:val="1722485284"/>
        </w:trPr>
        <w:tc>
          <w:tcPr>
            <w:tcW w:w="2449" w:type="pct"/>
            <w:tcMar>
              <w:top w:w="0" w:type="dxa"/>
              <w:left w:w="0" w:type="dxa"/>
              <w:bottom w:w="0" w:type="dxa"/>
              <w:right w:w="0" w:type="dxa"/>
            </w:tcMar>
            <w:hideMark/>
          </w:tcPr>
          <w:p w:rsidR="00000000" w:rsidRDefault="00E52F77">
            <w:pPr>
              <w:pStyle w:val="a3"/>
              <w:spacing w:before="0" w:beforeAutospacing="0" w:after="0" w:afterAutospacing="0"/>
              <w:ind w:hanging="200"/>
              <w:jc w:val="center"/>
              <w:rPr>
                <w:sz w:val="20"/>
                <w:szCs w:val="20"/>
              </w:rPr>
            </w:pPr>
            <w:r>
              <w:rPr>
                <w:b/>
                <w:bCs/>
                <w:sz w:val="18"/>
                <w:szCs w:val="18"/>
              </w:rPr>
              <w:t>Cayman Islands</w:t>
            </w:r>
          </w:p>
        </w:tc>
        <w:tc>
          <w:tcPr>
            <w:tcW w:w="100" w:type="pct"/>
            <w:tcMar>
              <w:top w:w="0" w:type="dxa"/>
              <w:left w:w="0" w:type="dxa"/>
              <w:bottom w:w="0" w:type="dxa"/>
              <w:right w:w="0" w:type="dxa"/>
            </w:tcMar>
            <w:vAlign w:val="bottom"/>
            <w:hideMark/>
          </w:tcPr>
          <w:p w:rsidR="00000000" w:rsidRDefault="00E52F77">
            <w:pPr>
              <w:pStyle w:val="a3"/>
              <w:spacing w:before="0" w:beforeAutospacing="0" w:after="0" w:afterAutospacing="0"/>
              <w:rPr>
                <w:sz w:val="18"/>
                <w:szCs w:val="18"/>
              </w:rPr>
            </w:pPr>
            <w:r>
              <w:rPr>
                <w:b/>
                <w:bCs/>
                <w:sz w:val="18"/>
                <w:szCs w:val="18"/>
              </w:rPr>
              <w:t>    </w:t>
            </w:r>
          </w:p>
        </w:tc>
        <w:tc>
          <w:tcPr>
            <w:tcW w:w="2449" w:type="pct"/>
            <w:tcMar>
              <w:top w:w="0" w:type="dxa"/>
              <w:left w:w="0" w:type="dxa"/>
              <w:bottom w:w="0" w:type="dxa"/>
              <w:right w:w="0" w:type="dxa"/>
            </w:tcMar>
            <w:hideMark/>
          </w:tcPr>
          <w:p w:rsidR="00000000" w:rsidRDefault="00E52F77">
            <w:pPr>
              <w:pStyle w:val="a3"/>
              <w:spacing w:before="0" w:beforeAutospacing="0" w:after="0" w:afterAutospacing="0"/>
              <w:jc w:val="center"/>
              <w:rPr>
                <w:sz w:val="20"/>
                <w:szCs w:val="20"/>
              </w:rPr>
            </w:pPr>
            <w:r>
              <w:rPr>
                <w:b/>
                <w:bCs/>
                <w:sz w:val="18"/>
                <w:szCs w:val="18"/>
              </w:rPr>
              <w:t>98-1226628</w:t>
            </w:r>
          </w:p>
        </w:tc>
      </w:tr>
      <w:tr w:rsidR="00000000">
        <w:trPr>
          <w:divId w:val="1722485284"/>
        </w:trPr>
        <w:tc>
          <w:tcPr>
            <w:tcW w:w="2449" w:type="pct"/>
            <w:tcMar>
              <w:top w:w="0" w:type="dxa"/>
              <w:left w:w="0" w:type="dxa"/>
              <w:bottom w:w="0" w:type="dxa"/>
              <w:right w:w="0" w:type="dxa"/>
            </w:tcMar>
            <w:hideMark/>
          </w:tcPr>
          <w:p w:rsidR="00000000" w:rsidRDefault="00E52F77">
            <w:pPr>
              <w:pStyle w:val="a3"/>
              <w:spacing w:before="0" w:beforeAutospacing="0" w:after="0" w:afterAutospacing="0"/>
              <w:ind w:hanging="200"/>
              <w:jc w:val="center"/>
              <w:rPr>
                <w:sz w:val="18"/>
                <w:szCs w:val="18"/>
              </w:rPr>
            </w:pPr>
            <w:r>
              <w:rPr>
                <w:sz w:val="18"/>
                <w:szCs w:val="18"/>
              </w:rPr>
              <w:t>(State or Other Jurisdiction of</w:t>
            </w:r>
          </w:p>
        </w:tc>
        <w:tc>
          <w:tcPr>
            <w:tcW w:w="100"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2449" w:type="pct"/>
            <w:tcMar>
              <w:top w:w="0" w:type="dxa"/>
              <w:left w:w="0" w:type="dxa"/>
              <w:bottom w:w="0" w:type="dxa"/>
              <w:right w:w="0" w:type="dxa"/>
            </w:tcMar>
            <w:hideMark/>
          </w:tcPr>
          <w:p w:rsidR="00000000" w:rsidRDefault="00E52F77">
            <w:pPr>
              <w:pStyle w:val="a3"/>
              <w:spacing w:before="0" w:beforeAutospacing="0" w:after="0" w:afterAutospacing="0"/>
              <w:jc w:val="center"/>
              <w:rPr>
                <w:sz w:val="18"/>
                <w:szCs w:val="18"/>
              </w:rPr>
            </w:pPr>
            <w:r>
              <w:rPr>
                <w:sz w:val="18"/>
                <w:szCs w:val="18"/>
              </w:rPr>
              <w:t>(I.R.S. Employer</w:t>
            </w:r>
          </w:p>
        </w:tc>
      </w:tr>
      <w:tr w:rsidR="00000000">
        <w:trPr>
          <w:divId w:val="1722485284"/>
        </w:trPr>
        <w:tc>
          <w:tcPr>
            <w:tcW w:w="2449" w:type="pct"/>
            <w:tcMar>
              <w:top w:w="0" w:type="dxa"/>
              <w:left w:w="0" w:type="dxa"/>
              <w:bottom w:w="0" w:type="dxa"/>
              <w:right w:w="0" w:type="dxa"/>
            </w:tcMar>
            <w:hideMark/>
          </w:tcPr>
          <w:p w:rsidR="00000000" w:rsidRDefault="00E52F77">
            <w:pPr>
              <w:pStyle w:val="a3"/>
              <w:spacing w:before="0" w:beforeAutospacing="0" w:after="0" w:afterAutospacing="0"/>
              <w:ind w:hanging="200"/>
              <w:jc w:val="center"/>
              <w:rPr>
                <w:sz w:val="18"/>
                <w:szCs w:val="18"/>
              </w:rPr>
            </w:pPr>
            <w:r>
              <w:rPr>
                <w:sz w:val="18"/>
                <w:szCs w:val="18"/>
              </w:rPr>
              <w:t>Incorporation or Organization)</w:t>
            </w:r>
          </w:p>
        </w:tc>
        <w:tc>
          <w:tcPr>
            <w:tcW w:w="100"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2449" w:type="pct"/>
            <w:tcMar>
              <w:top w:w="0" w:type="dxa"/>
              <w:left w:w="0" w:type="dxa"/>
              <w:bottom w:w="0" w:type="dxa"/>
              <w:right w:w="0" w:type="dxa"/>
            </w:tcMar>
            <w:hideMark/>
          </w:tcPr>
          <w:p w:rsidR="00000000" w:rsidRDefault="00E52F77">
            <w:pPr>
              <w:pStyle w:val="a3"/>
              <w:spacing w:before="0" w:beforeAutospacing="0" w:after="0" w:afterAutospacing="0"/>
              <w:jc w:val="center"/>
              <w:rPr>
                <w:sz w:val="18"/>
                <w:szCs w:val="18"/>
              </w:rPr>
            </w:pPr>
            <w:r>
              <w:rPr>
                <w:sz w:val="18"/>
                <w:szCs w:val="18"/>
              </w:rPr>
              <w:t>Identification No.)</w:t>
            </w:r>
          </w:p>
        </w:tc>
      </w:tr>
      <w:tr w:rsidR="00000000">
        <w:trPr>
          <w:divId w:val="1722485284"/>
        </w:trPr>
        <w:tc>
          <w:tcPr>
            <w:tcW w:w="2449" w:type="pct"/>
            <w:tcMar>
              <w:top w:w="0" w:type="dxa"/>
              <w:left w:w="0" w:type="dxa"/>
              <w:bottom w:w="0" w:type="dxa"/>
              <w:right w:w="0" w:type="dxa"/>
            </w:tcMar>
            <w:hideMark/>
          </w:tcPr>
          <w:p w:rsidR="00000000" w:rsidRDefault="00E52F77">
            <w:pPr>
              <w:pStyle w:val="a3"/>
              <w:spacing w:before="0" w:beforeAutospacing="0" w:after="0" w:afterAutospacing="0"/>
              <w:ind w:hanging="200"/>
              <w:jc w:val="center"/>
              <w:rPr>
                <w:sz w:val="20"/>
                <w:szCs w:val="20"/>
              </w:rPr>
            </w:pPr>
            <w:r>
              <w:rPr>
                <w:sz w:val="10"/>
                <w:szCs w:val="10"/>
              </w:rPr>
              <w:t>​</w:t>
            </w:r>
          </w:p>
        </w:tc>
        <w:tc>
          <w:tcPr>
            <w:tcW w:w="100"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0"/>
                <w:szCs w:val="10"/>
              </w:rPr>
              <w:t>​</w:t>
            </w:r>
          </w:p>
        </w:tc>
        <w:tc>
          <w:tcPr>
            <w:tcW w:w="2449" w:type="pct"/>
            <w:tcMar>
              <w:top w:w="0" w:type="dxa"/>
              <w:left w:w="0" w:type="dxa"/>
              <w:bottom w:w="0" w:type="dxa"/>
              <w:right w:w="0" w:type="dxa"/>
            </w:tcMar>
            <w:hideMark/>
          </w:tcPr>
          <w:p w:rsidR="00000000" w:rsidRDefault="00E52F77">
            <w:pPr>
              <w:pStyle w:val="a3"/>
              <w:spacing w:before="0" w:beforeAutospacing="0" w:after="0" w:afterAutospacing="0"/>
              <w:jc w:val="center"/>
              <w:rPr>
                <w:sz w:val="20"/>
                <w:szCs w:val="20"/>
              </w:rPr>
            </w:pPr>
            <w:r>
              <w:rPr>
                <w:sz w:val="10"/>
                <w:szCs w:val="10"/>
              </w:rPr>
              <w:t>​</w:t>
            </w:r>
          </w:p>
        </w:tc>
      </w:tr>
      <w:tr w:rsidR="00000000">
        <w:trPr>
          <w:divId w:val="1722485284"/>
        </w:trPr>
        <w:tc>
          <w:tcPr>
            <w:tcW w:w="2449" w:type="pct"/>
            <w:tcMar>
              <w:top w:w="0" w:type="dxa"/>
              <w:left w:w="0" w:type="dxa"/>
              <w:bottom w:w="0" w:type="dxa"/>
              <w:right w:w="0" w:type="dxa"/>
            </w:tcMar>
            <w:hideMark/>
          </w:tcPr>
          <w:p w:rsidR="00000000" w:rsidRDefault="00E52F77">
            <w:pPr>
              <w:pStyle w:val="a3"/>
              <w:spacing w:before="0" w:beforeAutospacing="0" w:after="0" w:afterAutospacing="0"/>
              <w:ind w:hanging="200"/>
              <w:jc w:val="center"/>
              <w:rPr>
                <w:sz w:val="20"/>
                <w:szCs w:val="20"/>
              </w:rPr>
            </w:pPr>
            <w:r>
              <w:rPr>
                <w:b/>
                <w:bCs/>
                <w:sz w:val="18"/>
                <w:szCs w:val="18"/>
              </w:rPr>
              <w:t>PO Box 309</w:t>
            </w:r>
          </w:p>
        </w:tc>
        <w:tc>
          <w:tcPr>
            <w:tcW w:w="100"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2449" w:type="pct"/>
            <w:tcMar>
              <w:top w:w="0" w:type="dxa"/>
              <w:left w:w="0" w:type="dxa"/>
              <w:bottom w:w="0" w:type="dxa"/>
              <w:right w:w="0" w:type="dxa"/>
            </w:tcMar>
            <w:hideMark/>
          </w:tcPr>
          <w:p w:rsidR="00000000" w:rsidRDefault="00E52F77">
            <w:pPr>
              <w:pStyle w:val="a3"/>
              <w:spacing w:before="0" w:beforeAutospacing="0" w:after="0" w:afterAutospacing="0"/>
              <w:jc w:val="center"/>
              <w:rPr>
                <w:sz w:val="20"/>
                <w:szCs w:val="20"/>
              </w:rPr>
            </w:pPr>
            <w:r>
              <w:rPr>
                <w:sz w:val="18"/>
                <w:szCs w:val="18"/>
              </w:rPr>
              <w:t>​</w:t>
            </w:r>
          </w:p>
        </w:tc>
      </w:tr>
      <w:tr w:rsidR="00000000">
        <w:trPr>
          <w:divId w:val="1722485284"/>
        </w:trPr>
        <w:tc>
          <w:tcPr>
            <w:tcW w:w="2449" w:type="pct"/>
            <w:tcMar>
              <w:top w:w="0" w:type="dxa"/>
              <w:left w:w="0" w:type="dxa"/>
              <w:bottom w:w="0" w:type="dxa"/>
              <w:right w:w="0" w:type="dxa"/>
            </w:tcMar>
            <w:hideMark/>
          </w:tcPr>
          <w:p w:rsidR="00000000" w:rsidRDefault="00E52F77">
            <w:pPr>
              <w:pStyle w:val="a3"/>
              <w:spacing w:before="0" w:beforeAutospacing="0" w:after="0" w:afterAutospacing="0"/>
              <w:ind w:hanging="200"/>
              <w:jc w:val="center"/>
              <w:rPr>
                <w:sz w:val="20"/>
                <w:szCs w:val="20"/>
              </w:rPr>
            </w:pPr>
            <w:r>
              <w:rPr>
                <w:b/>
                <w:bCs/>
                <w:sz w:val="18"/>
                <w:szCs w:val="18"/>
              </w:rPr>
              <w:t>Ugland House, South Church Street</w:t>
            </w:r>
          </w:p>
        </w:tc>
        <w:tc>
          <w:tcPr>
            <w:tcW w:w="100"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8"/>
                <w:szCs w:val="18"/>
              </w:rPr>
              <w:t>​</w:t>
            </w:r>
          </w:p>
        </w:tc>
        <w:tc>
          <w:tcPr>
            <w:tcW w:w="2449" w:type="pct"/>
            <w:tcMar>
              <w:top w:w="0" w:type="dxa"/>
              <w:left w:w="0" w:type="dxa"/>
              <w:bottom w:w="0" w:type="dxa"/>
              <w:right w:w="0" w:type="dxa"/>
            </w:tcMar>
            <w:hideMark/>
          </w:tcPr>
          <w:p w:rsidR="00000000" w:rsidRDefault="00E52F77">
            <w:pPr>
              <w:pStyle w:val="a3"/>
              <w:spacing w:before="0" w:beforeAutospacing="0" w:after="0" w:afterAutospacing="0"/>
              <w:jc w:val="center"/>
              <w:rPr>
                <w:sz w:val="20"/>
                <w:szCs w:val="20"/>
              </w:rPr>
            </w:pPr>
            <w:r>
              <w:rPr>
                <w:b/>
                <w:bCs/>
                <w:sz w:val="18"/>
                <w:szCs w:val="18"/>
              </w:rPr>
              <w:t>​</w:t>
            </w:r>
          </w:p>
        </w:tc>
      </w:tr>
      <w:tr w:rsidR="00000000">
        <w:trPr>
          <w:divId w:val="1722485284"/>
        </w:trPr>
        <w:tc>
          <w:tcPr>
            <w:tcW w:w="2449" w:type="pct"/>
            <w:tcMar>
              <w:top w:w="0" w:type="dxa"/>
              <w:left w:w="0" w:type="dxa"/>
              <w:bottom w:w="0" w:type="dxa"/>
              <w:right w:w="0" w:type="dxa"/>
            </w:tcMar>
            <w:hideMark/>
          </w:tcPr>
          <w:p w:rsidR="00000000" w:rsidRDefault="00E52F77">
            <w:pPr>
              <w:pStyle w:val="a3"/>
              <w:spacing w:before="0" w:beforeAutospacing="0" w:after="0" w:afterAutospacing="0"/>
              <w:ind w:hanging="200"/>
              <w:jc w:val="center"/>
              <w:rPr>
                <w:sz w:val="20"/>
                <w:szCs w:val="20"/>
              </w:rPr>
            </w:pPr>
            <w:r>
              <w:rPr>
                <w:b/>
                <w:bCs/>
                <w:sz w:val="18"/>
                <w:szCs w:val="18"/>
              </w:rPr>
              <w:t>George Town, Grand Cayman, Cayman Islands</w:t>
            </w:r>
          </w:p>
        </w:tc>
        <w:tc>
          <w:tcPr>
            <w:tcW w:w="100"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8"/>
                <w:szCs w:val="18"/>
              </w:rPr>
              <w:t>​</w:t>
            </w:r>
          </w:p>
        </w:tc>
        <w:tc>
          <w:tcPr>
            <w:tcW w:w="2449" w:type="pct"/>
            <w:tcMar>
              <w:top w:w="0" w:type="dxa"/>
              <w:left w:w="0" w:type="dxa"/>
              <w:bottom w:w="0" w:type="dxa"/>
              <w:right w:w="0" w:type="dxa"/>
            </w:tcMar>
            <w:hideMark/>
          </w:tcPr>
          <w:p w:rsidR="00000000" w:rsidRDefault="00E52F77">
            <w:pPr>
              <w:pStyle w:val="a3"/>
              <w:spacing w:before="0" w:beforeAutospacing="0" w:after="0" w:afterAutospacing="0"/>
              <w:jc w:val="center"/>
              <w:rPr>
                <w:sz w:val="20"/>
                <w:szCs w:val="20"/>
              </w:rPr>
            </w:pPr>
            <w:r>
              <w:rPr>
                <w:b/>
                <w:bCs/>
                <w:sz w:val="18"/>
                <w:szCs w:val="18"/>
              </w:rPr>
              <w:t>KY1-1104</w:t>
            </w:r>
          </w:p>
        </w:tc>
      </w:tr>
      <w:tr w:rsidR="00000000">
        <w:trPr>
          <w:divId w:val="1722485284"/>
        </w:trPr>
        <w:tc>
          <w:tcPr>
            <w:tcW w:w="2449" w:type="pct"/>
            <w:tcMar>
              <w:top w:w="0" w:type="dxa"/>
              <w:left w:w="0" w:type="dxa"/>
              <w:bottom w:w="0" w:type="dxa"/>
              <w:right w:w="0" w:type="dxa"/>
            </w:tcMar>
            <w:hideMark/>
          </w:tcPr>
          <w:p w:rsidR="00000000" w:rsidRDefault="00E52F77">
            <w:pPr>
              <w:pStyle w:val="a3"/>
              <w:spacing w:before="0" w:beforeAutospacing="0" w:after="0" w:afterAutospacing="0"/>
              <w:ind w:hanging="200"/>
              <w:jc w:val="center"/>
              <w:rPr>
                <w:sz w:val="18"/>
                <w:szCs w:val="18"/>
              </w:rPr>
            </w:pPr>
            <w:r>
              <w:rPr>
                <w:sz w:val="18"/>
                <w:szCs w:val="18"/>
              </w:rPr>
              <w:t>(Address of Principal Executive Offices)</w:t>
            </w:r>
          </w:p>
        </w:tc>
        <w:tc>
          <w:tcPr>
            <w:tcW w:w="100"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2449" w:type="pct"/>
            <w:tcMar>
              <w:top w:w="0" w:type="dxa"/>
              <w:left w:w="0" w:type="dxa"/>
              <w:bottom w:w="0" w:type="dxa"/>
              <w:right w:w="0" w:type="dxa"/>
            </w:tcMar>
            <w:hideMark/>
          </w:tcPr>
          <w:p w:rsidR="00000000" w:rsidRDefault="00E52F77">
            <w:pPr>
              <w:pStyle w:val="a3"/>
              <w:spacing w:before="0" w:beforeAutospacing="0" w:after="0" w:afterAutospacing="0"/>
              <w:jc w:val="center"/>
              <w:rPr>
                <w:sz w:val="18"/>
                <w:szCs w:val="18"/>
              </w:rPr>
            </w:pPr>
            <w:r>
              <w:rPr>
                <w:sz w:val="18"/>
                <w:szCs w:val="18"/>
              </w:rPr>
              <w:t>(Zip Code)</w:t>
            </w:r>
          </w:p>
        </w:tc>
      </w:tr>
    </w:tbl>
    <w:p w:rsidR="00000000" w:rsidRDefault="00E52F77">
      <w:pPr>
        <w:pStyle w:val="a3"/>
        <w:spacing w:before="0" w:beforeAutospacing="0" w:after="0" w:afterAutospacing="0"/>
        <w:divId w:val="1722485284"/>
        <w:rPr>
          <w:sz w:val="20"/>
          <w:szCs w:val="20"/>
        </w:rPr>
      </w:pPr>
      <w:r>
        <w:rPr>
          <w:sz w:val="10"/>
          <w:szCs w:val="10"/>
        </w:rPr>
        <w:t>​</w:t>
      </w:r>
    </w:p>
    <w:p w:rsidR="00000000" w:rsidRDefault="00E52F77">
      <w:pPr>
        <w:pStyle w:val="a3"/>
        <w:spacing w:before="0" w:beforeAutospacing="0" w:after="0" w:afterAutospacing="0"/>
        <w:jc w:val="center"/>
        <w:divId w:val="1722485284"/>
        <w:rPr>
          <w:sz w:val="20"/>
          <w:szCs w:val="20"/>
        </w:rPr>
      </w:pPr>
      <w:r>
        <w:rPr>
          <w:b/>
          <w:bCs/>
          <w:sz w:val="18"/>
          <w:szCs w:val="18"/>
        </w:rPr>
        <w:t>(650) 808-6000</w:t>
      </w:r>
    </w:p>
    <w:p w:rsidR="00000000" w:rsidRDefault="00E52F77">
      <w:pPr>
        <w:pStyle w:val="a3"/>
        <w:spacing w:before="0" w:beforeAutospacing="0" w:after="0" w:afterAutospacing="0"/>
        <w:jc w:val="center"/>
        <w:divId w:val="1722485284"/>
        <w:rPr>
          <w:sz w:val="18"/>
          <w:szCs w:val="18"/>
        </w:rPr>
      </w:pPr>
      <w:r>
        <w:rPr>
          <w:sz w:val="18"/>
          <w:szCs w:val="18"/>
        </w:rPr>
        <w:t>(Registrant’s Telephone Number, Including Area Code)</w:t>
      </w:r>
    </w:p>
    <w:p w:rsidR="00000000" w:rsidRDefault="00E52F77">
      <w:pPr>
        <w:pStyle w:val="a3"/>
        <w:spacing w:before="0" w:beforeAutospacing="0" w:after="0" w:afterAutospacing="0"/>
        <w:jc w:val="center"/>
        <w:divId w:val="1722485284"/>
        <w:rPr>
          <w:sz w:val="20"/>
          <w:szCs w:val="20"/>
        </w:rPr>
      </w:pPr>
      <w:r>
        <w:rPr>
          <w:sz w:val="18"/>
          <w:szCs w:val="18"/>
        </w:rPr>
        <w:t>​</w:t>
      </w:r>
    </w:p>
    <w:p w:rsidR="00000000" w:rsidRDefault="00E52F77">
      <w:pPr>
        <w:pStyle w:val="a3"/>
        <w:spacing w:before="0" w:beforeAutospacing="0" w:after="60" w:afterAutospacing="0"/>
        <w:ind w:firstLine="490"/>
        <w:divId w:val="1722485284"/>
        <w:rPr>
          <w:sz w:val="18"/>
          <w:szCs w:val="18"/>
        </w:rPr>
      </w:pPr>
      <w:r>
        <w:rPr>
          <w:sz w:val="18"/>
          <w:szCs w:val="18"/>
        </w:rPr>
        <w:t>Securities registered pursuant to Section 12(b) of the Act:</w:t>
      </w:r>
    </w:p>
    <w:tbl>
      <w:tblPr>
        <w:tblW w:w="5000" w:type="pct"/>
        <w:tblCellMar>
          <w:top w:w="15" w:type="dxa"/>
          <w:left w:w="0" w:type="dxa"/>
          <w:bottom w:w="15" w:type="dxa"/>
          <w:right w:w="0" w:type="dxa"/>
        </w:tblCellMar>
        <w:tblLook w:val="04A0" w:firstRow="1" w:lastRow="0" w:firstColumn="1" w:lastColumn="0" w:noHBand="0" w:noVBand="1"/>
      </w:tblPr>
      <w:tblGrid>
        <w:gridCol w:w="2740"/>
        <w:gridCol w:w="185"/>
        <w:gridCol w:w="185"/>
        <w:gridCol w:w="1367"/>
        <w:gridCol w:w="183"/>
        <w:gridCol w:w="3646"/>
      </w:tblGrid>
      <w:tr w:rsidR="00000000">
        <w:trPr>
          <w:divId w:val="1722485284"/>
          <w:trHeight w:val="20"/>
        </w:trPr>
        <w:tc>
          <w:tcPr>
            <w:tcW w:w="1648" w:type="pct"/>
            <w:noWrap/>
            <w:tcMar>
              <w:top w:w="0" w:type="dxa"/>
              <w:left w:w="0" w:type="dxa"/>
              <w:bottom w:w="0" w:type="dxa"/>
              <w:right w:w="0" w:type="dxa"/>
            </w:tcMar>
            <w:vAlign w:val="bottom"/>
            <w:hideMark/>
          </w:tcPr>
          <w:p w:rsidR="00000000" w:rsidRDefault="00E52F77">
            <w:pPr>
              <w:rPr>
                <w:sz w:val="18"/>
                <w:szCs w:val="18"/>
              </w:rPr>
            </w:pPr>
          </w:p>
        </w:tc>
        <w:tc>
          <w:tcPr>
            <w:tcW w:w="111" w:type="pct"/>
            <w:tcMar>
              <w:top w:w="0" w:type="dxa"/>
              <w:left w:w="0" w:type="dxa"/>
              <w:bottom w:w="0" w:type="dxa"/>
              <w:right w:w="0" w:type="dxa"/>
            </w:tcMar>
            <w:hideMark/>
          </w:tcPr>
          <w:p w:rsidR="00000000" w:rsidRDefault="00E52F77">
            <w:pPr>
              <w:pStyle w:val="a3"/>
              <w:spacing w:before="0" w:beforeAutospacing="0" w:after="0" w:afterAutospacing="0"/>
              <w:divId w:val="2020427508"/>
              <w:rPr>
                <w:sz w:val="20"/>
                <w:szCs w:val="20"/>
              </w:rPr>
            </w:pPr>
            <w:r>
              <w:rPr>
                <w:sz w:val="2"/>
                <w:szCs w:val="2"/>
              </w:rPr>
              <w:t>​</w:t>
            </w:r>
          </w:p>
        </w:tc>
        <w:tc>
          <w:tcPr>
            <w:tcW w:w="111" w:type="pct"/>
            <w:tcMar>
              <w:top w:w="0" w:type="dxa"/>
              <w:left w:w="0" w:type="dxa"/>
              <w:bottom w:w="0" w:type="dxa"/>
              <w:right w:w="0" w:type="dxa"/>
            </w:tcMar>
            <w:hideMark/>
          </w:tcPr>
          <w:p w:rsidR="00000000" w:rsidRDefault="00E52F77">
            <w:pPr>
              <w:rPr>
                <w:sz w:val="20"/>
                <w:szCs w:val="20"/>
              </w:rPr>
            </w:pPr>
          </w:p>
        </w:tc>
        <w:tc>
          <w:tcPr>
            <w:tcW w:w="823" w:type="pct"/>
            <w:noWrap/>
            <w:tcMar>
              <w:top w:w="0" w:type="dxa"/>
              <w:left w:w="0" w:type="dxa"/>
              <w:bottom w:w="0" w:type="dxa"/>
              <w:right w:w="0" w:type="dxa"/>
            </w:tcMar>
            <w:vAlign w:val="bottom"/>
            <w:hideMark/>
          </w:tcPr>
          <w:p w:rsidR="00000000" w:rsidRDefault="00E52F77">
            <w:pPr>
              <w:rPr>
                <w:rFonts w:eastAsia="Times New Roman"/>
                <w:sz w:val="20"/>
                <w:szCs w:val="20"/>
              </w:rPr>
            </w:pPr>
          </w:p>
        </w:tc>
        <w:tc>
          <w:tcPr>
            <w:tcW w:w="110" w:type="pct"/>
            <w:tcMar>
              <w:top w:w="0" w:type="dxa"/>
              <w:left w:w="0" w:type="dxa"/>
              <w:bottom w:w="0" w:type="dxa"/>
              <w:right w:w="0" w:type="dxa"/>
            </w:tcMar>
            <w:hideMark/>
          </w:tcPr>
          <w:p w:rsidR="00000000" w:rsidRDefault="00E52F77">
            <w:pPr>
              <w:rPr>
                <w:rFonts w:eastAsia="Times New Roman"/>
                <w:sz w:val="20"/>
                <w:szCs w:val="20"/>
              </w:rPr>
            </w:pPr>
          </w:p>
        </w:tc>
        <w:tc>
          <w:tcPr>
            <w:tcW w:w="2194" w:type="pct"/>
            <w:noWrap/>
            <w:tcMar>
              <w:top w:w="0" w:type="dxa"/>
              <w:left w:w="0" w:type="dxa"/>
              <w:bottom w:w="0" w:type="dxa"/>
              <w:right w:w="0" w:type="dxa"/>
            </w:tcMar>
            <w:vAlign w:val="bottom"/>
            <w:hideMark/>
          </w:tcPr>
          <w:p w:rsidR="00000000" w:rsidRDefault="00E52F77">
            <w:pPr>
              <w:rPr>
                <w:rFonts w:eastAsia="Times New Roman"/>
                <w:sz w:val="20"/>
                <w:szCs w:val="20"/>
              </w:rPr>
            </w:pPr>
          </w:p>
        </w:tc>
      </w:tr>
      <w:tr w:rsidR="00000000">
        <w:trPr>
          <w:divId w:val="1722485284"/>
        </w:trPr>
        <w:tc>
          <w:tcPr>
            <w:tcW w:w="1648"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u w:val="single"/>
              </w:rPr>
              <w:t>Title of each class</w:t>
            </w:r>
          </w:p>
        </w:tc>
        <w:tc>
          <w:tcPr>
            <w:tcW w:w="111" w:type="pct"/>
            <w:tcMar>
              <w:top w:w="0" w:type="dxa"/>
              <w:left w:w="0" w:type="dxa"/>
              <w:bottom w:w="0" w:type="dxa"/>
              <w:right w:w="0" w:type="dxa"/>
            </w:tcMar>
            <w:hideMark/>
          </w:tcPr>
          <w:p w:rsidR="00000000" w:rsidRDefault="00E52F77">
            <w:pPr>
              <w:pStyle w:val="a3"/>
              <w:spacing w:before="0" w:beforeAutospacing="0" w:after="0" w:afterAutospacing="0"/>
              <w:jc w:val="center"/>
              <w:rPr>
                <w:sz w:val="20"/>
                <w:szCs w:val="20"/>
              </w:rPr>
            </w:pPr>
            <w:r>
              <w:rPr>
                <w:b/>
                <w:bCs/>
                <w:sz w:val="16"/>
                <w:szCs w:val="16"/>
              </w:rPr>
              <w:t>​</w:t>
            </w:r>
          </w:p>
        </w:tc>
        <w:tc>
          <w:tcPr>
            <w:tcW w:w="111" w:type="pct"/>
            <w:tcMar>
              <w:top w:w="0" w:type="dxa"/>
              <w:left w:w="0" w:type="dxa"/>
              <w:bottom w:w="0" w:type="dxa"/>
              <w:right w:w="0" w:type="dxa"/>
            </w:tcMar>
            <w:hideMark/>
          </w:tcPr>
          <w:p w:rsidR="00000000" w:rsidRDefault="00E52F77">
            <w:pPr>
              <w:pStyle w:val="a3"/>
              <w:spacing w:before="0" w:beforeAutospacing="0" w:after="0" w:afterAutospacing="0"/>
              <w:jc w:val="center"/>
              <w:rPr>
                <w:sz w:val="16"/>
                <w:szCs w:val="16"/>
              </w:rPr>
            </w:pPr>
            <w:r>
              <w:rPr>
                <w:b/>
                <w:bCs/>
                <w:sz w:val="16"/>
                <w:szCs w:val="16"/>
              </w:rPr>
              <w:t>    </w:t>
            </w:r>
          </w:p>
        </w:tc>
        <w:tc>
          <w:tcPr>
            <w:tcW w:w="823"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u w:val="single"/>
              </w:rPr>
              <w:t>Trading Symbol</w:t>
            </w:r>
          </w:p>
        </w:tc>
        <w:tc>
          <w:tcPr>
            <w:tcW w:w="110" w:type="pct"/>
            <w:tcMar>
              <w:top w:w="0" w:type="dxa"/>
              <w:left w:w="0" w:type="dxa"/>
              <w:bottom w:w="0" w:type="dxa"/>
              <w:right w:w="0" w:type="dxa"/>
            </w:tcMar>
            <w:hideMark/>
          </w:tcPr>
          <w:p w:rsidR="00000000" w:rsidRDefault="00E52F77">
            <w:pPr>
              <w:pStyle w:val="a3"/>
              <w:spacing w:before="0" w:beforeAutospacing="0" w:after="0" w:afterAutospacing="0"/>
              <w:jc w:val="center"/>
              <w:rPr>
                <w:sz w:val="16"/>
                <w:szCs w:val="16"/>
              </w:rPr>
            </w:pPr>
            <w:r>
              <w:rPr>
                <w:b/>
                <w:bCs/>
                <w:sz w:val="16"/>
                <w:szCs w:val="16"/>
              </w:rPr>
              <w:t>    </w:t>
            </w:r>
          </w:p>
        </w:tc>
        <w:tc>
          <w:tcPr>
            <w:tcW w:w="2194"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u w:val="single"/>
              </w:rPr>
              <w:t>Name of each exchange on which registered</w:t>
            </w:r>
          </w:p>
        </w:tc>
      </w:tr>
      <w:tr w:rsidR="00000000">
        <w:trPr>
          <w:divId w:val="1722485284"/>
        </w:trPr>
        <w:tc>
          <w:tcPr>
            <w:tcW w:w="1648" w:type="pct"/>
            <w:tcMar>
              <w:top w:w="0" w:type="dxa"/>
              <w:left w:w="0" w:type="dxa"/>
              <w:bottom w:w="0" w:type="dxa"/>
              <w:right w:w="0" w:type="dxa"/>
            </w:tcMar>
            <w:hideMark/>
          </w:tcPr>
          <w:p w:rsidR="00000000" w:rsidRDefault="00E52F77">
            <w:pPr>
              <w:pStyle w:val="a3"/>
              <w:spacing w:before="0" w:beforeAutospacing="0" w:after="0" w:afterAutospacing="0"/>
              <w:jc w:val="center"/>
              <w:rPr>
                <w:sz w:val="20"/>
                <w:szCs w:val="20"/>
              </w:rPr>
            </w:pPr>
            <w:r>
              <w:rPr>
                <w:sz w:val="18"/>
                <w:szCs w:val="18"/>
              </w:rPr>
              <w:t>Ordinary Share $0.00001 Par Value</w:t>
            </w:r>
          </w:p>
        </w:tc>
        <w:tc>
          <w:tcPr>
            <w:tcW w:w="111" w:type="pct"/>
            <w:tcMar>
              <w:top w:w="0" w:type="dxa"/>
              <w:left w:w="0" w:type="dxa"/>
              <w:bottom w:w="0" w:type="dxa"/>
              <w:right w:w="0" w:type="dxa"/>
            </w:tcMar>
            <w:hideMark/>
          </w:tcPr>
          <w:p w:rsidR="00000000" w:rsidRDefault="00E52F77">
            <w:pPr>
              <w:pStyle w:val="a3"/>
              <w:spacing w:before="0" w:beforeAutospacing="0" w:after="0" w:afterAutospacing="0"/>
              <w:jc w:val="center"/>
              <w:rPr>
                <w:sz w:val="20"/>
                <w:szCs w:val="20"/>
              </w:rPr>
            </w:pPr>
            <w:r>
              <w:rPr>
                <w:sz w:val="18"/>
                <w:szCs w:val="18"/>
              </w:rPr>
              <w:t>​</w:t>
            </w:r>
          </w:p>
        </w:tc>
        <w:tc>
          <w:tcPr>
            <w:tcW w:w="111" w:type="pct"/>
            <w:tcMar>
              <w:top w:w="0" w:type="dxa"/>
              <w:left w:w="0" w:type="dxa"/>
              <w:bottom w:w="0" w:type="dxa"/>
              <w:right w:w="0" w:type="dxa"/>
            </w:tcMar>
            <w:hideMark/>
          </w:tcPr>
          <w:p w:rsidR="00000000" w:rsidRDefault="00E52F77">
            <w:pPr>
              <w:pStyle w:val="a3"/>
              <w:spacing w:before="0" w:beforeAutospacing="0" w:after="0" w:afterAutospacing="0"/>
              <w:jc w:val="center"/>
              <w:rPr>
                <w:sz w:val="20"/>
                <w:szCs w:val="20"/>
              </w:rPr>
            </w:pPr>
            <w:r>
              <w:rPr>
                <w:sz w:val="18"/>
                <w:szCs w:val="18"/>
              </w:rPr>
              <w:t>​</w:t>
            </w:r>
          </w:p>
        </w:tc>
        <w:tc>
          <w:tcPr>
            <w:tcW w:w="823" w:type="pct"/>
            <w:tcMar>
              <w:top w:w="0" w:type="dxa"/>
              <w:left w:w="0" w:type="dxa"/>
              <w:bottom w:w="0" w:type="dxa"/>
              <w:right w:w="0" w:type="dxa"/>
            </w:tcMar>
            <w:hideMark/>
          </w:tcPr>
          <w:p w:rsidR="00000000" w:rsidRDefault="00E52F77">
            <w:pPr>
              <w:pStyle w:val="a3"/>
              <w:spacing w:before="0" w:beforeAutospacing="0" w:after="0" w:afterAutospacing="0"/>
              <w:jc w:val="center"/>
              <w:rPr>
                <w:sz w:val="20"/>
                <w:szCs w:val="20"/>
              </w:rPr>
            </w:pPr>
            <w:r>
              <w:rPr>
                <w:sz w:val="18"/>
                <w:szCs w:val="18"/>
              </w:rPr>
              <w:t>TBPH</w:t>
            </w:r>
          </w:p>
        </w:tc>
        <w:tc>
          <w:tcPr>
            <w:tcW w:w="110" w:type="pct"/>
            <w:tcMar>
              <w:top w:w="0" w:type="dxa"/>
              <w:left w:w="0" w:type="dxa"/>
              <w:bottom w:w="0" w:type="dxa"/>
              <w:right w:w="0" w:type="dxa"/>
            </w:tcMar>
            <w:hideMark/>
          </w:tcPr>
          <w:p w:rsidR="00000000" w:rsidRDefault="00E52F77">
            <w:pPr>
              <w:pStyle w:val="a3"/>
              <w:spacing w:before="0" w:beforeAutospacing="0" w:after="0" w:afterAutospacing="0"/>
              <w:jc w:val="center"/>
              <w:rPr>
                <w:sz w:val="20"/>
                <w:szCs w:val="20"/>
              </w:rPr>
            </w:pPr>
            <w:r>
              <w:rPr>
                <w:sz w:val="18"/>
                <w:szCs w:val="18"/>
              </w:rPr>
              <w:t>​</w:t>
            </w:r>
          </w:p>
        </w:tc>
        <w:tc>
          <w:tcPr>
            <w:tcW w:w="2194" w:type="pct"/>
            <w:tcMar>
              <w:top w:w="0" w:type="dxa"/>
              <w:left w:w="0" w:type="dxa"/>
              <w:bottom w:w="0" w:type="dxa"/>
              <w:right w:w="0" w:type="dxa"/>
            </w:tcMar>
            <w:hideMark/>
          </w:tcPr>
          <w:p w:rsidR="00000000" w:rsidRDefault="00E52F77">
            <w:pPr>
              <w:pStyle w:val="a3"/>
              <w:spacing w:before="0" w:beforeAutospacing="0" w:after="0" w:afterAutospacing="0"/>
              <w:jc w:val="center"/>
              <w:rPr>
                <w:sz w:val="20"/>
                <w:szCs w:val="20"/>
              </w:rPr>
            </w:pPr>
            <w:r>
              <w:rPr>
                <w:sz w:val="18"/>
                <w:szCs w:val="18"/>
              </w:rPr>
              <w:t>The Nasdaq Global Market</w:t>
            </w:r>
          </w:p>
        </w:tc>
      </w:tr>
    </w:tbl>
    <w:p w:rsidR="00000000" w:rsidRDefault="00E52F77">
      <w:pPr>
        <w:pStyle w:val="a3"/>
        <w:spacing w:before="0" w:beforeAutospacing="0" w:after="0" w:afterAutospacing="0"/>
        <w:jc w:val="center"/>
        <w:divId w:val="1722485284"/>
        <w:rPr>
          <w:sz w:val="20"/>
          <w:szCs w:val="20"/>
        </w:rPr>
      </w:pPr>
      <w:r>
        <w:rPr>
          <w:sz w:val="10"/>
          <w:szCs w:val="10"/>
        </w:rPr>
        <w:t>​</w:t>
      </w:r>
    </w:p>
    <w:p w:rsidR="00000000" w:rsidRDefault="00E52F77">
      <w:pPr>
        <w:pStyle w:val="a3"/>
        <w:spacing w:before="0" w:beforeAutospacing="0" w:after="0" w:afterAutospacing="0"/>
        <w:ind w:firstLine="490"/>
        <w:divId w:val="1722485284"/>
        <w:rPr>
          <w:sz w:val="20"/>
          <w:szCs w:val="20"/>
        </w:rPr>
      </w:pPr>
      <w:r>
        <w:rPr>
          <w:sz w:val="18"/>
          <w:szCs w:val="18"/>
        </w:rPr>
        <w:t>Indicate by check mark whether the registrant: (1) </w:t>
      </w:r>
      <w:r>
        <w:rPr>
          <w:sz w:val="18"/>
          <w:szCs w:val="18"/>
        </w:rPr>
        <w:t>has filed all reports required to be filed by Section 13 or 15(d) of the Securities Exchange Act of 1934 during the preceding 12 months (or for such shorter period that the registrant was required to file such reports), and (2) has been subject to such fil</w:t>
      </w:r>
      <w:r>
        <w:rPr>
          <w:sz w:val="18"/>
          <w:szCs w:val="18"/>
        </w:rPr>
        <w:t>ing requirements for the past 90 days. Yes </w:t>
      </w:r>
      <w:r>
        <w:rPr>
          <w:rFonts w:ascii="Segoe UI Symbol" w:hAnsi="Segoe UI Symbol"/>
          <w:sz w:val="18"/>
          <w:szCs w:val="18"/>
        </w:rPr>
        <w:t>☒</w:t>
      </w:r>
      <w:r>
        <w:rPr>
          <w:sz w:val="18"/>
          <w:szCs w:val="18"/>
        </w:rPr>
        <w:t xml:space="preserve">  No </w:t>
      </w:r>
      <w:r>
        <w:rPr>
          <w:rFonts w:ascii="Segoe UI Symbol" w:hAnsi="Segoe UI Symbol"/>
          <w:sz w:val="18"/>
          <w:szCs w:val="18"/>
        </w:rPr>
        <w:t>☐</w:t>
      </w:r>
      <w:r>
        <w:rPr>
          <w:sz w:val="18"/>
          <w:szCs w:val="18"/>
        </w:rPr>
        <w:t> </w:t>
      </w:r>
    </w:p>
    <w:p w:rsidR="00000000" w:rsidRDefault="00E52F77">
      <w:pPr>
        <w:pStyle w:val="a3"/>
        <w:spacing w:before="0" w:beforeAutospacing="0" w:after="0" w:afterAutospacing="0"/>
        <w:ind w:firstLine="490"/>
        <w:divId w:val="1722485284"/>
        <w:rPr>
          <w:sz w:val="20"/>
          <w:szCs w:val="20"/>
        </w:rPr>
      </w:pPr>
      <w:r>
        <w:rPr>
          <w:sz w:val="10"/>
          <w:szCs w:val="10"/>
        </w:rPr>
        <w:t>​</w:t>
      </w:r>
    </w:p>
    <w:p w:rsidR="00000000" w:rsidRDefault="00E52F77">
      <w:pPr>
        <w:pStyle w:val="a3"/>
        <w:spacing w:before="0" w:beforeAutospacing="0" w:after="0" w:afterAutospacing="0"/>
        <w:ind w:firstLine="490"/>
        <w:divId w:val="1722485284"/>
        <w:rPr>
          <w:sz w:val="20"/>
          <w:szCs w:val="20"/>
        </w:rPr>
      </w:pPr>
      <w:r>
        <w:rPr>
          <w:sz w:val="18"/>
          <w:szCs w:val="18"/>
        </w:rPr>
        <w:t>Indicate by check mark whether the registrant has submitted electronically every Interactive Data File required to be submitted pursuant to Rule 405 of Regulation S-T (§ 232.405 of this chapter)</w:t>
      </w:r>
      <w:r>
        <w:rPr>
          <w:sz w:val="16"/>
          <w:szCs w:val="16"/>
        </w:rPr>
        <w:t xml:space="preserve"> </w:t>
      </w:r>
      <w:r>
        <w:rPr>
          <w:sz w:val="18"/>
          <w:szCs w:val="18"/>
        </w:rPr>
        <w:t xml:space="preserve">during </w:t>
      </w:r>
      <w:r>
        <w:rPr>
          <w:sz w:val="18"/>
          <w:szCs w:val="18"/>
        </w:rPr>
        <w:t>the preceding 12 months (or for such shorter period that the registrant was required to submit such files). Yes </w:t>
      </w:r>
      <w:r>
        <w:rPr>
          <w:rFonts w:ascii="Segoe UI Symbol" w:hAnsi="Segoe UI Symbol"/>
          <w:sz w:val="18"/>
          <w:szCs w:val="18"/>
        </w:rPr>
        <w:t>☒</w:t>
      </w:r>
      <w:r>
        <w:rPr>
          <w:sz w:val="18"/>
          <w:szCs w:val="18"/>
        </w:rPr>
        <w:t>  No </w:t>
      </w:r>
      <w:r>
        <w:rPr>
          <w:rFonts w:ascii="Segoe UI Symbol" w:hAnsi="Segoe UI Symbol"/>
          <w:sz w:val="18"/>
          <w:szCs w:val="18"/>
        </w:rPr>
        <w:t>☐</w:t>
      </w:r>
    </w:p>
    <w:p w:rsidR="00000000" w:rsidRDefault="00E52F77">
      <w:pPr>
        <w:pStyle w:val="a3"/>
        <w:spacing w:before="0" w:beforeAutospacing="0" w:after="0" w:afterAutospacing="0"/>
        <w:ind w:firstLine="490"/>
        <w:divId w:val="1722485284"/>
        <w:rPr>
          <w:sz w:val="20"/>
          <w:szCs w:val="20"/>
        </w:rPr>
      </w:pPr>
      <w:r>
        <w:rPr>
          <w:sz w:val="10"/>
          <w:szCs w:val="10"/>
        </w:rPr>
        <w:t>​</w:t>
      </w:r>
    </w:p>
    <w:p w:rsidR="00000000" w:rsidRDefault="00E52F77">
      <w:pPr>
        <w:pStyle w:val="a3"/>
        <w:spacing w:before="0" w:beforeAutospacing="0" w:after="0" w:afterAutospacing="0"/>
        <w:ind w:firstLine="490"/>
        <w:divId w:val="1722485284"/>
        <w:rPr>
          <w:sz w:val="18"/>
          <w:szCs w:val="18"/>
        </w:rPr>
      </w:pPr>
      <w:r>
        <w:rPr>
          <w:sz w:val="18"/>
          <w:szCs w:val="18"/>
        </w:rPr>
        <w:t>Indicate by check mark whether the registrant is a large accelerated filer, an accelerated filer, a non-accelerated filer, a smaller r</w:t>
      </w:r>
      <w:r>
        <w:rPr>
          <w:sz w:val="18"/>
          <w:szCs w:val="18"/>
        </w:rPr>
        <w:t xml:space="preserve">eporting company, or emerging growth company. See the definitions of “large </w:t>
      </w:r>
      <w:r>
        <w:rPr>
          <w:sz w:val="18"/>
          <w:szCs w:val="18"/>
        </w:rPr>
        <w:lastRenderedPageBreak/>
        <w:t xml:space="preserve">accelerated filer,” “accelerated filer,” “smaller reporting company,” and “emerging growth company” in Rule 12b-2 of the Exchange Act. </w:t>
      </w:r>
    </w:p>
    <w:p w:rsidR="00000000" w:rsidRDefault="00E52F77">
      <w:pPr>
        <w:pStyle w:val="a3"/>
        <w:spacing w:before="0" w:beforeAutospacing="0" w:after="0" w:afterAutospacing="0"/>
        <w:divId w:val="1722485284"/>
        <w:rPr>
          <w:sz w:val="20"/>
          <w:szCs w:val="20"/>
        </w:rPr>
      </w:pPr>
      <w:r>
        <w:rPr>
          <w:sz w:val="10"/>
          <w:szCs w:val="10"/>
        </w:rPr>
        <w:t>​</w:t>
      </w:r>
    </w:p>
    <w:tbl>
      <w:tblPr>
        <w:tblW w:w="4000" w:type="pct"/>
        <w:tblCellMar>
          <w:top w:w="15" w:type="dxa"/>
          <w:left w:w="0" w:type="dxa"/>
          <w:bottom w:w="15" w:type="dxa"/>
          <w:right w:w="0" w:type="dxa"/>
        </w:tblCellMar>
        <w:tblLook w:val="04A0" w:firstRow="1" w:lastRow="0" w:firstColumn="1" w:lastColumn="0" w:noHBand="0" w:noVBand="1"/>
      </w:tblPr>
      <w:tblGrid>
        <w:gridCol w:w="3025"/>
        <w:gridCol w:w="180"/>
        <w:gridCol w:w="3440"/>
      </w:tblGrid>
      <w:tr w:rsidR="00000000">
        <w:trPr>
          <w:divId w:val="1722485284"/>
          <w:trHeight w:val="20"/>
        </w:trPr>
        <w:tc>
          <w:tcPr>
            <w:tcW w:w="2288" w:type="pct"/>
            <w:tcMar>
              <w:top w:w="0" w:type="dxa"/>
              <w:left w:w="0" w:type="dxa"/>
              <w:bottom w:w="0" w:type="dxa"/>
              <w:right w:w="0" w:type="dxa"/>
            </w:tcMar>
            <w:hideMark/>
          </w:tcPr>
          <w:p w:rsidR="00000000" w:rsidRDefault="00E52F77">
            <w:pPr>
              <w:pStyle w:val="a3"/>
              <w:spacing w:before="0" w:beforeAutospacing="0" w:after="0" w:afterAutospacing="0"/>
              <w:divId w:val="1540557448"/>
              <w:rPr>
                <w:sz w:val="20"/>
                <w:szCs w:val="20"/>
              </w:rPr>
            </w:pPr>
            <w:r>
              <w:rPr>
                <w:sz w:val="2"/>
                <w:szCs w:val="2"/>
              </w:rPr>
              <w:t>​</w:t>
            </w:r>
          </w:p>
        </w:tc>
        <w:tc>
          <w:tcPr>
            <w:tcW w:w="112" w:type="pct"/>
            <w:tcMar>
              <w:top w:w="0" w:type="dxa"/>
              <w:left w:w="0" w:type="dxa"/>
              <w:bottom w:w="0" w:type="dxa"/>
              <w:right w:w="0" w:type="dxa"/>
            </w:tcMar>
            <w:vAlign w:val="bottom"/>
            <w:hideMark/>
          </w:tcPr>
          <w:p w:rsidR="00000000" w:rsidRDefault="00E52F77">
            <w:pPr>
              <w:pStyle w:val="a3"/>
              <w:spacing w:before="0" w:beforeAutospacing="0" w:after="0" w:afterAutospacing="0"/>
              <w:divId w:val="1804813800"/>
              <w:rPr>
                <w:sz w:val="20"/>
                <w:szCs w:val="20"/>
              </w:rPr>
            </w:pPr>
            <w:r>
              <w:rPr>
                <w:sz w:val="2"/>
                <w:szCs w:val="2"/>
              </w:rPr>
              <w:t>​</w:t>
            </w:r>
          </w:p>
        </w:tc>
        <w:tc>
          <w:tcPr>
            <w:tcW w:w="2599" w:type="pct"/>
            <w:tcMar>
              <w:top w:w="0" w:type="dxa"/>
              <w:left w:w="0" w:type="dxa"/>
              <w:bottom w:w="0" w:type="dxa"/>
              <w:right w:w="0" w:type="dxa"/>
            </w:tcMar>
            <w:hideMark/>
          </w:tcPr>
          <w:p w:rsidR="00000000" w:rsidRDefault="00E52F77">
            <w:pPr>
              <w:pStyle w:val="a3"/>
              <w:spacing w:before="0" w:beforeAutospacing="0" w:after="0" w:afterAutospacing="0"/>
              <w:divId w:val="1397512669"/>
              <w:rPr>
                <w:sz w:val="20"/>
                <w:szCs w:val="20"/>
              </w:rPr>
            </w:pPr>
            <w:r>
              <w:rPr>
                <w:sz w:val="2"/>
                <w:szCs w:val="2"/>
              </w:rPr>
              <w:t>​</w:t>
            </w:r>
          </w:p>
        </w:tc>
      </w:tr>
      <w:tr w:rsidR="00000000">
        <w:trPr>
          <w:divId w:val="1722485284"/>
        </w:trPr>
        <w:tc>
          <w:tcPr>
            <w:tcW w:w="2288" w:type="pct"/>
            <w:tcMar>
              <w:top w:w="0" w:type="dxa"/>
              <w:left w:w="0" w:type="dxa"/>
              <w:bottom w:w="0" w:type="dxa"/>
              <w:right w:w="0" w:type="dxa"/>
            </w:tcMar>
            <w:hideMark/>
          </w:tcPr>
          <w:p w:rsidR="00000000" w:rsidRDefault="00E52F77">
            <w:pPr>
              <w:pStyle w:val="a3"/>
              <w:spacing w:before="0" w:beforeAutospacing="0" w:after="0" w:afterAutospacing="0"/>
              <w:jc w:val="center"/>
              <w:rPr>
                <w:sz w:val="20"/>
                <w:szCs w:val="20"/>
              </w:rPr>
            </w:pPr>
            <w:r>
              <w:rPr>
                <w:sz w:val="18"/>
                <w:szCs w:val="18"/>
              </w:rPr>
              <w:t>Large</w:t>
            </w:r>
            <w:r>
              <w:rPr>
                <w:sz w:val="16"/>
                <w:szCs w:val="16"/>
              </w:rPr>
              <w:t xml:space="preserve"> </w:t>
            </w:r>
            <w:r>
              <w:rPr>
                <w:sz w:val="18"/>
                <w:szCs w:val="18"/>
              </w:rPr>
              <w:t>Accelerated</w:t>
            </w:r>
            <w:r>
              <w:rPr>
                <w:sz w:val="16"/>
                <w:szCs w:val="16"/>
              </w:rPr>
              <w:t xml:space="preserve"> </w:t>
            </w:r>
            <w:r>
              <w:rPr>
                <w:sz w:val="18"/>
                <w:szCs w:val="18"/>
              </w:rPr>
              <w:t>Filer</w:t>
            </w:r>
            <w:r>
              <w:rPr>
                <w:sz w:val="16"/>
                <w:szCs w:val="16"/>
              </w:rPr>
              <w:t xml:space="preserve"> </w:t>
            </w:r>
            <w:r>
              <w:rPr>
                <w:rFonts w:ascii="Segoe UI Symbol" w:hAnsi="Segoe UI Symbol"/>
                <w:sz w:val="18"/>
                <w:szCs w:val="18"/>
              </w:rPr>
              <w:t>☒</w:t>
            </w:r>
          </w:p>
        </w:tc>
        <w:tc>
          <w:tcPr>
            <w:tcW w:w="112" w:type="pct"/>
            <w:tcMar>
              <w:top w:w="0" w:type="dxa"/>
              <w:left w:w="0" w:type="dxa"/>
              <w:bottom w:w="0" w:type="dxa"/>
              <w:right w:w="0" w:type="dxa"/>
            </w:tcMar>
            <w:vAlign w:val="bottom"/>
            <w:hideMark/>
          </w:tcPr>
          <w:p w:rsidR="00000000" w:rsidRDefault="00E52F77">
            <w:pPr>
              <w:pStyle w:val="a3"/>
              <w:spacing w:before="0" w:beforeAutospacing="0" w:after="0" w:afterAutospacing="0"/>
              <w:rPr>
                <w:sz w:val="18"/>
                <w:szCs w:val="18"/>
              </w:rPr>
            </w:pPr>
            <w:r>
              <w:rPr>
                <w:sz w:val="18"/>
                <w:szCs w:val="18"/>
              </w:rPr>
              <w:t>    </w:t>
            </w:r>
          </w:p>
        </w:tc>
        <w:tc>
          <w:tcPr>
            <w:tcW w:w="2599" w:type="pct"/>
            <w:tcMar>
              <w:top w:w="0" w:type="dxa"/>
              <w:left w:w="0" w:type="dxa"/>
              <w:bottom w:w="0" w:type="dxa"/>
              <w:right w:w="0" w:type="dxa"/>
            </w:tcMar>
            <w:hideMark/>
          </w:tcPr>
          <w:p w:rsidR="00000000" w:rsidRDefault="00E52F77">
            <w:pPr>
              <w:pStyle w:val="a3"/>
              <w:spacing w:before="0" w:beforeAutospacing="0" w:after="0" w:afterAutospacing="0"/>
              <w:jc w:val="center"/>
              <w:rPr>
                <w:sz w:val="20"/>
                <w:szCs w:val="20"/>
              </w:rPr>
            </w:pPr>
            <w:r>
              <w:rPr>
                <w:sz w:val="18"/>
                <w:szCs w:val="18"/>
              </w:rPr>
              <w:t>Smaller Reporting Company </w:t>
            </w:r>
            <w:r>
              <w:rPr>
                <w:rFonts w:ascii="Segoe UI Symbol" w:hAnsi="Segoe UI Symbol"/>
                <w:sz w:val="18"/>
                <w:szCs w:val="18"/>
              </w:rPr>
              <w:t>☐</w:t>
            </w:r>
          </w:p>
        </w:tc>
      </w:tr>
      <w:tr w:rsidR="00000000">
        <w:trPr>
          <w:divId w:val="1722485284"/>
        </w:trPr>
        <w:tc>
          <w:tcPr>
            <w:tcW w:w="2288" w:type="pct"/>
            <w:tcMar>
              <w:top w:w="0" w:type="dxa"/>
              <w:left w:w="0" w:type="dxa"/>
              <w:bottom w:w="0" w:type="dxa"/>
              <w:right w:w="0" w:type="dxa"/>
            </w:tcMar>
            <w:hideMark/>
          </w:tcPr>
          <w:p w:rsidR="00000000" w:rsidRDefault="00E52F77">
            <w:pPr>
              <w:pStyle w:val="a3"/>
              <w:spacing w:before="0" w:beforeAutospacing="0" w:after="0" w:afterAutospacing="0"/>
              <w:jc w:val="center"/>
              <w:rPr>
                <w:sz w:val="18"/>
                <w:szCs w:val="18"/>
              </w:rPr>
            </w:pPr>
            <w:r>
              <w:rPr>
                <w:sz w:val="18"/>
                <w:szCs w:val="18"/>
              </w:rPr>
              <w:t xml:space="preserve">Non-accelerated Filer </w:t>
            </w:r>
            <w:r>
              <w:rPr>
                <w:rFonts w:ascii="Segoe UI Symbol" w:hAnsi="Segoe UI Symbol"/>
                <w:sz w:val="18"/>
                <w:szCs w:val="18"/>
              </w:rPr>
              <w:t>☐</w:t>
            </w:r>
          </w:p>
        </w:tc>
        <w:tc>
          <w:tcPr>
            <w:tcW w:w="112"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0"/>
                <w:szCs w:val="10"/>
              </w:rPr>
              <w:t>​</w:t>
            </w:r>
          </w:p>
        </w:tc>
        <w:tc>
          <w:tcPr>
            <w:tcW w:w="2599" w:type="pct"/>
            <w:tcMar>
              <w:top w:w="0" w:type="dxa"/>
              <w:left w:w="0" w:type="dxa"/>
              <w:bottom w:w="0" w:type="dxa"/>
              <w:right w:w="0" w:type="dxa"/>
            </w:tcMar>
            <w:hideMark/>
          </w:tcPr>
          <w:p w:rsidR="00000000" w:rsidRDefault="00E52F77">
            <w:pPr>
              <w:pStyle w:val="a3"/>
              <w:spacing w:before="0" w:beforeAutospacing="0" w:after="0" w:afterAutospacing="0"/>
              <w:jc w:val="center"/>
              <w:rPr>
                <w:sz w:val="20"/>
                <w:szCs w:val="20"/>
              </w:rPr>
            </w:pPr>
            <w:r>
              <w:rPr>
                <w:sz w:val="18"/>
                <w:szCs w:val="18"/>
              </w:rPr>
              <w:t xml:space="preserve">Emerging Growth Company </w:t>
            </w:r>
            <w:r>
              <w:rPr>
                <w:rFonts w:ascii="Segoe UI Symbol" w:hAnsi="Segoe UI Symbol"/>
                <w:sz w:val="18"/>
                <w:szCs w:val="18"/>
              </w:rPr>
              <w:t>☐</w:t>
            </w:r>
          </w:p>
        </w:tc>
      </w:tr>
      <w:tr w:rsidR="00000000">
        <w:trPr>
          <w:divId w:val="1722485284"/>
        </w:trPr>
        <w:tc>
          <w:tcPr>
            <w:tcW w:w="2288" w:type="pct"/>
            <w:tcMar>
              <w:top w:w="0" w:type="dxa"/>
              <w:left w:w="0" w:type="dxa"/>
              <w:bottom w:w="0" w:type="dxa"/>
              <w:right w:w="0" w:type="dxa"/>
            </w:tcMar>
            <w:hideMark/>
          </w:tcPr>
          <w:p w:rsidR="00000000" w:rsidRDefault="00E52F77">
            <w:pPr>
              <w:pStyle w:val="a3"/>
              <w:spacing w:before="0" w:beforeAutospacing="0" w:after="0" w:afterAutospacing="0"/>
              <w:jc w:val="center"/>
              <w:rPr>
                <w:sz w:val="18"/>
                <w:szCs w:val="18"/>
              </w:rPr>
            </w:pPr>
            <w:r>
              <w:rPr>
                <w:sz w:val="18"/>
                <w:szCs w:val="18"/>
              </w:rPr>
              <w:t>Accelerated Filer </w:t>
            </w:r>
            <w:r>
              <w:rPr>
                <w:rFonts w:ascii="Segoe UI Symbol" w:hAnsi="Segoe UI Symbol"/>
                <w:sz w:val="18"/>
                <w:szCs w:val="18"/>
              </w:rPr>
              <w:t>☐</w:t>
            </w:r>
          </w:p>
        </w:tc>
        <w:tc>
          <w:tcPr>
            <w:tcW w:w="112"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2599" w:type="pct"/>
            <w:tcMar>
              <w:top w:w="0" w:type="dxa"/>
              <w:left w:w="0" w:type="dxa"/>
              <w:bottom w:w="0" w:type="dxa"/>
              <w:right w:w="0" w:type="dxa"/>
            </w:tcMar>
            <w:hideMark/>
          </w:tcPr>
          <w:p w:rsidR="00000000" w:rsidRDefault="00E52F77">
            <w:pPr>
              <w:pStyle w:val="a3"/>
              <w:spacing w:before="0" w:beforeAutospacing="0" w:after="0" w:afterAutospacing="0"/>
              <w:jc w:val="center"/>
              <w:rPr>
                <w:sz w:val="20"/>
                <w:szCs w:val="20"/>
              </w:rPr>
            </w:pPr>
            <w:r>
              <w:rPr>
                <w:sz w:val="18"/>
                <w:szCs w:val="18"/>
              </w:rPr>
              <w:t>​</w:t>
            </w:r>
          </w:p>
        </w:tc>
      </w:tr>
    </w:tbl>
    <w:p w:rsidR="00000000" w:rsidRDefault="00E52F77">
      <w:pPr>
        <w:pStyle w:val="a3"/>
        <w:spacing w:before="0" w:beforeAutospacing="0" w:after="0" w:afterAutospacing="0"/>
        <w:divId w:val="1722485284"/>
        <w:rPr>
          <w:sz w:val="20"/>
          <w:szCs w:val="20"/>
        </w:rPr>
      </w:pPr>
      <w:r>
        <w:rPr>
          <w:sz w:val="10"/>
          <w:szCs w:val="10"/>
        </w:rPr>
        <w:t>​</w:t>
      </w:r>
    </w:p>
    <w:p w:rsidR="00000000" w:rsidRDefault="00E52F77">
      <w:pPr>
        <w:pStyle w:val="a3"/>
        <w:spacing w:before="0" w:beforeAutospacing="0" w:after="0" w:afterAutospacing="0"/>
        <w:ind w:firstLine="490"/>
        <w:divId w:val="1722485284"/>
        <w:rPr>
          <w:sz w:val="18"/>
          <w:szCs w:val="18"/>
        </w:rPr>
      </w:pPr>
      <w:r>
        <w:rPr>
          <w:sz w:val="18"/>
          <w:szCs w:val="18"/>
        </w:rPr>
        <w:t>If an emerging growth company, indicate by check mark if the registrant has elected not to use the extended transition period for complying with an</w:t>
      </w:r>
      <w:r>
        <w:rPr>
          <w:sz w:val="18"/>
          <w:szCs w:val="18"/>
        </w:rPr>
        <w:t xml:space="preserve">y new or revised financial accounting standards provided pursuant to Section 13(a) of the Exchange Act. </w:t>
      </w:r>
      <w:r>
        <w:rPr>
          <w:rFonts w:ascii="Segoe UI Symbol" w:hAnsi="Segoe UI Symbol"/>
          <w:sz w:val="18"/>
          <w:szCs w:val="18"/>
        </w:rPr>
        <w:t>☐</w:t>
      </w:r>
    </w:p>
    <w:p w:rsidR="00000000" w:rsidRDefault="00E52F77">
      <w:pPr>
        <w:pStyle w:val="a3"/>
        <w:spacing w:before="0" w:beforeAutospacing="0" w:after="0" w:afterAutospacing="0"/>
        <w:ind w:firstLine="490"/>
        <w:divId w:val="1722485284"/>
        <w:rPr>
          <w:sz w:val="20"/>
          <w:szCs w:val="20"/>
        </w:rPr>
      </w:pPr>
      <w:r>
        <w:rPr>
          <w:sz w:val="10"/>
          <w:szCs w:val="10"/>
        </w:rPr>
        <w:t>​</w:t>
      </w:r>
    </w:p>
    <w:p w:rsidR="00000000" w:rsidRDefault="00E52F77">
      <w:pPr>
        <w:pStyle w:val="a3"/>
        <w:spacing w:before="0" w:beforeAutospacing="0" w:after="0" w:afterAutospacing="0"/>
        <w:ind w:firstLine="490"/>
        <w:divId w:val="1722485284"/>
        <w:rPr>
          <w:sz w:val="20"/>
          <w:szCs w:val="20"/>
        </w:rPr>
      </w:pPr>
      <w:r>
        <w:rPr>
          <w:sz w:val="18"/>
          <w:szCs w:val="18"/>
        </w:rPr>
        <w:t>Indicate by check mark whether the registrant is a shell company (as defined in Rule 12b-2 of the Exchange Act). Yes </w:t>
      </w:r>
      <w:r>
        <w:rPr>
          <w:rFonts w:ascii="Segoe UI Symbol" w:hAnsi="Segoe UI Symbol"/>
          <w:sz w:val="18"/>
          <w:szCs w:val="18"/>
        </w:rPr>
        <w:t>☐</w:t>
      </w:r>
      <w:r>
        <w:rPr>
          <w:sz w:val="18"/>
          <w:szCs w:val="18"/>
        </w:rPr>
        <w:t>  No </w:t>
      </w:r>
      <w:r>
        <w:rPr>
          <w:rFonts w:ascii="Segoe UI Symbol" w:hAnsi="Segoe UI Symbol"/>
          <w:sz w:val="18"/>
          <w:szCs w:val="18"/>
        </w:rPr>
        <w:t>☒</w:t>
      </w:r>
    </w:p>
    <w:p w:rsidR="00000000" w:rsidRDefault="00E52F77">
      <w:pPr>
        <w:pStyle w:val="a3"/>
        <w:spacing w:before="0" w:beforeAutospacing="0" w:after="0" w:afterAutospacing="0"/>
        <w:divId w:val="1722485284"/>
        <w:rPr>
          <w:sz w:val="20"/>
          <w:szCs w:val="20"/>
        </w:rPr>
      </w:pPr>
      <w:r>
        <w:rPr>
          <w:sz w:val="10"/>
          <w:szCs w:val="10"/>
        </w:rPr>
        <w:t>​</w:t>
      </w:r>
    </w:p>
    <w:p w:rsidR="00000000" w:rsidRDefault="00E52F77">
      <w:pPr>
        <w:pStyle w:val="a3"/>
        <w:spacing w:before="0" w:beforeAutospacing="0" w:after="0" w:afterAutospacing="0"/>
        <w:ind w:firstLine="490"/>
        <w:divId w:val="1722485284"/>
        <w:rPr>
          <w:sz w:val="18"/>
          <w:szCs w:val="18"/>
        </w:rPr>
      </w:pPr>
      <w:r>
        <w:rPr>
          <w:sz w:val="18"/>
          <w:szCs w:val="18"/>
        </w:rPr>
        <w:t>As of July 30, 2021, the number of the registrant’s outstanding ordinary shares was 73,470,151</w:t>
      </w:r>
      <w:r>
        <w:rPr>
          <w:sz w:val="20"/>
          <w:szCs w:val="20"/>
        </w:rPr>
        <w:t>.</w:t>
      </w:r>
    </w:p>
    <w:p w:rsidR="00000000" w:rsidRDefault="00E52F77">
      <w:pPr>
        <w:pStyle w:val="a3"/>
        <w:pBdr>
          <w:top w:val="single" w:sz="8" w:space="1" w:color="000000"/>
          <w:bottom w:val="single" w:sz="24" w:space="1" w:color="000000"/>
        </w:pBdr>
        <w:spacing w:before="0" w:beforeAutospacing="0" w:after="0" w:afterAutospacing="0"/>
        <w:divId w:val="1722485284"/>
        <w:rPr>
          <w:sz w:val="20"/>
          <w:szCs w:val="20"/>
        </w:rPr>
      </w:pPr>
      <w:r>
        <w:rPr>
          <w:sz w:val="2"/>
          <w:szCs w:val="2"/>
        </w:rPr>
        <w:t>​</w:t>
      </w:r>
    </w:p>
    <w:p w:rsidR="00000000" w:rsidRDefault="00E52F77">
      <w:pPr>
        <w:pStyle w:val="a3"/>
        <w:spacing w:before="0" w:beforeAutospacing="0" w:after="0" w:afterAutospacing="0" w:line="0" w:lineRule="atLeast"/>
        <w:jc w:val="center"/>
        <w:divId w:val="1722485284"/>
        <w:rPr>
          <w:vanish/>
        </w:rPr>
      </w:pPr>
      <w:r>
        <w:rPr>
          <w:vanish/>
          <w:sz w:val="2"/>
          <w:szCs w:val="2"/>
        </w:rPr>
        <w:t>​</w:t>
      </w:r>
    </w:p>
    <w:p w:rsidR="00000000" w:rsidRDefault="00E52F77">
      <w:pPr>
        <w:pStyle w:val="a3"/>
        <w:spacing w:before="0" w:beforeAutospacing="0" w:after="600" w:afterAutospacing="0"/>
        <w:divId w:val="248731504"/>
        <w:rPr>
          <w:sz w:val="20"/>
          <w:szCs w:val="20"/>
        </w:rPr>
      </w:pPr>
      <w:hyperlink w:anchor="TOC" w:history="1">
        <w:r>
          <w:rPr>
            <w:rStyle w:val="a4"/>
            <w:sz w:val="20"/>
            <w:szCs w:val="20"/>
          </w:rPr>
          <w:t>Table of Contents</w:t>
        </w:r>
      </w:hyperlink>
    </w:p>
    <w:p w:rsidR="00000000" w:rsidRDefault="00E52F77">
      <w:pPr>
        <w:pStyle w:val="a3"/>
        <w:spacing w:before="0" w:beforeAutospacing="0" w:after="0" w:afterAutospacing="0"/>
        <w:jc w:val="center"/>
        <w:divId w:val="1385446802"/>
        <w:rPr>
          <w:sz w:val="20"/>
          <w:szCs w:val="20"/>
        </w:rPr>
      </w:pPr>
      <w:r>
        <w:rPr>
          <w:b/>
          <w:bCs/>
          <w:sz w:val="20"/>
          <w:szCs w:val="20"/>
        </w:rPr>
        <w:t>THERAVANCE BIOPHARMA, INC.</w:t>
      </w:r>
    </w:p>
    <w:p w:rsidR="00000000" w:rsidRDefault="00E52F77">
      <w:pPr>
        <w:pStyle w:val="a3"/>
        <w:spacing w:before="0" w:beforeAutospacing="0" w:after="0" w:afterAutospacing="0"/>
        <w:jc w:val="center"/>
        <w:divId w:val="1385446802"/>
        <w:rPr>
          <w:sz w:val="20"/>
          <w:szCs w:val="20"/>
        </w:rPr>
      </w:pPr>
      <w:r>
        <w:rPr>
          <w:b/>
          <w:bCs/>
          <w:sz w:val="20"/>
          <w:szCs w:val="20"/>
        </w:rPr>
        <w:t>TABLE OF CONTENTS</w:t>
      </w:r>
    </w:p>
    <w:p w:rsidR="00000000" w:rsidRDefault="00E52F77">
      <w:pPr>
        <w:pStyle w:val="a3"/>
        <w:spacing w:before="0" w:beforeAutospacing="0" w:after="0" w:afterAutospacing="0"/>
        <w:divId w:val="138544680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7701"/>
        <w:gridCol w:w="605"/>
      </w:tblGrid>
      <w:tr w:rsidR="00000000">
        <w:trPr>
          <w:divId w:val="1385446802"/>
          <w:trHeight w:val="20"/>
        </w:trPr>
        <w:tc>
          <w:tcPr>
            <w:tcW w:w="4687" w:type="pct"/>
            <w:tcMar>
              <w:top w:w="0" w:type="dxa"/>
              <w:left w:w="0" w:type="dxa"/>
              <w:bottom w:w="0" w:type="dxa"/>
              <w:right w:w="0" w:type="dxa"/>
            </w:tcMar>
            <w:vAlign w:val="bottom"/>
            <w:hideMark/>
          </w:tcPr>
          <w:p w:rsidR="00000000" w:rsidRDefault="00E52F77">
            <w:pPr>
              <w:pStyle w:val="a3"/>
              <w:spacing w:before="0" w:beforeAutospacing="0" w:after="0" w:afterAutospacing="0"/>
              <w:divId w:val="2098744171"/>
              <w:rPr>
                <w:sz w:val="20"/>
                <w:szCs w:val="20"/>
              </w:rPr>
            </w:pPr>
            <w:r>
              <w:rPr>
                <w:sz w:val="2"/>
                <w:szCs w:val="2"/>
              </w:rPr>
              <w:t>​</w:t>
            </w:r>
          </w:p>
        </w:tc>
        <w:tc>
          <w:tcPr>
            <w:tcW w:w="312" w:type="pct"/>
            <w:tcMar>
              <w:top w:w="0" w:type="dxa"/>
              <w:left w:w="0" w:type="dxa"/>
              <w:bottom w:w="0" w:type="dxa"/>
              <w:right w:w="0" w:type="dxa"/>
            </w:tcMar>
            <w:vAlign w:val="bottom"/>
            <w:hideMark/>
          </w:tcPr>
          <w:p w:rsidR="00000000" w:rsidRDefault="00E52F77">
            <w:pPr>
              <w:pStyle w:val="a3"/>
              <w:spacing w:before="0" w:beforeAutospacing="0" w:after="0" w:afterAutospacing="0"/>
              <w:divId w:val="756169495"/>
              <w:rPr>
                <w:sz w:val="20"/>
                <w:szCs w:val="20"/>
              </w:rPr>
            </w:pPr>
            <w:r>
              <w:rPr>
                <w:sz w:val="2"/>
                <w:szCs w:val="2"/>
              </w:rPr>
              <w:t>​</w:t>
            </w:r>
          </w:p>
        </w:tc>
      </w:tr>
      <w:tr w:rsidR="00000000">
        <w:trPr>
          <w:divId w:val="1385446802"/>
        </w:trPr>
        <w:tc>
          <w:tcPr>
            <w:tcW w:w="468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rFonts w:ascii="Times New Roman Bold" w:hAnsi="Times New Roman Bold"/>
                <w:sz w:val="16"/>
                <w:szCs w:val="16"/>
              </w:rPr>
              <w:t>​</w:t>
            </w:r>
          </w:p>
        </w:tc>
        <w:tc>
          <w:tcPr>
            <w:tcW w:w="312" w:type="pct"/>
            <w:tcBorders>
              <w:bottom w:val="single" w:sz="6" w:space="0" w:color="000000"/>
            </w:tcBorders>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Page No.</w:t>
            </w:r>
          </w:p>
        </w:tc>
      </w:tr>
      <w:tr w:rsidR="00000000">
        <w:trPr>
          <w:divId w:val="1385446802"/>
        </w:trPr>
        <w:tc>
          <w:tcPr>
            <w:tcW w:w="468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hyperlink w:anchor="PARTIFINANCIALINFORMATION_279812" w:history="1">
              <w:r>
                <w:rPr>
                  <w:rStyle w:val="a4"/>
                  <w:b/>
                  <w:bCs/>
                  <w:sz w:val="20"/>
                  <w:szCs w:val="20"/>
                </w:rPr>
                <w:t>PART I. FINANCIAL INFORMATION</w:t>
              </w:r>
            </w:hyperlink>
          </w:p>
        </w:tc>
        <w:tc>
          <w:tcPr>
            <w:tcW w:w="312" w:type="pct"/>
            <w:tcBorders>
              <w:top w:val="single" w:sz="6" w:space="0" w:color="000000"/>
            </w:tcBorders>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w:t>
            </w:r>
          </w:p>
        </w:tc>
      </w:tr>
      <w:tr w:rsidR="00000000">
        <w:trPr>
          <w:divId w:val="1385446802"/>
        </w:trPr>
        <w:tc>
          <w:tcPr>
            <w:tcW w:w="468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hyperlink w:anchor="ITEM1FINANCIALSTATEMENTS_368827" w:history="1">
              <w:r>
                <w:rPr>
                  <w:rStyle w:val="a4"/>
                  <w:sz w:val="20"/>
                  <w:szCs w:val="20"/>
                </w:rPr>
                <w:t>Item 1. Financial Statements</w:t>
              </w:r>
            </w:hyperlink>
          </w:p>
        </w:tc>
        <w:tc>
          <w:tcPr>
            <w:tcW w:w="312" w:type="pct"/>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w:t>
            </w:r>
          </w:p>
        </w:tc>
      </w:tr>
      <w:tr w:rsidR="00000000">
        <w:trPr>
          <w:divId w:val="1385446802"/>
        </w:trPr>
        <w:tc>
          <w:tcPr>
            <w:tcW w:w="4687"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left="144"/>
              <w:rPr>
                <w:sz w:val="20"/>
                <w:szCs w:val="20"/>
              </w:rPr>
            </w:pPr>
            <w:hyperlink w:anchor="CONSOLIDATEDBALANCESHEETS_45369" w:history="1">
              <w:r>
                <w:rPr>
                  <w:rStyle w:val="a4"/>
                  <w:sz w:val="20"/>
                  <w:szCs w:val="20"/>
                </w:rPr>
                <w:t>Condensed Consolidated Balan</w:t>
              </w:r>
              <w:r>
                <w:rPr>
                  <w:rStyle w:val="a4"/>
                  <w:sz w:val="20"/>
                  <w:szCs w:val="20"/>
                </w:rPr>
                <w:t>ce Sheets as of June 30, 2021 and December 31, 2020 (unaudited)</w:t>
              </w:r>
            </w:hyperlink>
          </w:p>
        </w:tc>
        <w:tc>
          <w:tcPr>
            <w:tcW w:w="312"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3</w:t>
            </w:r>
          </w:p>
        </w:tc>
      </w:tr>
      <w:tr w:rsidR="00000000">
        <w:trPr>
          <w:divId w:val="1385446802"/>
        </w:trPr>
        <w:tc>
          <w:tcPr>
            <w:tcW w:w="4687" w:type="pct"/>
            <w:tcMar>
              <w:top w:w="0" w:type="dxa"/>
              <w:left w:w="0" w:type="dxa"/>
              <w:bottom w:w="0" w:type="dxa"/>
              <w:right w:w="0" w:type="dxa"/>
            </w:tcMar>
            <w:vAlign w:val="bottom"/>
            <w:hideMark/>
          </w:tcPr>
          <w:p w:rsidR="00000000" w:rsidRDefault="00E52F77">
            <w:pPr>
              <w:pStyle w:val="a3"/>
              <w:spacing w:before="0" w:beforeAutospacing="0" w:after="0" w:afterAutospacing="0"/>
              <w:ind w:left="144" w:hanging="144"/>
              <w:rPr>
                <w:sz w:val="20"/>
                <w:szCs w:val="20"/>
              </w:rPr>
            </w:pPr>
            <w:hyperlink w:anchor="CONSOLIDATEDSTATEMENTSOFOPERATIONS_3228" w:history="1">
              <w:r>
                <w:rPr>
                  <w:rStyle w:val="a4"/>
                  <w:sz w:val="20"/>
                  <w:szCs w:val="20"/>
                </w:rPr>
                <w:t>Condensed Consolidated Statements of Operations and Comprehensive Loss for the three and six months ended June 30, 2021 and 202</w:t>
              </w:r>
              <w:r>
                <w:rPr>
                  <w:rStyle w:val="a4"/>
                  <w:sz w:val="20"/>
                  <w:szCs w:val="20"/>
                </w:rPr>
                <w:t>0 (unaudited)</w:t>
              </w:r>
            </w:hyperlink>
          </w:p>
        </w:tc>
        <w:tc>
          <w:tcPr>
            <w:tcW w:w="312" w:type="pct"/>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4</w:t>
            </w:r>
          </w:p>
        </w:tc>
      </w:tr>
      <w:tr w:rsidR="00000000">
        <w:trPr>
          <w:divId w:val="1385446802"/>
        </w:trPr>
        <w:tc>
          <w:tcPr>
            <w:tcW w:w="4687"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left="144" w:hanging="144"/>
              <w:rPr>
                <w:sz w:val="20"/>
                <w:szCs w:val="20"/>
              </w:rPr>
            </w:pPr>
            <w:hyperlink w:anchor="CONSOLIDATEDSTATEMENTSOFSHAREHOLDERS_32" w:history="1">
              <w:r>
                <w:rPr>
                  <w:rStyle w:val="a4"/>
                  <w:sz w:val="20"/>
                  <w:szCs w:val="20"/>
                </w:rPr>
                <w:t xml:space="preserve">Condensed Consolidated Statements of Shareholders’ </w:t>
              </w:r>
              <w:r>
                <w:rPr>
                  <w:rStyle w:val="a4"/>
                  <w:sz w:val="20"/>
                  <w:szCs w:val="20"/>
                </w:rPr>
                <w:t>Deficit for the three and six months ended June 30, 2021 and 2020 (unaudited)</w:t>
              </w:r>
            </w:hyperlink>
          </w:p>
        </w:tc>
        <w:tc>
          <w:tcPr>
            <w:tcW w:w="312"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5</w:t>
            </w:r>
          </w:p>
        </w:tc>
      </w:tr>
      <w:tr w:rsidR="00000000">
        <w:trPr>
          <w:divId w:val="1385446802"/>
        </w:trPr>
        <w:tc>
          <w:tcPr>
            <w:tcW w:w="4687" w:type="pct"/>
            <w:tcMar>
              <w:top w:w="0" w:type="dxa"/>
              <w:left w:w="0" w:type="dxa"/>
              <w:bottom w:w="0" w:type="dxa"/>
              <w:right w:w="0" w:type="dxa"/>
            </w:tcMar>
            <w:vAlign w:val="bottom"/>
            <w:hideMark/>
          </w:tcPr>
          <w:p w:rsidR="00000000" w:rsidRDefault="00E52F77">
            <w:pPr>
              <w:pStyle w:val="a3"/>
              <w:spacing w:before="0" w:beforeAutospacing="0" w:after="0" w:afterAutospacing="0"/>
              <w:ind w:left="144" w:hanging="144"/>
              <w:rPr>
                <w:sz w:val="20"/>
                <w:szCs w:val="20"/>
              </w:rPr>
            </w:pPr>
            <w:hyperlink w:anchor="CONSOLIDATEDSTATEMENTSOFCASHFLOWS_69820" w:history="1">
              <w:r>
                <w:rPr>
                  <w:rStyle w:val="a4"/>
                  <w:sz w:val="20"/>
                  <w:szCs w:val="20"/>
                </w:rPr>
                <w:t>Condensed Consolidated Statements of Cash Flows for the six months ended June 30, 2021 and 2020 (unaudited)</w:t>
              </w:r>
            </w:hyperlink>
          </w:p>
        </w:tc>
        <w:tc>
          <w:tcPr>
            <w:tcW w:w="312" w:type="pct"/>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6</w:t>
            </w:r>
          </w:p>
        </w:tc>
      </w:tr>
      <w:tr w:rsidR="00000000">
        <w:trPr>
          <w:divId w:val="1385446802"/>
        </w:trPr>
        <w:tc>
          <w:tcPr>
            <w:tcW w:w="4687"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left="144"/>
              <w:rPr>
                <w:sz w:val="20"/>
                <w:szCs w:val="20"/>
              </w:rPr>
            </w:pPr>
            <w:hyperlink w:anchor="NOTESTOCONDENSEDCONSOLIDATEDFINANCIAL_8" w:history="1">
              <w:r>
                <w:rPr>
                  <w:rStyle w:val="a4"/>
                  <w:sz w:val="20"/>
                  <w:szCs w:val="20"/>
                </w:rPr>
                <w:t>Notes to Condensed Consolidated Financial Statements (unaudited)</w:t>
              </w:r>
            </w:hyperlink>
          </w:p>
        </w:tc>
        <w:tc>
          <w:tcPr>
            <w:tcW w:w="312"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7</w:t>
            </w:r>
          </w:p>
        </w:tc>
      </w:tr>
      <w:tr w:rsidR="00000000">
        <w:trPr>
          <w:divId w:val="1385446802"/>
        </w:trPr>
        <w:tc>
          <w:tcPr>
            <w:tcW w:w="468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hyperlink w:anchor="MANAGEMENTSDISCUSSIONANDANALYSIS_237225" w:history="1">
              <w:r>
                <w:rPr>
                  <w:rStyle w:val="a4"/>
                  <w:sz w:val="20"/>
                  <w:szCs w:val="20"/>
                </w:rPr>
                <w:t>Item 2. Management’</w:t>
              </w:r>
              <w:r>
                <w:rPr>
                  <w:rStyle w:val="a4"/>
                  <w:sz w:val="20"/>
                  <w:szCs w:val="20"/>
                </w:rPr>
                <w:t>s Discussion and Analysis of Financial Condition and Results of Operations</w:t>
              </w:r>
            </w:hyperlink>
          </w:p>
        </w:tc>
        <w:tc>
          <w:tcPr>
            <w:tcW w:w="312" w:type="pct"/>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18</w:t>
            </w:r>
          </w:p>
        </w:tc>
      </w:tr>
      <w:tr w:rsidR="00000000">
        <w:trPr>
          <w:divId w:val="1385446802"/>
        </w:trPr>
        <w:tc>
          <w:tcPr>
            <w:tcW w:w="4687"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hyperlink w:anchor="QUANTITATIVEANDQUALITATIVEDISCLOSURES_5" w:history="1">
              <w:r>
                <w:rPr>
                  <w:rStyle w:val="a4"/>
                  <w:sz w:val="20"/>
                  <w:szCs w:val="20"/>
                </w:rPr>
                <w:t>Item 3. Quantitative and Qualitative Disclosures About Market Risk</w:t>
              </w:r>
            </w:hyperlink>
          </w:p>
        </w:tc>
        <w:tc>
          <w:tcPr>
            <w:tcW w:w="312"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34</w:t>
            </w:r>
          </w:p>
        </w:tc>
      </w:tr>
      <w:tr w:rsidR="00000000">
        <w:trPr>
          <w:divId w:val="1385446802"/>
        </w:trPr>
        <w:tc>
          <w:tcPr>
            <w:tcW w:w="468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hyperlink w:anchor="CONTROLSANDPROCEDURES_651619" w:history="1">
              <w:r>
                <w:rPr>
                  <w:rStyle w:val="a4"/>
                  <w:sz w:val="20"/>
                  <w:szCs w:val="20"/>
                </w:rPr>
                <w:t>Item 4. Controls and Procedures</w:t>
              </w:r>
            </w:hyperlink>
          </w:p>
        </w:tc>
        <w:tc>
          <w:tcPr>
            <w:tcW w:w="312" w:type="pct"/>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34</w:t>
            </w:r>
          </w:p>
        </w:tc>
      </w:tr>
      <w:tr w:rsidR="00000000">
        <w:trPr>
          <w:divId w:val="1385446802"/>
        </w:trPr>
        <w:tc>
          <w:tcPr>
            <w:tcW w:w="4687"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312"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w:t>
            </w:r>
          </w:p>
        </w:tc>
      </w:tr>
      <w:tr w:rsidR="00000000">
        <w:trPr>
          <w:divId w:val="1385446802"/>
        </w:trPr>
        <w:tc>
          <w:tcPr>
            <w:tcW w:w="468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hyperlink w:anchor="PARTIIOTHERINFORMATION_797321" w:history="1">
              <w:r>
                <w:rPr>
                  <w:rStyle w:val="a4"/>
                  <w:b/>
                  <w:bCs/>
                  <w:sz w:val="20"/>
                  <w:szCs w:val="20"/>
                </w:rPr>
                <w:t>PART II. OTHER INFORMATION</w:t>
              </w:r>
            </w:hyperlink>
          </w:p>
        </w:tc>
        <w:tc>
          <w:tcPr>
            <w:tcW w:w="312" w:type="pct"/>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w:t>
            </w:r>
          </w:p>
        </w:tc>
      </w:tr>
      <w:tr w:rsidR="00000000">
        <w:trPr>
          <w:divId w:val="1385446802"/>
        </w:trPr>
        <w:tc>
          <w:tcPr>
            <w:tcW w:w="4687"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hyperlink w:anchor="ITEM1LEGALPROCEEDINGS_174301" w:history="1">
              <w:r>
                <w:rPr>
                  <w:rStyle w:val="a4"/>
                  <w:sz w:val="20"/>
                  <w:szCs w:val="20"/>
                </w:rPr>
                <w:t>Item 1. Legal Proceedings</w:t>
              </w:r>
            </w:hyperlink>
          </w:p>
        </w:tc>
        <w:tc>
          <w:tcPr>
            <w:tcW w:w="312"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34</w:t>
            </w:r>
          </w:p>
        </w:tc>
      </w:tr>
      <w:tr w:rsidR="00000000">
        <w:trPr>
          <w:divId w:val="1385446802"/>
        </w:trPr>
        <w:tc>
          <w:tcPr>
            <w:tcW w:w="468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hyperlink w:anchor="ITEM1ARISKFACTORS_513956" w:history="1">
              <w:r>
                <w:rPr>
                  <w:rStyle w:val="a4"/>
                  <w:sz w:val="20"/>
                  <w:szCs w:val="20"/>
                </w:rPr>
                <w:t>Item 1A. Risk Factors</w:t>
              </w:r>
            </w:hyperlink>
          </w:p>
        </w:tc>
        <w:tc>
          <w:tcPr>
            <w:tcW w:w="312" w:type="pct"/>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35</w:t>
            </w:r>
          </w:p>
        </w:tc>
      </w:tr>
      <w:tr w:rsidR="00000000">
        <w:trPr>
          <w:divId w:val="1385446802"/>
        </w:trPr>
        <w:tc>
          <w:tcPr>
            <w:tcW w:w="4687"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hyperlink w:anchor="ITEM2UNREGISTEREDSALESOFEQUITYSECURITIE" w:history="1">
              <w:r>
                <w:rPr>
                  <w:rStyle w:val="a4"/>
                  <w:sz w:val="20"/>
                  <w:szCs w:val="20"/>
                </w:rPr>
                <w:t>Item 2. Unregistered Sales of Equity Securities and Use of Proceeds</w:t>
              </w:r>
            </w:hyperlink>
          </w:p>
        </w:tc>
        <w:tc>
          <w:tcPr>
            <w:tcW w:w="312"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71</w:t>
            </w:r>
          </w:p>
        </w:tc>
      </w:tr>
      <w:tr w:rsidR="00000000">
        <w:trPr>
          <w:divId w:val="1385446802"/>
        </w:trPr>
        <w:tc>
          <w:tcPr>
            <w:tcW w:w="468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hyperlink w:anchor="ITEM6EXHIBITS_250977" w:history="1">
              <w:r>
                <w:rPr>
                  <w:rStyle w:val="a4"/>
                  <w:sz w:val="20"/>
                  <w:szCs w:val="20"/>
                </w:rPr>
                <w:t>Item 6. Exhibits</w:t>
              </w:r>
            </w:hyperlink>
          </w:p>
        </w:tc>
        <w:tc>
          <w:tcPr>
            <w:tcW w:w="312" w:type="pct"/>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72</w:t>
            </w:r>
          </w:p>
        </w:tc>
      </w:tr>
      <w:tr w:rsidR="00000000">
        <w:trPr>
          <w:divId w:val="1385446802"/>
        </w:trPr>
        <w:tc>
          <w:tcPr>
            <w:tcW w:w="4687"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hyperlink w:anchor="SIGNATURES_417351" w:history="1">
              <w:r>
                <w:rPr>
                  <w:rStyle w:val="a4"/>
                  <w:sz w:val="20"/>
                  <w:szCs w:val="20"/>
                </w:rPr>
                <w:t>Signatures</w:t>
              </w:r>
            </w:hyperlink>
          </w:p>
        </w:tc>
        <w:tc>
          <w:tcPr>
            <w:tcW w:w="312"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73</w:t>
            </w:r>
          </w:p>
        </w:tc>
      </w:tr>
    </w:tbl>
    <w:p w:rsidR="00000000" w:rsidRDefault="00E52F77">
      <w:pPr>
        <w:pStyle w:val="a3"/>
        <w:spacing w:before="0" w:beforeAutospacing="0" w:after="0" w:afterAutospacing="0"/>
        <w:divId w:val="1385446802"/>
        <w:rPr>
          <w:sz w:val="20"/>
          <w:szCs w:val="20"/>
        </w:rPr>
      </w:pPr>
      <w:r>
        <w:rPr>
          <w:sz w:val="20"/>
          <w:szCs w:val="20"/>
        </w:rPr>
        <w:t>​</w:t>
      </w:r>
    </w:p>
    <w:p w:rsidR="00000000" w:rsidRDefault="00E52F77">
      <w:pPr>
        <w:pStyle w:val="a3"/>
        <w:spacing w:before="0" w:beforeAutospacing="0" w:after="0" w:afterAutospacing="0"/>
        <w:divId w:val="1385446802"/>
        <w:rPr>
          <w:sz w:val="20"/>
          <w:szCs w:val="20"/>
        </w:rPr>
      </w:pPr>
      <w:r>
        <w:rPr>
          <w:sz w:val="20"/>
          <w:szCs w:val="20"/>
        </w:rPr>
        <w:t>​</w:t>
      </w:r>
    </w:p>
    <w:p w:rsidR="00000000" w:rsidRDefault="00E52F77">
      <w:pPr>
        <w:pStyle w:val="a3"/>
        <w:spacing w:before="0" w:beforeAutospacing="0" w:after="0" w:afterAutospacing="0"/>
        <w:divId w:val="1385446802"/>
        <w:rPr>
          <w:sz w:val="20"/>
          <w:szCs w:val="20"/>
        </w:rPr>
      </w:pPr>
      <w:r>
        <w:rPr>
          <w:sz w:val="20"/>
          <w:szCs w:val="20"/>
        </w:rPr>
        <w:t>​</w:t>
      </w:r>
    </w:p>
    <w:p w:rsidR="00000000" w:rsidRDefault="00E52F77">
      <w:pPr>
        <w:pStyle w:val="a3"/>
        <w:spacing w:before="360" w:beforeAutospacing="0" w:after="0" w:afterAutospacing="0"/>
        <w:jc w:val="center"/>
        <w:divId w:val="877820438"/>
        <w:rPr>
          <w:sz w:val="20"/>
          <w:szCs w:val="20"/>
        </w:rPr>
      </w:pPr>
      <w:r>
        <w:rPr>
          <w:sz w:val="20"/>
          <w:szCs w:val="20"/>
        </w:rPr>
        <w:t>2</w:t>
      </w:r>
    </w:p>
    <w:p w:rsidR="00000000" w:rsidRDefault="00E52F77">
      <w:pPr>
        <w:pStyle w:val="a3"/>
        <w:spacing w:before="0" w:beforeAutospacing="0" w:after="600" w:afterAutospacing="0"/>
        <w:divId w:val="2031253393"/>
        <w:rPr>
          <w:sz w:val="20"/>
          <w:szCs w:val="20"/>
        </w:rPr>
      </w:pPr>
      <w:hyperlink w:anchor="TOC" w:history="1">
        <w:r>
          <w:rPr>
            <w:rStyle w:val="a4"/>
            <w:sz w:val="20"/>
            <w:szCs w:val="20"/>
          </w:rPr>
          <w:t>Table of Contents</w:t>
        </w:r>
      </w:hyperlink>
    </w:p>
    <w:p w:rsidR="00000000" w:rsidRDefault="00E52F77">
      <w:pPr>
        <w:pStyle w:val="a3"/>
        <w:spacing w:before="0" w:beforeAutospacing="0" w:after="0" w:afterAutospacing="0"/>
        <w:divId w:val="2125684644"/>
        <w:rPr>
          <w:sz w:val="20"/>
          <w:szCs w:val="20"/>
        </w:rPr>
      </w:pPr>
      <w:r>
        <w:rPr>
          <w:b/>
          <w:bCs/>
          <w:sz w:val="20"/>
          <w:szCs w:val="20"/>
        </w:rPr>
        <w:lastRenderedPageBreak/>
        <w:t>PART I. FINANCIAL INFORMATION</w:t>
      </w:r>
    </w:p>
    <w:p w:rsidR="00000000" w:rsidRDefault="00E52F77">
      <w:pPr>
        <w:pStyle w:val="a3"/>
        <w:spacing w:before="0" w:beforeAutospacing="0" w:after="240" w:afterAutospacing="0"/>
        <w:ind w:hanging="1008"/>
        <w:divId w:val="2125684644"/>
        <w:rPr>
          <w:sz w:val="20"/>
          <w:szCs w:val="20"/>
        </w:rPr>
      </w:pPr>
      <w:r>
        <w:rPr>
          <w:b/>
          <w:bCs/>
          <w:sz w:val="20"/>
          <w:szCs w:val="20"/>
        </w:rPr>
        <w:t>ITEM 1.    FINANCIAL STATEMENTS</w:t>
      </w:r>
    </w:p>
    <w:p w:rsidR="00000000" w:rsidRDefault="00E52F77">
      <w:pPr>
        <w:pStyle w:val="a3"/>
        <w:spacing w:before="0" w:beforeAutospacing="0" w:after="0" w:afterAutospacing="0"/>
        <w:jc w:val="center"/>
        <w:divId w:val="2125684644"/>
        <w:rPr>
          <w:sz w:val="20"/>
          <w:szCs w:val="20"/>
        </w:rPr>
      </w:pPr>
      <w:r>
        <w:rPr>
          <w:b/>
          <w:bCs/>
          <w:sz w:val="20"/>
          <w:szCs w:val="20"/>
        </w:rPr>
        <w:t>THERAVANCE BIOPHARMA, INC.</w:t>
      </w:r>
    </w:p>
    <w:p w:rsidR="00000000" w:rsidRDefault="00E52F77">
      <w:pPr>
        <w:pStyle w:val="a3"/>
        <w:spacing w:before="0" w:beforeAutospacing="0" w:after="0" w:afterAutospacing="0"/>
        <w:jc w:val="center"/>
        <w:divId w:val="2125684644"/>
        <w:rPr>
          <w:sz w:val="20"/>
          <w:szCs w:val="20"/>
        </w:rPr>
      </w:pPr>
      <w:r>
        <w:rPr>
          <w:b/>
          <w:bCs/>
          <w:sz w:val="20"/>
          <w:szCs w:val="20"/>
        </w:rPr>
        <w:t>CONDENSED CONSOLIDATED BALANCE SHEETS</w:t>
      </w:r>
    </w:p>
    <w:p w:rsidR="00000000" w:rsidRDefault="00E52F77">
      <w:pPr>
        <w:pStyle w:val="a3"/>
        <w:spacing w:before="0" w:beforeAutospacing="0" w:after="0" w:afterAutospacing="0"/>
        <w:jc w:val="center"/>
        <w:divId w:val="2125684644"/>
        <w:rPr>
          <w:sz w:val="20"/>
          <w:szCs w:val="20"/>
        </w:rPr>
      </w:pPr>
      <w:r>
        <w:rPr>
          <w:b/>
          <w:bCs/>
          <w:sz w:val="20"/>
          <w:szCs w:val="20"/>
        </w:rPr>
        <w:t>(Unaudited)</w:t>
      </w:r>
    </w:p>
    <w:p w:rsidR="00000000" w:rsidRDefault="00E52F77">
      <w:pPr>
        <w:pStyle w:val="a3"/>
        <w:spacing w:before="0" w:beforeAutospacing="0" w:after="120" w:afterAutospacing="0"/>
        <w:jc w:val="center"/>
        <w:divId w:val="2125684644"/>
        <w:rPr>
          <w:sz w:val="20"/>
          <w:szCs w:val="20"/>
        </w:rPr>
      </w:pPr>
      <w:r>
        <w:rPr>
          <w:b/>
          <w:bCs/>
          <w:sz w:val="20"/>
          <w:szCs w:val="20"/>
        </w:rPr>
        <w:t>(In thousands, except per share data)</w:t>
      </w:r>
    </w:p>
    <w:tbl>
      <w:tblPr>
        <w:tblW w:w="5000" w:type="pct"/>
        <w:tblCellMar>
          <w:top w:w="15" w:type="dxa"/>
          <w:left w:w="0" w:type="dxa"/>
          <w:bottom w:w="15" w:type="dxa"/>
          <w:right w:w="0" w:type="dxa"/>
        </w:tblCellMar>
        <w:tblLook w:val="04A0" w:firstRow="1" w:lastRow="0" w:firstColumn="1" w:lastColumn="0" w:noHBand="0" w:noVBand="1"/>
      </w:tblPr>
      <w:tblGrid>
        <w:gridCol w:w="5817"/>
        <w:gridCol w:w="202"/>
        <w:gridCol w:w="202"/>
        <w:gridCol w:w="840"/>
        <w:gridCol w:w="202"/>
        <w:gridCol w:w="203"/>
        <w:gridCol w:w="840"/>
      </w:tblGrid>
      <w:tr w:rsidR="00000000">
        <w:trPr>
          <w:divId w:val="2125684644"/>
          <w:trHeight w:val="20"/>
        </w:trPr>
        <w:tc>
          <w:tcPr>
            <w:tcW w:w="3503" w:type="pct"/>
            <w:tcMar>
              <w:top w:w="0" w:type="dxa"/>
              <w:left w:w="0" w:type="dxa"/>
              <w:bottom w:w="0" w:type="dxa"/>
              <w:right w:w="0" w:type="dxa"/>
            </w:tcMar>
            <w:hideMark/>
          </w:tcPr>
          <w:p w:rsidR="00000000" w:rsidRDefault="00E52F77">
            <w:pPr>
              <w:pStyle w:val="a3"/>
              <w:spacing w:before="0" w:beforeAutospacing="0" w:after="0" w:afterAutospacing="0"/>
              <w:divId w:val="470635240"/>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419527213"/>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943341588"/>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175344303"/>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54686519"/>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719330713"/>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2010714398"/>
              <w:rPr>
                <w:sz w:val="20"/>
                <w:szCs w:val="20"/>
              </w:rPr>
            </w:pPr>
            <w:r>
              <w:rPr>
                <w:sz w:val="2"/>
                <w:szCs w:val="2"/>
              </w:rPr>
              <w:t>​</w:t>
            </w:r>
          </w:p>
        </w:tc>
      </w:tr>
      <w:tr w:rsidR="00000000">
        <w:trPr>
          <w:divId w:val="2125684644"/>
        </w:trPr>
        <w:tc>
          <w:tcPr>
            <w:tcW w:w="3503"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622"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June 30, </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622"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December 31, </w:t>
            </w:r>
          </w:p>
        </w:tc>
      </w:tr>
      <w:tr w:rsidR="00000000">
        <w:trPr>
          <w:divId w:val="2125684644"/>
        </w:trPr>
        <w:tc>
          <w:tcPr>
            <w:tcW w:w="3503"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622"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2021</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622"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2020</w:t>
            </w:r>
          </w:p>
        </w:tc>
      </w:tr>
      <w:tr w:rsidR="00000000">
        <w:trPr>
          <w:divId w:val="2125684644"/>
        </w:trPr>
        <w:tc>
          <w:tcPr>
            <w:tcW w:w="3503"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rPr>
                <w:sz w:val="18"/>
                <w:szCs w:val="18"/>
              </w:rPr>
            </w:pPr>
            <w:r>
              <w:rPr>
                <w:b/>
                <w:bCs/>
                <w:sz w:val="18"/>
                <w:szCs w:val="18"/>
              </w:rPr>
              <w:t>Assets</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8"/>
                <w:szCs w:val="18"/>
              </w:rPr>
              <w:t>​</w:t>
            </w:r>
          </w:p>
        </w:tc>
      </w:tr>
      <w:tr w:rsidR="00000000">
        <w:trPr>
          <w:divId w:val="2125684644"/>
        </w:trPr>
        <w:tc>
          <w:tcPr>
            <w:tcW w:w="3503" w:type="pct"/>
            <w:tcMar>
              <w:top w:w="0" w:type="dxa"/>
              <w:left w:w="0" w:type="dxa"/>
              <w:bottom w:w="0" w:type="dxa"/>
              <w:right w:w="0" w:type="dxa"/>
            </w:tcMar>
            <w:hideMark/>
          </w:tcPr>
          <w:p w:rsidR="00000000" w:rsidRDefault="00E52F77">
            <w:pPr>
              <w:pStyle w:val="a3"/>
              <w:spacing w:before="0" w:beforeAutospacing="0" w:after="0" w:afterAutospacing="0"/>
              <w:rPr>
                <w:sz w:val="18"/>
                <w:szCs w:val="18"/>
              </w:rPr>
            </w:pPr>
            <w:r>
              <w:rPr>
                <w:sz w:val="18"/>
                <w:szCs w:val="18"/>
              </w:rPr>
              <w:t>Current assets:</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8"/>
                <w:szCs w:val="18"/>
              </w:rPr>
              <w:t>​</w:t>
            </w:r>
          </w:p>
        </w:tc>
      </w:tr>
      <w:tr w:rsidR="00000000">
        <w:trPr>
          <w:divId w:val="2125684644"/>
        </w:trPr>
        <w:tc>
          <w:tcPr>
            <w:tcW w:w="3503"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ind w:left="240"/>
              <w:rPr>
                <w:sz w:val="18"/>
                <w:szCs w:val="18"/>
              </w:rPr>
            </w:pPr>
            <w:r>
              <w:rPr>
                <w:sz w:val="18"/>
                <w:szCs w:val="18"/>
              </w:rPr>
              <w:t xml:space="preserve">Cash and cash equivalents </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204,949</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81,467</w:t>
            </w:r>
          </w:p>
        </w:tc>
      </w:tr>
      <w:tr w:rsidR="00000000">
        <w:trPr>
          <w:divId w:val="2125684644"/>
        </w:trPr>
        <w:tc>
          <w:tcPr>
            <w:tcW w:w="3503" w:type="pct"/>
            <w:tcMar>
              <w:top w:w="0" w:type="dxa"/>
              <w:left w:w="0" w:type="dxa"/>
              <w:bottom w:w="0" w:type="dxa"/>
              <w:right w:w="0" w:type="dxa"/>
            </w:tcMar>
            <w:hideMark/>
          </w:tcPr>
          <w:p w:rsidR="00000000" w:rsidRDefault="00E52F77">
            <w:pPr>
              <w:pStyle w:val="a3"/>
              <w:spacing w:before="0" w:beforeAutospacing="0" w:after="0" w:afterAutospacing="0"/>
              <w:ind w:left="240"/>
              <w:rPr>
                <w:sz w:val="18"/>
                <w:szCs w:val="18"/>
              </w:rPr>
            </w:pPr>
            <w:r>
              <w:rPr>
                <w:sz w:val="18"/>
                <w:szCs w:val="18"/>
              </w:rPr>
              <w:t>Short-term marketable securities</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60,004</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211,474</w:t>
            </w:r>
          </w:p>
        </w:tc>
      </w:tr>
      <w:tr w:rsidR="00000000">
        <w:trPr>
          <w:divId w:val="2125684644"/>
        </w:trPr>
        <w:tc>
          <w:tcPr>
            <w:tcW w:w="3503"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ind w:left="240"/>
              <w:rPr>
                <w:sz w:val="18"/>
                <w:szCs w:val="18"/>
              </w:rPr>
            </w:pPr>
            <w:r>
              <w:rPr>
                <w:sz w:val="18"/>
                <w:szCs w:val="18"/>
              </w:rPr>
              <w:t xml:space="preserve">Receivables from collaborative arrangements </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12,220</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15,868</w:t>
            </w:r>
          </w:p>
        </w:tc>
      </w:tr>
      <w:tr w:rsidR="00000000">
        <w:trPr>
          <w:divId w:val="2125684644"/>
        </w:trPr>
        <w:tc>
          <w:tcPr>
            <w:tcW w:w="3503" w:type="pct"/>
            <w:tcMar>
              <w:top w:w="0" w:type="dxa"/>
              <w:left w:w="0" w:type="dxa"/>
              <w:bottom w:w="0" w:type="dxa"/>
              <w:right w:w="0" w:type="dxa"/>
            </w:tcMar>
            <w:hideMark/>
          </w:tcPr>
          <w:p w:rsidR="00000000" w:rsidRDefault="00E52F77">
            <w:pPr>
              <w:pStyle w:val="a3"/>
              <w:spacing w:before="0" w:beforeAutospacing="0" w:after="0" w:afterAutospacing="0"/>
              <w:ind w:left="240"/>
              <w:rPr>
                <w:sz w:val="18"/>
                <w:szCs w:val="18"/>
              </w:rPr>
            </w:pPr>
            <w:r>
              <w:rPr>
                <w:sz w:val="18"/>
                <w:szCs w:val="18"/>
              </w:rPr>
              <w:t>Amounts due from TRC, LLC</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27,741</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53,799</w:t>
            </w:r>
          </w:p>
        </w:tc>
      </w:tr>
      <w:tr w:rsidR="00000000">
        <w:trPr>
          <w:divId w:val="2125684644"/>
        </w:trPr>
        <w:tc>
          <w:tcPr>
            <w:tcW w:w="3503"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ind w:left="240"/>
              <w:rPr>
                <w:sz w:val="18"/>
                <w:szCs w:val="18"/>
              </w:rPr>
            </w:pPr>
            <w:r>
              <w:rPr>
                <w:sz w:val="18"/>
                <w:szCs w:val="18"/>
              </w:rPr>
              <w:t>Prepaid clinical and development services</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15,913</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20,374</w:t>
            </w:r>
          </w:p>
        </w:tc>
      </w:tr>
      <w:tr w:rsidR="00000000">
        <w:trPr>
          <w:divId w:val="2125684644"/>
        </w:trPr>
        <w:tc>
          <w:tcPr>
            <w:tcW w:w="3503" w:type="pct"/>
            <w:tcMar>
              <w:top w:w="0" w:type="dxa"/>
              <w:left w:w="0" w:type="dxa"/>
              <w:bottom w:w="0" w:type="dxa"/>
              <w:right w:w="0" w:type="dxa"/>
            </w:tcMar>
            <w:hideMark/>
          </w:tcPr>
          <w:p w:rsidR="00000000" w:rsidRDefault="00E52F77">
            <w:pPr>
              <w:pStyle w:val="a3"/>
              <w:spacing w:before="0" w:beforeAutospacing="0" w:after="0" w:afterAutospacing="0"/>
              <w:ind w:left="240"/>
              <w:rPr>
                <w:sz w:val="18"/>
                <w:szCs w:val="18"/>
              </w:rPr>
            </w:pPr>
            <w:r>
              <w:rPr>
                <w:sz w:val="18"/>
                <w:szCs w:val="18"/>
              </w:rPr>
              <w:t>Other prepaid and current assets</w:t>
            </w:r>
            <w:r>
              <w:rPr>
                <w:sz w:val="18"/>
                <w:szCs w:val="18"/>
              </w:rPr>
              <w:t xml:space="preserve"> </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12,353</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10,359</w:t>
            </w:r>
          </w:p>
        </w:tc>
      </w:tr>
      <w:tr w:rsidR="00000000">
        <w:trPr>
          <w:divId w:val="2125684644"/>
        </w:trPr>
        <w:tc>
          <w:tcPr>
            <w:tcW w:w="3503"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ind w:left="360"/>
              <w:rPr>
                <w:sz w:val="18"/>
                <w:szCs w:val="18"/>
              </w:rPr>
            </w:pPr>
            <w:r>
              <w:rPr>
                <w:sz w:val="18"/>
                <w:szCs w:val="18"/>
              </w:rPr>
              <w:t xml:space="preserve">Total current assets </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333,180</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393,341</w:t>
            </w:r>
          </w:p>
        </w:tc>
      </w:tr>
      <w:tr w:rsidR="00000000">
        <w:trPr>
          <w:divId w:val="2125684644"/>
        </w:trPr>
        <w:tc>
          <w:tcPr>
            <w:tcW w:w="3503" w:type="pct"/>
            <w:tcMar>
              <w:top w:w="0" w:type="dxa"/>
              <w:left w:w="0" w:type="dxa"/>
              <w:bottom w:w="0" w:type="dxa"/>
              <w:right w:w="0" w:type="dxa"/>
            </w:tcMar>
            <w:hideMark/>
          </w:tcPr>
          <w:p w:rsidR="00000000" w:rsidRDefault="00E52F77">
            <w:pPr>
              <w:pStyle w:val="a3"/>
              <w:spacing w:before="0" w:beforeAutospacing="0" w:after="0" w:afterAutospacing="0"/>
              <w:rPr>
                <w:sz w:val="18"/>
                <w:szCs w:val="18"/>
              </w:rPr>
            </w:pPr>
            <w:r>
              <w:rPr>
                <w:sz w:val="18"/>
                <w:szCs w:val="18"/>
              </w:rPr>
              <w:t xml:space="preserve">Property and equipment, net </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16,583</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16,422</w:t>
            </w:r>
          </w:p>
        </w:tc>
      </w:tr>
      <w:tr w:rsidR="00000000">
        <w:trPr>
          <w:divId w:val="2125684644"/>
        </w:trPr>
        <w:tc>
          <w:tcPr>
            <w:tcW w:w="3503"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rPr>
                <w:sz w:val="18"/>
                <w:szCs w:val="18"/>
              </w:rPr>
            </w:pPr>
            <w:r>
              <w:rPr>
                <w:sz w:val="18"/>
                <w:szCs w:val="18"/>
              </w:rPr>
              <w:t>Operating lease assets</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41,508</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43,260</w:t>
            </w:r>
          </w:p>
        </w:tc>
      </w:tr>
      <w:tr w:rsidR="00000000">
        <w:trPr>
          <w:divId w:val="2125684644"/>
        </w:trPr>
        <w:tc>
          <w:tcPr>
            <w:tcW w:w="3503" w:type="pct"/>
            <w:tcMar>
              <w:top w:w="0" w:type="dxa"/>
              <w:left w:w="0" w:type="dxa"/>
              <w:bottom w:w="0" w:type="dxa"/>
              <w:right w:w="0" w:type="dxa"/>
            </w:tcMar>
            <w:hideMark/>
          </w:tcPr>
          <w:p w:rsidR="00000000" w:rsidRDefault="00E52F77">
            <w:pPr>
              <w:pStyle w:val="a3"/>
              <w:spacing w:before="0" w:beforeAutospacing="0" w:after="0" w:afterAutospacing="0"/>
              <w:rPr>
                <w:sz w:val="18"/>
                <w:szCs w:val="18"/>
              </w:rPr>
            </w:pPr>
            <w:r>
              <w:rPr>
                <w:sz w:val="18"/>
                <w:szCs w:val="18"/>
              </w:rPr>
              <w:t>Equity in net assets of TRC, LLC</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35,822</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12,750</w:t>
            </w:r>
          </w:p>
        </w:tc>
      </w:tr>
      <w:tr w:rsidR="00000000">
        <w:trPr>
          <w:divId w:val="2125684644"/>
        </w:trPr>
        <w:tc>
          <w:tcPr>
            <w:tcW w:w="3503"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rPr>
                <w:sz w:val="18"/>
                <w:szCs w:val="18"/>
              </w:rPr>
            </w:pPr>
            <w:r>
              <w:rPr>
                <w:sz w:val="18"/>
                <w:szCs w:val="18"/>
              </w:rPr>
              <w:t xml:space="preserve">Restricted cash </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833</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833</w:t>
            </w:r>
          </w:p>
        </w:tc>
      </w:tr>
      <w:tr w:rsidR="00000000">
        <w:trPr>
          <w:divId w:val="2125684644"/>
        </w:trPr>
        <w:tc>
          <w:tcPr>
            <w:tcW w:w="3503" w:type="pct"/>
            <w:tcMar>
              <w:top w:w="0" w:type="dxa"/>
              <w:left w:w="0" w:type="dxa"/>
              <w:bottom w:w="0" w:type="dxa"/>
              <w:right w:w="0" w:type="dxa"/>
            </w:tcMar>
            <w:hideMark/>
          </w:tcPr>
          <w:p w:rsidR="00000000" w:rsidRDefault="00E52F77">
            <w:pPr>
              <w:pStyle w:val="a3"/>
              <w:spacing w:before="0" w:beforeAutospacing="0" w:after="0" w:afterAutospacing="0"/>
              <w:rPr>
                <w:sz w:val="18"/>
                <w:szCs w:val="18"/>
              </w:rPr>
            </w:pPr>
            <w:r>
              <w:rPr>
                <w:sz w:val="18"/>
                <w:szCs w:val="18"/>
              </w:rPr>
              <w:t>Other assets</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1,325</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2,451</w:t>
            </w:r>
          </w:p>
        </w:tc>
      </w:tr>
      <w:tr w:rsidR="00000000">
        <w:trPr>
          <w:divId w:val="2125684644"/>
        </w:trPr>
        <w:tc>
          <w:tcPr>
            <w:tcW w:w="3503"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ind w:left="360"/>
              <w:rPr>
                <w:sz w:val="18"/>
                <w:szCs w:val="18"/>
              </w:rPr>
            </w:pPr>
            <w:r>
              <w:rPr>
                <w:sz w:val="18"/>
                <w:szCs w:val="18"/>
              </w:rPr>
              <w:t xml:space="preserve">Total assets </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429,251</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469,057</w:t>
            </w:r>
          </w:p>
        </w:tc>
      </w:tr>
      <w:tr w:rsidR="00000000">
        <w:trPr>
          <w:divId w:val="2125684644"/>
        </w:trPr>
        <w:tc>
          <w:tcPr>
            <w:tcW w:w="3503" w:type="pct"/>
            <w:tcMar>
              <w:top w:w="0" w:type="dxa"/>
              <w:left w:w="0" w:type="dxa"/>
              <w:bottom w:w="0" w:type="dxa"/>
              <w:right w:w="0" w:type="dxa"/>
            </w:tcMar>
            <w:hideMark/>
          </w:tcPr>
          <w:p w:rsidR="00000000" w:rsidRDefault="00E52F77">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8"/>
                <w:szCs w:val="18"/>
              </w:rPr>
              <w:t>​</w:t>
            </w:r>
          </w:p>
        </w:tc>
      </w:tr>
      <w:tr w:rsidR="00000000">
        <w:trPr>
          <w:divId w:val="2125684644"/>
        </w:trPr>
        <w:tc>
          <w:tcPr>
            <w:tcW w:w="3503"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rPr>
                <w:sz w:val="18"/>
                <w:szCs w:val="18"/>
              </w:rPr>
            </w:pPr>
            <w:r>
              <w:rPr>
                <w:b/>
                <w:bCs/>
                <w:sz w:val="18"/>
                <w:szCs w:val="18"/>
              </w:rPr>
              <w:t>Liabilities and Shareholders' Deficit</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8"/>
                <w:szCs w:val="18"/>
              </w:rPr>
              <w:t>​</w:t>
            </w:r>
          </w:p>
        </w:tc>
      </w:tr>
      <w:tr w:rsidR="00000000">
        <w:trPr>
          <w:divId w:val="2125684644"/>
        </w:trPr>
        <w:tc>
          <w:tcPr>
            <w:tcW w:w="3503" w:type="pct"/>
            <w:tcMar>
              <w:top w:w="0" w:type="dxa"/>
              <w:left w:w="0" w:type="dxa"/>
              <w:bottom w:w="0" w:type="dxa"/>
              <w:right w:w="0" w:type="dxa"/>
            </w:tcMar>
            <w:hideMark/>
          </w:tcPr>
          <w:p w:rsidR="00000000" w:rsidRDefault="00E52F77">
            <w:pPr>
              <w:pStyle w:val="a3"/>
              <w:spacing w:before="0" w:beforeAutospacing="0" w:after="0" w:afterAutospacing="0"/>
              <w:rPr>
                <w:sz w:val="18"/>
                <w:szCs w:val="18"/>
              </w:rPr>
            </w:pPr>
            <w:r>
              <w:rPr>
                <w:sz w:val="18"/>
                <w:szCs w:val="18"/>
              </w:rPr>
              <w:t>Current liabilities:</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8"/>
                <w:szCs w:val="18"/>
              </w:rPr>
              <w:t>​</w:t>
            </w:r>
          </w:p>
        </w:tc>
      </w:tr>
      <w:tr w:rsidR="00000000">
        <w:trPr>
          <w:divId w:val="2125684644"/>
        </w:trPr>
        <w:tc>
          <w:tcPr>
            <w:tcW w:w="3503"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ind w:left="240"/>
              <w:rPr>
                <w:sz w:val="18"/>
                <w:szCs w:val="18"/>
              </w:rPr>
            </w:pPr>
            <w:r>
              <w:rPr>
                <w:sz w:val="18"/>
                <w:szCs w:val="18"/>
              </w:rPr>
              <w:t xml:space="preserve">Accounts payable </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10,702</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6,775</w:t>
            </w:r>
          </w:p>
        </w:tc>
      </w:tr>
      <w:tr w:rsidR="00000000">
        <w:trPr>
          <w:divId w:val="2125684644"/>
        </w:trPr>
        <w:tc>
          <w:tcPr>
            <w:tcW w:w="3503" w:type="pct"/>
            <w:tcMar>
              <w:top w:w="0" w:type="dxa"/>
              <w:left w:w="0" w:type="dxa"/>
              <w:bottom w:w="0" w:type="dxa"/>
              <w:right w:w="0" w:type="dxa"/>
            </w:tcMar>
            <w:hideMark/>
          </w:tcPr>
          <w:p w:rsidR="00000000" w:rsidRDefault="00E52F77">
            <w:pPr>
              <w:pStyle w:val="a3"/>
              <w:spacing w:before="0" w:beforeAutospacing="0" w:after="0" w:afterAutospacing="0"/>
              <w:ind w:left="240"/>
              <w:rPr>
                <w:sz w:val="18"/>
                <w:szCs w:val="18"/>
              </w:rPr>
            </w:pPr>
            <w:r>
              <w:rPr>
                <w:sz w:val="18"/>
                <w:szCs w:val="18"/>
              </w:rPr>
              <w:t xml:space="preserve">Accrued personnel-related expenses </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14,635</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35,238</w:t>
            </w:r>
          </w:p>
        </w:tc>
      </w:tr>
      <w:tr w:rsidR="00000000">
        <w:trPr>
          <w:divId w:val="2125684644"/>
        </w:trPr>
        <w:tc>
          <w:tcPr>
            <w:tcW w:w="3503"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ind w:left="240"/>
              <w:rPr>
                <w:sz w:val="18"/>
                <w:szCs w:val="18"/>
              </w:rPr>
            </w:pPr>
            <w:r>
              <w:rPr>
                <w:sz w:val="18"/>
                <w:szCs w:val="18"/>
              </w:rPr>
              <w:t xml:space="preserve">Accrued clinical and development expenses </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19,457</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28,799</w:t>
            </w:r>
          </w:p>
        </w:tc>
      </w:tr>
      <w:tr w:rsidR="00000000">
        <w:trPr>
          <w:divId w:val="2125684644"/>
        </w:trPr>
        <w:tc>
          <w:tcPr>
            <w:tcW w:w="3503" w:type="pct"/>
            <w:tcMar>
              <w:top w:w="0" w:type="dxa"/>
              <w:left w:w="0" w:type="dxa"/>
              <w:bottom w:w="0" w:type="dxa"/>
              <w:right w:w="0" w:type="dxa"/>
            </w:tcMar>
            <w:hideMark/>
          </w:tcPr>
          <w:p w:rsidR="00000000" w:rsidRDefault="00E52F77">
            <w:pPr>
              <w:pStyle w:val="a3"/>
              <w:spacing w:before="0" w:beforeAutospacing="0" w:after="0" w:afterAutospacing="0"/>
              <w:ind w:left="240"/>
              <w:rPr>
                <w:sz w:val="18"/>
                <w:szCs w:val="18"/>
              </w:rPr>
            </w:pPr>
            <w:r>
              <w:rPr>
                <w:sz w:val="18"/>
                <w:szCs w:val="18"/>
              </w:rPr>
              <w:t>Accrued general and administrative expenses</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3,269</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6,048</w:t>
            </w:r>
          </w:p>
        </w:tc>
      </w:tr>
      <w:tr w:rsidR="00000000">
        <w:trPr>
          <w:divId w:val="2125684644"/>
        </w:trPr>
        <w:tc>
          <w:tcPr>
            <w:tcW w:w="3503"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ind w:left="240"/>
              <w:rPr>
                <w:sz w:val="18"/>
                <w:szCs w:val="18"/>
              </w:rPr>
            </w:pPr>
            <w:r>
              <w:rPr>
                <w:sz w:val="18"/>
                <w:szCs w:val="18"/>
              </w:rPr>
              <w:t>Accrued interest payable</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3,900</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3,974</w:t>
            </w:r>
          </w:p>
        </w:tc>
      </w:tr>
      <w:tr w:rsidR="00000000">
        <w:trPr>
          <w:divId w:val="2125684644"/>
        </w:trPr>
        <w:tc>
          <w:tcPr>
            <w:tcW w:w="3503" w:type="pct"/>
            <w:tcMar>
              <w:top w:w="0" w:type="dxa"/>
              <w:left w:w="0" w:type="dxa"/>
              <w:bottom w:w="0" w:type="dxa"/>
              <w:right w:w="0" w:type="dxa"/>
            </w:tcMar>
            <w:hideMark/>
          </w:tcPr>
          <w:p w:rsidR="00000000" w:rsidRDefault="00E52F77">
            <w:pPr>
              <w:pStyle w:val="a3"/>
              <w:spacing w:before="0" w:beforeAutospacing="0" w:after="0" w:afterAutospacing="0"/>
              <w:ind w:left="240"/>
              <w:rPr>
                <w:sz w:val="18"/>
                <w:szCs w:val="18"/>
              </w:rPr>
            </w:pPr>
            <w:r>
              <w:rPr>
                <w:sz w:val="18"/>
                <w:szCs w:val="18"/>
              </w:rPr>
              <w:t>Current portion of non-recourse notes due 2035, net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6,941</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19,334</w:t>
            </w:r>
          </w:p>
        </w:tc>
      </w:tr>
      <w:tr w:rsidR="00000000">
        <w:trPr>
          <w:divId w:val="2125684644"/>
        </w:trPr>
        <w:tc>
          <w:tcPr>
            <w:tcW w:w="3503"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ind w:left="240"/>
              <w:rPr>
                <w:sz w:val="18"/>
                <w:szCs w:val="18"/>
              </w:rPr>
            </w:pPr>
            <w:r>
              <w:rPr>
                <w:sz w:val="18"/>
                <w:szCs w:val="18"/>
              </w:rPr>
              <w:t>Operating lease liabilities</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1,037</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9,867</w:t>
            </w:r>
          </w:p>
        </w:tc>
      </w:tr>
      <w:tr w:rsidR="00000000">
        <w:trPr>
          <w:divId w:val="2125684644"/>
        </w:trPr>
        <w:tc>
          <w:tcPr>
            <w:tcW w:w="3503" w:type="pct"/>
            <w:tcMar>
              <w:top w:w="0" w:type="dxa"/>
              <w:left w:w="0" w:type="dxa"/>
              <w:bottom w:w="0" w:type="dxa"/>
              <w:right w:w="0" w:type="dxa"/>
            </w:tcMar>
            <w:hideMark/>
          </w:tcPr>
          <w:p w:rsidR="00000000" w:rsidRDefault="00E52F77">
            <w:pPr>
              <w:pStyle w:val="a3"/>
              <w:spacing w:before="0" w:beforeAutospacing="0" w:after="0" w:afterAutospacing="0"/>
              <w:ind w:left="240"/>
              <w:rPr>
                <w:sz w:val="18"/>
                <w:szCs w:val="18"/>
              </w:rPr>
            </w:pPr>
            <w:r>
              <w:rPr>
                <w:sz w:val="18"/>
                <w:szCs w:val="18"/>
              </w:rPr>
              <w:t>Deferred revenue</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5,690</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11,523</w:t>
            </w:r>
          </w:p>
        </w:tc>
      </w:tr>
      <w:tr w:rsidR="00000000">
        <w:trPr>
          <w:divId w:val="2125684644"/>
        </w:trPr>
        <w:tc>
          <w:tcPr>
            <w:tcW w:w="3503"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ind w:left="240"/>
              <w:rPr>
                <w:sz w:val="18"/>
                <w:szCs w:val="18"/>
              </w:rPr>
            </w:pPr>
            <w:r>
              <w:rPr>
                <w:sz w:val="18"/>
                <w:szCs w:val="18"/>
              </w:rPr>
              <w:t>Other accrued liabilities</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1,496</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2,013</w:t>
            </w:r>
          </w:p>
        </w:tc>
      </w:tr>
      <w:tr w:rsidR="00000000">
        <w:trPr>
          <w:divId w:val="2125684644"/>
        </w:trPr>
        <w:tc>
          <w:tcPr>
            <w:tcW w:w="3503" w:type="pct"/>
            <w:tcMar>
              <w:top w:w="0" w:type="dxa"/>
              <w:left w:w="0" w:type="dxa"/>
              <w:bottom w:w="0" w:type="dxa"/>
              <w:right w:w="0" w:type="dxa"/>
            </w:tcMar>
            <w:hideMark/>
          </w:tcPr>
          <w:p w:rsidR="00000000" w:rsidRDefault="00E52F77">
            <w:pPr>
              <w:pStyle w:val="a3"/>
              <w:spacing w:before="0" w:beforeAutospacing="0" w:after="0" w:afterAutospacing="0"/>
              <w:ind w:left="360"/>
              <w:rPr>
                <w:sz w:val="18"/>
                <w:szCs w:val="18"/>
              </w:rPr>
            </w:pPr>
            <w:r>
              <w:rPr>
                <w:sz w:val="18"/>
                <w:szCs w:val="18"/>
              </w:rPr>
              <w:t xml:space="preserve">Total current liabilities </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67,127</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123,571</w:t>
            </w:r>
          </w:p>
        </w:tc>
      </w:tr>
      <w:tr w:rsidR="00000000">
        <w:trPr>
          <w:divId w:val="2125684644"/>
        </w:trPr>
        <w:tc>
          <w:tcPr>
            <w:tcW w:w="3503"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rPr>
                <w:sz w:val="18"/>
                <w:szCs w:val="18"/>
              </w:rPr>
            </w:pPr>
            <w:r>
              <w:rPr>
                <w:sz w:val="18"/>
                <w:szCs w:val="18"/>
              </w:rPr>
              <w:t>Convertible senior notes due 2023, net</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227,499</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226,963</w:t>
            </w:r>
          </w:p>
        </w:tc>
      </w:tr>
      <w:tr w:rsidR="00000000">
        <w:trPr>
          <w:divId w:val="2125684644"/>
        </w:trPr>
        <w:tc>
          <w:tcPr>
            <w:tcW w:w="3503" w:type="pct"/>
            <w:tcMar>
              <w:top w:w="0" w:type="dxa"/>
              <w:left w:w="0" w:type="dxa"/>
              <w:bottom w:w="0" w:type="dxa"/>
              <w:right w:w="0" w:type="dxa"/>
            </w:tcMar>
            <w:vAlign w:val="bottom"/>
            <w:hideMark/>
          </w:tcPr>
          <w:p w:rsidR="00000000" w:rsidRDefault="00E52F77">
            <w:pPr>
              <w:pStyle w:val="a3"/>
              <w:spacing w:before="0" w:beforeAutospacing="0" w:after="0" w:afterAutospacing="0"/>
              <w:rPr>
                <w:sz w:val="18"/>
                <w:szCs w:val="18"/>
              </w:rPr>
            </w:pPr>
            <w:r>
              <w:rPr>
                <w:sz w:val="18"/>
                <w:szCs w:val="18"/>
              </w:rPr>
              <w:t>Non-recourse notes due 2035, net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375,069</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372,873</w:t>
            </w:r>
          </w:p>
        </w:tc>
      </w:tr>
      <w:tr w:rsidR="00000000">
        <w:trPr>
          <w:divId w:val="2125684644"/>
        </w:trPr>
        <w:tc>
          <w:tcPr>
            <w:tcW w:w="3503"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rPr>
                <w:sz w:val="18"/>
                <w:szCs w:val="18"/>
              </w:rPr>
            </w:pPr>
            <w:r>
              <w:rPr>
                <w:sz w:val="18"/>
                <w:szCs w:val="18"/>
              </w:rPr>
              <w:t>Long-term operating lease liabilities</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57,768</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47,220</w:t>
            </w:r>
          </w:p>
        </w:tc>
      </w:tr>
      <w:tr w:rsidR="00000000">
        <w:trPr>
          <w:divId w:val="2125684644"/>
        </w:trPr>
        <w:tc>
          <w:tcPr>
            <w:tcW w:w="3503" w:type="pct"/>
            <w:tcMar>
              <w:top w:w="0" w:type="dxa"/>
              <w:left w:w="0" w:type="dxa"/>
              <w:bottom w:w="0" w:type="dxa"/>
              <w:right w:w="0" w:type="dxa"/>
            </w:tcMar>
            <w:hideMark/>
          </w:tcPr>
          <w:p w:rsidR="00000000" w:rsidRDefault="00E52F77">
            <w:pPr>
              <w:pStyle w:val="a3"/>
              <w:spacing w:before="0" w:beforeAutospacing="0" w:after="0" w:afterAutospacing="0"/>
              <w:rPr>
                <w:sz w:val="18"/>
                <w:szCs w:val="18"/>
              </w:rPr>
            </w:pPr>
            <w:r>
              <w:rPr>
                <w:sz w:val="18"/>
                <w:szCs w:val="18"/>
              </w:rPr>
              <w:t>Long-term deferred revenue</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329</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348</w:t>
            </w:r>
          </w:p>
        </w:tc>
      </w:tr>
      <w:tr w:rsidR="00000000">
        <w:trPr>
          <w:divId w:val="2125684644"/>
        </w:trPr>
        <w:tc>
          <w:tcPr>
            <w:tcW w:w="3503"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rPr>
                <w:sz w:val="18"/>
                <w:szCs w:val="18"/>
              </w:rPr>
            </w:pPr>
            <w:r>
              <w:rPr>
                <w:sz w:val="18"/>
                <w:szCs w:val="18"/>
              </w:rPr>
              <w:t>Other long-term liabilities</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1,833</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1,833</w:t>
            </w:r>
          </w:p>
        </w:tc>
      </w:tr>
      <w:tr w:rsidR="00000000">
        <w:trPr>
          <w:divId w:val="2125684644"/>
        </w:trPr>
        <w:tc>
          <w:tcPr>
            <w:tcW w:w="3503" w:type="pct"/>
            <w:tcMar>
              <w:top w:w="0" w:type="dxa"/>
              <w:left w:w="0" w:type="dxa"/>
              <w:bottom w:w="0" w:type="dxa"/>
              <w:right w:w="0" w:type="dxa"/>
            </w:tcMar>
            <w:hideMark/>
          </w:tcPr>
          <w:p w:rsidR="00000000" w:rsidRDefault="00E52F77">
            <w:pPr>
              <w:pStyle w:val="a3"/>
              <w:spacing w:before="0" w:beforeAutospacing="0" w:after="0" w:afterAutospacing="0"/>
              <w:rPr>
                <w:sz w:val="18"/>
                <w:szCs w:val="18"/>
              </w:rPr>
            </w:pPr>
            <w:r>
              <w:rPr>
                <w:sz w:val="18"/>
                <w:szCs w:val="18"/>
              </w:rPr>
              <w:t>Commitments and contingencies</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8"/>
                <w:szCs w:val="18"/>
              </w:rPr>
              <w:t>​</w:t>
            </w:r>
          </w:p>
        </w:tc>
      </w:tr>
      <w:tr w:rsidR="00000000">
        <w:trPr>
          <w:divId w:val="2125684644"/>
        </w:trPr>
        <w:tc>
          <w:tcPr>
            <w:tcW w:w="3503"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8"/>
                <w:szCs w:val="18"/>
              </w:rPr>
              <w:t>​</w:t>
            </w:r>
          </w:p>
        </w:tc>
      </w:tr>
      <w:tr w:rsidR="00000000">
        <w:trPr>
          <w:divId w:val="2125684644"/>
        </w:trPr>
        <w:tc>
          <w:tcPr>
            <w:tcW w:w="3503" w:type="pct"/>
            <w:tcMar>
              <w:top w:w="0" w:type="dxa"/>
              <w:left w:w="0" w:type="dxa"/>
              <w:bottom w:w="0" w:type="dxa"/>
              <w:right w:w="0" w:type="dxa"/>
            </w:tcMar>
            <w:hideMark/>
          </w:tcPr>
          <w:p w:rsidR="00000000" w:rsidRDefault="00E52F77">
            <w:pPr>
              <w:pStyle w:val="a3"/>
              <w:spacing w:before="0" w:beforeAutospacing="0" w:after="0" w:afterAutospacing="0"/>
              <w:rPr>
                <w:sz w:val="18"/>
                <w:szCs w:val="18"/>
              </w:rPr>
            </w:pPr>
            <w:r>
              <w:rPr>
                <w:b/>
                <w:bCs/>
                <w:sz w:val="18"/>
                <w:szCs w:val="18"/>
              </w:rPr>
              <w:t>Shareholders’ Deficit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8"/>
                <w:szCs w:val="18"/>
              </w:rPr>
              <w:t>​</w:t>
            </w:r>
          </w:p>
        </w:tc>
      </w:tr>
      <w:tr w:rsidR="00000000">
        <w:trPr>
          <w:divId w:val="2125684644"/>
        </w:trPr>
        <w:tc>
          <w:tcPr>
            <w:tcW w:w="3503"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rPr>
                <w:sz w:val="18"/>
                <w:szCs w:val="18"/>
              </w:rPr>
            </w:pPr>
            <w:r>
              <w:rPr>
                <w:sz w:val="18"/>
                <w:szCs w:val="18"/>
              </w:rPr>
              <w:t xml:space="preserve">Preferred shares, $0.00001 par value: 230 </w:t>
            </w:r>
            <w:r>
              <w:rPr>
                <w:sz w:val="18"/>
                <w:szCs w:val="18"/>
              </w:rPr>
              <w:t>shares authorized, no shares issued or outstanding</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18"/>
                <w:szCs w:val="18"/>
              </w:rPr>
              <w:t>—</w:t>
            </w:r>
          </w:p>
        </w:tc>
      </w:tr>
      <w:tr w:rsidR="00000000">
        <w:trPr>
          <w:divId w:val="2125684644"/>
        </w:trPr>
        <w:tc>
          <w:tcPr>
            <w:tcW w:w="3503" w:type="pct"/>
            <w:tcMar>
              <w:top w:w="0" w:type="dxa"/>
              <w:left w:w="0" w:type="dxa"/>
              <w:bottom w:w="0" w:type="dxa"/>
              <w:right w:w="0" w:type="dxa"/>
            </w:tcMar>
            <w:hideMark/>
          </w:tcPr>
          <w:p w:rsidR="00000000" w:rsidRDefault="00E52F77">
            <w:pPr>
              <w:pStyle w:val="a3"/>
              <w:spacing w:before="0" w:beforeAutospacing="0" w:after="0" w:afterAutospacing="0"/>
              <w:ind w:hanging="180"/>
              <w:rPr>
                <w:sz w:val="20"/>
                <w:szCs w:val="20"/>
              </w:rPr>
            </w:pPr>
            <w:r>
              <w:rPr>
                <w:sz w:val="18"/>
                <w:szCs w:val="18"/>
              </w:rPr>
              <w:t>Ordinary shares, $0.00001 par value: 200,000 shares authorized; 73,470 and 64,328 shares</w:t>
            </w:r>
            <w:r>
              <w:rPr>
                <w:sz w:val="18"/>
                <w:szCs w:val="18"/>
              </w:rPr>
              <w:t xml:space="preserve"> </w:t>
            </w:r>
            <w:r>
              <w:rPr>
                <w:sz w:val="18"/>
                <w:szCs w:val="18"/>
              </w:rPr>
              <w:t>issue</w:t>
            </w:r>
            <w:r>
              <w:rPr>
                <w:sz w:val="18"/>
                <w:szCs w:val="18"/>
              </w:rPr>
              <w:t>d</w:t>
            </w:r>
            <w:r>
              <w:rPr>
                <w:sz w:val="18"/>
                <w:szCs w:val="18"/>
              </w:rPr>
              <w:t xml:space="preserve"> and</w:t>
            </w:r>
            <w:r>
              <w:rPr>
                <w:sz w:val="18"/>
                <w:szCs w:val="18"/>
              </w:rPr>
              <w:t xml:space="preserve"> </w:t>
            </w:r>
            <w:r>
              <w:rPr>
                <w:sz w:val="18"/>
                <w:szCs w:val="18"/>
              </w:rPr>
              <w:t>outstandin</w:t>
            </w:r>
            <w:r>
              <w:rPr>
                <w:sz w:val="18"/>
                <w:szCs w:val="18"/>
              </w:rPr>
              <w:t>g</w:t>
            </w:r>
            <w:r>
              <w:rPr>
                <w:sz w:val="18"/>
                <w:szCs w:val="18"/>
              </w:rPr>
              <w:t xml:space="preserve"> at June </w:t>
            </w:r>
            <w:r>
              <w:rPr>
                <w:sz w:val="18"/>
                <w:szCs w:val="18"/>
              </w:rPr>
              <w:t>30, 2021 and December 31, 2020, respectively</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1</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1</w:t>
            </w:r>
          </w:p>
        </w:tc>
      </w:tr>
      <w:tr w:rsidR="00000000">
        <w:trPr>
          <w:divId w:val="2125684644"/>
        </w:trPr>
        <w:tc>
          <w:tcPr>
            <w:tcW w:w="3503"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rPr>
                <w:sz w:val="18"/>
                <w:szCs w:val="18"/>
              </w:rPr>
            </w:pPr>
            <w:r>
              <w:rPr>
                <w:sz w:val="18"/>
                <w:szCs w:val="18"/>
              </w:rPr>
              <w:t>Additional paid-in capital</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1,358,318</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1,222,818</w:t>
            </w:r>
          </w:p>
        </w:tc>
      </w:tr>
      <w:tr w:rsidR="00000000">
        <w:trPr>
          <w:divId w:val="2125684644"/>
        </w:trPr>
        <w:tc>
          <w:tcPr>
            <w:tcW w:w="3503" w:type="pct"/>
            <w:tcMar>
              <w:top w:w="0" w:type="dxa"/>
              <w:left w:w="0" w:type="dxa"/>
              <w:bottom w:w="0" w:type="dxa"/>
              <w:right w:w="0" w:type="dxa"/>
            </w:tcMar>
            <w:hideMark/>
          </w:tcPr>
          <w:p w:rsidR="00000000" w:rsidRDefault="00E52F77">
            <w:pPr>
              <w:pStyle w:val="a3"/>
              <w:spacing w:before="0" w:beforeAutospacing="0" w:after="0" w:afterAutospacing="0"/>
              <w:rPr>
                <w:sz w:val="18"/>
                <w:szCs w:val="18"/>
              </w:rPr>
            </w:pPr>
            <w:r>
              <w:rPr>
                <w:sz w:val="18"/>
                <w:szCs w:val="18"/>
              </w:rPr>
              <w:t>Accumulated other comprehensive income</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8</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47</w:t>
            </w:r>
          </w:p>
        </w:tc>
      </w:tr>
      <w:tr w:rsidR="00000000">
        <w:trPr>
          <w:divId w:val="2125684644"/>
        </w:trPr>
        <w:tc>
          <w:tcPr>
            <w:tcW w:w="3503"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rPr>
                <w:sz w:val="18"/>
                <w:szCs w:val="18"/>
              </w:rPr>
            </w:pPr>
            <w:r>
              <w:rPr>
                <w:sz w:val="18"/>
                <w:szCs w:val="18"/>
              </w:rPr>
              <w:t xml:space="preserve">Accumulated deficit </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8"/>
                <w:szCs w:val="18"/>
              </w:rPr>
            </w:pPr>
            <w:r>
              <w:rPr>
                <w:sz w:val="18"/>
                <w:szCs w:val="18"/>
              </w:rPr>
              <w:t>(1,658,701)</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8"/>
                <w:szCs w:val="18"/>
              </w:rPr>
            </w:pPr>
            <w:r>
              <w:rPr>
                <w:sz w:val="18"/>
                <w:szCs w:val="18"/>
              </w:rPr>
              <w:t>(1,526,617)</w:t>
            </w:r>
          </w:p>
        </w:tc>
      </w:tr>
      <w:tr w:rsidR="00000000">
        <w:trPr>
          <w:divId w:val="2125684644"/>
        </w:trPr>
        <w:tc>
          <w:tcPr>
            <w:tcW w:w="3503" w:type="pct"/>
            <w:tcMar>
              <w:top w:w="0" w:type="dxa"/>
              <w:left w:w="0" w:type="dxa"/>
              <w:bottom w:w="0" w:type="dxa"/>
              <w:right w:w="0" w:type="dxa"/>
            </w:tcMar>
            <w:hideMark/>
          </w:tcPr>
          <w:p w:rsidR="00000000" w:rsidRDefault="00E52F77">
            <w:pPr>
              <w:pStyle w:val="a3"/>
              <w:spacing w:before="0" w:beforeAutospacing="0" w:after="0" w:afterAutospacing="0"/>
              <w:ind w:left="360"/>
              <w:rPr>
                <w:sz w:val="18"/>
                <w:szCs w:val="18"/>
              </w:rPr>
            </w:pPr>
            <w:r>
              <w:rPr>
                <w:sz w:val="18"/>
                <w:szCs w:val="18"/>
              </w:rPr>
              <w:t>Total shareholders’ deficit</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8"/>
                <w:szCs w:val="18"/>
              </w:rPr>
            </w:pPr>
            <w:r>
              <w:rPr>
                <w:sz w:val="18"/>
                <w:szCs w:val="18"/>
              </w:rPr>
              <w:t>(300,374)</w:t>
            </w:r>
          </w:p>
        </w:tc>
        <w:tc>
          <w:tcPr>
            <w:tcW w:w="12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8"/>
                <w:szCs w:val="18"/>
              </w:rPr>
            </w:pPr>
            <w:r>
              <w:rPr>
                <w:sz w:val="18"/>
                <w:szCs w:val="18"/>
              </w:rPr>
              <w:t>(303,751)</w:t>
            </w:r>
          </w:p>
        </w:tc>
      </w:tr>
      <w:tr w:rsidR="00000000">
        <w:trPr>
          <w:divId w:val="2125684644"/>
        </w:trPr>
        <w:tc>
          <w:tcPr>
            <w:tcW w:w="3503"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ind w:left="360"/>
              <w:rPr>
                <w:sz w:val="18"/>
                <w:szCs w:val="18"/>
              </w:rPr>
            </w:pPr>
            <w:r>
              <w:rPr>
                <w:sz w:val="18"/>
                <w:szCs w:val="18"/>
              </w:rPr>
              <w:t>Total liabilities and shareholders’ deficit</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429,251</w:t>
            </w:r>
          </w:p>
        </w:tc>
        <w:tc>
          <w:tcPr>
            <w:tcW w:w="1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1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469,057</w:t>
            </w:r>
          </w:p>
        </w:tc>
      </w:tr>
    </w:tbl>
    <w:p w:rsidR="00000000" w:rsidRDefault="00E52F77">
      <w:pPr>
        <w:pStyle w:val="a3"/>
        <w:spacing w:before="240" w:beforeAutospacing="0" w:after="0" w:afterAutospacing="0"/>
        <w:jc w:val="center"/>
        <w:divId w:val="2125684644"/>
        <w:rPr>
          <w:sz w:val="20"/>
          <w:szCs w:val="20"/>
        </w:rPr>
      </w:pPr>
      <w:r>
        <w:rPr>
          <w:i/>
          <w:iCs/>
          <w:sz w:val="20"/>
          <w:szCs w:val="20"/>
        </w:rPr>
        <w:t>See accompanying notes to condensed consolidated financial statements.</w:t>
      </w:r>
    </w:p>
    <w:p w:rsidR="00000000" w:rsidRDefault="00E52F77">
      <w:pPr>
        <w:pStyle w:val="a3"/>
        <w:spacing w:before="360" w:beforeAutospacing="0" w:after="0" w:afterAutospacing="0"/>
        <w:jc w:val="center"/>
        <w:divId w:val="871307184"/>
        <w:rPr>
          <w:sz w:val="20"/>
          <w:szCs w:val="20"/>
        </w:rPr>
      </w:pPr>
      <w:r>
        <w:rPr>
          <w:sz w:val="20"/>
          <w:szCs w:val="20"/>
        </w:rPr>
        <w:lastRenderedPageBreak/>
        <w:t>3</w:t>
      </w:r>
    </w:p>
    <w:p w:rsidR="00000000" w:rsidRDefault="00E52F77">
      <w:pPr>
        <w:pStyle w:val="a3"/>
        <w:spacing w:before="0" w:beforeAutospacing="0" w:after="600" w:afterAutospacing="0"/>
        <w:divId w:val="709843302"/>
        <w:rPr>
          <w:sz w:val="20"/>
          <w:szCs w:val="20"/>
        </w:rPr>
      </w:pPr>
      <w:hyperlink w:anchor="TOC" w:history="1">
        <w:r>
          <w:rPr>
            <w:rStyle w:val="a4"/>
            <w:sz w:val="20"/>
            <w:szCs w:val="20"/>
          </w:rPr>
          <w:t>Table of Contents</w:t>
        </w:r>
      </w:hyperlink>
    </w:p>
    <w:p w:rsidR="00000000" w:rsidRDefault="00E52F77">
      <w:pPr>
        <w:pStyle w:val="a3"/>
        <w:spacing w:before="0" w:beforeAutospacing="0" w:after="0" w:afterAutospacing="0"/>
        <w:jc w:val="center"/>
        <w:divId w:val="1396006898"/>
        <w:rPr>
          <w:sz w:val="20"/>
          <w:szCs w:val="20"/>
        </w:rPr>
      </w:pPr>
      <w:r>
        <w:rPr>
          <w:b/>
          <w:bCs/>
          <w:sz w:val="20"/>
          <w:szCs w:val="20"/>
        </w:rPr>
        <w:t>THERAVANCE BIOPHARMA, INC.</w:t>
      </w:r>
    </w:p>
    <w:p w:rsidR="00000000" w:rsidRDefault="00E52F77">
      <w:pPr>
        <w:pStyle w:val="a3"/>
        <w:spacing w:before="0" w:beforeAutospacing="0" w:after="0" w:afterAutospacing="0"/>
        <w:jc w:val="center"/>
        <w:divId w:val="1396006898"/>
        <w:rPr>
          <w:sz w:val="20"/>
          <w:szCs w:val="20"/>
        </w:rPr>
      </w:pPr>
      <w:r>
        <w:rPr>
          <w:b/>
          <w:bCs/>
          <w:sz w:val="20"/>
          <w:szCs w:val="20"/>
        </w:rPr>
        <w:t>CONDENSED CONSOLIDATED STATEMENTS OF OPERATIONS AND COMPREHENSIVE LOSS</w:t>
      </w:r>
    </w:p>
    <w:p w:rsidR="00000000" w:rsidRDefault="00E52F77">
      <w:pPr>
        <w:pStyle w:val="a3"/>
        <w:spacing w:before="0" w:beforeAutospacing="0" w:after="0" w:afterAutospacing="0"/>
        <w:jc w:val="center"/>
        <w:divId w:val="1396006898"/>
        <w:rPr>
          <w:sz w:val="20"/>
          <w:szCs w:val="20"/>
        </w:rPr>
      </w:pPr>
      <w:r>
        <w:rPr>
          <w:b/>
          <w:bCs/>
          <w:sz w:val="20"/>
          <w:szCs w:val="20"/>
        </w:rPr>
        <w:t>(Unaudited)</w:t>
      </w:r>
    </w:p>
    <w:p w:rsidR="00000000" w:rsidRDefault="00E52F77">
      <w:pPr>
        <w:pStyle w:val="a3"/>
        <w:spacing w:before="0" w:beforeAutospacing="0" w:after="0" w:afterAutospacing="0"/>
        <w:jc w:val="center"/>
        <w:divId w:val="1396006898"/>
        <w:rPr>
          <w:sz w:val="20"/>
          <w:szCs w:val="20"/>
        </w:rPr>
      </w:pPr>
      <w:r>
        <w:rPr>
          <w:b/>
          <w:bCs/>
          <w:sz w:val="20"/>
          <w:szCs w:val="20"/>
        </w:rPr>
        <w:t>(In thousands, except per share data)</w:t>
      </w:r>
    </w:p>
    <w:p w:rsidR="00000000" w:rsidRDefault="00E52F77">
      <w:pPr>
        <w:pStyle w:val="a3"/>
        <w:spacing w:before="0" w:beforeAutospacing="0" w:after="0" w:afterAutospacing="0"/>
        <w:jc w:val="center"/>
        <w:divId w:val="1396006898"/>
        <w:rPr>
          <w:sz w:val="20"/>
          <w:szCs w:val="20"/>
        </w:rPr>
      </w:pPr>
      <w:r>
        <w:rPr>
          <w:sz w:val="20"/>
          <w:szCs w:val="20"/>
        </w:rPr>
        <w:t>​</w:t>
      </w:r>
    </w:p>
    <w:tbl>
      <w:tblPr>
        <w:tblW w:w="5018" w:type="pct"/>
        <w:tblCellMar>
          <w:top w:w="15" w:type="dxa"/>
          <w:left w:w="0" w:type="dxa"/>
          <w:bottom w:w="15" w:type="dxa"/>
          <w:right w:w="0" w:type="dxa"/>
        </w:tblCellMar>
        <w:tblLook w:val="04A0" w:firstRow="1" w:lastRow="0" w:firstColumn="1" w:lastColumn="0" w:noHBand="0" w:noVBand="1"/>
      </w:tblPr>
      <w:tblGrid>
        <w:gridCol w:w="4491"/>
        <w:gridCol w:w="160"/>
        <w:gridCol w:w="139"/>
        <w:gridCol w:w="618"/>
        <w:gridCol w:w="160"/>
        <w:gridCol w:w="139"/>
        <w:gridCol w:w="621"/>
        <w:gridCol w:w="160"/>
        <w:gridCol w:w="139"/>
        <w:gridCol w:w="705"/>
        <w:gridCol w:w="160"/>
        <w:gridCol w:w="139"/>
        <w:gridCol w:w="705"/>
      </w:tblGrid>
      <w:tr w:rsidR="00000000">
        <w:trPr>
          <w:divId w:val="1396006898"/>
          <w:trHeight w:val="20"/>
        </w:trPr>
        <w:tc>
          <w:tcPr>
            <w:tcW w:w="2705" w:type="pct"/>
            <w:tcMar>
              <w:top w:w="0" w:type="dxa"/>
              <w:left w:w="0" w:type="dxa"/>
              <w:bottom w:w="0" w:type="dxa"/>
              <w:right w:w="0" w:type="dxa"/>
            </w:tcMar>
            <w:vAlign w:val="bottom"/>
            <w:hideMark/>
          </w:tcPr>
          <w:p w:rsidR="00000000" w:rsidRDefault="00E52F77">
            <w:pPr>
              <w:pStyle w:val="a3"/>
              <w:spacing w:before="0" w:beforeAutospacing="0" w:after="0" w:afterAutospacing="0"/>
              <w:divId w:val="898786202"/>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2055037234"/>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621763674"/>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545603448"/>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188982406"/>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690252010"/>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212885325"/>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676375742"/>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2102606182"/>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901402447"/>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303459264"/>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255722055"/>
              <w:rPr>
                <w:sz w:val="20"/>
                <w:szCs w:val="20"/>
              </w:rPr>
            </w:pPr>
            <w:r>
              <w:rPr>
                <w:sz w:val="2"/>
                <w:szCs w:val="2"/>
              </w:rPr>
              <w:t>​</w:t>
            </w:r>
          </w:p>
        </w:tc>
        <w:tc>
          <w:tcPr>
            <w:tcW w:w="370"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11291592"/>
              <w:rPr>
                <w:sz w:val="20"/>
                <w:szCs w:val="20"/>
              </w:rPr>
            </w:pPr>
            <w:r>
              <w:rPr>
                <w:sz w:val="2"/>
                <w:szCs w:val="2"/>
              </w:rPr>
              <w:t>​</w:t>
            </w:r>
          </w:p>
        </w:tc>
      </w:tr>
      <w:tr w:rsidR="00000000">
        <w:trPr>
          <w:divId w:val="1396006898"/>
        </w:trPr>
        <w:tc>
          <w:tcPr>
            <w:tcW w:w="270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1056" w:type="pct"/>
            <w:gridSpan w:val="5"/>
            <w:tcBorders>
              <w:bottom w:val="single" w:sz="6" w:space="0" w:color="000000"/>
            </w:tcBorders>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Three Months Ended June 30, </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1044" w:type="pct"/>
            <w:gridSpan w:val="5"/>
            <w:tcBorders>
              <w:bottom w:val="single" w:sz="6" w:space="0" w:color="000000"/>
            </w:tcBorders>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Six Months Ended June 30, </w:t>
            </w:r>
          </w:p>
        </w:tc>
      </w:tr>
      <w:tr w:rsidR="00000000">
        <w:trPr>
          <w:divId w:val="1396006898"/>
        </w:trPr>
        <w:tc>
          <w:tcPr>
            <w:tcW w:w="270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479"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2021</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479"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2020</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479"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2021</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467"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2020</w:t>
            </w:r>
          </w:p>
        </w:tc>
      </w:tr>
      <w:tr w:rsidR="00000000">
        <w:trPr>
          <w:divId w:val="1396006898"/>
        </w:trPr>
        <w:tc>
          <w:tcPr>
            <w:tcW w:w="270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8"/>
                <w:szCs w:val="18"/>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8"/>
                <w:szCs w:val="18"/>
              </w:rPr>
              <w:t>​</w:t>
            </w:r>
          </w:p>
        </w:tc>
        <w:tc>
          <w:tcPr>
            <w:tcW w:w="382"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b/>
                <w:bCs/>
                <w:sz w:val="18"/>
                <w:szCs w:val="18"/>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8"/>
                <w:szCs w:val="18"/>
              </w:rPr>
              <w:t>​</w:t>
            </w:r>
          </w:p>
        </w:tc>
        <w:tc>
          <w:tcPr>
            <w:tcW w:w="479"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8"/>
                <w:szCs w:val="18"/>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20"/>
                <w:szCs w:val="20"/>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20"/>
                <w:szCs w:val="20"/>
              </w:rPr>
              <w:t>​</w:t>
            </w:r>
          </w:p>
        </w:tc>
        <w:tc>
          <w:tcPr>
            <w:tcW w:w="382"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b/>
                <w:bCs/>
                <w:sz w:val="20"/>
                <w:szCs w:val="20"/>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20"/>
                <w:szCs w:val="20"/>
              </w:rPr>
              <w:t>​</w:t>
            </w:r>
          </w:p>
        </w:tc>
        <w:tc>
          <w:tcPr>
            <w:tcW w:w="467"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20"/>
                <w:szCs w:val="20"/>
              </w:rPr>
              <w:t>​</w:t>
            </w:r>
          </w:p>
        </w:tc>
      </w:tr>
      <w:tr w:rsidR="00000000">
        <w:trPr>
          <w:divId w:val="1396006898"/>
        </w:trPr>
        <w:tc>
          <w:tcPr>
            <w:tcW w:w="2705"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rPr>
                <w:sz w:val="18"/>
                <w:szCs w:val="18"/>
              </w:rPr>
            </w:pPr>
            <w:r>
              <w:rPr>
                <w:sz w:val="18"/>
                <w:szCs w:val="18"/>
              </w:rPr>
              <w:t>Revenue:</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8"/>
                <w:szCs w:val="18"/>
              </w:rPr>
              <w:t>​</w:t>
            </w:r>
          </w:p>
        </w:tc>
        <w:tc>
          <w:tcPr>
            <w:tcW w:w="38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b/>
                <w:bCs/>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8"/>
                <w:szCs w:val="18"/>
              </w:rPr>
              <w:t>​</w:t>
            </w:r>
          </w:p>
        </w:tc>
        <w:tc>
          <w:tcPr>
            <w:tcW w:w="38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b/>
                <w:bCs/>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20"/>
                <w:szCs w:val="20"/>
              </w:rPr>
              <w:t>​</w:t>
            </w:r>
          </w:p>
        </w:tc>
        <w:tc>
          <w:tcPr>
            <w:tcW w:w="37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20"/>
                <w:szCs w:val="20"/>
              </w:rPr>
              <w:t>​</w:t>
            </w:r>
          </w:p>
        </w:tc>
      </w:tr>
      <w:tr w:rsidR="00000000">
        <w:trPr>
          <w:divId w:val="1396006898"/>
        </w:trPr>
        <w:tc>
          <w:tcPr>
            <w:tcW w:w="2705" w:type="pct"/>
            <w:tcMar>
              <w:top w:w="0" w:type="dxa"/>
              <w:left w:w="0" w:type="dxa"/>
              <w:bottom w:w="0" w:type="dxa"/>
              <w:right w:w="0" w:type="dxa"/>
            </w:tcMar>
            <w:vAlign w:val="bottom"/>
            <w:hideMark/>
          </w:tcPr>
          <w:p w:rsidR="00000000" w:rsidRDefault="00E52F77">
            <w:pPr>
              <w:pStyle w:val="a3"/>
              <w:spacing w:before="0" w:beforeAutospacing="0" w:after="0" w:afterAutospacing="0"/>
              <w:ind w:left="240"/>
              <w:rPr>
                <w:sz w:val="18"/>
                <w:szCs w:val="18"/>
              </w:rPr>
            </w:pPr>
            <w:r>
              <w:rPr>
                <w:sz w:val="18"/>
                <w:szCs w:val="18"/>
              </w:rPr>
              <w:t>Collaboration revenue</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w:t>
            </w:r>
          </w:p>
        </w:tc>
        <w:tc>
          <w:tcPr>
            <w:tcW w:w="382"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1,980</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w:t>
            </w:r>
          </w:p>
        </w:tc>
        <w:tc>
          <w:tcPr>
            <w:tcW w:w="382"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5,488</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382"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5,852</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370"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12,120</w:t>
            </w:r>
          </w:p>
        </w:tc>
      </w:tr>
      <w:tr w:rsidR="00000000">
        <w:trPr>
          <w:divId w:val="1396006898"/>
        </w:trPr>
        <w:tc>
          <w:tcPr>
            <w:tcW w:w="2705"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left="240"/>
              <w:rPr>
                <w:sz w:val="18"/>
                <w:szCs w:val="18"/>
              </w:rPr>
            </w:pPr>
            <w:r>
              <w:rPr>
                <w:sz w:val="18"/>
                <w:szCs w:val="18"/>
              </w:rPr>
              <w:t>Licensing revenue</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8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8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8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7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1,500</w:t>
            </w:r>
          </w:p>
        </w:tc>
      </w:tr>
      <w:tr w:rsidR="00000000">
        <w:trPr>
          <w:divId w:val="1396006898"/>
        </w:trPr>
        <w:tc>
          <w:tcPr>
            <w:tcW w:w="2705" w:type="pct"/>
            <w:tcMar>
              <w:top w:w="0" w:type="dxa"/>
              <w:left w:w="0" w:type="dxa"/>
              <w:bottom w:w="0" w:type="dxa"/>
              <w:right w:w="0" w:type="dxa"/>
            </w:tcMar>
            <w:vAlign w:val="bottom"/>
            <w:hideMark/>
          </w:tcPr>
          <w:p w:rsidR="00000000" w:rsidRDefault="00E52F77">
            <w:pPr>
              <w:pStyle w:val="a3"/>
              <w:spacing w:before="0" w:beforeAutospacing="0" w:after="0" w:afterAutospacing="0"/>
              <w:ind w:left="240"/>
              <w:rPr>
                <w:sz w:val="18"/>
                <w:szCs w:val="18"/>
              </w:rPr>
            </w:pPr>
            <w:r>
              <w:rPr>
                <w:sz w:val="18"/>
                <w:szCs w:val="18"/>
              </w:rPr>
              <w:t>Viatris collaboration agreement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10,934</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9,520</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6"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21,319</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370"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21,250</w:t>
            </w:r>
          </w:p>
        </w:tc>
      </w:tr>
      <w:tr w:rsidR="00000000">
        <w:trPr>
          <w:divId w:val="1396006898"/>
        </w:trPr>
        <w:tc>
          <w:tcPr>
            <w:tcW w:w="2705"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left="360"/>
              <w:rPr>
                <w:sz w:val="18"/>
                <w:szCs w:val="18"/>
              </w:rPr>
            </w:pPr>
            <w:r>
              <w:rPr>
                <w:sz w:val="18"/>
                <w:szCs w:val="18"/>
              </w:rPr>
              <w:t>Total revenue</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38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12,914</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38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15,008</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38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27,171</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37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34,870</w:t>
            </w:r>
          </w:p>
        </w:tc>
      </w:tr>
      <w:tr w:rsidR="00000000">
        <w:trPr>
          <w:divId w:val="1396006898"/>
        </w:trPr>
        <w:tc>
          <w:tcPr>
            <w:tcW w:w="270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82"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8"/>
                <w:szCs w:val="18"/>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82"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8"/>
                <w:szCs w:val="18"/>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82"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8"/>
                <w:szCs w:val="18"/>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70"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8"/>
                <w:szCs w:val="18"/>
              </w:rPr>
              <w:t>​</w:t>
            </w:r>
          </w:p>
        </w:tc>
      </w:tr>
      <w:tr w:rsidR="00000000">
        <w:trPr>
          <w:divId w:val="1396006898"/>
        </w:trPr>
        <w:tc>
          <w:tcPr>
            <w:tcW w:w="2705"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rPr>
                <w:sz w:val="18"/>
                <w:szCs w:val="18"/>
              </w:rPr>
            </w:pPr>
            <w:r>
              <w:rPr>
                <w:sz w:val="18"/>
                <w:szCs w:val="18"/>
              </w:rPr>
              <w:t>Costs and expenses:</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8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8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8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7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8"/>
                <w:szCs w:val="18"/>
              </w:rPr>
              <w:t>​</w:t>
            </w:r>
          </w:p>
        </w:tc>
      </w:tr>
      <w:tr w:rsidR="00000000">
        <w:trPr>
          <w:divId w:val="1396006898"/>
        </w:trPr>
        <w:tc>
          <w:tcPr>
            <w:tcW w:w="2705" w:type="pct"/>
            <w:tcMar>
              <w:top w:w="0" w:type="dxa"/>
              <w:left w:w="0" w:type="dxa"/>
              <w:bottom w:w="0" w:type="dxa"/>
              <w:right w:w="0" w:type="dxa"/>
            </w:tcMar>
            <w:vAlign w:val="bottom"/>
            <w:hideMark/>
          </w:tcPr>
          <w:p w:rsidR="00000000" w:rsidRDefault="00E52F77">
            <w:pPr>
              <w:pStyle w:val="a3"/>
              <w:spacing w:before="0" w:beforeAutospacing="0" w:after="0" w:afterAutospacing="0"/>
              <w:ind w:left="240"/>
              <w:rPr>
                <w:sz w:val="18"/>
                <w:szCs w:val="18"/>
              </w:rPr>
            </w:pPr>
            <w:r>
              <w:rPr>
                <w:sz w:val="18"/>
                <w:szCs w:val="18"/>
              </w:rPr>
              <w:t>Research and development (1)</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382"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51,093</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382"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62,404</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82"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118,692</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70"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128,417</w:t>
            </w:r>
          </w:p>
        </w:tc>
      </w:tr>
      <w:tr w:rsidR="00000000">
        <w:trPr>
          <w:divId w:val="1396006898"/>
        </w:trPr>
        <w:tc>
          <w:tcPr>
            <w:tcW w:w="2705"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left="240"/>
              <w:rPr>
                <w:sz w:val="18"/>
                <w:szCs w:val="18"/>
              </w:rPr>
            </w:pPr>
            <w:r>
              <w:rPr>
                <w:sz w:val="18"/>
                <w:szCs w:val="18"/>
              </w:rPr>
              <w:t>Selling, general and administrative (1)</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25,931</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24,780</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56,481</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51,105</w:t>
            </w:r>
          </w:p>
        </w:tc>
      </w:tr>
      <w:tr w:rsidR="00000000">
        <w:trPr>
          <w:divId w:val="1396006898"/>
        </w:trPr>
        <w:tc>
          <w:tcPr>
            <w:tcW w:w="2705" w:type="pct"/>
            <w:tcMar>
              <w:top w:w="0" w:type="dxa"/>
              <w:left w:w="0" w:type="dxa"/>
              <w:bottom w:w="0" w:type="dxa"/>
              <w:right w:w="0" w:type="dxa"/>
            </w:tcMar>
            <w:vAlign w:val="bottom"/>
            <w:hideMark/>
          </w:tcPr>
          <w:p w:rsidR="00000000" w:rsidRDefault="00E52F77">
            <w:pPr>
              <w:pStyle w:val="a3"/>
              <w:spacing w:before="0" w:beforeAutospacing="0" w:after="0" w:afterAutospacing="0"/>
              <w:ind w:left="360"/>
              <w:rPr>
                <w:sz w:val="18"/>
                <w:szCs w:val="18"/>
              </w:rPr>
            </w:pPr>
            <w:r>
              <w:rPr>
                <w:sz w:val="18"/>
                <w:szCs w:val="18"/>
              </w:rPr>
              <w:t xml:space="preserve">Total costs and expenses </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77,024</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87,184</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6"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175,173</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370"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179,522</w:t>
            </w:r>
          </w:p>
        </w:tc>
      </w:tr>
      <w:tr w:rsidR="00000000">
        <w:trPr>
          <w:divId w:val="1396006898"/>
        </w:trPr>
        <w:tc>
          <w:tcPr>
            <w:tcW w:w="2705"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8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8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8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7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8"/>
                <w:szCs w:val="18"/>
              </w:rPr>
              <w:t>​</w:t>
            </w:r>
          </w:p>
        </w:tc>
      </w:tr>
      <w:tr w:rsidR="00000000">
        <w:trPr>
          <w:divId w:val="1396006898"/>
        </w:trPr>
        <w:tc>
          <w:tcPr>
            <w:tcW w:w="2705" w:type="pct"/>
            <w:tcMar>
              <w:top w:w="0" w:type="dxa"/>
              <w:left w:w="0" w:type="dxa"/>
              <w:bottom w:w="0" w:type="dxa"/>
              <w:right w:w="0" w:type="dxa"/>
            </w:tcMar>
            <w:vAlign w:val="bottom"/>
            <w:hideMark/>
          </w:tcPr>
          <w:p w:rsidR="00000000" w:rsidRDefault="00E52F77">
            <w:pPr>
              <w:pStyle w:val="a3"/>
              <w:spacing w:before="0" w:beforeAutospacing="0" w:after="0" w:afterAutospacing="0"/>
              <w:rPr>
                <w:sz w:val="18"/>
                <w:szCs w:val="18"/>
              </w:rPr>
            </w:pPr>
            <w:r>
              <w:rPr>
                <w:sz w:val="18"/>
                <w:szCs w:val="18"/>
              </w:rPr>
              <w:t xml:space="preserve">Loss from operations </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382"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8"/>
                <w:szCs w:val="18"/>
              </w:rPr>
            </w:pPr>
            <w:r>
              <w:rPr>
                <w:sz w:val="18"/>
                <w:szCs w:val="18"/>
              </w:rPr>
              <w:t>(64,110)</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382"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8"/>
                <w:szCs w:val="18"/>
              </w:rPr>
            </w:pPr>
            <w:r>
              <w:rPr>
                <w:sz w:val="18"/>
                <w:szCs w:val="18"/>
              </w:rPr>
              <w:t>(72,176)</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382"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8"/>
                <w:szCs w:val="18"/>
              </w:rPr>
            </w:pPr>
            <w:r>
              <w:rPr>
                <w:sz w:val="18"/>
                <w:szCs w:val="18"/>
              </w:rPr>
              <w:t>(148,002)</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370"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8"/>
                <w:szCs w:val="18"/>
              </w:rPr>
            </w:pPr>
            <w:r>
              <w:rPr>
                <w:sz w:val="18"/>
                <w:szCs w:val="18"/>
              </w:rPr>
              <w:t>(</w:t>
            </w:r>
            <w:r>
              <w:rPr>
                <w:sz w:val="18"/>
                <w:szCs w:val="18"/>
              </w:rPr>
              <w:t>144,652)</w:t>
            </w:r>
          </w:p>
        </w:tc>
      </w:tr>
      <w:tr w:rsidR="00000000">
        <w:trPr>
          <w:divId w:val="1396006898"/>
        </w:trPr>
        <w:tc>
          <w:tcPr>
            <w:tcW w:w="2705"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rPr>
                <w:sz w:val="18"/>
                <w:szCs w:val="18"/>
              </w:rPr>
            </w:pPr>
            <w:r>
              <w:rPr>
                <w:sz w:val="18"/>
                <w:szCs w:val="18"/>
              </w:rPr>
              <w:t>Income from investment in TRC, LLC</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8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21,926</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8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21,381</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8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38,473</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7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34,896</w:t>
            </w:r>
          </w:p>
        </w:tc>
      </w:tr>
      <w:tr w:rsidR="00000000">
        <w:trPr>
          <w:divId w:val="1396006898"/>
        </w:trPr>
        <w:tc>
          <w:tcPr>
            <w:tcW w:w="270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8"/>
                <w:szCs w:val="18"/>
              </w:rPr>
            </w:pPr>
            <w:r>
              <w:rPr>
                <w:sz w:val="18"/>
                <w:szCs w:val="18"/>
              </w:rPr>
              <w:t>Interest expense</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82"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8"/>
                <w:szCs w:val="18"/>
              </w:rPr>
            </w:pPr>
            <w:r>
              <w:rPr>
                <w:sz w:val="18"/>
                <w:szCs w:val="18"/>
              </w:rPr>
              <w:t>(11,612)</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82"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8"/>
                <w:szCs w:val="18"/>
              </w:rPr>
            </w:pPr>
            <w:r>
              <w:rPr>
                <w:sz w:val="18"/>
                <w:szCs w:val="18"/>
              </w:rPr>
              <w:t>(11,391)</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82"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8"/>
                <w:szCs w:val="18"/>
              </w:rPr>
            </w:pPr>
            <w:r>
              <w:rPr>
                <w:sz w:val="18"/>
                <w:szCs w:val="18"/>
              </w:rPr>
              <w:t>(23,485)</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70"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8"/>
                <w:szCs w:val="18"/>
              </w:rPr>
            </w:pPr>
            <w:r>
              <w:rPr>
                <w:sz w:val="18"/>
                <w:szCs w:val="18"/>
              </w:rPr>
              <w:t>(21,332)</w:t>
            </w:r>
          </w:p>
        </w:tc>
      </w:tr>
      <w:tr w:rsidR="00000000">
        <w:trPr>
          <w:divId w:val="1396006898"/>
        </w:trPr>
        <w:tc>
          <w:tcPr>
            <w:tcW w:w="270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18"/>
                <w:szCs w:val="18"/>
              </w:rPr>
            </w:pPr>
            <w:r>
              <w:rPr>
                <w:sz w:val="18"/>
                <w:szCs w:val="18"/>
              </w:rPr>
              <w:t>Loss on extinguishment of debt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8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8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8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7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8"/>
                <w:szCs w:val="18"/>
              </w:rPr>
            </w:pPr>
            <w:r>
              <w:rPr>
                <w:sz w:val="18"/>
                <w:szCs w:val="18"/>
              </w:rPr>
              <w:t>(15,464)</w:t>
            </w:r>
          </w:p>
        </w:tc>
      </w:tr>
      <w:tr w:rsidR="00000000">
        <w:trPr>
          <w:divId w:val="1396006898"/>
        </w:trPr>
        <w:tc>
          <w:tcPr>
            <w:tcW w:w="2705" w:type="pct"/>
            <w:tcMar>
              <w:top w:w="0" w:type="dxa"/>
              <w:left w:w="0" w:type="dxa"/>
              <w:bottom w:w="0" w:type="dxa"/>
              <w:right w:w="0" w:type="dxa"/>
            </w:tcMar>
            <w:vAlign w:val="bottom"/>
            <w:hideMark/>
          </w:tcPr>
          <w:p w:rsidR="00000000" w:rsidRDefault="00E52F77">
            <w:pPr>
              <w:pStyle w:val="a3"/>
              <w:spacing w:before="0" w:beforeAutospacing="0" w:after="0" w:afterAutospacing="0"/>
              <w:rPr>
                <w:sz w:val="18"/>
                <w:szCs w:val="18"/>
              </w:rPr>
            </w:pPr>
            <w:r>
              <w:rPr>
                <w:sz w:val="18"/>
                <w:szCs w:val="18"/>
              </w:rPr>
              <w:t>Interest and other income (expense), net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1,171</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8"/>
                <w:szCs w:val="18"/>
              </w:rPr>
            </w:pPr>
            <w:r>
              <w:rPr>
                <w:sz w:val="18"/>
                <w:szCs w:val="18"/>
              </w:rPr>
              <w:t>(662)</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6"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82"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937</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70"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798</w:t>
            </w:r>
          </w:p>
        </w:tc>
      </w:tr>
      <w:tr w:rsidR="00000000">
        <w:trPr>
          <w:divId w:val="1396006898"/>
        </w:trPr>
        <w:tc>
          <w:tcPr>
            <w:tcW w:w="2705"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rPr>
                <w:sz w:val="18"/>
                <w:szCs w:val="18"/>
              </w:rPr>
            </w:pPr>
            <w:r>
              <w:rPr>
                <w:sz w:val="18"/>
                <w:szCs w:val="18"/>
              </w:rPr>
              <w:t xml:space="preserve">Loss before income taxes </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38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8"/>
                <w:szCs w:val="18"/>
              </w:rPr>
            </w:pPr>
            <w:r>
              <w:rPr>
                <w:sz w:val="18"/>
                <w:szCs w:val="18"/>
              </w:rPr>
              <w:t>(52,625)</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38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8"/>
                <w:szCs w:val="18"/>
              </w:rPr>
            </w:pPr>
            <w:r>
              <w:rPr>
                <w:sz w:val="18"/>
                <w:szCs w:val="18"/>
              </w:rPr>
              <w:t>(62,848)</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38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8"/>
                <w:szCs w:val="18"/>
              </w:rPr>
            </w:pPr>
            <w:r>
              <w:rPr>
                <w:sz w:val="18"/>
                <w:szCs w:val="18"/>
              </w:rPr>
              <w:t>(132,077)</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37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8"/>
                <w:szCs w:val="18"/>
              </w:rPr>
            </w:pPr>
            <w:r>
              <w:rPr>
                <w:sz w:val="18"/>
                <w:szCs w:val="18"/>
              </w:rPr>
              <w:t>(145,754)</w:t>
            </w:r>
          </w:p>
        </w:tc>
      </w:tr>
      <w:tr w:rsidR="00000000">
        <w:trPr>
          <w:divId w:val="1396006898"/>
        </w:trPr>
        <w:tc>
          <w:tcPr>
            <w:tcW w:w="2705" w:type="pct"/>
            <w:tcMar>
              <w:top w:w="0" w:type="dxa"/>
              <w:left w:w="0" w:type="dxa"/>
              <w:bottom w:w="0" w:type="dxa"/>
              <w:right w:w="0" w:type="dxa"/>
            </w:tcMar>
            <w:vAlign w:val="bottom"/>
            <w:hideMark/>
          </w:tcPr>
          <w:p w:rsidR="00000000" w:rsidRDefault="00E52F77">
            <w:pPr>
              <w:pStyle w:val="a3"/>
              <w:spacing w:before="0" w:beforeAutospacing="0" w:after="0" w:afterAutospacing="0"/>
              <w:rPr>
                <w:sz w:val="18"/>
                <w:szCs w:val="18"/>
              </w:rPr>
            </w:pPr>
            <w:r>
              <w:rPr>
                <w:sz w:val="18"/>
                <w:szCs w:val="18"/>
              </w:rPr>
              <w:t>Provision for income tax benefit (expense)</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220</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8"/>
                <w:szCs w:val="18"/>
              </w:rPr>
            </w:pPr>
            <w:r>
              <w:rPr>
                <w:sz w:val="18"/>
                <w:szCs w:val="18"/>
              </w:rPr>
              <w:t>(39)</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6"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82"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8"/>
                <w:szCs w:val="18"/>
              </w:rPr>
            </w:pPr>
            <w:r>
              <w:rPr>
                <w:sz w:val="18"/>
                <w:szCs w:val="18"/>
              </w:rPr>
              <w:t>(7)</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70"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8"/>
                <w:szCs w:val="18"/>
              </w:rPr>
            </w:pPr>
            <w:r>
              <w:rPr>
                <w:sz w:val="18"/>
                <w:szCs w:val="18"/>
              </w:rPr>
              <w:t>(186)</w:t>
            </w:r>
          </w:p>
        </w:tc>
      </w:tr>
      <w:tr w:rsidR="00000000">
        <w:trPr>
          <w:divId w:val="1396006898"/>
        </w:trPr>
        <w:tc>
          <w:tcPr>
            <w:tcW w:w="2705"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rPr>
                <w:sz w:val="18"/>
                <w:szCs w:val="18"/>
              </w:rPr>
            </w:pPr>
            <w:r>
              <w:rPr>
                <w:sz w:val="18"/>
                <w:szCs w:val="18"/>
              </w:rPr>
              <w:t>Net loss</w:t>
            </w:r>
            <w:r>
              <w:rPr>
                <w:sz w:val="18"/>
                <w:szCs w:val="18"/>
              </w:rPr>
              <w:t xml:space="preserve"> </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w:t>
            </w:r>
          </w:p>
        </w:tc>
        <w:tc>
          <w:tcPr>
            <w:tcW w:w="3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8"/>
                <w:szCs w:val="18"/>
              </w:rPr>
            </w:pPr>
            <w:r>
              <w:rPr>
                <w:sz w:val="18"/>
                <w:szCs w:val="18"/>
              </w:rPr>
              <w:t>(</w:t>
            </w:r>
            <w:r>
              <w:rPr>
                <w:sz w:val="18"/>
                <w:szCs w:val="18"/>
              </w:rPr>
              <w:t>52,405)</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w:t>
            </w:r>
          </w:p>
        </w:tc>
        <w:tc>
          <w:tcPr>
            <w:tcW w:w="3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8"/>
                <w:szCs w:val="18"/>
              </w:rPr>
            </w:pPr>
            <w:r>
              <w:rPr>
                <w:sz w:val="18"/>
                <w:szCs w:val="18"/>
              </w:rPr>
              <w:t>(62,887)</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w:t>
            </w:r>
          </w:p>
        </w:tc>
        <w:tc>
          <w:tcPr>
            <w:tcW w:w="3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8"/>
                <w:szCs w:val="18"/>
              </w:rPr>
            </w:pPr>
            <w:r>
              <w:rPr>
                <w:sz w:val="18"/>
                <w:szCs w:val="18"/>
              </w:rPr>
              <w:t>(132,084)</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w:t>
            </w:r>
          </w:p>
        </w:tc>
        <w:tc>
          <w:tcPr>
            <w:tcW w:w="3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8"/>
                <w:szCs w:val="18"/>
              </w:rPr>
            </w:pPr>
            <w:r>
              <w:rPr>
                <w:sz w:val="18"/>
                <w:szCs w:val="18"/>
              </w:rPr>
              <w:t>(145,940)</w:t>
            </w:r>
          </w:p>
        </w:tc>
      </w:tr>
      <w:tr w:rsidR="00000000">
        <w:trPr>
          <w:divId w:val="1396006898"/>
        </w:trPr>
        <w:tc>
          <w:tcPr>
            <w:tcW w:w="270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82"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8"/>
                <w:szCs w:val="18"/>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82"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8"/>
                <w:szCs w:val="18"/>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82"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8"/>
                <w:szCs w:val="18"/>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70"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8"/>
                <w:szCs w:val="18"/>
              </w:rPr>
              <w:t>​</w:t>
            </w:r>
          </w:p>
        </w:tc>
      </w:tr>
      <w:tr w:rsidR="00000000">
        <w:trPr>
          <w:divId w:val="1396006898"/>
        </w:trPr>
        <w:tc>
          <w:tcPr>
            <w:tcW w:w="2705"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left="240"/>
              <w:rPr>
                <w:sz w:val="18"/>
                <w:szCs w:val="18"/>
              </w:rPr>
            </w:pPr>
            <w:r>
              <w:rPr>
                <w:sz w:val="18"/>
                <w:szCs w:val="18"/>
              </w:rPr>
              <w:t>Net unrealized gain (loss) on available-for-sale investments</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8"/>
                <w:szCs w:val="18"/>
              </w:rPr>
            </w:pPr>
            <w:r>
              <w:rPr>
                <w:sz w:val="18"/>
                <w:szCs w:val="18"/>
              </w:rPr>
              <w:t>(9)</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8"/>
                <w:szCs w:val="18"/>
              </w:rPr>
            </w:pPr>
            <w:r>
              <w:rPr>
                <w:sz w:val="18"/>
                <w:szCs w:val="18"/>
              </w:rPr>
              <w:t>(232)</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8"/>
                <w:szCs w:val="18"/>
              </w:rPr>
            </w:pPr>
            <w:r>
              <w:rPr>
                <w:sz w:val="18"/>
                <w:szCs w:val="18"/>
              </w:rPr>
              <w:t>(39)</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135</w:t>
            </w:r>
          </w:p>
        </w:tc>
      </w:tr>
      <w:tr w:rsidR="00000000">
        <w:trPr>
          <w:divId w:val="1396006898"/>
        </w:trPr>
        <w:tc>
          <w:tcPr>
            <w:tcW w:w="270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8"/>
                <w:szCs w:val="18"/>
              </w:rPr>
            </w:pPr>
            <w:r>
              <w:rPr>
                <w:sz w:val="18"/>
                <w:szCs w:val="18"/>
              </w:rPr>
              <w:t>Total comprehensive loss</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rPr>
                <w:sz w:val="18"/>
                <w:szCs w:val="18"/>
              </w:rPr>
            </w:pPr>
            <w:r>
              <w:rPr>
                <w:sz w:val="18"/>
                <w:szCs w:val="18"/>
              </w:rPr>
              <w:t>$</w:t>
            </w:r>
          </w:p>
        </w:tc>
        <w:tc>
          <w:tcPr>
            <w:tcW w:w="382"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8"/>
                <w:szCs w:val="18"/>
              </w:rPr>
            </w:pPr>
            <w:r>
              <w:rPr>
                <w:sz w:val="18"/>
                <w:szCs w:val="18"/>
              </w:rPr>
              <w:t>(52,414)</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rPr>
                <w:sz w:val="18"/>
                <w:szCs w:val="18"/>
              </w:rPr>
            </w:pPr>
            <w:r>
              <w:rPr>
                <w:sz w:val="18"/>
                <w:szCs w:val="18"/>
              </w:rPr>
              <w:t>$</w:t>
            </w:r>
          </w:p>
        </w:tc>
        <w:tc>
          <w:tcPr>
            <w:tcW w:w="382"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8"/>
                <w:szCs w:val="18"/>
              </w:rPr>
            </w:pPr>
            <w:r>
              <w:rPr>
                <w:sz w:val="18"/>
                <w:szCs w:val="18"/>
              </w:rPr>
              <w:t>(63,119)</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6"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rPr>
                <w:sz w:val="18"/>
                <w:szCs w:val="18"/>
              </w:rPr>
            </w:pPr>
            <w:r>
              <w:rPr>
                <w:sz w:val="18"/>
                <w:szCs w:val="18"/>
              </w:rPr>
              <w:t>$</w:t>
            </w:r>
          </w:p>
        </w:tc>
        <w:tc>
          <w:tcPr>
            <w:tcW w:w="382"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8"/>
                <w:szCs w:val="18"/>
              </w:rPr>
            </w:pPr>
            <w:r>
              <w:rPr>
                <w:sz w:val="18"/>
                <w:szCs w:val="18"/>
              </w:rPr>
              <w:t>(132,123)</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rPr>
                <w:sz w:val="18"/>
                <w:szCs w:val="18"/>
              </w:rPr>
            </w:pPr>
            <w:r>
              <w:rPr>
                <w:sz w:val="18"/>
                <w:szCs w:val="18"/>
              </w:rPr>
              <w:t>$</w:t>
            </w:r>
          </w:p>
        </w:tc>
        <w:tc>
          <w:tcPr>
            <w:tcW w:w="370"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8"/>
                <w:szCs w:val="18"/>
              </w:rPr>
            </w:pPr>
            <w:r>
              <w:rPr>
                <w:sz w:val="18"/>
                <w:szCs w:val="18"/>
              </w:rPr>
              <w:t>(</w:t>
            </w:r>
            <w:r>
              <w:rPr>
                <w:sz w:val="18"/>
                <w:szCs w:val="18"/>
              </w:rPr>
              <w:t>145,805)</w:t>
            </w:r>
          </w:p>
        </w:tc>
      </w:tr>
      <w:tr w:rsidR="00000000">
        <w:trPr>
          <w:divId w:val="1396006898"/>
        </w:trPr>
        <w:tc>
          <w:tcPr>
            <w:tcW w:w="2705"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8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8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8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7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8"/>
                <w:szCs w:val="18"/>
              </w:rPr>
              <w:t>​</w:t>
            </w:r>
          </w:p>
        </w:tc>
      </w:tr>
      <w:tr w:rsidR="00000000">
        <w:trPr>
          <w:divId w:val="1396006898"/>
        </w:trPr>
        <w:tc>
          <w:tcPr>
            <w:tcW w:w="2705" w:type="pct"/>
            <w:tcMar>
              <w:top w:w="0" w:type="dxa"/>
              <w:left w:w="0" w:type="dxa"/>
              <w:bottom w:w="0" w:type="dxa"/>
              <w:right w:w="0" w:type="dxa"/>
            </w:tcMar>
            <w:vAlign w:val="bottom"/>
            <w:hideMark/>
          </w:tcPr>
          <w:p w:rsidR="00000000" w:rsidRDefault="00E52F77">
            <w:pPr>
              <w:pStyle w:val="a3"/>
              <w:spacing w:before="0" w:beforeAutospacing="0" w:after="0" w:afterAutospacing="0"/>
              <w:rPr>
                <w:sz w:val="18"/>
                <w:szCs w:val="18"/>
              </w:rPr>
            </w:pPr>
            <w:r>
              <w:rPr>
                <w:sz w:val="18"/>
                <w:szCs w:val="18"/>
              </w:rPr>
              <w:t>Net loss per share:</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82"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8"/>
                <w:szCs w:val="18"/>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82"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8"/>
                <w:szCs w:val="18"/>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82"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8"/>
                <w:szCs w:val="18"/>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8"/>
                <w:szCs w:val="18"/>
              </w:rPr>
              <w:t>​</w:t>
            </w:r>
          </w:p>
        </w:tc>
        <w:tc>
          <w:tcPr>
            <w:tcW w:w="370"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8"/>
                <w:szCs w:val="18"/>
              </w:rPr>
              <w:t>​</w:t>
            </w:r>
          </w:p>
        </w:tc>
      </w:tr>
      <w:tr w:rsidR="00000000">
        <w:trPr>
          <w:divId w:val="1396006898"/>
        </w:trPr>
        <w:tc>
          <w:tcPr>
            <w:tcW w:w="2705"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left="240"/>
              <w:rPr>
                <w:sz w:val="18"/>
                <w:szCs w:val="18"/>
              </w:rPr>
            </w:pPr>
            <w:r>
              <w:rPr>
                <w:sz w:val="18"/>
                <w:szCs w:val="18"/>
              </w:rPr>
              <w:t>Basic and diluted net loss per share</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w:t>
            </w:r>
          </w:p>
        </w:tc>
        <w:tc>
          <w:tcPr>
            <w:tcW w:w="3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8"/>
                <w:szCs w:val="18"/>
              </w:rPr>
            </w:pPr>
            <w:r>
              <w:rPr>
                <w:sz w:val="18"/>
                <w:szCs w:val="18"/>
              </w:rPr>
              <w:t>(0.80)</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w:t>
            </w:r>
          </w:p>
        </w:tc>
        <w:tc>
          <w:tcPr>
            <w:tcW w:w="3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8"/>
                <w:szCs w:val="18"/>
              </w:rPr>
            </w:pPr>
            <w:r>
              <w:rPr>
                <w:sz w:val="18"/>
                <w:szCs w:val="18"/>
              </w:rPr>
              <w:t>(1.00)</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w:t>
            </w:r>
          </w:p>
        </w:tc>
        <w:tc>
          <w:tcPr>
            <w:tcW w:w="3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8"/>
                <w:szCs w:val="18"/>
              </w:rPr>
            </w:pPr>
            <w:r>
              <w:rPr>
                <w:sz w:val="18"/>
                <w:szCs w:val="18"/>
              </w:rPr>
              <w:t>(2.03)</w:t>
            </w:r>
          </w:p>
        </w:tc>
        <w:tc>
          <w:tcPr>
            <w:tcW w:w="9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w:t>
            </w:r>
          </w:p>
        </w:tc>
        <w:tc>
          <w:tcPr>
            <w:tcW w:w="3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8"/>
                <w:szCs w:val="18"/>
              </w:rPr>
            </w:pPr>
            <w:r>
              <w:rPr>
                <w:sz w:val="18"/>
                <w:szCs w:val="18"/>
              </w:rPr>
              <w:t>(2.39)</w:t>
            </w:r>
          </w:p>
        </w:tc>
      </w:tr>
      <w:tr w:rsidR="00000000">
        <w:trPr>
          <w:divId w:val="1396006898"/>
        </w:trPr>
        <w:tc>
          <w:tcPr>
            <w:tcW w:w="2705" w:type="pct"/>
            <w:tcMar>
              <w:top w:w="0" w:type="dxa"/>
              <w:left w:w="0" w:type="dxa"/>
              <w:bottom w:w="0" w:type="dxa"/>
              <w:right w:w="0" w:type="dxa"/>
            </w:tcMar>
            <w:vAlign w:val="bottom"/>
            <w:hideMark/>
          </w:tcPr>
          <w:p w:rsidR="00000000" w:rsidRDefault="00E52F77">
            <w:pPr>
              <w:pStyle w:val="a3"/>
              <w:spacing w:before="0" w:beforeAutospacing="0" w:after="0" w:afterAutospacing="0"/>
              <w:ind w:left="240"/>
              <w:rPr>
                <w:sz w:val="18"/>
                <w:szCs w:val="18"/>
              </w:rPr>
            </w:pPr>
            <w:r>
              <w:rPr>
                <w:sz w:val="18"/>
                <w:szCs w:val="18"/>
              </w:rPr>
              <w:t>Shares used to compute basic and diluted net loss per share</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382"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65,669</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382"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62,861</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6"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382"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65,085</w:t>
            </w:r>
          </w:p>
        </w:tc>
        <w:tc>
          <w:tcPr>
            <w:tcW w:w="9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6"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370"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18"/>
                <w:szCs w:val="18"/>
              </w:rPr>
            </w:pPr>
            <w:r>
              <w:rPr>
                <w:sz w:val="18"/>
                <w:szCs w:val="18"/>
              </w:rPr>
              <w:t>61,162</w:t>
            </w:r>
          </w:p>
        </w:tc>
      </w:tr>
    </w:tbl>
    <w:p w:rsidR="00000000" w:rsidRDefault="00E52F77">
      <w:pPr>
        <w:divId w:val="139600689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396006898"/>
        </w:trPr>
        <w:tc>
          <w:tcPr>
            <w:tcW w:w="360" w:type="dxa"/>
            <w:noWrap/>
            <w:tcMar>
              <w:top w:w="0" w:type="dxa"/>
              <w:left w:w="0" w:type="dxa"/>
              <w:bottom w:w="0" w:type="dxa"/>
              <w:right w:w="0" w:type="dxa"/>
            </w:tcMar>
            <w:hideMark/>
          </w:tcPr>
          <w:p w:rsidR="00000000" w:rsidRDefault="00E52F77">
            <w:pPr>
              <w:rPr>
                <w:rFonts w:eastAsia="Times New Roman"/>
                <w:sz w:val="18"/>
                <w:szCs w:val="18"/>
              </w:rPr>
            </w:pPr>
            <w:r>
              <w:rPr>
                <w:rFonts w:eastAsia="Times New Roman"/>
                <w:sz w:val="18"/>
                <w:szCs w:val="18"/>
              </w:rPr>
              <w:t>(1)</w:t>
            </w:r>
          </w:p>
        </w:tc>
        <w:tc>
          <w:tcPr>
            <w:tcW w:w="0" w:type="auto"/>
            <w:tcMar>
              <w:top w:w="0" w:type="dxa"/>
              <w:left w:w="0" w:type="dxa"/>
              <w:bottom w:w="0" w:type="dxa"/>
              <w:right w:w="0" w:type="dxa"/>
            </w:tcMar>
            <w:vAlign w:val="center"/>
            <w:hideMark/>
          </w:tcPr>
          <w:p w:rsidR="00000000" w:rsidRDefault="00E52F77">
            <w:pPr>
              <w:rPr>
                <w:rFonts w:eastAsia="Times New Roman"/>
                <w:sz w:val="20"/>
                <w:szCs w:val="20"/>
              </w:rPr>
            </w:pPr>
            <w:r>
              <w:rPr>
                <w:rFonts w:eastAsia="Times New Roman"/>
                <w:sz w:val="18"/>
                <w:szCs w:val="18"/>
              </w:rPr>
              <w:t>Amounts include share-based compensation expense as follows:</w:t>
            </w:r>
          </w:p>
        </w:tc>
      </w:tr>
    </w:tbl>
    <w:p w:rsidR="00000000" w:rsidRDefault="00E52F77">
      <w:pPr>
        <w:pStyle w:val="a3"/>
        <w:spacing w:before="0" w:beforeAutospacing="0" w:after="0" w:afterAutospacing="0"/>
        <w:divId w:val="1396006898"/>
        <w:rPr>
          <w:sz w:val="20"/>
          <w:szCs w:val="20"/>
        </w:rPr>
      </w:pPr>
      <w:r>
        <w:rPr>
          <w:sz w:val="20"/>
          <w:szCs w:val="20"/>
        </w:rPr>
        <w:t>​</w:t>
      </w:r>
    </w:p>
    <w:tbl>
      <w:tblPr>
        <w:tblW w:w="5010" w:type="pct"/>
        <w:tblCellMar>
          <w:top w:w="15" w:type="dxa"/>
          <w:left w:w="0" w:type="dxa"/>
          <w:bottom w:w="15" w:type="dxa"/>
          <w:right w:w="0" w:type="dxa"/>
        </w:tblCellMar>
        <w:tblLook w:val="04A0" w:firstRow="1" w:lastRow="0" w:firstColumn="1" w:lastColumn="0" w:noHBand="0" w:noVBand="1"/>
      </w:tblPr>
      <w:tblGrid>
        <w:gridCol w:w="4695"/>
        <w:gridCol w:w="160"/>
        <w:gridCol w:w="102"/>
        <w:gridCol w:w="565"/>
        <w:gridCol w:w="160"/>
        <w:gridCol w:w="90"/>
        <w:gridCol w:w="565"/>
        <w:gridCol w:w="74"/>
        <w:gridCol w:w="178"/>
        <w:gridCol w:w="690"/>
        <w:gridCol w:w="177"/>
        <w:gridCol w:w="177"/>
        <w:gridCol w:w="690"/>
      </w:tblGrid>
      <w:tr w:rsidR="00000000">
        <w:trPr>
          <w:divId w:val="1396006898"/>
          <w:trHeight w:val="20"/>
        </w:trPr>
        <w:tc>
          <w:tcPr>
            <w:tcW w:w="2848" w:type="pct"/>
            <w:tcMar>
              <w:top w:w="0" w:type="dxa"/>
              <w:left w:w="0" w:type="dxa"/>
              <w:bottom w:w="0" w:type="dxa"/>
              <w:right w:w="0" w:type="dxa"/>
            </w:tcMar>
            <w:vAlign w:val="bottom"/>
            <w:hideMark/>
          </w:tcPr>
          <w:p w:rsidR="00000000" w:rsidRDefault="00E52F77">
            <w:pPr>
              <w:pStyle w:val="a3"/>
              <w:spacing w:before="0" w:beforeAutospacing="0" w:after="0" w:afterAutospacing="0"/>
              <w:divId w:val="636108022"/>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651755733"/>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496306894"/>
              <w:rPr>
                <w:sz w:val="20"/>
                <w:szCs w:val="20"/>
              </w:rPr>
            </w:pPr>
            <w:r>
              <w:rPr>
                <w:sz w:val="2"/>
                <w:szCs w:val="2"/>
              </w:rPr>
              <w:t>​</w:t>
            </w:r>
          </w:p>
        </w:tc>
        <w:tc>
          <w:tcPr>
            <w:tcW w:w="355" w:type="pct"/>
            <w:noWrap/>
            <w:tcMar>
              <w:top w:w="0" w:type="dxa"/>
              <w:left w:w="0" w:type="dxa"/>
              <w:bottom w:w="0" w:type="dxa"/>
              <w:right w:w="0" w:type="dxa"/>
            </w:tcMar>
            <w:vAlign w:val="center"/>
            <w:hideMark/>
          </w:tcPr>
          <w:p w:rsidR="00000000" w:rsidRDefault="00E52F77">
            <w:pPr>
              <w:pStyle w:val="a3"/>
              <w:spacing w:before="0" w:beforeAutospacing="0" w:after="0" w:afterAutospacing="0"/>
              <w:divId w:val="1722709922"/>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480347225"/>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821579566"/>
              <w:rPr>
                <w:sz w:val="20"/>
                <w:szCs w:val="20"/>
              </w:rPr>
            </w:pPr>
            <w:r>
              <w:rPr>
                <w:sz w:val="2"/>
                <w:szCs w:val="2"/>
              </w:rPr>
              <w:t>​</w:t>
            </w:r>
          </w:p>
        </w:tc>
        <w:tc>
          <w:tcPr>
            <w:tcW w:w="355" w:type="pct"/>
            <w:noWrap/>
            <w:tcMar>
              <w:top w:w="0" w:type="dxa"/>
              <w:left w:w="0" w:type="dxa"/>
              <w:bottom w:w="0" w:type="dxa"/>
              <w:right w:w="0" w:type="dxa"/>
            </w:tcMar>
            <w:vAlign w:val="center"/>
            <w:hideMark/>
          </w:tcPr>
          <w:p w:rsidR="00000000" w:rsidRDefault="00E52F77">
            <w:pPr>
              <w:pStyle w:val="a3"/>
              <w:spacing w:before="0" w:beforeAutospacing="0" w:after="0" w:afterAutospacing="0"/>
              <w:divId w:val="235827861"/>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469632723"/>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696202508"/>
              <w:rPr>
                <w:sz w:val="20"/>
                <w:szCs w:val="20"/>
              </w:rPr>
            </w:pPr>
            <w:r>
              <w:rPr>
                <w:sz w:val="2"/>
                <w:szCs w:val="2"/>
              </w:rPr>
              <w:t>​</w:t>
            </w:r>
          </w:p>
        </w:tc>
        <w:tc>
          <w:tcPr>
            <w:tcW w:w="355" w:type="pct"/>
            <w:noWrap/>
            <w:tcMar>
              <w:top w:w="0" w:type="dxa"/>
              <w:left w:w="0" w:type="dxa"/>
              <w:bottom w:w="0" w:type="dxa"/>
              <w:right w:w="0" w:type="dxa"/>
            </w:tcMar>
            <w:vAlign w:val="center"/>
            <w:hideMark/>
          </w:tcPr>
          <w:p w:rsidR="00000000" w:rsidRDefault="00E52F77">
            <w:pPr>
              <w:pStyle w:val="a3"/>
              <w:spacing w:before="0" w:beforeAutospacing="0" w:after="0" w:afterAutospacing="0"/>
              <w:divId w:val="112212856"/>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256712813"/>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41821051"/>
              <w:rPr>
                <w:sz w:val="20"/>
                <w:szCs w:val="20"/>
              </w:rPr>
            </w:pPr>
            <w:r>
              <w:rPr>
                <w:sz w:val="2"/>
                <w:szCs w:val="2"/>
              </w:rPr>
              <w:t>​</w:t>
            </w:r>
          </w:p>
        </w:tc>
        <w:tc>
          <w:tcPr>
            <w:tcW w:w="354" w:type="pct"/>
            <w:noWrap/>
            <w:tcMar>
              <w:top w:w="0" w:type="dxa"/>
              <w:left w:w="0" w:type="dxa"/>
              <w:bottom w:w="0" w:type="dxa"/>
              <w:right w:w="0" w:type="dxa"/>
            </w:tcMar>
            <w:vAlign w:val="center"/>
            <w:hideMark/>
          </w:tcPr>
          <w:p w:rsidR="00000000" w:rsidRDefault="00E52F77">
            <w:pPr>
              <w:pStyle w:val="a3"/>
              <w:spacing w:before="0" w:beforeAutospacing="0" w:after="0" w:afterAutospacing="0"/>
              <w:divId w:val="1182361188"/>
              <w:rPr>
                <w:sz w:val="20"/>
                <w:szCs w:val="20"/>
              </w:rPr>
            </w:pPr>
            <w:r>
              <w:rPr>
                <w:sz w:val="2"/>
                <w:szCs w:val="2"/>
              </w:rPr>
              <w:t>​</w:t>
            </w:r>
          </w:p>
        </w:tc>
      </w:tr>
      <w:tr w:rsidR="00000000">
        <w:trPr>
          <w:divId w:val="1396006898"/>
        </w:trPr>
        <w:tc>
          <w:tcPr>
            <w:tcW w:w="2848"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984" w:type="pct"/>
            <w:gridSpan w:val="5"/>
            <w:tcBorders>
              <w:bottom w:val="single" w:sz="6" w:space="0" w:color="000000"/>
            </w:tcBorders>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Three Months Ended June 30, </w:t>
            </w:r>
          </w:p>
        </w:tc>
        <w:tc>
          <w:tcPr>
            <w:tcW w:w="91"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983" w:type="pct"/>
            <w:gridSpan w:val="5"/>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Six Months Ended June 30, </w:t>
            </w:r>
          </w:p>
        </w:tc>
      </w:tr>
      <w:tr w:rsidR="00000000">
        <w:trPr>
          <w:divId w:val="1396006898"/>
        </w:trPr>
        <w:tc>
          <w:tcPr>
            <w:tcW w:w="2848" w:type="pct"/>
            <w:tcBorders>
              <w:bottom w:val="single" w:sz="6" w:space="0" w:color="000000"/>
            </w:tcBorders>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(In thousands)</w:t>
            </w:r>
          </w:p>
        </w:tc>
        <w:tc>
          <w:tcPr>
            <w:tcW w:w="91"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2021</w:t>
            </w:r>
          </w:p>
        </w:tc>
        <w:tc>
          <w:tcPr>
            <w:tcW w:w="91"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2020</w:t>
            </w:r>
          </w:p>
        </w:tc>
        <w:tc>
          <w:tcPr>
            <w:tcW w:w="91"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2021</w:t>
            </w:r>
          </w:p>
        </w:tc>
        <w:tc>
          <w:tcPr>
            <w:tcW w:w="91"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445"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2020</w:t>
            </w:r>
          </w:p>
        </w:tc>
      </w:tr>
      <w:tr w:rsidR="00000000">
        <w:trPr>
          <w:divId w:val="1396006898"/>
        </w:trPr>
        <w:tc>
          <w:tcPr>
            <w:tcW w:w="2848"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rPr>
                <w:sz w:val="18"/>
                <w:szCs w:val="18"/>
              </w:rPr>
            </w:pPr>
            <w:r>
              <w:rPr>
                <w:sz w:val="18"/>
                <w:szCs w:val="18"/>
              </w:rPr>
              <w:t xml:space="preserve">Research and development </w:t>
            </w:r>
          </w:p>
        </w:tc>
        <w:tc>
          <w:tcPr>
            <w:tcW w:w="91"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1"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w:t>
            </w:r>
          </w:p>
        </w:tc>
        <w:tc>
          <w:tcPr>
            <w:tcW w:w="355"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18"/>
                <w:szCs w:val="18"/>
              </w:rPr>
            </w:pPr>
            <w:r>
              <w:rPr>
                <w:sz w:val="18"/>
                <w:szCs w:val="18"/>
              </w:rPr>
              <w:t>7,315</w:t>
            </w:r>
          </w:p>
        </w:tc>
        <w:tc>
          <w:tcPr>
            <w:tcW w:w="91"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1"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w:t>
            </w:r>
          </w:p>
        </w:tc>
        <w:tc>
          <w:tcPr>
            <w:tcW w:w="355"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18"/>
                <w:szCs w:val="18"/>
              </w:rPr>
            </w:pPr>
            <w:r>
              <w:rPr>
                <w:sz w:val="18"/>
                <w:szCs w:val="18"/>
              </w:rPr>
              <w:t>8,098</w:t>
            </w:r>
          </w:p>
        </w:tc>
        <w:tc>
          <w:tcPr>
            <w:tcW w:w="91"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1"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w:t>
            </w:r>
          </w:p>
        </w:tc>
        <w:tc>
          <w:tcPr>
            <w:tcW w:w="355"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18"/>
                <w:szCs w:val="18"/>
              </w:rPr>
            </w:pPr>
            <w:r>
              <w:rPr>
                <w:sz w:val="18"/>
                <w:szCs w:val="18"/>
              </w:rPr>
              <w:t>15,236</w:t>
            </w:r>
          </w:p>
        </w:tc>
        <w:tc>
          <w:tcPr>
            <w:tcW w:w="91"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1"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w:t>
            </w:r>
          </w:p>
        </w:tc>
        <w:tc>
          <w:tcPr>
            <w:tcW w:w="354"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18"/>
                <w:szCs w:val="18"/>
              </w:rPr>
            </w:pPr>
            <w:r>
              <w:rPr>
                <w:sz w:val="18"/>
                <w:szCs w:val="18"/>
              </w:rPr>
              <w:t>15,963</w:t>
            </w:r>
          </w:p>
        </w:tc>
      </w:tr>
      <w:tr w:rsidR="00000000">
        <w:trPr>
          <w:divId w:val="1396006898"/>
        </w:trPr>
        <w:tc>
          <w:tcPr>
            <w:tcW w:w="2848" w:type="pct"/>
            <w:tcMar>
              <w:top w:w="0" w:type="dxa"/>
              <w:left w:w="0" w:type="dxa"/>
              <w:bottom w:w="0" w:type="dxa"/>
              <w:right w:w="0" w:type="dxa"/>
            </w:tcMar>
            <w:vAlign w:val="bottom"/>
            <w:hideMark/>
          </w:tcPr>
          <w:p w:rsidR="00000000" w:rsidRDefault="00E52F77">
            <w:pPr>
              <w:pStyle w:val="a3"/>
              <w:spacing w:before="0" w:beforeAutospacing="0" w:after="0" w:afterAutospacing="0"/>
              <w:rPr>
                <w:sz w:val="18"/>
                <w:szCs w:val="18"/>
              </w:rPr>
            </w:pPr>
            <w:r>
              <w:rPr>
                <w:sz w:val="18"/>
                <w:szCs w:val="18"/>
              </w:rPr>
              <w:t xml:space="preserve">Selling, general and administrative </w:t>
            </w:r>
          </w:p>
        </w:tc>
        <w:tc>
          <w:tcPr>
            <w:tcW w:w="91"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355" w:type="pct"/>
            <w:tcBorders>
              <w:bottom w:val="single" w:sz="6" w:space="0" w:color="000000"/>
            </w:tcBorders>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18"/>
                <w:szCs w:val="18"/>
              </w:rPr>
            </w:pPr>
            <w:r>
              <w:rPr>
                <w:sz w:val="18"/>
                <w:szCs w:val="18"/>
              </w:rPr>
              <w:t>7,626</w:t>
            </w:r>
          </w:p>
        </w:tc>
        <w:tc>
          <w:tcPr>
            <w:tcW w:w="91"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355" w:type="pct"/>
            <w:tcBorders>
              <w:bottom w:val="single" w:sz="6" w:space="0" w:color="000000"/>
            </w:tcBorders>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18"/>
                <w:szCs w:val="18"/>
              </w:rPr>
            </w:pPr>
            <w:r>
              <w:rPr>
                <w:sz w:val="18"/>
                <w:szCs w:val="18"/>
              </w:rPr>
              <w:t>8,487</w:t>
            </w:r>
          </w:p>
        </w:tc>
        <w:tc>
          <w:tcPr>
            <w:tcW w:w="91"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355" w:type="pct"/>
            <w:tcBorders>
              <w:bottom w:val="single" w:sz="6" w:space="0" w:color="000000"/>
            </w:tcBorders>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18"/>
                <w:szCs w:val="18"/>
              </w:rPr>
            </w:pPr>
            <w:r>
              <w:rPr>
                <w:sz w:val="18"/>
                <w:szCs w:val="18"/>
              </w:rPr>
              <w:t>15,537</w:t>
            </w:r>
          </w:p>
        </w:tc>
        <w:tc>
          <w:tcPr>
            <w:tcW w:w="91"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 </w:t>
            </w:r>
          </w:p>
        </w:tc>
        <w:tc>
          <w:tcPr>
            <w:tcW w:w="354" w:type="pct"/>
            <w:tcBorders>
              <w:bottom w:val="single" w:sz="6" w:space="0" w:color="000000"/>
            </w:tcBorders>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18"/>
                <w:szCs w:val="18"/>
              </w:rPr>
            </w:pPr>
            <w:r>
              <w:rPr>
                <w:sz w:val="18"/>
                <w:szCs w:val="18"/>
              </w:rPr>
              <w:t>15,898</w:t>
            </w:r>
          </w:p>
        </w:tc>
      </w:tr>
      <w:tr w:rsidR="00000000">
        <w:trPr>
          <w:divId w:val="1396006898"/>
        </w:trPr>
        <w:tc>
          <w:tcPr>
            <w:tcW w:w="2848"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left="240"/>
              <w:rPr>
                <w:sz w:val="18"/>
                <w:szCs w:val="18"/>
              </w:rPr>
            </w:pPr>
            <w:r>
              <w:rPr>
                <w:sz w:val="18"/>
                <w:szCs w:val="18"/>
              </w:rPr>
              <w:t xml:space="preserve">Total share-based compensation expense </w:t>
            </w:r>
          </w:p>
        </w:tc>
        <w:tc>
          <w:tcPr>
            <w:tcW w:w="91"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w:t>
            </w:r>
          </w:p>
        </w:tc>
        <w:tc>
          <w:tcPr>
            <w:tcW w:w="355"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18"/>
                <w:szCs w:val="18"/>
              </w:rPr>
            </w:pPr>
            <w:r>
              <w:rPr>
                <w:sz w:val="18"/>
                <w:szCs w:val="18"/>
              </w:rPr>
              <w:t>14,941</w:t>
            </w:r>
          </w:p>
        </w:tc>
        <w:tc>
          <w:tcPr>
            <w:tcW w:w="91"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w:t>
            </w:r>
          </w:p>
        </w:tc>
        <w:tc>
          <w:tcPr>
            <w:tcW w:w="355"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18"/>
                <w:szCs w:val="18"/>
              </w:rPr>
            </w:pPr>
            <w:r>
              <w:rPr>
                <w:sz w:val="18"/>
                <w:szCs w:val="18"/>
              </w:rPr>
              <w:t>16,585</w:t>
            </w:r>
          </w:p>
        </w:tc>
        <w:tc>
          <w:tcPr>
            <w:tcW w:w="91"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w:t>
            </w:r>
          </w:p>
        </w:tc>
        <w:tc>
          <w:tcPr>
            <w:tcW w:w="355"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18"/>
                <w:szCs w:val="18"/>
              </w:rPr>
            </w:pPr>
            <w:r>
              <w:rPr>
                <w:sz w:val="18"/>
                <w:szCs w:val="18"/>
              </w:rPr>
              <w:t>30,773</w:t>
            </w:r>
          </w:p>
        </w:tc>
        <w:tc>
          <w:tcPr>
            <w:tcW w:w="91"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8"/>
                <w:szCs w:val="18"/>
              </w:rPr>
              <w:t>​</w:t>
            </w:r>
          </w:p>
        </w:tc>
        <w:tc>
          <w:tcPr>
            <w:tcW w:w="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8"/>
                <w:szCs w:val="18"/>
              </w:rPr>
            </w:pPr>
            <w:r>
              <w:rPr>
                <w:sz w:val="18"/>
                <w:szCs w:val="18"/>
              </w:rPr>
              <w:t>$</w:t>
            </w:r>
          </w:p>
        </w:tc>
        <w:tc>
          <w:tcPr>
            <w:tcW w:w="354"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18"/>
                <w:szCs w:val="18"/>
              </w:rPr>
            </w:pPr>
            <w:r>
              <w:rPr>
                <w:sz w:val="18"/>
                <w:szCs w:val="18"/>
              </w:rPr>
              <w:t>31,861</w:t>
            </w:r>
          </w:p>
        </w:tc>
      </w:tr>
    </w:tbl>
    <w:p w:rsidR="00000000" w:rsidRDefault="00E52F77">
      <w:pPr>
        <w:pStyle w:val="a3"/>
        <w:spacing w:before="0" w:beforeAutospacing="0" w:after="0" w:afterAutospacing="0"/>
        <w:divId w:val="1396006898"/>
        <w:rPr>
          <w:sz w:val="20"/>
          <w:szCs w:val="20"/>
        </w:rPr>
      </w:pPr>
      <w:r>
        <w:rPr>
          <w:sz w:val="20"/>
          <w:szCs w:val="20"/>
        </w:rPr>
        <w:t>​</w:t>
      </w:r>
    </w:p>
    <w:p w:rsidR="00000000" w:rsidRDefault="00E52F77">
      <w:pPr>
        <w:pStyle w:val="a3"/>
        <w:spacing w:before="0" w:beforeAutospacing="0" w:after="0" w:afterAutospacing="0"/>
        <w:divId w:val="1396006898"/>
        <w:rPr>
          <w:sz w:val="20"/>
          <w:szCs w:val="20"/>
        </w:rPr>
      </w:pPr>
      <w:r>
        <w:rPr>
          <w:sz w:val="20"/>
          <w:szCs w:val="20"/>
        </w:rPr>
        <w:t>​</w:t>
      </w:r>
    </w:p>
    <w:p w:rsidR="00000000" w:rsidRDefault="00E52F77">
      <w:pPr>
        <w:pStyle w:val="a3"/>
        <w:spacing w:before="0" w:beforeAutospacing="0" w:after="0" w:afterAutospacing="0"/>
        <w:jc w:val="center"/>
        <w:divId w:val="1396006898"/>
        <w:rPr>
          <w:sz w:val="20"/>
          <w:szCs w:val="20"/>
        </w:rPr>
      </w:pPr>
      <w:r>
        <w:rPr>
          <w:i/>
          <w:iCs/>
          <w:sz w:val="20"/>
          <w:szCs w:val="20"/>
        </w:rPr>
        <w:t>See accompanying notes to condensed consolidated financial statements.</w:t>
      </w:r>
    </w:p>
    <w:p w:rsidR="00000000" w:rsidRDefault="00E52F77">
      <w:pPr>
        <w:pStyle w:val="a3"/>
        <w:spacing w:before="0" w:beforeAutospacing="0" w:after="0" w:afterAutospacing="0"/>
        <w:divId w:val="1396006898"/>
        <w:rPr>
          <w:sz w:val="20"/>
          <w:szCs w:val="20"/>
        </w:rPr>
      </w:pPr>
      <w:r>
        <w:rPr>
          <w:sz w:val="20"/>
          <w:szCs w:val="20"/>
        </w:rPr>
        <w:t>​</w:t>
      </w:r>
    </w:p>
    <w:p w:rsidR="00000000" w:rsidRDefault="00E52F77">
      <w:pPr>
        <w:pStyle w:val="a3"/>
        <w:spacing w:before="360" w:beforeAutospacing="0" w:after="0" w:afterAutospacing="0"/>
        <w:jc w:val="center"/>
        <w:divId w:val="1823036405"/>
        <w:rPr>
          <w:sz w:val="20"/>
          <w:szCs w:val="20"/>
        </w:rPr>
      </w:pPr>
      <w:r>
        <w:rPr>
          <w:sz w:val="20"/>
          <w:szCs w:val="20"/>
        </w:rPr>
        <w:lastRenderedPageBreak/>
        <w:t>4</w:t>
      </w:r>
    </w:p>
    <w:p w:rsidR="00000000" w:rsidRDefault="00E52F77">
      <w:pPr>
        <w:pStyle w:val="a3"/>
        <w:spacing w:before="0" w:beforeAutospacing="0" w:after="600" w:afterAutospacing="0"/>
        <w:divId w:val="1625110674"/>
        <w:rPr>
          <w:sz w:val="20"/>
          <w:szCs w:val="20"/>
        </w:rPr>
      </w:pPr>
      <w:hyperlink w:anchor="TOC" w:history="1">
        <w:r>
          <w:rPr>
            <w:rStyle w:val="a4"/>
            <w:sz w:val="20"/>
            <w:szCs w:val="20"/>
          </w:rPr>
          <w:t>Table of Contents</w:t>
        </w:r>
      </w:hyperlink>
    </w:p>
    <w:p w:rsidR="00000000" w:rsidRDefault="00E52F77">
      <w:pPr>
        <w:pStyle w:val="a3"/>
        <w:spacing w:before="0" w:beforeAutospacing="0" w:after="0" w:afterAutospacing="0"/>
        <w:jc w:val="center"/>
        <w:divId w:val="1963538386"/>
        <w:rPr>
          <w:sz w:val="20"/>
          <w:szCs w:val="20"/>
        </w:rPr>
      </w:pPr>
      <w:r>
        <w:rPr>
          <w:b/>
          <w:bCs/>
          <w:sz w:val="20"/>
          <w:szCs w:val="20"/>
        </w:rPr>
        <w:t>THERAVANCE BIOPHARMA, INC.</w:t>
      </w:r>
    </w:p>
    <w:p w:rsidR="00000000" w:rsidRDefault="00E52F77">
      <w:pPr>
        <w:pStyle w:val="a3"/>
        <w:spacing w:before="0" w:beforeAutospacing="0" w:after="0" w:afterAutospacing="0"/>
        <w:jc w:val="center"/>
        <w:divId w:val="1963538386"/>
        <w:rPr>
          <w:sz w:val="20"/>
          <w:szCs w:val="20"/>
        </w:rPr>
      </w:pPr>
      <w:r>
        <w:rPr>
          <w:b/>
          <w:bCs/>
          <w:sz w:val="20"/>
          <w:szCs w:val="20"/>
        </w:rPr>
        <w:t>CONDENSED CONSOLIDATED STATEMENTS OF SHAREHOLDERS’ DEFICIT</w:t>
      </w:r>
    </w:p>
    <w:p w:rsidR="00000000" w:rsidRDefault="00E52F77">
      <w:pPr>
        <w:pStyle w:val="a3"/>
        <w:spacing w:before="0" w:beforeAutospacing="0" w:after="0" w:afterAutospacing="0"/>
        <w:jc w:val="center"/>
        <w:divId w:val="1963538386"/>
        <w:rPr>
          <w:sz w:val="20"/>
          <w:szCs w:val="20"/>
        </w:rPr>
      </w:pPr>
      <w:r>
        <w:rPr>
          <w:b/>
          <w:bCs/>
          <w:sz w:val="20"/>
          <w:szCs w:val="20"/>
        </w:rPr>
        <w:t>(Unaudited)</w:t>
      </w:r>
    </w:p>
    <w:p w:rsidR="00000000" w:rsidRDefault="00E52F77">
      <w:pPr>
        <w:pStyle w:val="a3"/>
        <w:spacing w:before="0" w:beforeAutospacing="0" w:after="0" w:afterAutospacing="0"/>
        <w:jc w:val="center"/>
        <w:divId w:val="1963538386"/>
        <w:rPr>
          <w:sz w:val="20"/>
          <w:szCs w:val="20"/>
        </w:rPr>
      </w:pPr>
      <w:r>
        <w:rPr>
          <w:b/>
          <w:bCs/>
          <w:sz w:val="20"/>
          <w:szCs w:val="20"/>
        </w:rPr>
        <w:t>(In thousands)</w:t>
      </w:r>
    </w:p>
    <w:p w:rsidR="00000000" w:rsidRDefault="00E52F77">
      <w:pPr>
        <w:pStyle w:val="a3"/>
        <w:spacing w:before="0" w:beforeAutospacing="0" w:after="0" w:afterAutospacing="0"/>
        <w:jc w:val="center"/>
        <w:divId w:val="1963538386"/>
        <w:rPr>
          <w:sz w:val="20"/>
          <w:szCs w:val="20"/>
        </w:rPr>
      </w:pPr>
      <w:r>
        <w:rPr>
          <w:b/>
          <w:bCs/>
          <w:sz w:val="20"/>
          <w:szCs w:val="20"/>
        </w:rPr>
        <w:t>​</w:t>
      </w:r>
    </w:p>
    <w:tbl>
      <w:tblPr>
        <w:tblW w:w="5338" w:type="pct"/>
        <w:tblCellMar>
          <w:top w:w="15" w:type="dxa"/>
          <w:left w:w="0" w:type="dxa"/>
          <w:bottom w:w="15" w:type="dxa"/>
          <w:right w:w="0" w:type="dxa"/>
        </w:tblCellMar>
        <w:tblLook w:val="04A0" w:firstRow="1" w:lastRow="0" w:firstColumn="1" w:lastColumn="0" w:noHBand="0" w:noVBand="1"/>
      </w:tblPr>
      <w:tblGrid>
        <w:gridCol w:w="3226"/>
        <w:gridCol w:w="120"/>
        <w:gridCol w:w="550"/>
        <w:gridCol w:w="121"/>
        <w:gridCol w:w="113"/>
        <w:gridCol w:w="544"/>
        <w:gridCol w:w="120"/>
        <w:gridCol w:w="82"/>
        <w:gridCol w:w="690"/>
        <w:gridCol w:w="120"/>
        <w:gridCol w:w="216"/>
        <w:gridCol w:w="851"/>
        <w:gridCol w:w="120"/>
        <w:gridCol w:w="175"/>
        <w:gridCol w:w="747"/>
        <w:gridCol w:w="120"/>
        <w:gridCol w:w="194"/>
        <w:gridCol w:w="758"/>
      </w:tblGrid>
      <w:tr w:rsidR="00000000">
        <w:trPr>
          <w:divId w:val="1963538386"/>
          <w:trHeight w:val="20"/>
        </w:trPr>
        <w:tc>
          <w:tcPr>
            <w:tcW w:w="1851" w:type="pct"/>
            <w:tcMar>
              <w:top w:w="0" w:type="dxa"/>
              <w:left w:w="0" w:type="dxa"/>
              <w:bottom w:w="0" w:type="dxa"/>
              <w:right w:w="0" w:type="dxa"/>
            </w:tcMar>
            <w:vAlign w:val="bottom"/>
            <w:hideMark/>
          </w:tcPr>
          <w:p w:rsidR="00000000" w:rsidRDefault="00E52F77">
            <w:pPr>
              <w:pStyle w:val="a3"/>
              <w:spacing w:before="0" w:beforeAutospacing="0" w:after="0" w:afterAutospacing="0"/>
              <w:divId w:val="1116366937"/>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318458615"/>
              <w:rPr>
                <w:sz w:val="20"/>
                <w:szCs w:val="20"/>
              </w:rPr>
            </w:pPr>
            <w:r>
              <w:rPr>
                <w:sz w:val="2"/>
                <w:szCs w:val="2"/>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731154600"/>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892889667"/>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730467934"/>
              <w:rPr>
                <w:sz w:val="20"/>
                <w:szCs w:val="20"/>
              </w:rPr>
            </w:pPr>
            <w:r>
              <w:rPr>
                <w:sz w:val="2"/>
                <w:szCs w:val="2"/>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99897564"/>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661201655"/>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263487385"/>
              <w:rPr>
                <w:sz w:val="20"/>
                <w:szCs w:val="20"/>
              </w:rPr>
            </w:pPr>
            <w:r>
              <w:rPr>
                <w:sz w:val="2"/>
                <w:szCs w:val="2"/>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832641009"/>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441993485"/>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905068048"/>
              <w:rPr>
                <w:sz w:val="20"/>
                <w:szCs w:val="20"/>
              </w:rPr>
            </w:pPr>
            <w:r>
              <w:rPr>
                <w:sz w:val="2"/>
                <w:szCs w:val="2"/>
              </w:rPr>
              <w:t>​</w:t>
            </w:r>
          </w:p>
        </w:tc>
        <w:tc>
          <w:tcPr>
            <w:tcW w:w="394"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648776464"/>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553155431"/>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383676812"/>
              <w:rPr>
                <w:sz w:val="20"/>
                <w:szCs w:val="20"/>
              </w:rPr>
            </w:pPr>
            <w:r>
              <w:rPr>
                <w:sz w:val="2"/>
                <w:szCs w:val="2"/>
              </w:rPr>
              <w:t>​</w:t>
            </w:r>
          </w:p>
        </w:tc>
        <w:tc>
          <w:tcPr>
            <w:tcW w:w="365"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381758806"/>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792745800"/>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929507695"/>
              <w:rPr>
                <w:sz w:val="20"/>
                <w:szCs w:val="20"/>
              </w:rPr>
            </w:pPr>
            <w:r>
              <w:rPr>
                <w:sz w:val="2"/>
                <w:szCs w:val="2"/>
              </w:rPr>
              <w:t>​</w:t>
            </w:r>
          </w:p>
        </w:tc>
        <w:tc>
          <w:tcPr>
            <w:tcW w:w="352"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365956064"/>
              <w:rPr>
                <w:sz w:val="20"/>
                <w:szCs w:val="20"/>
              </w:rPr>
            </w:pPr>
            <w:r>
              <w:rPr>
                <w:sz w:val="2"/>
                <w:szCs w:val="2"/>
              </w:rPr>
              <w:t>​</w:t>
            </w:r>
          </w:p>
        </w:tc>
      </w:tr>
      <w:tr w:rsidR="00000000">
        <w:trPr>
          <w:divId w:val="1963538386"/>
        </w:trPr>
        <w:tc>
          <w:tcPr>
            <w:tcW w:w="1851"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color w:val="0563C1"/>
                <w:sz w:val="16"/>
                <w:szCs w:val="16"/>
                <w:u w:val="single"/>
              </w:rPr>
              <w:t>​</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495"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Accumulated</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6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2"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r>
      <w:tr w:rsidR="00000000">
        <w:trPr>
          <w:divId w:val="1963538386"/>
        </w:trPr>
        <w:tc>
          <w:tcPr>
            <w:tcW w:w="1851" w:type="pct"/>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86"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353" w:type="pct"/>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353" w:type="pct"/>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40"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Additional</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95"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Other</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365" w:type="pct"/>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42"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Total</w:t>
            </w:r>
          </w:p>
        </w:tc>
      </w:tr>
      <w:tr w:rsidR="00000000">
        <w:trPr>
          <w:divId w:val="1963538386"/>
        </w:trPr>
        <w:tc>
          <w:tcPr>
            <w:tcW w:w="1851" w:type="pct"/>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86"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880" w:type="pct"/>
            <w:gridSpan w:val="4"/>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Ordinary Shares</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40"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Paid-In</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95"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Comprehensive</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52"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Accumulated</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42"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Shareholders'</w:t>
            </w:r>
          </w:p>
        </w:tc>
      </w:tr>
      <w:tr w:rsidR="00000000">
        <w:trPr>
          <w:divId w:val="1963538386"/>
        </w:trPr>
        <w:tc>
          <w:tcPr>
            <w:tcW w:w="1851" w:type="pct"/>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sz w:val="16"/>
                <w:szCs w:val="16"/>
              </w:rPr>
              <w:t>   </w:t>
            </w:r>
          </w:p>
        </w:tc>
        <w:tc>
          <w:tcPr>
            <w:tcW w:w="353"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Shares</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sz w:val="16"/>
                <w:szCs w:val="16"/>
              </w:rPr>
              <w:t>   </w:t>
            </w:r>
          </w:p>
        </w:tc>
        <w:tc>
          <w:tcPr>
            <w:tcW w:w="440"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Amount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sz w:val="16"/>
                <w:szCs w:val="16"/>
              </w:rPr>
              <w:t>   </w:t>
            </w:r>
          </w:p>
        </w:tc>
        <w:tc>
          <w:tcPr>
            <w:tcW w:w="440"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Capital</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sz w:val="16"/>
                <w:szCs w:val="16"/>
              </w:rPr>
              <w:t>   </w:t>
            </w:r>
          </w:p>
        </w:tc>
        <w:tc>
          <w:tcPr>
            <w:tcW w:w="495"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Income (Loss)</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sz w:val="16"/>
                <w:szCs w:val="16"/>
              </w:rPr>
              <w:t>   </w:t>
            </w:r>
          </w:p>
        </w:tc>
        <w:tc>
          <w:tcPr>
            <w:tcW w:w="452"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Deficit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sz w:val="16"/>
                <w:szCs w:val="16"/>
              </w:rPr>
              <w:t>   </w:t>
            </w:r>
          </w:p>
        </w:tc>
        <w:tc>
          <w:tcPr>
            <w:tcW w:w="442"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Deficit</w:t>
            </w:r>
          </w:p>
        </w:tc>
      </w:tr>
      <w:tr w:rsidR="00000000">
        <w:trPr>
          <w:divId w:val="1963538386"/>
        </w:trPr>
        <w:tc>
          <w:tcPr>
            <w:tcW w:w="1851"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sz w:val="16"/>
                <w:szCs w:val="16"/>
              </w:rPr>
              <w:t>Balances at March 31, 2021</w:t>
            </w:r>
          </w:p>
        </w:tc>
        <w:tc>
          <w:tcPr>
            <w:tcW w:w="8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65,218</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sz w:val="16"/>
                <w:szCs w:val="16"/>
              </w:rPr>
              <w:t>$</w:t>
            </w:r>
          </w:p>
        </w:tc>
        <w:tc>
          <w:tcPr>
            <w:tcW w:w="3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1</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sz w:val="16"/>
                <w:szCs w:val="16"/>
              </w:rPr>
              <w:t>$</w:t>
            </w:r>
          </w:p>
        </w:tc>
        <w:tc>
          <w:tcPr>
            <w:tcW w:w="3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1,233,060</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10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sz w:val="16"/>
                <w:szCs w:val="16"/>
              </w:rPr>
              <w:t>$</w:t>
            </w:r>
          </w:p>
        </w:tc>
        <w:tc>
          <w:tcPr>
            <w:tcW w:w="39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17</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sz w:val="16"/>
                <w:szCs w:val="16"/>
              </w:rPr>
              <w:t>$</w:t>
            </w:r>
          </w:p>
        </w:tc>
        <w:tc>
          <w:tcPr>
            <w:tcW w:w="36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6"/>
                <w:szCs w:val="16"/>
              </w:rPr>
            </w:pPr>
            <w:r>
              <w:rPr>
                <w:sz w:val="16"/>
                <w:szCs w:val="16"/>
              </w:rPr>
              <w:t>(1,606,296)</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sz w:val="16"/>
                <w:szCs w:val="16"/>
              </w:rPr>
              <w:t>$</w:t>
            </w:r>
          </w:p>
        </w:tc>
        <w:tc>
          <w:tcPr>
            <w:tcW w:w="35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6"/>
                <w:szCs w:val="16"/>
              </w:rPr>
            </w:pPr>
            <w:r>
              <w:rPr>
                <w:sz w:val="16"/>
                <w:szCs w:val="16"/>
              </w:rPr>
              <w:t>(373,218)</w:t>
            </w:r>
          </w:p>
        </w:tc>
      </w:tr>
      <w:tr w:rsidR="00000000">
        <w:trPr>
          <w:divId w:val="1963538386"/>
        </w:trPr>
        <w:tc>
          <w:tcPr>
            <w:tcW w:w="1851" w:type="pct"/>
            <w:tcMar>
              <w:top w:w="0" w:type="dxa"/>
              <w:left w:w="0" w:type="dxa"/>
              <w:bottom w:w="0" w:type="dxa"/>
              <w:right w:w="0" w:type="dxa"/>
            </w:tcMar>
            <w:vAlign w:val="bottom"/>
            <w:hideMark/>
          </w:tcPr>
          <w:p w:rsidR="00000000" w:rsidRDefault="00E52F77">
            <w:pPr>
              <w:pStyle w:val="a3"/>
              <w:spacing w:before="0" w:beforeAutospacing="0" w:after="0" w:afterAutospacing="0"/>
              <w:ind w:left="240"/>
              <w:rPr>
                <w:sz w:val="16"/>
                <w:szCs w:val="16"/>
              </w:rPr>
            </w:pPr>
            <w:r>
              <w:rPr>
                <w:sz w:val="16"/>
                <w:szCs w:val="16"/>
              </w:rPr>
              <w:t>Net proceeds from sale of ordinary shares</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7,705</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108,180</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94" w:type="pct"/>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65" w:type="pct"/>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2" w:type="pct"/>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108,180</w:t>
            </w:r>
          </w:p>
        </w:tc>
      </w:tr>
      <w:tr w:rsidR="00000000">
        <w:trPr>
          <w:divId w:val="1963538386"/>
        </w:trPr>
        <w:tc>
          <w:tcPr>
            <w:tcW w:w="1851"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left="240"/>
              <w:rPr>
                <w:sz w:val="16"/>
                <w:szCs w:val="16"/>
              </w:rPr>
            </w:pPr>
            <w:r>
              <w:rPr>
                <w:sz w:val="16"/>
                <w:szCs w:val="16"/>
              </w:rPr>
              <w:t>Proceeds from ESPP purchases</w:t>
            </w:r>
          </w:p>
        </w:tc>
        <w:tc>
          <w:tcPr>
            <w:tcW w:w="8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189</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2,862</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10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94"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65"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2"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2,862</w:t>
            </w:r>
          </w:p>
        </w:tc>
      </w:tr>
      <w:tr w:rsidR="00000000">
        <w:trPr>
          <w:divId w:val="1963538386"/>
        </w:trPr>
        <w:tc>
          <w:tcPr>
            <w:tcW w:w="1851" w:type="pct"/>
            <w:tcMar>
              <w:top w:w="0" w:type="dxa"/>
              <w:left w:w="0" w:type="dxa"/>
              <w:bottom w:w="0" w:type="dxa"/>
              <w:right w:w="0" w:type="dxa"/>
            </w:tcMar>
            <w:vAlign w:val="bottom"/>
            <w:hideMark/>
          </w:tcPr>
          <w:p w:rsidR="00000000" w:rsidRDefault="00E52F77">
            <w:pPr>
              <w:pStyle w:val="a3"/>
              <w:spacing w:before="0" w:beforeAutospacing="0" w:after="0" w:afterAutospacing="0"/>
              <w:ind w:left="240"/>
              <w:rPr>
                <w:sz w:val="16"/>
                <w:szCs w:val="16"/>
              </w:rPr>
            </w:pPr>
            <w:r>
              <w:rPr>
                <w:sz w:val="16"/>
                <w:szCs w:val="16"/>
              </w:rPr>
              <w:t>Employee share-based compensation expense</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14,941</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94" w:type="pct"/>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65" w:type="pct"/>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2" w:type="pct"/>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14,941</w:t>
            </w:r>
          </w:p>
        </w:tc>
      </w:tr>
      <w:tr w:rsidR="00000000">
        <w:trPr>
          <w:divId w:val="1963538386"/>
        </w:trPr>
        <w:tc>
          <w:tcPr>
            <w:tcW w:w="1851"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left="240"/>
              <w:rPr>
                <w:sz w:val="16"/>
                <w:szCs w:val="16"/>
              </w:rPr>
            </w:pPr>
            <w:r>
              <w:rPr>
                <w:sz w:val="16"/>
                <w:szCs w:val="16"/>
              </w:rPr>
              <w:t>Issuance of restricted shares</w:t>
            </w:r>
          </w:p>
        </w:tc>
        <w:tc>
          <w:tcPr>
            <w:tcW w:w="8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399</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10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94"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65"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2"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r>
      <w:tr w:rsidR="00000000">
        <w:trPr>
          <w:divId w:val="1963538386"/>
        </w:trPr>
        <w:tc>
          <w:tcPr>
            <w:tcW w:w="1851" w:type="pct"/>
            <w:tcMar>
              <w:top w:w="0" w:type="dxa"/>
              <w:left w:w="0" w:type="dxa"/>
              <w:bottom w:w="0" w:type="dxa"/>
              <w:right w:w="0" w:type="dxa"/>
            </w:tcMar>
            <w:vAlign w:val="bottom"/>
            <w:hideMark/>
          </w:tcPr>
          <w:p w:rsidR="00000000" w:rsidRDefault="00E52F77">
            <w:pPr>
              <w:pStyle w:val="a3"/>
              <w:spacing w:before="0" w:beforeAutospacing="0" w:after="0" w:afterAutospacing="0"/>
              <w:ind w:left="240"/>
              <w:rPr>
                <w:sz w:val="16"/>
                <w:szCs w:val="16"/>
              </w:rPr>
            </w:pPr>
            <w:r>
              <w:rPr>
                <w:sz w:val="16"/>
                <w:szCs w:val="16"/>
              </w:rPr>
              <w:t>Option exercises</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2</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94" w:type="pct"/>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65" w:type="pct"/>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2" w:type="pct"/>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2</w:t>
            </w:r>
          </w:p>
        </w:tc>
      </w:tr>
      <w:tr w:rsidR="00000000">
        <w:trPr>
          <w:divId w:val="1963538386"/>
        </w:trPr>
        <w:tc>
          <w:tcPr>
            <w:tcW w:w="1851"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left="240"/>
              <w:rPr>
                <w:sz w:val="16"/>
                <w:szCs w:val="16"/>
              </w:rPr>
            </w:pPr>
            <w:r>
              <w:rPr>
                <w:sz w:val="16"/>
                <w:szCs w:val="16"/>
              </w:rPr>
              <w:t>Repurchase of shares to satisfy tax withholding</w:t>
            </w:r>
          </w:p>
        </w:tc>
        <w:tc>
          <w:tcPr>
            <w:tcW w:w="8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6"/>
                <w:szCs w:val="16"/>
              </w:rPr>
            </w:pPr>
            <w:r>
              <w:rPr>
                <w:sz w:val="16"/>
                <w:szCs w:val="16"/>
              </w:rPr>
              <w:t>(41)</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6"/>
                <w:szCs w:val="16"/>
              </w:rPr>
            </w:pPr>
            <w:r>
              <w:rPr>
                <w:sz w:val="16"/>
                <w:szCs w:val="16"/>
              </w:rPr>
              <w:t>(727)</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10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94"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65"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2"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6"/>
                <w:szCs w:val="16"/>
              </w:rPr>
            </w:pPr>
            <w:r>
              <w:rPr>
                <w:sz w:val="16"/>
                <w:szCs w:val="16"/>
              </w:rPr>
              <w:t>(727)</w:t>
            </w:r>
          </w:p>
        </w:tc>
      </w:tr>
      <w:tr w:rsidR="00000000">
        <w:trPr>
          <w:divId w:val="1963538386"/>
        </w:trPr>
        <w:tc>
          <w:tcPr>
            <w:tcW w:w="1851" w:type="pct"/>
            <w:tcMar>
              <w:top w:w="0" w:type="dxa"/>
              <w:left w:w="0" w:type="dxa"/>
              <w:bottom w:w="0" w:type="dxa"/>
              <w:right w:w="0" w:type="dxa"/>
            </w:tcMar>
            <w:vAlign w:val="bottom"/>
            <w:hideMark/>
          </w:tcPr>
          <w:p w:rsidR="00000000" w:rsidRDefault="00E52F77">
            <w:pPr>
              <w:pStyle w:val="a3"/>
              <w:spacing w:before="0" w:beforeAutospacing="0" w:after="0" w:afterAutospacing="0"/>
              <w:ind w:left="240"/>
              <w:rPr>
                <w:sz w:val="16"/>
                <w:szCs w:val="16"/>
              </w:rPr>
            </w:pPr>
            <w:r>
              <w:rPr>
                <w:sz w:val="16"/>
                <w:szCs w:val="16"/>
              </w:rPr>
              <w:t>Net unrealized gain on marketable securities</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94" w:type="pct"/>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6"/>
                <w:szCs w:val="16"/>
              </w:rPr>
            </w:pPr>
            <w:r>
              <w:rPr>
                <w:sz w:val="16"/>
                <w:szCs w:val="16"/>
              </w:rPr>
              <w:t>(9)</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65" w:type="pct"/>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2" w:type="pct"/>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6"/>
                <w:szCs w:val="16"/>
              </w:rPr>
            </w:pPr>
            <w:r>
              <w:rPr>
                <w:sz w:val="16"/>
                <w:szCs w:val="16"/>
              </w:rPr>
              <w:t>(9)</w:t>
            </w:r>
          </w:p>
        </w:tc>
      </w:tr>
      <w:tr w:rsidR="00000000">
        <w:trPr>
          <w:divId w:val="1963538386"/>
        </w:trPr>
        <w:tc>
          <w:tcPr>
            <w:tcW w:w="1851"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left="240"/>
              <w:rPr>
                <w:sz w:val="16"/>
                <w:szCs w:val="16"/>
              </w:rPr>
            </w:pPr>
            <w:r>
              <w:rPr>
                <w:sz w:val="16"/>
                <w:szCs w:val="16"/>
              </w:rPr>
              <w:t>Net loss</w:t>
            </w:r>
          </w:p>
        </w:tc>
        <w:tc>
          <w:tcPr>
            <w:tcW w:w="8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tcBorders>
              <w:bottom w:val="single" w:sz="6" w:space="0" w:color="000000"/>
            </w:tcBorders>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tcBorders>
              <w:bottom w:val="single" w:sz="6" w:space="0" w:color="000000"/>
            </w:tcBorders>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tcBorders>
              <w:bottom w:val="single" w:sz="6" w:space="0" w:color="000000"/>
            </w:tcBorders>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10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94" w:type="pct"/>
            <w:tcBorders>
              <w:bottom w:val="single" w:sz="6" w:space="0" w:color="000000"/>
            </w:tcBorders>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65" w:type="pct"/>
            <w:tcBorders>
              <w:bottom w:val="single" w:sz="6" w:space="0" w:color="000000"/>
            </w:tcBorders>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6"/>
                <w:szCs w:val="16"/>
              </w:rPr>
            </w:pPr>
            <w:r>
              <w:rPr>
                <w:sz w:val="16"/>
                <w:szCs w:val="16"/>
              </w:rPr>
              <w:t>(52,405)</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2" w:type="pct"/>
            <w:tcBorders>
              <w:bottom w:val="single" w:sz="6" w:space="0" w:color="000000"/>
            </w:tcBorders>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6"/>
                <w:szCs w:val="16"/>
              </w:rPr>
            </w:pPr>
            <w:r>
              <w:rPr>
                <w:sz w:val="16"/>
                <w:szCs w:val="16"/>
              </w:rPr>
              <w:t>(52,405)</w:t>
            </w:r>
          </w:p>
        </w:tc>
      </w:tr>
      <w:tr w:rsidR="00000000">
        <w:trPr>
          <w:divId w:val="1963538386"/>
        </w:trPr>
        <w:tc>
          <w:tcPr>
            <w:tcW w:w="1851" w:type="pct"/>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sz w:val="16"/>
                <w:szCs w:val="16"/>
              </w:rPr>
              <w:t>Balances at June 30, 2021</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73,470</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sz w:val="16"/>
                <w:szCs w:val="16"/>
              </w:rPr>
              <w:t>$</w:t>
            </w:r>
          </w:p>
        </w:tc>
        <w:tc>
          <w:tcPr>
            <w:tcW w:w="353"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1</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sz w:val="16"/>
                <w:szCs w:val="16"/>
              </w:rPr>
              <w:t>$</w:t>
            </w:r>
          </w:p>
        </w:tc>
        <w:tc>
          <w:tcPr>
            <w:tcW w:w="353"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1,358,318</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100"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sz w:val="16"/>
                <w:szCs w:val="16"/>
              </w:rPr>
              <w:t>$</w:t>
            </w:r>
          </w:p>
        </w:tc>
        <w:tc>
          <w:tcPr>
            <w:tcW w:w="394"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8</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sz w:val="16"/>
                <w:szCs w:val="16"/>
              </w:rPr>
              <w:t>$</w:t>
            </w:r>
          </w:p>
        </w:tc>
        <w:tc>
          <w:tcPr>
            <w:tcW w:w="365"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6"/>
                <w:szCs w:val="16"/>
              </w:rPr>
            </w:pPr>
            <w:r>
              <w:rPr>
                <w:sz w:val="16"/>
                <w:szCs w:val="16"/>
              </w:rPr>
              <w:t>(1,658,701)</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sz w:val="16"/>
                <w:szCs w:val="16"/>
              </w:rPr>
              <w:t>$</w:t>
            </w:r>
          </w:p>
        </w:tc>
        <w:tc>
          <w:tcPr>
            <w:tcW w:w="352"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6"/>
                <w:szCs w:val="16"/>
              </w:rPr>
            </w:pPr>
            <w:r>
              <w:rPr>
                <w:sz w:val="16"/>
                <w:szCs w:val="16"/>
              </w:rPr>
              <w:t>(300,374)</w:t>
            </w:r>
          </w:p>
        </w:tc>
      </w:tr>
      <w:tr w:rsidR="00000000">
        <w:trPr>
          <w:divId w:val="1963538386"/>
        </w:trPr>
        <w:tc>
          <w:tcPr>
            <w:tcW w:w="1851"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94"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65"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2"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6"/>
                <w:szCs w:val="16"/>
              </w:rPr>
              <w:t>​</w:t>
            </w:r>
          </w:p>
        </w:tc>
      </w:tr>
      <w:tr w:rsidR="00000000">
        <w:trPr>
          <w:divId w:val="1963538386"/>
        </w:trPr>
        <w:tc>
          <w:tcPr>
            <w:tcW w:w="1851"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color w:val="0563C1"/>
                <w:sz w:val="16"/>
                <w:szCs w:val="16"/>
                <w:u w:val="single"/>
              </w:rPr>
              <w:t>​</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495"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Accumulated</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6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2"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r>
      <w:tr w:rsidR="00000000">
        <w:trPr>
          <w:divId w:val="1963538386"/>
        </w:trPr>
        <w:tc>
          <w:tcPr>
            <w:tcW w:w="1851" w:type="pct"/>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86"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353" w:type="pct"/>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353" w:type="pct"/>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40"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Additional</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95"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Other</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365" w:type="pct"/>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42"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Total</w:t>
            </w:r>
          </w:p>
        </w:tc>
      </w:tr>
      <w:tr w:rsidR="00000000">
        <w:trPr>
          <w:divId w:val="1963538386"/>
        </w:trPr>
        <w:tc>
          <w:tcPr>
            <w:tcW w:w="1851" w:type="pct"/>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86"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880" w:type="pct"/>
            <w:gridSpan w:val="4"/>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Ordinary Shares</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40"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Paid-In</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95"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Comprehensive</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52"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Accumulated</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42"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Shareholders'</w:t>
            </w:r>
          </w:p>
        </w:tc>
      </w:tr>
      <w:tr w:rsidR="00000000">
        <w:trPr>
          <w:divId w:val="1963538386"/>
        </w:trPr>
        <w:tc>
          <w:tcPr>
            <w:tcW w:w="1851" w:type="pct"/>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sz w:val="16"/>
                <w:szCs w:val="16"/>
              </w:rPr>
              <w:t>   </w:t>
            </w:r>
          </w:p>
        </w:tc>
        <w:tc>
          <w:tcPr>
            <w:tcW w:w="353"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Shares</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sz w:val="16"/>
                <w:szCs w:val="16"/>
              </w:rPr>
              <w:t>   </w:t>
            </w:r>
          </w:p>
        </w:tc>
        <w:tc>
          <w:tcPr>
            <w:tcW w:w="440"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Amount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sz w:val="16"/>
                <w:szCs w:val="16"/>
              </w:rPr>
              <w:t>   </w:t>
            </w:r>
          </w:p>
        </w:tc>
        <w:tc>
          <w:tcPr>
            <w:tcW w:w="440"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Capital</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sz w:val="16"/>
                <w:szCs w:val="16"/>
              </w:rPr>
              <w:t>   </w:t>
            </w:r>
          </w:p>
        </w:tc>
        <w:tc>
          <w:tcPr>
            <w:tcW w:w="495"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Income (Loss)</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sz w:val="16"/>
                <w:szCs w:val="16"/>
              </w:rPr>
              <w:t>   </w:t>
            </w:r>
          </w:p>
        </w:tc>
        <w:tc>
          <w:tcPr>
            <w:tcW w:w="452"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Deficit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sz w:val="16"/>
                <w:szCs w:val="16"/>
              </w:rPr>
              <w:t>   </w:t>
            </w:r>
          </w:p>
        </w:tc>
        <w:tc>
          <w:tcPr>
            <w:tcW w:w="442"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Deficit</w:t>
            </w:r>
          </w:p>
        </w:tc>
      </w:tr>
      <w:tr w:rsidR="00000000">
        <w:trPr>
          <w:divId w:val="1963538386"/>
        </w:trPr>
        <w:tc>
          <w:tcPr>
            <w:tcW w:w="1851"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sz w:val="16"/>
                <w:szCs w:val="16"/>
              </w:rPr>
              <w:t>Balances at December 31, 2020</w:t>
            </w:r>
          </w:p>
        </w:tc>
        <w:tc>
          <w:tcPr>
            <w:tcW w:w="8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64,328</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sz w:val="16"/>
                <w:szCs w:val="16"/>
              </w:rPr>
              <w:t>$</w:t>
            </w:r>
          </w:p>
        </w:tc>
        <w:tc>
          <w:tcPr>
            <w:tcW w:w="3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1</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sz w:val="16"/>
                <w:szCs w:val="16"/>
              </w:rPr>
              <w:t>$</w:t>
            </w:r>
          </w:p>
        </w:tc>
        <w:tc>
          <w:tcPr>
            <w:tcW w:w="3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1,222,818</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10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sz w:val="16"/>
                <w:szCs w:val="16"/>
              </w:rPr>
              <w:t>$</w:t>
            </w:r>
          </w:p>
        </w:tc>
        <w:tc>
          <w:tcPr>
            <w:tcW w:w="39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47</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sz w:val="16"/>
                <w:szCs w:val="16"/>
              </w:rPr>
              <w:t>$</w:t>
            </w:r>
          </w:p>
        </w:tc>
        <w:tc>
          <w:tcPr>
            <w:tcW w:w="36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6"/>
                <w:szCs w:val="16"/>
              </w:rPr>
            </w:pPr>
            <w:r>
              <w:rPr>
                <w:sz w:val="16"/>
                <w:szCs w:val="16"/>
              </w:rPr>
              <w:t>(1,526,617)</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sz w:val="16"/>
                <w:szCs w:val="16"/>
              </w:rPr>
              <w:t>$</w:t>
            </w:r>
          </w:p>
        </w:tc>
        <w:tc>
          <w:tcPr>
            <w:tcW w:w="35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6"/>
                <w:szCs w:val="16"/>
              </w:rPr>
            </w:pPr>
            <w:r>
              <w:rPr>
                <w:sz w:val="16"/>
                <w:szCs w:val="16"/>
              </w:rPr>
              <w:t>(303,751)</w:t>
            </w:r>
          </w:p>
        </w:tc>
      </w:tr>
      <w:tr w:rsidR="00000000">
        <w:trPr>
          <w:divId w:val="1963538386"/>
        </w:trPr>
        <w:tc>
          <w:tcPr>
            <w:tcW w:w="1851" w:type="pct"/>
            <w:tcMar>
              <w:top w:w="0" w:type="dxa"/>
              <w:left w:w="0" w:type="dxa"/>
              <w:bottom w:w="0" w:type="dxa"/>
              <w:right w:w="0" w:type="dxa"/>
            </w:tcMar>
            <w:vAlign w:val="bottom"/>
            <w:hideMark/>
          </w:tcPr>
          <w:p w:rsidR="00000000" w:rsidRDefault="00E52F77">
            <w:pPr>
              <w:pStyle w:val="a3"/>
              <w:spacing w:before="0" w:beforeAutospacing="0" w:after="0" w:afterAutospacing="0"/>
              <w:ind w:left="240"/>
              <w:rPr>
                <w:sz w:val="16"/>
                <w:szCs w:val="16"/>
              </w:rPr>
            </w:pPr>
            <w:r>
              <w:rPr>
                <w:sz w:val="16"/>
                <w:szCs w:val="16"/>
              </w:rPr>
              <w:t>Net proceeds from sale of ordinary shares</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7,705</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108,180</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94"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65"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2"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108,180</w:t>
            </w:r>
          </w:p>
        </w:tc>
      </w:tr>
      <w:tr w:rsidR="00000000">
        <w:trPr>
          <w:divId w:val="1963538386"/>
        </w:trPr>
        <w:tc>
          <w:tcPr>
            <w:tcW w:w="1851"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left="240"/>
              <w:rPr>
                <w:sz w:val="16"/>
                <w:szCs w:val="16"/>
              </w:rPr>
            </w:pPr>
            <w:r>
              <w:rPr>
                <w:sz w:val="16"/>
                <w:szCs w:val="16"/>
              </w:rPr>
              <w:t>Proceeds from ESPP purchases</w:t>
            </w:r>
          </w:p>
        </w:tc>
        <w:tc>
          <w:tcPr>
            <w:tcW w:w="8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189</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2,862</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10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9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6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2,862</w:t>
            </w:r>
          </w:p>
        </w:tc>
      </w:tr>
      <w:tr w:rsidR="00000000">
        <w:trPr>
          <w:divId w:val="1963538386"/>
        </w:trPr>
        <w:tc>
          <w:tcPr>
            <w:tcW w:w="1851" w:type="pct"/>
            <w:tcMar>
              <w:top w:w="0" w:type="dxa"/>
              <w:left w:w="0" w:type="dxa"/>
              <w:bottom w:w="0" w:type="dxa"/>
              <w:right w:w="0" w:type="dxa"/>
            </w:tcMar>
            <w:vAlign w:val="bottom"/>
            <w:hideMark/>
          </w:tcPr>
          <w:p w:rsidR="00000000" w:rsidRDefault="00E52F77">
            <w:pPr>
              <w:pStyle w:val="a3"/>
              <w:spacing w:before="0" w:beforeAutospacing="0" w:after="0" w:afterAutospacing="0"/>
              <w:ind w:left="240"/>
              <w:rPr>
                <w:sz w:val="16"/>
                <w:szCs w:val="16"/>
              </w:rPr>
            </w:pPr>
            <w:r>
              <w:rPr>
                <w:sz w:val="16"/>
                <w:szCs w:val="16"/>
              </w:rPr>
              <w:t>Employee share-based compensation expense</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30,773</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94"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65"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2"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30,773</w:t>
            </w:r>
          </w:p>
        </w:tc>
      </w:tr>
      <w:tr w:rsidR="00000000">
        <w:trPr>
          <w:divId w:val="1963538386"/>
        </w:trPr>
        <w:tc>
          <w:tcPr>
            <w:tcW w:w="1851"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left="240"/>
              <w:rPr>
                <w:sz w:val="16"/>
                <w:szCs w:val="16"/>
              </w:rPr>
            </w:pPr>
            <w:r>
              <w:rPr>
                <w:sz w:val="16"/>
                <w:szCs w:val="16"/>
              </w:rPr>
              <w:t>Issuance of restricted shares</w:t>
            </w:r>
          </w:p>
        </w:tc>
        <w:tc>
          <w:tcPr>
            <w:tcW w:w="8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1,587</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10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9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6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r>
      <w:tr w:rsidR="00000000">
        <w:trPr>
          <w:divId w:val="1963538386"/>
        </w:trPr>
        <w:tc>
          <w:tcPr>
            <w:tcW w:w="1851" w:type="pct"/>
            <w:tcMar>
              <w:top w:w="0" w:type="dxa"/>
              <w:left w:w="0" w:type="dxa"/>
              <w:bottom w:w="0" w:type="dxa"/>
              <w:right w:w="0" w:type="dxa"/>
            </w:tcMar>
            <w:vAlign w:val="bottom"/>
            <w:hideMark/>
          </w:tcPr>
          <w:p w:rsidR="00000000" w:rsidRDefault="00E52F77">
            <w:pPr>
              <w:pStyle w:val="a3"/>
              <w:spacing w:before="0" w:beforeAutospacing="0" w:after="0" w:afterAutospacing="0"/>
              <w:ind w:left="240"/>
              <w:rPr>
                <w:sz w:val="16"/>
                <w:szCs w:val="16"/>
              </w:rPr>
            </w:pPr>
            <w:r>
              <w:rPr>
                <w:sz w:val="16"/>
                <w:szCs w:val="16"/>
              </w:rPr>
              <w:t>Option exercises</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5</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94"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65"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2"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5</w:t>
            </w:r>
          </w:p>
        </w:tc>
      </w:tr>
      <w:tr w:rsidR="00000000">
        <w:trPr>
          <w:divId w:val="1963538386"/>
        </w:trPr>
        <w:tc>
          <w:tcPr>
            <w:tcW w:w="1851"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left="240"/>
              <w:rPr>
                <w:sz w:val="16"/>
                <w:szCs w:val="16"/>
              </w:rPr>
            </w:pPr>
            <w:r>
              <w:rPr>
                <w:sz w:val="16"/>
                <w:szCs w:val="16"/>
              </w:rPr>
              <w:t>Repurchase of shares to satisfy tax withholding</w:t>
            </w:r>
          </w:p>
        </w:tc>
        <w:tc>
          <w:tcPr>
            <w:tcW w:w="8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6"/>
                <w:szCs w:val="16"/>
              </w:rPr>
            </w:pPr>
            <w:r>
              <w:rPr>
                <w:sz w:val="16"/>
                <w:szCs w:val="16"/>
              </w:rPr>
              <w:t>(339)</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6"/>
                <w:szCs w:val="16"/>
              </w:rPr>
            </w:pPr>
            <w:r>
              <w:rPr>
                <w:sz w:val="16"/>
                <w:szCs w:val="16"/>
              </w:rPr>
              <w:t>(6,320)</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10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9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6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6"/>
                <w:szCs w:val="16"/>
              </w:rPr>
            </w:pPr>
            <w:r>
              <w:rPr>
                <w:sz w:val="16"/>
                <w:szCs w:val="16"/>
              </w:rPr>
              <w:t>(6,320)</w:t>
            </w:r>
          </w:p>
        </w:tc>
      </w:tr>
      <w:tr w:rsidR="00000000">
        <w:trPr>
          <w:divId w:val="1963538386"/>
        </w:trPr>
        <w:tc>
          <w:tcPr>
            <w:tcW w:w="1851" w:type="pct"/>
            <w:tcMar>
              <w:top w:w="0" w:type="dxa"/>
              <w:left w:w="0" w:type="dxa"/>
              <w:bottom w:w="0" w:type="dxa"/>
              <w:right w:w="0" w:type="dxa"/>
            </w:tcMar>
            <w:vAlign w:val="bottom"/>
            <w:hideMark/>
          </w:tcPr>
          <w:p w:rsidR="00000000" w:rsidRDefault="00E52F77">
            <w:pPr>
              <w:pStyle w:val="a3"/>
              <w:spacing w:before="0" w:beforeAutospacing="0" w:after="0" w:afterAutospacing="0"/>
              <w:ind w:left="240"/>
              <w:rPr>
                <w:sz w:val="16"/>
                <w:szCs w:val="16"/>
              </w:rPr>
            </w:pPr>
            <w:r>
              <w:rPr>
                <w:sz w:val="16"/>
                <w:szCs w:val="16"/>
              </w:rPr>
              <w:t>Net unrealized loss on marketable securities</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94"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6"/>
                <w:szCs w:val="16"/>
              </w:rPr>
            </w:pPr>
            <w:r>
              <w:rPr>
                <w:sz w:val="16"/>
                <w:szCs w:val="16"/>
              </w:rPr>
              <w:t>(39)</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65"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2"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6"/>
                <w:szCs w:val="16"/>
              </w:rPr>
            </w:pPr>
            <w:r>
              <w:rPr>
                <w:sz w:val="16"/>
                <w:szCs w:val="16"/>
              </w:rPr>
              <w:t>(39)</w:t>
            </w:r>
          </w:p>
        </w:tc>
      </w:tr>
      <w:tr w:rsidR="00000000">
        <w:trPr>
          <w:divId w:val="1963538386"/>
        </w:trPr>
        <w:tc>
          <w:tcPr>
            <w:tcW w:w="1851"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left="240"/>
              <w:rPr>
                <w:sz w:val="16"/>
                <w:szCs w:val="16"/>
              </w:rPr>
            </w:pPr>
            <w:r>
              <w:rPr>
                <w:sz w:val="16"/>
                <w:szCs w:val="16"/>
              </w:rPr>
              <w:t>Net loss</w:t>
            </w:r>
          </w:p>
        </w:tc>
        <w:tc>
          <w:tcPr>
            <w:tcW w:w="8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10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6"/>
                <w:szCs w:val="16"/>
              </w:rPr>
            </w:pPr>
            <w:r>
              <w:rPr>
                <w:sz w:val="16"/>
                <w:szCs w:val="16"/>
              </w:rPr>
              <w:t>(132,084)</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6"/>
                <w:szCs w:val="16"/>
              </w:rPr>
            </w:pPr>
            <w:r>
              <w:rPr>
                <w:sz w:val="16"/>
                <w:szCs w:val="16"/>
              </w:rPr>
              <w:t>(132,084)</w:t>
            </w:r>
          </w:p>
        </w:tc>
      </w:tr>
      <w:tr w:rsidR="00000000">
        <w:trPr>
          <w:divId w:val="1963538386"/>
        </w:trPr>
        <w:tc>
          <w:tcPr>
            <w:tcW w:w="1851" w:type="pct"/>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sz w:val="16"/>
                <w:szCs w:val="16"/>
              </w:rPr>
              <w:t>Balances at June 30, 2021</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73,470</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sz w:val="16"/>
                <w:szCs w:val="16"/>
              </w:rPr>
              <w:t>$</w:t>
            </w:r>
          </w:p>
        </w:tc>
        <w:tc>
          <w:tcPr>
            <w:tcW w:w="353"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1</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sz w:val="16"/>
                <w:szCs w:val="16"/>
              </w:rPr>
              <w:t>$</w:t>
            </w:r>
          </w:p>
        </w:tc>
        <w:tc>
          <w:tcPr>
            <w:tcW w:w="353"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1,358,318</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100"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sz w:val="16"/>
                <w:szCs w:val="16"/>
              </w:rPr>
              <w:t>$</w:t>
            </w:r>
          </w:p>
        </w:tc>
        <w:tc>
          <w:tcPr>
            <w:tcW w:w="394"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8</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sz w:val="16"/>
                <w:szCs w:val="16"/>
              </w:rPr>
              <w:t>$</w:t>
            </w:r>
          </w:p>
        </w:tc>
        <w:tc>
          <w:tcPr>
            <w:tcW w:w="365"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6"/>
                <w:szCs w:val="16"/>
              </w:rPr>
            </w:pPr>
            <w:r>
              <w:rPr>
                <w:sz w:val="16"/>
                <w:szCs w:val="16"/>
              </w:rPr>
              <w:t>(1,658,701)</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sz w:val="16"/>
                <w:szCs w:val="16"/>
              </w:rPr>
              <w:t>$</w:t>
            </w:r>
          </w:p>
        </w:tc>
        <w:tc>
          <w:tcPr>
            <w:tcW w:w="352"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6"/>
                <w:szCs w:val="16"/>
              </w:rPr>
            </w:pPr>
            <w:r>
              <w:rPr>
                <w:sz w:val="16"/>
                <w:szCs w:val="16"/>
              </w:rPr>
              <w:t>(300,374)</w:t>
            </w:r>
          </w:p>
        </w:tc>
      </w:tr>
      <w:tr w:rsidR="00000000">
        <w:trPr>
          <w:divId w:val="1963538386"/>
        </w:trPr>
        <w:tc>
          <w:tcPr>
            <w:tcW w:w="1851"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94"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65"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2"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6"/>
                <w:szCs w:val="16"/>
              </w:rPr>
              <w:t>​</w:t>
            </w:r>
          </w:p>
        </w:tc>
      </w:tr>
      <w:tr w:rsidR="00000000">
        <w:trPr>
          <w:divId w:val="1963538386"/>
        </w:trPr>
        <w:tc>
          <w:tcPr>
            <w:tcW w:w="1851"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495"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Accumulated</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6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2"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r>
      <w:tr w:rsidR="00000000">
        <w:trPr>
          <w:divId w:val="1963538386"/>
        </w:trPr>
        <w:tc>
          <w:tcPr>
            <w:tcW w:w="1851"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353" w:type="pct"/>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40"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Additional</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95"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Other</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365" w:type="pct"/>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42"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Total</w:t>
            </w:r>
          </w:p>
        </w:tc>
      </w:tr>
      <w:tr w:rsidR="00000000">
        <w:trPr>
          <w:divId w:val="1963538386"/>
        </w:trPr>
        <w:tc>
          <w:tcPr>
            <w:tcW w:w="1851"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80" w:type="pct"/>
            <w:gridSpan w:val="4"/>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Ordinary Shares</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40"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Paid-In</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95"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Comprehensive</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52"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Accumulated</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42"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Shareholders'</w:t>
            </w:r>
          </w:p>
        </w:tc>
      </w:tr>
      <w:tr w:rsidR="00000000">
        <w:trPr>
          <w:divId w:val="1963538386"/>
        </w:trPr>
        <w:tc>
          <w:tcPr>
            <w:tcW w:w="1851"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Shares</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sz w:val="16"/>
                <w:szCs w:val="16"/>
              </w:rPr>
              <w:t>   </w:t>
            </w:r>
          </w:p>
        </w:tc>
        <w:tc>
          <w:tcPr>
            <w:tcW w:w="440"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Amount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sz w:val="16"/>
                <w:szCs w:val="16"/>
              </w:rPr>
              <w:t>   </w:t>
            </w:r>
          </w:p>
        </w:tc>
        <w:tc>
          <w:tcPr>
            <w:tcW w:w="440"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Capital</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sz w:val="16"/>
                <w:szCs w:val="16"/>
              </w:rPr>
              <w:t>   </w:t>
            </w:r>
          </w:p>
        </w:tc>
        <w:tc>
          <w:tcPr>
            <w:tcW w:w="495"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Income (Loss)</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sz w:val="16"/>
                <w:szCs w:val="16"/>
              </w:rPr>
              <w:t>   </w:t>
            </w:r>
          </w:p>
        </w:tc>
        <w:tc>
          <w:tcPr>
            <w:tcW w:w="452"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Deficit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sz w:val="16"/>
                <w:szCs w:val="16"/>
              </w:rPr>
              <w:t>   </w:t>
            </w:r>
          </w:p>
        </w:tc>
        <w:tc>
          <w:tcPr>
            <w:tcW w:w="442"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Deficit</w:t>
            </w:r>
          </w:p>
        </w:tc>
      </w:tr>
      <w:tr w:rsidR="00000000">
        <w:trPr>
          <w:divId w:val="1963538386"/>
        </w:trPr>
        <w:tc>
          <w:tcPr>
            <w:tcW w:w="1851"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sz w:val="16"/>
                <w:szCs w:val="16"/>
              </w:rPr>
              <w:t>Balances at March 31, 2020</w:t>
            </w:r>
          </w:p>
        </w:tc>
        <w:tc>
          <w:tcPr>
            <w:tcW w:w="8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63,004</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sz w:val="16"/>
                <w:szCs w:val="16"/>
              </w:rPr>
              <w:t>$</w:t>
            </w:r>
          </w:p>
        </w:tc>
        <w:tc>
          <w:tcPr>
            <w:tcW w:w="3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1</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sz w:val="16"/>
                <w:szCs w:val="16"/>
              </w:rPr>
              <w:t>$</w:t>
            </w:r>
          </w:p>
        </w:tc>
        <w:tc>
          <w:tcPr>
            <w:tcW w:w="3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1,173,204</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10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sz w:val="16"/>
                <w:szCs w:val="16"/>
              </w:rPr>
              <w:t>$</w:t>
            </w:r>
          </w:p>
        </w:tc>
        <w:tc>
          <w:tcPr>
            <w:tcW w:w="39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512</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sz w:val="16"/>
                <w:szCs w:val="16"/>
              </w:rPr>
              <w:t>$</w:t>
            </w:r>
          </w:p>
        </w:tc>
        <w:tc>
          <w:tcPr>
            <w:tcW w:w="36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6"/>
                <w:szCs w:val="16"/>
              </w:rPr>
            </w:pPr>
            <w:r>
              <w:rPr>
                <w:sz w:val="16"/>
                <w:szCs w:val="16"/>
              </w:rPr>
              <w:t>(</w:t>
            </w:r>
            <w:r>
              <w:rPr>
                <w:sz w:val="16"/>
                <w:szCs w:val="16"/>
              </w:rPr>
              <w:t>1,331,653)</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sz w:val="16"/>
                <w:szCs w:val="16"/>
              </w:rPr>
              <w:t>$</w:t>
            </w:r>
          </w:p>
        </w:tc>
        <w:tc>
          <w:tcPr>
            <w:tcW w:w="35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6"/>
                <w:szCs w:val="16"/>
              </w:rPr>
            </w:pPr>
            <w:r>
              <w:rPr>
                <w:sz w:val="16"/>
                <w:szCs w:val="16"/>
              </w:rPr>
              <w:t>(157,936)</w:t>
            </w:r>
          </w:p>
        </w:tc>
      </w:tr>
      <w:tr w:rsidR="00000000">
        <w:trPr>
          <w:divId w:val="1963538386"/>
        </w:trPr>
        <w:tc>
          <w:tcPr>
            <w:tcW w:w="1851" w:type="pct"/>
            <w:tcMar>
              <w:top w:w="0" w:type="dxa"/>
              <w:left w:w="0" w:type="dxa"/>
              <w:bottom w:w="0" w:type="dxa"/>
              <w:right w:w="0" w:type="dxa"/>
            </w:tcMar>
            <w:vAlign w:val="bottom"/>
            <w:hideMark/>
          </w:tcPr>
          <w:p w:rsidR="00000000" w:rsidRDefault="00E52F77">
            <w:pPr>
              <w:pStyle w:val="a3"/>
              <w:spacing w:before="0" w:beforeAutospacing="0" w:after="0" w:afterAutospacing="0"/>
              <w:ind w:left="240"/>
              <w:rPr>
                <w:sz w:val="16"/>
                <w:szCs w:val="16"/>
              </w:rPr>
            </w:pPr>
            <w:r>
              <w:rPr>
                <w:sz w:val="16"/>
                <w:szCs w:val="16"/>
              </w:rPr>
              <w:t>Net proceeds from sale of ordinary shares</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94"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65"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2"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r>
      <w:tr w:rsidR="00000000">
        <w:trPr>
          <w:divId w:val="1963538386"/>
        </w:trPr>
        <w:tc>
          <w:tcPr>
            <w:tcW w:w="1851"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left="240"/>
              <w:rPr>
                <w:sz w:val="16"/>
                <w:szCs w:val="16"/>
              </w:rPr>
            </w:pPr>
            <w:r>
              <w:rPr>
                <w:sz w:val="16"/>
                <w:szCs w:val="16"/>
              </w:rPr>
              <w:t>Proceeds from ESPP purchases</w:t>
            </w:r>
          </w:p>
        </w:tc>
        <w:tc>
          <w:tcPr>
            <w:tcW w:w="8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168</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2,545</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10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9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6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2,545</w:t>
            </w:r>
          </w:p>
        </w:tc>
      </w:tr>
      <w:tr w:rsidR="00000000">
        <w:trPr>
          <w:divId w:val="1963538386"/>
        </w:trPr>
        <w:tc>
          <w:tcPr>
            <w:tcW w:w="1851" w:type="pct"/>
            <w:tcMar>
              <w:top w:w="0" w:type="dxa"/>
              <w:left w:w="0" w:type="dxa"/>
              <w:bottom w:w="0" w:type="dxa"/>
              <w:right w:w="0" w:type="dxa"/>
            </w:tcMar>
            <w:vAlign w:val="bottom"/>
            <w:hideMark/>
          </w:tcPr>
          <w:p w:rsidR="00000000" w:rsidRDefault="00E52F77">
            <w:pPr>
              <w:pStyle w:val="a3"/>
              <w:spacing w:before="0" w:beforeAutospacing="0" w:after="0" w:afterAutospacing="0"/>
              <w:ind w:left="240"/>
              <w:rPr>
                <w:sz w:val="16"/>
                <w:szCs w:val="16"/>
              </w:rPr>
            </w:pPr>
            <w:r>
              <w:rPr>
                <w:sz w:val="16"/>
                <w:szCs w:val="16"/>
              </w:rPr>
              <w:t>Employee share-based compensation expense</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16,585</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94"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65"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2"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16,585</w:t>
            </w:r>
          </w:p>
        </w:tc>
      </w:tr>
      <w:tr w:rsidR="00000000">
        <w:trPr>
          <w:divId w:val="1963538386"/>
        </w:trPr>
        <w:tc>
          <w:tcPr>
            <w:tcW w:w="1851"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left="240"/>
              <w:rPr>
                <w:sz w:val="16"/>
                <w:szCs w:val="16"/>
              </w:rPr>
            </w:pPr>
            <w:r>
              <w:rPr>
                <w:sz w:val="16"/>
                <w:szCs w:val="16"/>
              </w:rPr>
              <w:t>Issuance of restricted shares</w:t>
            </w:r>
          </w:p>
        </w:tc>
        <w:tc>
          <w:tcPr>
            <w:tcW w:w="8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353</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10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9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6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r>
      <w:tr w:rsidR="00000000">
        <w:trPr>
          <w:divId w:val="1963538386"/>
        </w:trPr>
        <w:tc>
          <w:tcPr>
            <w:tcW w:w="1851" w:type="pct"/>
            <w:tcMar>
              <w:top w:w="0" w:type="dxa"/>
              <w:left w:w="0" w:type="dxa"/>
              <w:bottom w:w="0" w:type="dxa"/>
              <w:right w:w="0" w:type="dxa"/>
            </w:tcMar>
            <w:vAlign w:val="bottom"/>
            <w:hideMark/>
          </w:tcPr>
          <w:p w:rsidR="00000000" w:rsidRDefault="00E52F77">
            <w:pPr>
              <w:pStyle w:val="a3"/>
              <w:spacing w:before="0" w:beforeAutospacing="0" w:after="0" w:afterAutospacing="0"/>
              <w:ind w:left="240"/>
              <w:rPr>
                <w:sz w:val="16"/>
                <w:szCs w:val="16"/>
              </w:rPr>
            </w:pPr>
            <w:r>
              <w:rPr>
                <w:sz w:val="16"/>
                <w:szCs w:val="16"/>
              </w:rPr>
              <w:t>Option exercises</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33</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733</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94"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65"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2"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733</w:t>
            </w:r>
          </w:p>
        </w:tc>
      </w:tr>
      <w:tr w:rsidR="00000000">
        <w:trPr>
          <w:divId w:val="1963538386"/>
        </w:trPr>
        <w:tc>
          <w:tcPr>
            <w:tcW w:w="1851"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left="240"/>
              <w:rPr>
                <w:sz w:val="16"/>
                <w:szCs w:val="16"/>
              </w:rPr>
            </w:pPr>
            <w:r>
              <w:rPr>
                <w:sz w:val="16"/>
                <w:szCs w:val="16"/>
              </w:rPr>
              <w:t>Repurchase of shares to satisfy tax withholding</w:t>
            </w:r>
          </w:p>
        </w:tc>
        <w:tc>
          <w:tcPr>
            <w:tcW w:w="8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6"/>
                <w:szCs w:val="16"/>
              </w:rPr>
            </w:pPr>
            <w:r>
              <w:rPr>
                <w:sz w:val="16"/>
                <w:szCs w:val="16"/>
              </w:rPr>
              <w:t>(43)</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6"/>
                <w:szCs w:val="16"/>
              </w:rPr>
            </w:pPr>
            <w:r>
              <w:rPr>
                <w:sz w:val="16"/>
                <w:szCs w:val="16"/>
              </w:rPr>
              <w:t>(1,144)</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10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9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6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6"/>
                <w:szCs w:val="16"/>
              </w:rPr>
            </w:pPr>
            <w:r>
              <w:rPr>
                <w:sz w:val="16"/>
                <w:szCs w:val="16"/>
              </w:rPr>
              <w:t>(1,144)</w:t>
            </w:r>
          </w:p>
        </w:tc>
      </w:tr>
      <w:tr w:rsidR="00000000">
        <w:trPr>
          <w:divId w:val="1963538386"/>
        </w:trPr>
        <w:tc>
          <w:tcPr>
            <w:tcW w:w="1851" w:type="pct"/>
            <w:tcMar>
              <w:top w:w="0" w:type="dxa"/>
              <w:left w:w="0" w:type="dxa"/>
              <w:bottom w:w="0" w:type="dxa"/>
              <w:right w:w="0" w:type="dxa"/>
            </w:tcMar>
            <w:vAlign w:val="bottom"/>
            <w:hideMark/>
          </w:tcPr>
          <w:p w:rsidR="00000000" w:rsidRDefault="00E52F77">
            <w:pPr>
              <w:pStyle w:val="a3"/>
              <w:spacing w:before="0" w:beforeAutospacing="0" w:after="0" w:afterAutospacing="0"/>
              <w:ind w:left="240"/>
              <w:rPr>
                <w:sz w:val="16"/>
                <w:szCs w:val="16"/>
              </w:rPr>
            </w:pPr>
            <w:r>
              <w:rPr>
                <w:sz w:val="16"/>
                <w:szCs w:val="16"/>
              </w:rPr>
              <w:t>Net unrealized gain on marketable securities</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94"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6"/>
                <w:szCs w:val="16"/>
              </w:rPr>
            </w:pPr>
            <w:r>
              <w:rPr>
                <w:sz w:val="16"/>
                <w:szCs w:val="16"/>
              </w:rPr>
              <w:t>(232)</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65"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2"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6"/>
                <w:szCs w:val="16"/>
              </w:rPr>
            </w:pPr>
            <w:r>
              <w:rPr>
                <w:sz w:val="16"/>
                <w:szCs w:val="16"/>
              </w:rPr>
              <w:t>(232)</w:t>
            </w:r>
          </w:p>
        </w:tc>
      </w:tr>
      <w:tr w:rsidR="00000000">
        <w:trPr>
          <w:divId w:val="1963538386"/>
        </w:trPr>
        <w:tc>
          <w:tcPr>
            <w:tcW w:w="1851"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left="240"/>
              <w:rPr>
                <w:sz w:val="16"/>
                <w:szCs w:val="16"/>
              </w:rPr>
            </w:pPr>
            <w:r>
              <w:rPr>
                <w:sz w:val="16"/>
                <w:szCs w:val="16"/>
              </w:rPr>
              <w:t>Net loss</w:t>
            </w:r>
          </w:p>
        </w:tc>
        <w:tc>
          <w:tcPr>
            <w:tcW w:w="8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10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6"/>
                <w:szCs w:val="16"/>
              </w:rPr>
            </w:pPr>
            <w:r>
              <w:rPr>
                <w:sz w:val="16"/>
                <w:szCs w:val="16"/>
              </w:rPr>
              <w:t>(62,887)</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6"/>
                <w:szCs w:val="16"/>
              </w:rPr>
            </w:pPr>
            <w:r>
              <w:rPr>
                <w:sz w:val="16"/>
                <w:szCs w:val="16"/>
              </w:rPr>
              <w:t>(62,887)</w:t>
            </w:r>
          </w:p>
        </w:tc>
      </w:tr>
      <w:tr w:rsidR="00000000">
        <w:trPr>
          <w:divId w:val="1963538386"/>
        </w:trPr>
        <w:tc>
          <w:tcPr>
            <w:tcW w:w="1851" w:type="pct"/>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sz w:val="16"/>
                <w:szCs w:val="16"/>
              </w:rPr>
              <w:t>Balances at June 30, 2020</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63,515</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sz w:val="16"/>
                <w:szCs w:val="16"/>
              </w:rPr>
              <w:t>$</w:t>
            </w:r>
          </w:p>
        </w:tc>
        <w:tc>
          <w:tcPr>
            <w:tcW w:w="353"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1</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sz w:val="16"/>
                <w:szCs w:val="16"/>
              </w:rPr>
              <w:t>$</w:t>
            </w:r>
          </w:p>
        </w:tc>
        <w:tc>
          <w:tcPr>
            <w:tcW w:w="353"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1,191,923</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100"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sz w:val="16"/>
                <w:szCs w:val="16"/>
              </w:rPr>
              <w:t>$</w:t>
            </w:r>
          </w:p>
        </w:tc>
        <w:tc>
          <w:tcPr>
            <w:tcW w:w="394"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280</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sz w:val="16"/>
                <w:szCs w:val="16"/>
              </w:rPr>
              <w:t>$</w:t>
            </w:r>
          </w:p>
        </w:tc>
        <w:tc>
          <w:tcPr>
            <w:tcW w:w="365"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6"/>
                <w:szCs w:val="16"/>
              </w:rPr>
            </w:pPr>
            <w:r>
              <w:rPr>
                <w:sz w:val="16"/>
                <w:szCs w:val="16"/>
              </w:rPr>
              <w:t>(1,394,540)</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sz w:val="16"/>
                <w:szCs w:val="16"/>
              </w:rPr>
              <w:t>$</w:t>
            </w:r>
          </w:p>
        </w:tc>
        <w:tc>
          <w:tcPr>
            <w:tcW w:w="352"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6"/>
                <w:szCs w:val="16"/>
              </w:rPr>
            </w:pPr>
            <w:r>
              <w:rPr>
                <w:sz w:val="16"/>
                <w:szCs w:val="16"/>
              </w:rPr>
              <w:t>(202,336)</w:t>
            </w:r>
          </w:p>
        </w:tc>
      </w:tr>
      <w:tr w:rsidR="00000000">
        <w:trPr>
          <w:divId w:val="1963538386"/>
        </w:trPr>
        <w:tc>
          <w:tcPr>
            <w:tcW w:w="1851"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lastRenderedPageBreak/>
              <w:t>​</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94"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65"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2"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6"/>
                <w:szCs w:val="16"/>
              </w:rPr>
              <w:t>​</w:t>
            </w:r>
          </w:p>
        </w:tc>
      </w:tr>
      <w:tr w:rsidR="00000000">
        <w:trPr>
          <w:divId w:val="1963538386"/>
        </w:trPr>
        <w:tc>
          <w:tcPr>
            <w:tcW w:w="1851"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495"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Accumulated</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6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2"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r>
      <w:tr w:rsidR="00000000">
        <w:trPr>
          <w:divId w:val="1963538386"/>
        </w:trPr>
        <w:tc>
          <w:tcPr>
            <w:tcW w:w="1851"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353" w:type="pct"/>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40"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Additional</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95"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Other</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365" w:type="pct"/>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42"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Total</w:t>
            </w:r>
          </w:p>
        </w:tc>
      </w:tr>
      <w:tr w:rsidR="00000000">
        <w:trPr>
          <w:divId w:val="1963538386"/>
        </w:trPr>
        <w:tc>
          <w:tcPr>
            <w:tcW w:w="1851"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80" w:type="pct"/>
            <w:gridSpan w:val="4"/>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Ordinary Shares</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40"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Paid-In</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95"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Comprehensive</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52"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Accumulated</w:t>
            </w:r>
          </w:p>
        </w:tc>
        <w:tc>
          <w:tcPr>
            <w:tcW w:w="8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42"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Shareholders'</w:t>
            </w:r>
          </w:p>
        </w:tc>
      </w:tr>
      <w:tr w:rsidR="00000000">
        <w:trPr>
          <w:divId w:val="1963538386"/>
        </w:trPr>
        <w:tc>
          <w:tcPr>
            <w:tcW w:w="1851"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Shares</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sz w:val="16"/>
                <w:szCs w:val="16"/>
              </w:rPr>
              <w:t>   </w:t>
            </w:r>
          </w:p>
        </w:tc>
        <w:tc>
          <w:tcPr>
            <w:tcW w:w="440"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Amount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sz w:val="16"/>
                <w:szCs w:val="16"/>
              </w:rPr>
              <w:t>   </w:t>
            </w:r>
          </w:p>
        </w:tc>
        <w:tc>
          <w:tcPr>
            <w:tcW w:w="440"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Capital</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sz w:val="16"/>
                <w:szCs w:val="16"/>
              </w:rPr>
              <w:t>   </w:t>
            </w:r>
          </w:p>
        </w:tc>
        <w:tc>
          <w:tcPr>
            <w:tcW w:w="495"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Income</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sz w:val="16"/>
                <w:szCs w:val="16"/>
              </w:rPr>
              <w:t>   </w:t>
            </w:r>
          </w:p>
        </w:tc>
        <w:tc>
          <w:tcPr>
            <w:tcW w:w="452"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Deficit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sz w:val="16"/>
                <w:szCs w:val="16"/>
              </w:rPr>
              <w:t>   </w:t>
            </w:r>
          </w:p>
        </w:tc>
        <w:tc>
          <w:tcPr>
            <w:tcW w:w="442"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Deficit</w:t>
            </w:r>
          </w:p>
        </w:tc>
      </w:tr>
      <w:tr w:rsidR="00000000">
        <w:trPr>
          <w:divId w:val="1963538386"/>
        </w:trPr>
        <w:tc>
          <w:tcPr>
            <w:tcW w:w="1851"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sz w:val="16"/>
                <w:szCs w:val="16"/>
              </w:rPr>
              <w:t>Balances at December 31, 2019</w:t>
            </w:r>
          </w:p>
        </w:tc>
        <w:tc>
          <w:tcPr>
            <w:tcW w:w="8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57,015</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1</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1,024,614</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10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9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145</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6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6"/>
                <w:szCs w:val="16"/>
              </w:rPr>
            </w:pPr>
            <w:r>
              <w:rPr>
                <w:sz w:val="16"/>
                <w:szCs w:val="16"/>
              </w:rPr>
              <w:t>(1,248,600)</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sz w:val="16"/>
                <w:szCs w:val="16"/>
              </w:rPr>
              <w:t>$</w:t>
            </w:r>
          </w:p>
        </w:tc>
        <w:tc>
          <w:tcPr>
            <w:tcW w:w="352"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6"/>
                <w:szCs w:val="16"/>
              </w:rPr>
            </w:pPr>
            <w:r>
              <w:rPr>
                <w:sz w:val="16"/>
                <w:szCs w:val="16"/>
              </w:rPr>
              <w:t>(223,840)</w:t>
            </w:r>
          </w:p>
        </w:tc>
      </w:tr>
      <w:tr w:rsidR="00000000">
        <w:trPr>
          <w:divId w:val="1963538386"/>
        </w:trPr>
        <w:tc>
          <w:tcPr>
            <w:tcW w:w="1851" w:type="pct"/>
            <w:tcMar>
              <w:top w:w="0" w:type="dxa"/>
              <w:left w:w="0" w:type="dxa"/>
              <w:bottom w:w="0" w:type="dxa"/>
              <w:right w:w="0" w:type="dxa"/>
            </w:tcMar>
            <w:vAlign w:val="bottom"/>
            <w:hideMark/>
          </w:tcPr>
          <w:p w:rsidR="00000000" w:rsidRDefault="00E52F77">
            <w:pPr>
              <w:pStyle w:val="a3"/>
              <w:spacing w:before="0" w:beforeAutospacing="0" w:after="0" w:afterAutospacing="0"/>
              <w:ind w:left="240"/>
              <w:rPr>
                <w:sz w:val="16"/>
                <w:szCs w:val="16"/>
              </w:rPr>
            </w:pPr>
            <w:r>
              <w:rPr>
                <w:sz w:val="16"/>
                <w:szCs w:val="16"/>
              </w:rPr>
              <w:t>Net procee</w:t>
            </w:r>
            <w:r>
              <w:rPr>
                <w:sz w:val="16"/>
                <w:szCs w:val="16"/>
              </w:rPr>
              <w:t>ds from sale of ordinary shares</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5,500</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139,915</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94" w:type="pct"/>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65" w:type="pct"/>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2" w:type="pct"/>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139,915</w:t>
            </w:r>
          </w:p>
        </w:tc>
      </w:tr>
      <w:tr w:rsidR="00000000">
        <w:trPr>
          <w:divId w:val="1963538386"/>
        </w:trPr>
        <w:tc>
          <w:tcPr>
            <w:tcW w:w="1851"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left="240"/>
              <w:rPr>
                <w:sz w:val="16"/>
                <w:szCs w:val="16"/>
              </w:rPr>
            </w:pPr>
            <w:r>
              <w:rPr>
                <w:sz w:val="16"/>
                <w:szCs w:val="16"/>
              </w:rPr>
              <w:t>Proceeds from ESPP purchases</w:t>
            </w:r>
          </w:p>
        </w:tc>
        <w:tc>
          <w:tcPr>
            <w:tcW w:w="8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168</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2,545</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10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94"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65"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2"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2,545</w:t>
            </w:r>
          </w:p>
        </w:tc>
      </w:tr>
      <w:tr w:rsidR="00000000">
        <w:trPr>
          <w:divId w:val="1963538386"/>
        </w:trPr>
        <w:tc>
          <w:tcPr>
            <w:tcW w:w="1851" w:type="pct"/>
            <w:tcMar>
              <w:top w:w="0" w:type="dxa"/>
              <w:left w:w="0" w:type="dxa"/>
              <w:bottom w:w="0" w:type="dxa"/>
              <w:right w:w="0" w:type="dxa"/>
            </w:tcMar>
            <w:vAlign w:val="bottom"/>
            <w:hideMark/>
          </w:tcPr>
          <w:p w:rsidR="00000000" w:rsidRDefault="00E52F77">
            <w:pPr>
              <w:pStyle w:val="a3"/>
              <w:spacing w:before="0" w:beforeAutospacing="0" w:after="0" w:afterAutospacing="0"/>
              <w:ind w:left="240"/>
              <w:rPr>
                <w:sz w:val="16"/>
                <w:szCs w:val="16"/>
              </w:rPr>
            </w:pPr>
            <w:r>
              <w:rPr>
                <w:sz w:val="16"/>
                <w:szCs w:val="16"/>
              </w:rPr>
              <w:t>Employee share-based compensation expense</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31,861</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94" w:type="pct"/>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65" w:type="pct"/>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2" w:type="pct"/>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31,861</w:t>
            </w:r>
          </w:p>
        </w:tc>
      </w:tr>
      <w:tr w:rsidR="00000000">
        <w:trPr>
          <w:divId w:val="1963538386"/>
        </w:trPr>
        <w:tc>
          <w:tcPr>
            <w:tcW w:w="1851"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left="240"/>
              <w:rPr>
                <w:sz w:val="16"/>
                <w:szCs w:val="16"/>
              </w:rPr>
            </w:pPr>
            <w:r>
              <w:rPr>
                <w:sz w:val="16"/>
                <w:szCs w:val="16"/>
              </w:rPr>
              <w:t>Issuance of restricted shares</w:t>
            </w:r>
          </w:p>
        </w:tc>
        <w:tc>
          <w:tcPr>
            <w:tcW w:w="8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1,097</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10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94"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65"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2"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r>
      <w:tr w:rsidR="00000000">
        <w:trPr>
          <w:divId w:val="1963538386"/>
        </w:trPr>
        <w:tc>
          <w:tcPr>
            <w:tcW w:w="1851" w:type="pct"/>
            <w:tcMar>
              <w:top w:w="0" w:type="dxa"/>
              <w:left w:w="0" w:type="dxa"/>
              <w:bottom w:w="0" w:type="dxa"/>
              <w:right w:w="0" w:type="dxa"/>
            </w:tcMar>
            <w:vAlign w:val="bottom"/>
            <w:hideMark/>
          </w:tcPr>
          <w:p w:rsidR="00000000" w:rsidRDefault="00E52F77">
            <w:pPr>
              <w:pStyle w:val="a3"/>
              <w:spacing w:before="0" w:beforeAutospacing="0" w:after="0" w:afterAutospacing="0"/>
              <w:ind w:left="240"/>
              <w:rPr>
                <w:sz w:val="16"/>
                <w:szCs w:val="16"/>
              </w:rPr>
            </w:pPr>
            <w:r>
              <w:rPr>
                <w:sz w:val="16"/>
                <w:szCs w:val="16"/>
              </w:rPr>
              <w:t>Option exercises</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41</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936</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94" w:type="pct"/>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65" w:type="pct"/>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2" w:type="pct"/>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936</w:t>
            </w:r>
          </w:p>
        </w:tc>
      </w:tr>
      <w:tr w:rsidR="00000000">
        <w:trPr>
          <w:divId w:val="1963538386"/>
        </w:trPr>
        <w:tc>
          <w:tcPr>
            <w:tcW w:w="1851"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left="240"/>
              <w:rPr>
                <w:sz w:val="16"/>
                <w:szCs w:val="16"/>
              </w:rPr>
            </w:pPr>
            <w:r>
              <w:rPr>
                <w:sz w:val="16"/>
                <w:szCs w:val="16"/>
              </w:rPr>
              <w:t>Repurchase of shares to satisfy tax withholding</w:t>
            </w:r>
          </w:p>
        </w:tc>
        <w:tc>
          <w:tcPr>
            <w:tcW w:w="8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6"/>
                <w:szCs w:val="16"/>
              </w:rPr>
            </w:pPr>
            <w:r>
              <w:rPr>
                <w:sz w:val="16"/>
                <w:szCs w:val="16"/>
              </w:rPr>
              <w:t>(306)</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6"/>
                <w:szCs w:val="16"/>
              </w:rPr>
            </w:pPr>
            <w:r>
              <w:rPr>
                <w:sz w:val="16"/>
                <w:szCs w:val="16"/>
              </w:rPr>
              <w:t>(7,948)</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10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94"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65"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2"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6"/>
                <w:szCs w:val="16"/>
              </w:rPr>
            </w:pPr>
            <w:r>
              <w:rPr>
                <w:sz w:val="16"/>
                <w:szCs w:val="16"/>
              </w:rPr>
              <w:t>(7,948)</w:t>
            </w:r>
          </w:p>
        </w:tc>
      </w:tr>
      <w:tr w:rsidR="00000000">
        <w:trPr>
          <w:divId w:val="1963538386"/>
        </w:trPr>
        <w:tc>
          <w:tcPr>
            <w:tcW w:w="1851" w:type="pct"/>
            <w:tcMar>
              <w:top w:w="0" w:type="dxa"/>
              <w:left w:w="0" w:type="dxa"/>
              <w:bottom w:w="0" w:type="dxa"/>
              <w:right w:w="0" w:type="dxa"/>
            </w:tcMar>
            <w:vAlign w:val="bottom"/>
            <w:hideMark/>
          </w:tcPr>
          <w:p w:rsidR="00000000" w:rsidRDefault="00E52F77">
            <w:pPr>
              <w:pStyle w:val="a3"/>
              <w:spacing w:before="0" w:beforeAutospacing="0" w:after="0" w:afterAutospacing="0"/>
              <w:ind w:left="240"/>
              <w:rPr>
                <w:sz w:val="16"/>
                <w:szCs w:val="16"/>
              </w:rPr>
            </w:pPr>
            <w:r>
              <w:rPr>
                <w:sz w:val="16"/>
                <w:szCs w:val="16"/>
              </w:rPr>
              <w:t>Net unrealized gain on marketable securities</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94" w:type="pct"/>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135</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65" w:type="pct"/>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2" w:type="pct"/>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135</w:t>
            </w:r>
          </w:p>
        </w:tc>
      </w:tr>
      <w:tr w:rsidR="00000000">
        <w:trPr>
          <w:divId w:val="1963538386"/>
        </w:trPr>
        <w:tc>
          <w:tcPr>
            <w:tcW w:w="1851"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left="240"/>
              <w:rPr>
                <w:sz w:val="16"/>
                <w:szCs w:val="16"/>
              </w:rPr>
            </w:pPr>
            <w:r>
              <w:rPr>
                <w:sz w:val="16"/>
                <w:szCs w:val="16"/>
              </w:rPr>
              <w:t>Net loss</w:t>
            </w:r>
          </w:p>
        </w:tc>
        <w:tc>
          <w:tcPr>
            <w:tcW w:w="8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tcBorders>
              <w:bottom w:val="single" w:sz="6" w:space="0" w:color="000000"/>
            </w:tcBorders>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3" w:type="pct"/>
            <w:tcBorders>
              <w:bottom w:val="single" w:sz="6" w:space="0" w:color="000000"/>
            </w:tcBorders>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10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94" w:type="pct"/>
            <w:tcBorders>
              <w:bottom w:val="single" w:sz="6" w:space="0" w:color="000000"/>
            </w:tcBorders>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65" w:type="pct"/>
            <w:tcBorders>
              <w:bottom w:val="single" w:sz="6" w:space="0" w:color="000000"/>
            </w:tcBorders>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6"/>
                <w:szCs w:val="16"/>
              </w:rPr>
            </w:pPr>
            <w:r>
              <w:rPr>
                <w:sz w:val="16"/>
                <w:szCs w:val="16"/>
              </w:rPr>
              <w:t>(145,940)</w:t>
            </w:r>
          </w:p>
        </w:tc>
        <w:tc>
          <w:tcPr>
            <w:tcW w:w="8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352" w:type="pct"/>
            <w:tcBorders>
              <w:bottom w:val="single" w:sz="6" w:space="0" w:color="000000"/>
            </w:tcBorders>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6"/>
                <w:szCs w:val="16"/>
              </w:rPr>
            </w:pPr>
            <w:r>
              <w:rPr>
                <w:sz w:val="16"/>
                <w:szCs w:val="16"/>
              </w:rPr>
              <w:t>(145,940)</w:t>
            </w:r>
          </w:p>
        </w:tc>
      </w:tr>
      <w:tr w:rsidR="00000000">
        <w:trPr>
          <w:divId w:val="1963538386"/>
        </w:trPr>
        <w:tc>
          <w:tcPr>
            <w:tcW w:w="1851" w:type="pct"/>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sz w:val="16"/>
                <w:szCs w:val="16"/>
              </w:rPr>
              <w:t>Balances at June 30, 2020</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353"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63,515</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sz w:val="16"/>
                <w:szCs w:val="16"/>
              </w:rPr>
              <w:t>$</w:t>
            </w:r>
          </w:p>
        </w:tc>
        <w:tc>
          <w:tcPr>
            <w:tcW w:w="353"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1</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sz w:val="16"/>
                <w:szCs w:val="16"/>
              </w:rPr>
              <w:t>$</w:t>
            </w:r>
          </w:p>
        </w:tc>
        <w:tc>
          <w:tcPr>
            <w:tcW w:w="353"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1,191,923</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100"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sz w:val="16"/>
                <w:szCs w:val="16"/>
              </w:rPr>
              <w:t>$</w:t>
            </w:r>
          </w:p>
        </w:tc>
        <w:tc>
          <w:tcPr>
            <w:tcW w:w="394"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6"/>
                <w:szCs w:val="16"/>
              </w:rPr>
            </w:pPr>
            <w:r>
              <w:rPr>
                <w:sz w:val="16"/>
                <w:szCs w:val="16"/>
              </w:rPr>
              <w:t>280</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sz w:val="16"/>
                <w:szCs w:val="16"/>
              </w:rPr>
              <w:t>$</w:t>
            </w:r>
          </w:p>
        </w:tc>
        <w:tc>
          <w:tcPr>
            <w:tcW w:w="365"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6"/>
                <w:szCs w:val="16"/>
              </w:rPr>
            </w:pPr>
            <w:r>
              <w:rPr>
                <w:sz w:val="16"/>
                <w:szCs w:val="16"/>
              </w:rPr>
              <w:t>(1,394,540)</w:t>
            </w:r>
          </w:p>
        </w:tc>
        <w:tc>
          <w:tcPr>
            <w:tcW w:w="8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90"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sz w:val="16"/>
                <w:szCs w:val="16"/>
              </w:rPr>
              <w:t>$</w:t>
            </w:r>
          </w:p>
        </w:tc>
        <w:tc>
          <w:tcPr>
            <w:tcW w:w="352"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6"/>
                <w:szCs w:val="16"/>
              </w:rPr>
            </w:pPr>
            <w:r>
              <w:rPr>
                <w:sz w:val="16"/>
                <w:szCs w:val="16"/>
              </w:rPr>
              <w:t>(202,336)</w:t>
            </w:r>
          </w:p>
        </w:tc>
      </w:tr>
    </w:tbl>
    <w:p w:rsidR="00000000" w:rsidRDefault="00E52F77">
      <w:pPr>
        <w:pStyle w:val="a3"/>
        <w:spacing w:before="0" w:beforeAutospacing="0" w:after="0" w:afterAutospacing="0"/>
        <w:ind w:firstLine="720"/>
        <w:jc w:val="center"/>
        <w:divId w:val="1963538386"/>
        <w:rPr>
          <w:sz w:val="20"/>
          <w:szCs w:val="20"/>
        </w:rPr>
      </w:pPr>
      <w:r>
        <w:rPr>
          <w:i/>
          <w:iCs/>
          <w:sz w:val="20"/>
          <w:szCs w:val="20"/>
        </w:rPr>
        <w:t>See accompanying notes to condensed consolidated financial statements.</w:t>
      </w:r>
    </w:p>
    <w:p w:rsidR="00000000" w:rsidRDefault="00E52F77">
      <w:pPr>
        <w:pStyle w:val="a3"/>
        <w:spacing w:before="360" w:beforeAutospacing="0" w:after="0" w:afterAutospacing="0"/>
        <w:jc w:val="center"/>
        <w:divId w:val="2112433497"/>
        <w:rPr>
          <w:sz w:val="20"/>
          <w:szCs w:val="20"/>
        </w:rPr>
      </w:pPr>
      <w:r>
        <w:rPr>
          <w:sz w:val="20"/>
          <w:szCs w:val="20"/>
        </w:rPr>
        <w:t>5</w:t>
      </w:r>
    </w:p>
    <w:p w:rsidR="00000000" w:rsidRDefault="00E52F77">
      <w:pPr>
        <w:pStyle w:val="a3"/>
        <w:spacing w:before="0" w:beforeAutospacing="0" w:after="600" w:afterAutospacing="0"/>
        <w:divId w:val="115566623"/>
        <w:rPr>
          <w:sz w:val="20"/>
          <w:szCs w:val="20"/>
        </w:rPr>
      </w:pPr>
      <w:hyperlink w:anchor="TOC" w:history="1">
        <w:r>
          <w:rPr>
            <w:rStyle w:val="a4"/>
            <w:sz w:val="20"/>
            <w:szCs w:val="20"/>
          </w:rPr>
          <w:t>Table of Contents</w:t>
        </w:r>
      </w:hyperlink>
    </w:p>
    <w:p w:rsidR="00000000" w:rsidRDefault="00E52F77">
      <w:pPr>
        <w:pStyle w:val="a3"/>
        <w:spacing w:before="0" w:beforeAutospacing="0" w:after="0" w:afterAutospacing="0"/>
        <w:jc w:val="center"/>
        <w:divId w:val="699549984"/>
        <w:rPr>
          <w:sz w:val="20"/>
          <w:szCs w:val="20"/>
        </w:rPr>
      </w:pPr>
      <w:r>
        <w:rPr>
          <w:b/>
          <w:bCs/>
          <w:sz w:val="20"/>
          <w:szCs w:val="20"/>
        </w:rPr>
        <w:t>THERAVANCE BIOPHARMA, INC.</w:t>
      </w:r>
    </w:p>
    <w:p w:rsidR="00000000" w:rsidRDefault="00E52F77">
      <w:pPr>
        <w:pStyle w:val="a3"/>
        <w:spacing w:before="0" w:beforeAutospacing="0" w:after="0" w:afterAutospacing="0"/>
        <w:jc w:val="center"/>
        <w:divId w:val="699549984"/>
        <w:rPr>
          <w:sz w:val="20"/>
          <w:szCs w:val="20"/>
        </w:rPr>
      </w:pPr>
      <w:r>
        <w:rPr>
          <w:b/>
          <w:bCs/>
          <w:sz w:val="20"/>
          <w:szCs w:val="20"/>
        </w:rPr>
        <w:t>CONDENSED CONSOLIDATED STATEMENTS OF CASH FLOWS</w:t>
      </w:r>
    </w:p>
    <w:p w:rsidR="00000000" w:rsidRDefault="00E52F77">
      <w:pPr>
        <w:pStyle w:val="a3"/>
        <w:spacing w:before="0" w:beforeAutospacing="0" w:after="0" w:afterAutospacing="0"/>
        <w:jc w:val="center"/>
        <w:divId w:val="699549984"/>
        <w:rPr>
          <w:sz w:val="20"/>
          <w:szCs w:val="20"/>
        </w:rPr>
      </w:pPr>
      <w:r>
        <w:rPr>
          <w:b/>
          <w:bCs/>
          <w:sz w:val="20"/>
          <w:szCs w:val="20"/>
        </w:rPr>
        <w:t>(Unaudited)</w:t>
      </w:r>
    </w:p>
    <w:p w:rsidR="00000000" w:rsidRDefault="00E52F77">
      <w:pPr>
        <w:pStyle w:val="a3"/>
        <w:spacing w:before="0" w:beforeAutospacing="0" w:after="0" w:afterAutospacing="0"/>
        <w:jc w:val="center"/>
        <w:divId w:val="699549984"/>
        <w:rPr>
          <w:sz w:val="20"/>
          <w:szCs w:val="20"/>
        </w:rPr>
      </w:pPr>
      <w:r>
        <w:rPr>
          <w:b/>
          <w:bCs/>
          <w:sz w:val="20"/>
          <w:szCs w:val="20"/>
        </w:rPr>
        <w:t>(In thousands)</w:t>
      </w:r>
    </w:p>
    <w:p w:rsidR="00000000" w:rsidRDefault="00E52F77">
      <w:pPr>
        <w:pStyle w:val="a3"/>
        <w:spacing w:before="0" w:beforeAutospacing="0" w:after="0" w:afterAutospacing="0"/>
        <w:divId w:val="699549984"/>
        <w:rPr>
          <w:sz w:val="20"/>
          <w:szCs w:val="20"/>
        </w:rPr>
      </w:pPr>
      <w:r>
        <w:rPr>
          <w:b/>
          <w:bCs/>
          <w:color w:val="FF0000"/>
          <w:sz w:val="6"/>
          <w:szCs w:val="6"/>
        </w:rPr>
        <w:t>​</w:t>
      </w:r>
    </w:p>
    <w:p w:rsidR="00000000" w:rsidRDefault="00E52F77">
      <w:pPr>
        <w:pStyle w:val="a3"/>
        <w:spacing w:before="0" w:beforeAutospacing="0" w:after="0" w:afterAutospacing="0"/>
        <w:jc w:val="center"/>
        <w:divId w:val="699549984"/>
        <w:rPr>
          <w:sz w:val="20"/>
          <w:szCs w:val="20"/>
        </w:rPr>
      </w:pPr>
      <w:r>
        <w:rPr>
          <w:sz w:val="8"/>
          <w:szCs w:val="8"/>
        </w:rPr>
        <w:t>​</w:t>
      </w:r>
    </w:p>
    <w:tbl>
      <w:tblPr>
        <w:tblW w:w="5000" w:type="pct"/>
        <w:tblCellMar>
          <w:top w:w="15" w:type="dxa"/>
          <w:left w:w="0" w:type="dxa"/>
          <w:bottom w:w="15" w:type="dxa"/>
          <w:right w:w="0" w:type="dxa"/>
        </w:tblCellMar>
        <w:tblLook w:val="04A0" w:firstRow="1" w:lastRow="0" w:firstColumn="1" w:lastColumn="0" w:noHBand="0" w:noVBand="1"/>
      </w:tblPr>
      <w:tblGrid>
        <w:gridCol w:w="5922"/>
        <w:gridCol w:w="211"/>
        <w:gridCol w:w="141"/>
        <w:gridCol w:w="839"/>
        <w:gridCol w:w="211"/>
        <w:gridCol w:w="141"/>
        <w:gridCol w:w="841"/>
      </w:tblGrid>
      <w:tr w:rsidR="00000000">
        <w:trPr>
          <w:divId w:val="699549984"/>
          <w:trHeight w:val="20"/>
        </w:trPr>
        <w:tc>
          <w:tcPr>
            <w:tcW w:w="3563" w:type="pct"/>
            <w:tcMar>
              <w:top w:w="0" w:type="dxa"/>
              <w:left w:w="0" w:type="dxa"/>
              <w:bottom w:w="0" w:type="dxa"/>
              <w:right w:w="0" w:type="dxa"/>
            </w:tcMar>
            <w:hideMark/>
          </w:tcPr>
          <w:p w:rsidR="00000000" w:rsidRDefault="00E52F77">
            <w:pPr>
              <w:pStyle w:val="a3"/>
              <w:spacing w:before="0" w:beforeAutospacing="0" w:after="0" w:afterAutospacing="0"/>
              <w:divId w:val="187446802"/>
              <w:rPr>
                <w:sz w:val="20"/>
                <w:szCs w:val="20"/>
              </w:rPr>
            </w:pPr>
            <w:r>
              <w:rPr>
                <w:sz w:val="2"/>
                <w:szCs w:val="2"/>
              </w:rPr>
              <w:t>​</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404110704"/>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210335281"/>
              <w:rPr>
                <w:sz w:val="20"/>
                <w:szCs w:val="20"/>
              </w:rPr>
            </w:pPr>
            <w:r>
              <w:rPr>
                <w:sz w:val="2"/>
                <w:szCs w:val="2"/>
              </w:rPr>
              <w:t>​</w:t>
            </w:r>
          </w:p>
        </w:tc>
        <w:tc>
          <w:tcPr>
            <w:tcW w:w="504"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379088460"/>
              <w:rPr>
                <w:sz w:val="20"/>
                <w:szCs w:val="20"/>
              </w:rPr>
            </w:pPr>
            <w:r>
              <w:rPr>
                <w:sz w:val="2"/>
                <w:szCs w:val="2"/>
              </w:rPr>
              <w:t>​</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529924457"/>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561280602"/>
              <w:rPr>
                <w:sz w:val="20"/>
                <w:szCs w:val="20"/>
              </w:rPr>
            </w:pPr>
            <w:r>
              <w:rPr>
                <w:sz w:val="2"/>
                <w:szCs w:val="2"/>
              </w:rPr>
              <w:t>​</w:t>
            </w:r>
          </w:p>
        </w:tc>
        <w:tc>
          <w:tcPr>
            <w:tcW w:w="50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278636266"/>
              <w:rPr>
                <w:sz w:val="20"/>
                <w:szCs w:val="20"/>
              </w:rPr>
            </w:pPr>
            <w:r>
              <w:rPr>
                <w:sz w:val="2"/>
                <w:szCs w:val="2"/>
              </w:rPr>
              <w:t>​</w:t>
            </w:r>
          </w:p>
        </w:tc>
      </w:tr>
      <w:tr w:rsidR="00000000">
        <w:trPr>
          <w:divId w:val="699549984"/>
        </w:trPr>
        <w:tc>
          <w:tcPr>
            <w:tcW w:w="3563"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5"/>
                <w:szCs w:val="15"/>
              </w:rPr>
              <w:t>​</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5"/>
                <w:szCs w:val="15"/>
              </w:rPr>
              <w:t>​</w:t>
            </w:r>
          </w:p>
        </w:tc>
        <w:tc>
          <w:tcPr>
            <w:tcW w:w="1308" w:type="pct"/>
            <w:gridSpan w:val="5"/>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4"/>
                <w:szCs w:val="14"/>
              </w:rPr>
            </w:pPr>
            <w:r>
              <w:rPr>
                <w:b/>
                <w:bCs/>
                <w:sz w:val="15"/>
                <w:szCs w:val="15"/>
              </w:rPr>
              <w:t>Six Months Ended June 30, </w:t>
            </w:r>
          </w:p>
        </w:tc>
      </w:tr>
      <w:tr w:rsidR="00000000">
        <w:trPr>
          <w:divId w:val="699549984"/>
        </w:trPr>
        <w:tc>
          <w:tcPr>
            <w:tcW w:w="3563"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5"/>
                <w:szCs w:val="15"/>
              </w:rPr>
              <w:t>​</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4"/>
                <w:szCs w:val="14"/>
              </w:rPr>
            </w:pPr>
            <w:r>
              <w:rPr>
                <w:b/>
                <w:bCs/>
                <w:sz w:val="15"/>
                <w:szCs w:val="15"/>
              </w:rPr>
              <w:t>    </w:t>
            </w:r>
          </w:p>
        </w:tc>
        <w:tc>
          <w:tcPr>
            <w:tcW w:w="590"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4"/>
                <w:szCs w:val="14"/>
              </w:rPr>
            </w:pPr>
            <w:r>
              <w:rPr>
                <w:b/>
                <w:bCs/>
                <w:sz w:val="15"/>
                <w:szCs w:val="15"/>
              </w:rPr>
              <w:t>2021</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4"/>
                <w:szCs w:val="14"/>
              </w:rPr>
            </w:pPr>
            <w:r>
              <w:rPr>
                <w:b/>
                <w:bCs/>
                <w:sz w:val="15"/>
                <w:szCs w:val="15"/>
              </w:rPr>
              <w:t>    </w:t>
            </w:r>
          </w:p>
        </w:tc>
        <w:tc>
          <w:tcPr>
            <w:tcW w:w="589"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4"/>
                <w:szCs w:val="14"/>
              </w:rPr>
            </w:pPr>
            <w:r>
              <w:rPr>
                <w:b/>
                <w:bCs/>
                <w:sz w:val="15"/>
                <w:szCs w:val="15"/>
              </w:rPr>
              <w:t>2020</w:t>
            </w:r>
          </w:p>
        </w:tc>
      </w:tr>
      <w:tr w:rsidR="00000000">
        <w:trPr>
          <w:divId w:val="699549984"/>
        </w:trPr>
        <w:tc>
          <w:tcPr>
            <w:tcW w:w="3563"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rPr>
                <w:sz w:val="14"/>
                <w:szCs w:val="14"/>
              </w:rPr>
            </w:pPr>
            <w:r>
              <w:rPr>
                <w:b/>
                <w:bCs/>
                <w:sz w:val="15"/>
                <w:szCs w:val="15"/>
              </w:rPr>
              <w:t>Operating activities</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5"/>
                <w:szCs w:val="15"/>
              </w:rPr>
              <w:t>​</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r>
      <w:tr w:rsidR="00000000">
        <w:trPr>
          <w:divId w:val="699549984"/>
        </w:trPr>
        <w:tc>
          <w:tcPr>
            <w:tcW w:w="3563" w:type="pct"/>
            <w:tcMar>
              <w:top w:w="0" w:type="dxa"/>
              <w:left w:w="0" w:type="dxa"/>
              <w:bottom w:w="0" w:type="dxa"/>
              <w:right w:w="0" w:type="dxa"/>
            </w:tcMar>
            <w:hideMark/>
          </w:tcPr>
          <w:p w:rsidR="00000000" w:rsidRDefault="00E52F77">
            <w:pPr>
              <w:pStyle w:val="a3"/>
              <w:spacing w:before="0" w:beforeAutospacing="0" w:after="0" w:afterAutospacing="0"/>
              <w:rPr>
                <w:sz w:val="14"/>
                <w:szCs w:val="14"/>
              </w:rPr>
            </w:pPr>
            <w:r>
              <w:rPr>
                <w:sz w:val="15"/>
                <w:szCs w:val="15"/>
              </w:rPr>
              <w:t xml:space="preserve">Net loss </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4"/>
                <w:szCs w:val="14"/>
              </w:rPr>
            </w:pPr>
            <w:r>
              <w:rPr>
                <w:sz w:val="15"/>
                <w:szCs w:val="15"/>
              </w:rPr>
              <w:t>$</w:t>
            </w:r>
          </w:p>
        </w:tc>
        <w:tc>
          <w:tcPr>
            <w:tcW w:w="504"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4"/>
                <w:szCs w:val="14"/>
              </w:rPr>
            </w:pPr>
            <w:r>
              <w:rPr>
                <w:sz w:val="15"/>
                <w:szCs w:val="15"/>
              </w:rPr>
              <w:t>(132,084)</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4"/>
                <w:szCs w:val="14"/>
              </w:rPr>
            </w:pPr>
            <w:r>
              <w:rPr>
                <w:sz w:val="15"/>
                <w:szCs w:val="15"/>
              </w:rPr>
              <w:t>$</w:t>
            </w:r>
          </w:p>
        </w:tc>
        <w:tc>
          <w:tcPr>
            <w:tcW w:w="503"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4"/>
                <w:szCs w:val="14"/>
              </w:rPr>
            </w:pPr>
            <w:r>
              <w:rPr>
                <w:sz w:val="15"/>
                <w:szCs w:val="15"/>
              </w:rPr>
              <w:t>(145,940)</w:t>
            </w:r>
          </w:p>
        </w:tc>
      </w:tr>
      <w:tr w:rsidR="00000000">
        <w:trPr>
          <w:divId w:val="699549984"/>
        </w:trPr>
        <w:tc>
          <w:tcPr>
            <w:tcW w:w="3563"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rPr>
                <w:sz w:val="14"/>
                <w:szCs w:val="14"/>
              </w:rPr>
            </w:pPr>
            <w:r>
              <w:rPr>
                <w:sz w:val="15"/>
                <w:szCs w:val="15"/>
              </w:rPr>
              <w:t>Adjustments to reconcile net loss to net cash used in operating activities:</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5"/>
                <w:szCs w:val="15"/>
              </w:rPr>
              <w:t>​</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5"/>
                <w:szCs w:val="15"/>
              </w:rPr>
              <w:t>​</w:t>
            </w:r>
          </w:p>
        </w:tc>
      </w:tr>
      <w:tr w:rsidR="00000000">
        <w:trPr>
          <w:divId w:val="699549984"/>
        </w:trPr>
        <w:tc>
          <w:tcPr>
            <w:tcW w:w="3563" w:type="pct"/>
            <w:tcMar>
              <w:top w:w="0" w:type="dxa"/>
              <w:left w:w="0" w:type="dxa"/>
              <w:bottom w:w="0" w:type="dxa"/>
              <w:right w:w="0" w:type="dxa"/>
            </w:tcMar>
            <w:hideMark/>
          </w:tcPr>
          <w:p w:rsidR="00000000" w:rsidRDefault="00E52F77">
            <w:pPr>
              <w:pStyle w:val="a3"/>
              <w:spacing w:before="0" w:beforeAutospacing="0" w:after="0" w:afterAutospacing="0"/>
              <w:ind w:left="240"/>
              <w:rPr>
                <w:sz w:val="14"/>
                <w:szCs w:val="14"/>
              </w:rPr>
            </w:pPr>
            <w:r>
              <w:rPr>
                <w:sz w:val="15"/>
                <w:szCs w:val="15"/>
              </w:rPr>
              <w:t>Depreciation and amortization</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4"/>
                <w:szCs w:val="14"/>
              </w:rPr>
            </w:pPr>
            <w:r>
              <w:rPr>
                <w:sz w:val="15"/>
                <w:szCs w:val="15"/>
              </w:rPr>
              <w:t> </w:t>
            </w:r>
          </w:p>
        </w:tc>
        <w:tc>
          <w:tcPr>
            <w:tcW w:w="504"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2,926</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4"/>
                <w:szCs w:val="14"/>
              </w:rPr>
            </w:pPr>
            <w:r>
              <w:rPr>
                <w:sz w:val="15"/>
                <w:szCs w:val="15"/>
              </w:rPr>
              <w:t> </w:t>
            </w:r>
          </w:p>
        </w:tc>
        <w:tc>
          <w:tcPr>
            <w:tcW w:w="503"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4,034</w:t>
            </w:r>
          </w:p>
        </w:tc>
      </w:tr>
      <w:tr w:rsidR="00000000">
        <w:trPr>
          <w:divId w:val="699549984"/>
        </w:trPr>
        <w:tc>
          <w:tcPr>
            <w:tcW w:w="3563"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ind w:left="240"/>
              <w:rPr>
                <w:sz w:val="14"/>
                <w:szCs w:val="14"/>
              </w:rPr>
            </w:pPr>
            <w:r>
              <w:rPr>
                <w:sz w:val="15"/>
                <w:szCs w:val="15"/>
              </w:rPr>
              <w:t>Amortization and accretion income, net</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31</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4"/>
                <w:szCs w:val="14"/>
              </w:rPr>
            </w:pPr>
            <w:r>
              <w:rPr>
                <w:sz w:val="15"/>
                <w:szCs w:val="15"/>
              </w:rPr>
              <w:t>(854)</w:t>
            </w:r>
          </w:p>
        </w:tc>
      </w:tr>
      <w:tr w:rsidR="00000000">
        <w:trPr>
          <w:divId w:val="699549984"/>
        </w:trPr>
        <w:tc>
          <w:tcPr>
            <w:tcW w:w="3563" w:type="pct"/>
            <w:tcMar>
              <w:top w:w="0" w:type="dxa"/>
              <w:left w:w="0" w:type="dxa"/>
              <w:bottom w:w="0" w:type="dxa"/>
              <w:right w:w="0" w:type="dxa"/>
            </w:tcMar>
            <w:hideMark/>
          </w:tcPr>
          <w:p w:rsidR="00000000" w:rsidRDefault="00E52F77">
            <w:pPr>
              <w:pStyle w:val="a3"/>
              <w:spacing w:before="0" w:beforeAutospacing="0" w:after="0" w:afterAutospacing="0"/>
              <w:ind w:left="240"/>
              <w:rPr>
                <w:sz w:val="14"/>
                <w:szCs w:val="14"/>
              </w:rPr>
            </w:pPr>
            <w:r>
              <w:rPr>
                <w:sz w:val="15"/>
                <w:szCs w:val="15"/>
              </w:rPr>
              <w:t xml:space="preserve">Share-based compensation </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4"/>
                <w:szCs w:val="14"/>
              </w:rPr>
            </w:pPr>
            <w:r>
              <w:rPr>
                <w:sz w:val="15"/>
                <w:szCs w:val="15"/>
              </w:rPr>
              <w:t> </w:t>
            </w:r>
          </w:p>
        </w:tc>
        <w:tc>
          <w:tcPr>
            <w:tcW w:w="504"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30,773</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4"/>
                <w:szCs w:val="14"/>
              </w:rPr>
            </w:pPr>
            <w:r>
              <w:rPr>
                <w:sz w:val="15"/>
                <w:szCs w:val="15"/>
              </w:rPr>
              <w:t> </w:t>
            </w:r>
          </w:p>
        </w:tc>
        <w:tc>
          <w:tcPr>
            <w:tcW w:w="503"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31,861</w:t>
            </w:r>
          </w:p>
        </w:tc>
      </w:tr>
      <w:tr w:rsidR="00000000">
        <w:trPr>
          <w:divId w:val="699549984"/>
        </w:trPr>
        <w:tc>
          <w:tcPr>
            <w:tcW w:w="3563"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ind w:left="240"/>
              <w:rPr>
                <w:sz w:val="14"/>
                <w:szCs w:val="14"/>
              </w:rPr>
            </w:pPr>
            <w:r>
              <w:rPr>
                <w:sz w:val="15"/>
                <w:szCs w:val="15"/>
              </w:rPr>
              <w:t>Amortization of right-of-use assets</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1,752</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1,420</w:t>
            </w:r>
          </w:p>
        </w:tc>
      </w:tr>
      <w:tr w:rsidR="00000000">
        <w:trPr>
          <w:divId w:val="699549984"/>
        </w:trPr>
        <w:tc>
          <w:tcPr>
            <w:tcW w:w="3563" w:type="pct"/>
            <w:tcMar>
              <w:top w:w="0" w:type="dxa"/>
              <w:left w:w="0" w:type="dxa"/>
              <w:bottom w:w="0" w:type="dxa"/>
              <w:right w:w="0" w:type="dxa"/>
            </w:tcMar>
            <w:hideMark/>
          </w:tcPr>
          <w:p w:rsidR="00000000" w:rsidRDefault="00E52F77">
            <w:pPr>
              <w:pStyle w:val="a3"/>
              <w:spacing w:before="0" w:beforeAutospacing="0" w:after="0" w:afterAutospacing="0"/>
              <w:ind w:left="240"/>
              <w:rPr>
                <w:sz w:val="14"/>
                <w:szCs w:val="14"/>
              </w:rPr>
            </w:pPr>
            <w:r>
              <w:rPr>
                <w:sz w:val="15"/>
                <w:szCs w:val="15"/>
              </w:rPr>
              <w:t>Undistributed earnings from TRC, LLC</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2,986</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4"/>
                <w:szCs w:val="14"/>
              </w:rPr>
            </w:pPr>
            <w:r>
              <w:rPr>
                <w:sz w:val="15"/>
                <w:szCs w:val="15"/>
              </w:rPr>
              <w:t>(6,934)</w:t>
            </w:r>
          </w:p>
        </w:tc>
      </w:tr>
      <w:tr w:rsidR="00000000">
        <w:trPr>
          <w:divId w:val="699549984"/>
        </w:trPr>
        <w:tc>
          <w:tcPr>
            <w:tcW w:w="3563"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ind w:left="240"/>
              <w:rPr>
                <w:sz w:val="14"/>
                <w:szCs w:val="14"/>
              </w:rPr>
            </w:pPr>
            <w:r>
              <w:rPr>
                <w:sz w:val="15"/>
                <w:szCs w:val="15"/>
              </w:rPr>
              <w:t>Interest shortfall on 2035 notes, net</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1,093</w:t>
            </w:r>
          </w:p>
        </w:tc>
      </w:tr>
      <w:tr w:rsidR="00000000">
        <w:trPr>
          <w:divId w:val="699549984"/>
        </w:trPr>
        <w:tc>
          <w:tcPr>
            <w:tcW w:w="3563" w:type="pct"/>
            <w:tcMar>
              <w:top w:w="0" w:type="dxa"/>
              <w:left w:w="0" w:type="dxa"/>
              <w:bottom w:w="0" w:type="dxa"/>
              <w:right w:w="0" w:type="dxa"/>
            </w:tcMar>
            <w:hideMark/>
          </w:tcPr>
          <w:p w:rsidR="00000000" w:rsidRDefault="00E52F77">
            <w:pPr>
              <w:pStyle w:val="a3"/>
              <w:spacing w:before="0" w:beforeAutospacing="0" w:after="0" w:afterAutospacing="0"/>
              <w:ind w:left="240"/>
              <w:rPr>
                <w:sz w:val="14"/>
                <w:szCs w:val="14"/>
              </w:rPr>
            </w:pPr>
            <w:r>
              <w:rPr>
                <w:sz w:val="15"/>
                <w:szCs w:val="15"/>
              </w:rPr>
              <w:t>Loss on extinguishment of debt</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15,464</w:t>
            </w:r>
          </w:p>
        </w:tc>
      </w:tr>
      <w:tr w:rsidR="00000000">
        <w:trPr>
          <w:divId w:val="699549984"/>
        </w:trPr>
        <w:tc>
          <w:tcPr>
            <w:tcW w:w="3563"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ind w:left="240"/>
              <w:rPr>
                <w:sz w:val="14"/>
                <w:szCs w:val="14"/>
              </w:rPr>
            </w:pPr>
            <w:r>
              <w:rPr>
                <w:sz w:val="15"/>
                <w:szCs w:val="15"/>
              </w:rPr>
              <w:t>Other</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4"/>
                <w:szCs w:val="14"/>
              </w:rPr>
            </w:pPr>
            <w:r>
              <w:rPr>
                <w:sz w:val="15"/>
                <w:szCs w:val="15"/>
              </w:rPr>
              <w:t>(168)</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4"/>
                <w:szCs w:val="14"/>
              </w:rPr>
            </w:pPr>
            <w:r>
              <w:rPr>
                <w:sz w:val="15"/>
                <w:szCs w:val="15"/>
              </w:rPr>
              <w:t>(4)</w:t>
            </w:r>
          </w:p>
        </w:tc>
      </w:tr>
      <w:tr w:rsidR="00000000">
        <w:trPr>
          <w:divId w:val="699549984"/>
        </w:trPr>
        <w:tc>
          <w:tcPr>
            <w:tcW w:w="3563" w:type="pct"/>
            <w:tcMar>
              <w:top w:w="0" w:type="dxa"/>
              <w:left w:w="0" w:type="dxa"/>
              <w:bottom w:w="0" w:type="dxa"/>
              <w:right w:w="0" w:type="dxa"/>
            </w:tcMar>
            <w:hideMark/>
          </w:tcPr>
          <w:p w:rsidR="00000000" w:rsidRDefault="00E52F77">
            <w:pPr>
              <w:pStyle w:val="a3"/>
              <w:spacing w:before="0" w:beforeAutospacing="0" w:after="0" w:afterAutospacing="0"/>
              <w:ind w:left="240"/>
              <w:rPr>
                <w:sz w:val="14"/>
                <w:szCs w:val="14"/>
              </w:rPr>
            </w:pPr>
            <w:r>
              <w:rPr>
                <w:sz w:val="15"/>
                <w:szCs w:val="15"/>
              </w:rPr>
              <w:t>Changes in operating assets and liabilities:</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5"/>
                <w:szCs w:val="15"/>
              </w:rPr>
              <w:t>​</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r>
      <w:tr w:rsidR="00000000">
        <w:trPr>
          <w:divId w:val="699549984"/>
        </w:trPr>
        <w:tc>
          <w:tcPr>
            <w:tcW w:w="3563"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ind w:left="360"/>
              <w:rPr>
                <w:sz w:val="14"/>
                <w:szCs w:val="14"/>
              </w:rPr>
            </w:pPr>
            <w:r>
              <w:rPr>
                <w:sz w:val="15"/>
                <w:szCs w:val="15"/>
              </w:rPr>
              <w:t xml:space="preserve">Receivables from collaborative and licensing arrangements </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4"/>
                <w:szCs w:val="14"/>
              </w:rPr>
            </w:pPr>
            <w:r>
              <w:rPr>
                <w:sz w:val="15"/>
                <w:szCs w:val="15"/>
              </w:rPr>
              <w:t> </w:t>
            </w:r>
          </w:p>
        </w:tc>
        <w:tc>
          <w:tcPr>
            <w:tcW w:w="50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3,648</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4"/>
                <w:szCs w:val="14"/>
              </w:rPr>
            </w:pPr>
            <w:r>
              <w:rPr>
                <w:sz w:val="15"/>
                <w:szCs w:val="15"/>
              </w:rPr>
              <w:t> </w:t>
            </w:r>
          </w:p>
        </w:tc>
        <w:tc>
          <w:tcPr>
            <w:tcW w:w="50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10,583</w:t>
            </w:r>
          </w:p>
        </w:tc>
      </w:tr>
      <w:tr w:rsidR="00000000">
        <w:trPr>
          <w:divId w:val="699549984"/>
        </w:trPr>
        <w:tc>
          <w:tcPr>
            <w:tcW w:w="3563" w:type="pct"/>
            <w:tcMar>
              <w:top w:w="0" w:type="dxa"/>
              <w:left w:w="0" w:type="dxa"/>
              <w:bottom w:w="0" w:type="dxa"/>
              <w:right w:w="0" w:type="dxa"/>
            </w:tcMar>
            <w:hideMark/>
          </w:tcPr>
          <w:p w:rsidR="00000000" w:rsidRDefault="00E52F77">
            <w:pPr>
              <w:pStyle w:val="a3"/>
              <w:spacing w:before="0" w:beforeAutospacing="0" w:after="0" w:afterAutospacing="0"/>
              <w:ind w:left="360"/>
              <w:rPr>
                <w:sz w:val="14"/>
                <w:szCs w:val="14"/>
              </w:rPr>
            </w:pPr>
            <w:r>
              <w:rPr>
                <w:sz w:val="15"/>
                <w:szCs w:val="15"/>
              </w:rPr>
              <w:t>Prepaid clinical and development services</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4,461</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4"/>
                <w:szCs w:val="14"/>
              </w:rPr>
            </w:pPr>
            <w:r>
              <w:rPr>
                <w:sz w:val="15"/>
                <w:szCs w:val="15"/>
              </w:rPr>
              <w:t>(5,775)</w:t>
            </w:r>
          </w:p>
        </w:tc>
      </w:tr>
      <w:tr w:rsidR="00000000">
        <w:trPr>
          <w:divId w:val="699549984"/>
        </w:trPr>
        <w:tc>
          <w:tcPr>
            <w:tcW w:w="3563"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ind w:left="360"/>
              <w:rPr>
                <w:sz w:val="14"/>
                <w:szCs w:val="14"/>
              </w:rPr>
            </w:pPr>
            <w:r>
              <w:rPr>
                <w:sz w:val="15"/>
                <w:szCs w:val="15"/>
              </w:rPr>
              <w:t>Other prepaid and current assets</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4"/>
                <w:szCs w:val="14"/>
              </w:rPr>
            </w:pPr>
            <w:r>
              <w:rPr>
                <w:sz w:val="15"/>
                <w:szCs w:val="15"/>
              </w:rPr>
              <w:t>(1,993)</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4"/>
                <w:szCs w:val="14"/>
              </w:rPr>
            </w:pPr>
            <w:r>
              <w:rPr>
                <w:sz w:val="15"/>
                <w:szCs w:val="15"/>
              </w:rPr>
              <w:t>(264)</w:t>
            </w:r>
          </w:p>
        </w:tc>
      </w:tr>
      <w:tr w:rsidR="00000000">
        <w:trPr>
          <w:divId w:val="699549984"/>
        </w:trPr>
        <w:tc>
          <w:tcPr>
            <w:tcW w:w="3563" w:type="pct"/>
            <w:tcMar>
              <w:top w:w="0" w:type="dxa"/>
              <w:left w:w="0" w:type="dxa"/>
              <w:bottom w:w="0" w:type="dxa"/>
              <w:right w:w="0" w:type="dxa"/>
            </w:tcMar>
            <w:vAlign w:val="bottom"/>
            <w:hideMark/>
          </w:tcPr>
          <w:p w:rsidR="00000000" w:rsidRDefault="00E52F77">
            <w:pPr>
              <w:pStyle w:val="a3"/>
              <w:spacing w:before="0" w:beforeAutospacing="0" w:after="0" w:afterAutospacing="0"/>
              <w:ind w:left="360"/>
              <w:rPr>
                <w:sz w:val="14"/>
                <w:szCs w:val="14"/>
              </w:rPr>
            </w:pPr>
            <w:r>
              <w:rPr>
                <w:sz w:val="15"/>
                <w:szCs w:val="15"/>
              </w:rPr>
              <w:t>Other assets</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997</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4"/>
                <w:szCs w:val="14"/>
              </w:rPr>
            </w:pPr>
            <w:r>
              <w:rPr>
                <w:sz w:val="15"/>
                <w:szCs w:val="15"/>
              </w:rPr>
              <w:t>(373)</w:t>
            </w:r>
          </w:p>
        </w:tc>
      </w:tr>
      <w:tr w:rsidR="00000000">
        <w:trPr>
          <w:divId w:val="699549984"/>
        </w:trPr>
        <w:tc>
          <w:tcPr>
            <w:tcW w:w="3563"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ind w:left="360"/>
              <w:rPr>
                <w:sz w:val="14"/>
                <w:szCs w:val="14"/>
              </w:rPr>
            </w:pPr>
            <w:r>
              <w:rPr>
                <w:sz w:val="15"/>
                <w:szCs w:val="15"/>
              </w:rPr>
              <w:t xml:space="preserve">Accounts payable </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4"/>
                <w:szCs w:val="14"/>
              </w:rPr>
            </w:pPr>
            <w:r>
              <w:rPr>
                <w:sz w:val="15"/>
                <w:szCs w:val="15"/>
              </w:rPr>
              <w:t> </w:t>
            </w:r>
          </w:p>
        </w:tc>
        <w:tc>
          <w:tcPr>
            <w:tcW w:w="50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4,026</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4"/>
                <w:szCs w:val="14"/>
              </w:rPr>
            </w:pPr>
            <w:r>
              <w:rPr>
                <w:sz w:val="15"/>
                <w:szCs w:val="15"/>
              </w:rPr>
              <w:t> </w:t>
            </w:r>
          </w:p>
        </w:tc>
        <w:tc>
          <w:tcPr>
            <w:tcW w:w="50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6,012</w:t>
            </w:r>
          </w:p>
        </w:tc>
      </w:tr>
      <w:tr w:rsidR="00000000">
        <w:trPr>
          <w:divId w:val="699549984"/>
        </w:trPr>
        <w:tc>
          <w:tcPr>
            <w:tcW w:w="3563" w:type="pct"/>
            <w:tcMar>
              <w:top w:w="0" w:type="dxa"/>
              <w:left w:w="0" w:type="dxa"/>
              <w:bottom w:w="0" w:type="dxa"/>
              <w:right w:w="0" w:type="dxa"/>
            </w:tcMar>
            <w:hideMark/>
          </w:tcPr>
          <w:p w:rsidR="00000000" w:rsidRDefault="00E52F77">
            <w:pPr>
              <w:pStyle w:val="a3"/>
              <w:spacing w:before="0" w:beforeAutospacing="0" w:after="0" w:afterAutospacing="0"/>
              <w:ind w:left="360"/>
              <w:rPr>
                <w:sz w:val="14"/>
                <w:szCs w:val="14"/>
              </w:rPr>
            </w:pPr>
            <w:r>
              <w:rPr>
                <w:sz w:val="15"/>
                <w:szCs w:val="15"/>
              </w:rPr>
              <w:t xml:space="preserve">Accrued personnel-related expenses, accrued clinical and development expenses, and other accrued liabilities </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4"/>
                <w:szCs w:val="14"/>
              </w:rPr>
            </w:pPr>
            <w:r>
              <w:rPr>
                <w:sz w:val="15"/>
                <w:szCs w:val="15"/>
              </w:rPr>
              <w:t> </w:t>
            </w:r>
          </w:p>
        </w:tc>
        <w:tc>
          <w:tcPr>
            <w:tcW w:w="504"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4"/>
                <w:szCs w:val="14"/>
              </w:rPr>
            </w:pPr>
            <w:r>
              <w:rPr>
                <w:sz w:val="15"/>
                <w:szCs w:val="15"/>
              </w:rPr>
              <w:t>(33,125)</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4"/>
                <w:szCs w:val="14"/>
              </w:rPr>
            </w:pPr>
            <w:r>
              <w:rPr>
                <w:sz w:val="15"/>
                <w:szCs w:val="15"/>
              </w:rPr>
              <w:t> </w:t>
            </w:r>
          </w:p>
        </w:tc>
        <w:tc>
          <w:tcPr>
            <w:tcW w:w="503"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4"/>
                <w:szCs w:val="14"/>
              </w:rPr>
            </w:pPr>
            <w:r>
              <w:rPr>
                <w:sz w:val="15"/>
                <w:szCs w:val="15"/>
              </w:rPr>
              <w:t>(5,753)</w:t>
            </w:r>
          </w:p>
        </w:tc>
      </w:tr>
      <w:tr w:rsidR="00000000">
        <w:trPr>
          <w:divId w:val="699549984"/>
        </w:trPr>
        <w:tc>
          <w:tcPr>
            <w:tcW w:w="3563"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ind w:left="360"/>
              <w:rPr>
                <w:sz w:val="14"/>
                <w:szCs w:val="14"/>
              </w:rPr>
            </w:pPr>
            <w:r>
              <w:rPr>
                <w:sz w:val="15"/>
                <w:szCs w:val="15"/>
              </w:rPr>
              <w:t>Accrued interest payable</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4"/>
                <w:szCs w:val="14"/>
              </w:rPr>
            </w:pPr>
            <w:r>
              <w:rPr>
                <w:sz w:val="15"/>
                <w:szCs w:val="15"/>
              </w:rPr>
              <w:t>(74)</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4"/>
                <w:szCs w:val="14"/>
              </w:rPr>
            </w:pPr>
            <w:r>
              <w:rPr>
                <w:sz w:val="15"/>
                <w:szCs w:val="15"/>
              </w:rPr>
              <w:t>(1,957)</w:t>
            </w:r>
          </w:p>
        </w:tc>
      </w:tr>
      <w:tr w:rsidR="00000000">
        <w:trPr>
          <w:divId w:val="699549984"/>
        </w:trPr>
        <w:tc>
          <w:tcPr>
            <w:tcW w:w="3563" w:type="pct"/>
            <w:tcMar>
              <w:top w:w="0" w:type="dxa"/>
              <w:left w:w="0" w:type="dxa"/>
              <w:bottom w:w="0" w:type="dxa"/>
              <w:right w:w="0" w:type="dxa"/>
            </w:tcMar>
            <w:hideMark/>
          </w:tcPr>
          <w:p w:rsidR="00000000" w:rsidRDefault="00E52F77">
            <w:pPr>
              <w:pStyle w:val="a3"/>
              <w:spacing w:before="0" w:beforeAutospacing="0" w:after="0" w:afterAutospacing="0"/>
              <w:ind w:left="360"/>
              <w:rPr>
                <w:sz w:val="14"/>
                <w:szCs w:val="14"/>
              </w:rPr>
            </w:pPr>
            <w:r>
              <w:rPr>
                <w:sz w:val="15"/>
                <w:szCs w:val="15"/>
              </w:rPr>
              <w:t xml:space="preserve">Deferred revenue </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4"/>
                <w:szCs w:val="14"/>
              </w:rPr>
            </w:pPr>
            <w:r>
              <w:rPr>
                <w:sz w:val="15"/>
                <w:szCs w:val="15"/>
              </w:rPr>
              <w:t>(5,852)</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4"/>
                <w:szCs w:val="14"/>
              </w:rPr>
            </w:pPr>
            <w:r>
              <w:rPr>
                <w:sz w:val="15"/>
                <w:szCs w:val="15"/>
              </w:rPr>
              <w:t>(12,120)</w:t>
            </w:r>
          </w:p>
        </w:tc>
      </w:tr>
      <w:tr w:rsidR="00000000">
        <w:trPr>
          <w:divId w:val="699549984"/>
        </w:trPr>
        <w:tc>
          <w:tcPr>
            <w:tcW w:w="3563"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ind w:left="360"/>
              <w:rPr>
                <w:sz w:val="14"/>
                <w:szCs w:val="14"/>
              </w:rPr>
            </w:pPr>
            <w:r>
              <w:rPr>
                <w:sz w:val="15"/>
                <w:szCs w:val="15"/>
              </w:rPr>
              <w:t>Operating lease liabilities</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1,718</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885</w:t>
            </w:r>
          </w:p>
        </w:tc>
      </w:tr>
      <w:tr w:rsidR="00000000">
        <w:trPr>
          <w:divId w:val="699549984"/>
        </w:trPr>
        <w:tc>
          <w:tcPr>
            <w:tcW w:w="3563" w:type="pct"/>
            <w:tcMar>
              <w:top w:w="0" w:type="dxa"/>
              <w:left w:w="0" w:type="dxa"/>
              <w:bottom w:w="0" w:type="dxa"/>
              <w:right w:w="0" w:type="dxa"/>
            </w:tcMar>
            <w:hideMark/>
          </w:tcPr>
          <w:p w:rsidR="00000000" w:rsidRDefault="00E52F77">
            <w:pPr>
              <w:pStyle w:val="a3"/>
              <w:spacing w:before="0" w:beforeAutospacing="0" w:after="0" w:afterAutospacing="0"/>
              <w:ind w:left="360"/>
              <w:rPr>
                <w:sz w:val="14"/>
                <w:szCs w:val="14"/>
              </w:rPr>
            </w:pPr>
            <w:r>
              <w:rPr>
                <w:sz w:val="15"/>
                <w:szCs w:val="15"/>
              </w:rPr>
              <w:t>Other long-term liabilities</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4"/>
                <w:szCs w:val="14"/>
              </w:rPr>
            </w:pPr>
            <w:r>
              <w:rPr>
                <w:sz w:val="15"/>
                <w:szCs w:val="15"/>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4"/>
                <w:szCs w:val="14"/>
              </w:rPr>
            </w:pPr>
            <w:r>
              <w:rPr>
                <w:sz w:val="15"/>
                <w:szCs w:val="15"/>
              </w:rPr>
              <w:t> </w:t>
            </w:r>
          </w:p>
        </w:tc>
        <w:tc>
          <w:tcPr>
            <w:tcW w:w="503"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175</w:t>
            </w:r>
          </w:p>
        </w:tc>
      </w:tr>
      <w:tr w:rsidR="00000000">
        <w:trPr>
          <w:divId w:val="699549984"/>
        </w:trPr>
        <w:tc>
          <w:tcPr>
            <w:tcW w:w="3563"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ind w:left="480"/>
              <w:rPr>
                <w:sz w:val="14"/>
                <w:szCs w:val="14"/>
              </w:rPr>
            </w:pPr>
            <w:r>
              <w:rPr>
                <w:sz w:val="15"/>
                <w:szCs w:val="15"/>
              </w:rPr>
              <w:t xml:space="preserve">Net cash used in operating activities </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4"/>
                <w:szCs w:val="14"/>
              </w:rPr>
            </w:pPr>
            <w:r>
              <w:rPr>
                <w:sz w:val="15"/>
                <w:szCs w:val="15"/>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4"/>
                <w:szCs w:val="14"/>
              </w:rPr>
            </w:pPr>
            <w:r>
              <w:rPr>
                <w:sz w:val="15"/>
                <w:szCs w:val="15"/>
              </w:rPr>
              <w:t>(119,978)</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4"/>
                <w:szCs w:val="14"/>
              </w:rPr>
            </w:pPr>
            <w:r>
              <w:rPr>
                <w:sz w:val="15"/>
                <w:szCs w:val="15"/>
              </w:rPr>
              <w:t> </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4"/>
                <w:szCs w:val="14"/>
              </w:rPr>
            </w:pPr>
            <w:r>
              <w:rPr>
                <w:sz w:val="15"/>
                <w:szCs w:val="15"/>
              </w:rPr>
              <w:t>(108,447)</w:t>
            </w:r>
          </w:p>
        </w:tc>
      </w:tr>
      <w:tr w:rsidR="00000000">
        <w:trPr>
          <w:divId w:val="699549984"/>
        </w:trPr>
        <w:tc>
          <w:tcPr>
            <w:tcW w:w="3563" w:type="pct"/>
            <w:tcMar>
              <w:top w:w="0" w:type="dxa"/>
              <w:left w:w="0" w:type="dxa"/>
              <w:bottom w:w="0" w:type="dxa"/>
              <w:right w:w="0" w:type="dxa"/>
            </w:tcMar>
            <w:hideMark/>
          </w:tcPr>
          <w:p w:rsidR="00000000" w:rsidRDefault="00E52F77">
            <w:pPr>
              <w:pStyle w:val="a3"/>
              <w:spacing w:before="0" w:beforeAutospacing="0" w:after="0" w:afterAutospacing="0"/>
              <w:rPr>
                <w:sz w:val="20"/>
                <w:szCs w:val="20"/>
              </w:rPr>
            </w:pPr>
            <w:r>
              <w:rPr>
                <w:sz w:val="15"/>
                <w:szCs w:val="15"/>
              </w:rPr>
              <w:t>​</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5"/>
                <w:szCs w:val="15"/>
              </w:rPr>
              <w:t>​</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5"/>
                <w:szCs w:val="15"/>
              </w:rPr>
              <w:t>​</w:t>
            </w:r>
          </w:p>
        </w:tc>
      </w:tr>
      <w:tr w:rsidR="00000000">
        <w:trPr>
          <w:divId w:val="699549984"/>
        </w:trPr>
        <w:tc>
          <w:tcPr>
            <w:tcW w:w="3563"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rPr>
                <w:sz w:val="14"/>
                <w:szCs w:val="14"/>
              </w:rPr>
            </w:pPr>
            <w:r>
              <w:rPr>
                <w:b/>
                <w:bCs/>
                <w:sz w:val="15"/>
                <w:szCs w:val="15"/>
              </w:rPr>
              <w:t>Investing activities</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5"/>
                <w:szCs w:val="15"/>
              </w:rPr>
              <w:t>​</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5"/>
                <w:szCs w:val="15"/>
              </w:rPr>
              <w:t>​</w:t>
            </w:r>
          </w:p>
        </w:tc>
      </w:tr>
      <w:tr w:rsidR="00000000">
        <w:trPr>
          <w:divId w:val="699549984"/>
        </w:trPr>
        <w:tc>
          <w:tcPr>
            <w:tcW w:w="3563" w:type="pct"/>
            <w:tcMar>
              <w:top w:w="0" w:type="dxa"/>
              <w:left w:w="0" w:type="dxa"/>
              <w:bottom w:w="0" w:type="dxa"/>
              <w:right w:w="0" w:type="dxa"/>
            </w:tcMar>
            <w:hideMark/>
          </w:tcPr>
          <w:p w:rsidR="00000000" w:rsidRDefault="00E52F77">
            <w:pPr>
              <w:pStyle w:val="a3"/>
              <w:spacing w:before="0" w:beforeAutospacing="0" w:after="0" w:afterAutospacing="0"/>
              <w:rPr>
                <w:sz w:val="14"/>
                <w:szCs w:val="14"/>
              </w:rPr>
            </w:pPr>
            <w:r>
              <w:rPr>
                <w:sz w:val="15"/>
                <w:szCs w:val="15"/>
              </w:rPr>
              <w:t>Purchases of property and equipment</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4"/>
                <w:szCs w:val="14"/>
              </w:rPr>
            </w:pPr>
            <w:r>
              <w:rPr>
                <w:sz w:val="15"/>
                <w:szCs w:val="15"/>
              </w:rPr>
              <w:t> </w:t>
            </w:r>
          </w:p>
        </w:tc>
        <w:tc>
          <w:tcPr>
            <w:tcW w:w="504"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4"/>
                <w:szCs w:val="14"/>
              </w:rPr>
            </w:pPr>
            <w:r>
              <w:rPr>
                <w:sz w:val="15"/>
                <w:szCs w:val="15"/>
              </w:rPr>
              <w:t>(1,923)</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4"/>
                <w:szCs w:val="14"/>
              </w:rPr>
            </w:pPr>
            <w:r>
              <w:rPr>
                <w:sz w:val="15"/>
                <w:szCs w:val="15"/>
              </w:rPr>
              <w:t> </w:t>
            </w:r>
          </w:p>
        </w:tc>
        <w:tc>
          <w:tcPr>
            <w:tcW w:w="503"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4"/>
                <w:szCs w:val="14"/>
              </w:rPr>
            </w:pPr>
            <w:r>
              <w:rPr>
                <w:sz w:val="15"/>
                <w:szCs w:val="15"/>
              </w:rPr>
              <w:t>(3,322)</w:t>
            </w:r>
          </w:p>
        </w:tc>
      </w:tr>
      <w:tr w:rsidR="00000000">
        <w:trPr>
          <w:divId w:val="699549984"/>
        </w:trPr>
        <w:tc>
          <w:tcPr>
            <w:tcW w:w="3563"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rPr>
                <w:sz w:val="14"/>
                <w:szCs w:val="14"/>
              </w:rPr>
            </w:pPr>
            <w:r>
              <w:rPr>
                <w:sz w:val="15"/>
                <w:szCs w:val="15"/>
              </w:rPr>
              <w:t xml:space="preserve">Purchases of marketable securities </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4"/>
                <w:szCs w:val="14"/>
              </w:rPr>
            </w:pPr>
            <w:r>
              <w:rPr>
                <w:sz w:val="15"/>
                <w:szCs w:val="15"/>
              </w:rPr>
              <w:t> </w:t>
            </w:r>
          </w:p>
        </w:tc>
        <w:tc>
          <w:tcPr>
            <w:tcW w:w="50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4"/>
                <w:szCs w:val="14"/>
              </w:rPr>
            </w:pPr>
            <w:r>
              <w:rPr>
                <w:sz w:val="15"/>
                <w:szCs w:val="15"/>
              </w:rPr>
              <w:t>(40,014)</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4"/>
                <w:szCs w:val="14"/>
              </w:rPr>
            </w:pPr>
            <w:r>
              <w:rPr>
                <w:sz w:val="15"/>
                <w:szCs w:val="15"/>
              </w:rPr>
              <w:t> </w:t>
            </w:r>
          </w:p>
        </w:tc>
        <w:tc>
          <w:tcPr>
            <w:tcW w:w="50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4"/>
                <w:szCs w:val="14"/>
              </w:rPr>
            </w:pPr>
            <w:r>
              <w:rPr>
                <w:sz w:val="15"/>
                <w:szCs w:val="15"/>
              </w:rPr>
              <w:t>(280,495)</w:t>
            </w:r>
          </w:p>
        </w:tc>
      </w:tr>
      <w:tr w:rsidR="00000000">
        <w:trPr>
          <w:divId w:val="699549984"/>
        </w:trPr>
        <w:tc>
          <w:tcPr>
            <w:tcW w:w="3563" w:type="pct"/>
            <w:tcMar>
              <w:top w:w="0" w:type="dxa"/>
              <w:left w:w="0" w:type="dxa"/>
              <w:bottom w:w="0" w:type="dxa"/>
              <w:right w:w="0" w:type="dxa"/>
            </w:tcMar>
            <w:hideMark/>
          </w:tcPr>
          <w:p w:rsidR="00000000" w:rsidRDefault="00E52F77">
            <w:pPr>
              <w:pStyle w:val="a3"/>
              <w:spacing w:before="0" w:beforeAutospacing="0" w:after="0" w:afterAutospacing="0"/>
              <w:rPr>
                <w:sz w:val="14"/>
                <w:szCs w:val="14"/>
              </w:rPr>
            </w:pPr>
            <w:r>
              <w:rPr>
                <w:sz w:val="15"/>
                <w:szCs w:val="15"/>
              </w:rPr>
              <w:t xml:space="preserve">Maturities of marketable securities </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4"/>
                <w:szCs w:val="14"/>
              </w:rPr>
            </w:pPr>
            <w:r>
              <w:rPr>
                <w:sz w:val="15"/>
                <w:szCs w:val="15"/>
              </w:rPr>
              <w:t> </w:t>
            </w:r>
          </w:p>
        </w:tc>
        <w:tc>
          <w:tcPr>
            <w:tcW w:w="504"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191,400</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4"/>
                <w:szCs w:val="14"/>
              </w:rPr>
            </w:pPr>
            <w:r>
              <w:rPr>
                <w:sz w:val="15"/>
                <w:szCs w:val="15"/>
              </w:rPr>
              <w:t> </w:t>
            </w:r>
          </w:p>
        </w:tc>
        <w:tc>
          <w:tcPr>
            <w:tcW w:w="503"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155,703</w:t>
            </w:r>
          </w:p>
        </w:tc>
      </w:tr>
      <w:tr w:rsidR="00000000">
        <w:trPr>
          <w:divId w:val="699549984"/>
        </w:trPr>
        <w:tc>
          <w:tcPr>
            <w:tcW w:w="3563"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rPr>
                <w:sz w:val="14"/>
                <w:szCs w:val="14"/>
              </w:rPr>
            </w:pPr>
            <w:r>
              <w:rPr>
                <w:sz w:val="15"/>
                <w:szCs w:val="15"/>
              </w:rPr>
              <w:t>Proceeds from the sale of marketable securities</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19,927</w:t>
            </w:r>
          </w:p>
        </w:tc>
      </w:tr>
      <w:tr w:rsidR="00000000">
        <w:trPr>
          <w:divId w:val="699549984"/>
        </w:trPr>
        <w:tc>
          <w:tcPr>
            <w:tcW w:w="3563" w:type="pct"/>
            <w:tcMar>
              <w:top w:w="0" w:type="dxa"/>
              <w:left w:w="0" w:type="dxa"/>
              <w:bottom w:w="0" w:type="dxa"/>
              <w:right w:w="0" w:type="dxa"/>
            </w:tcMar>
            <w:hideMark/>
          </w:tcPr>
          <w:p w:rsidR="00000000" w:rsidRDefault="00E52F77">
            <w:pPr>
              <w:pStyle w:val="a3"/>
              <w:spacing w:before="0" w:beforeAutospacing="0" w:after="0" w:afterAutospacing="0"/>
              <w:rPr>
                <w:sz w:val="14"/>
                <w:szCs w:val="14"/>
              </w:rPr>
            </w:pPr>
            <w:r>
              <w:rPr>
                <w:sz w:val="15"/>
                <w:szCs w:val="15"/>
              </w:rPr>
              <w:t>Proceeds from the sale of property and equipment</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4"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3"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1</w:t>
            </w:r>
          </w:p>
        </w:tc>
      </w:tr>
      <w:tr w:rsidR="00000000">
        <w:trPr>
          <w:divId w:val="699549984"/>
        </w:trPr>
        <w:tc>
          <w:tcPr>
            <w:tcW w:w="3563"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ind w:left="480"/>
              <w:rPr>
                <w:sz w:val="14"/>
                <w:szCs w:val="14"/>
              </w:rPr>
            </w:pPr>
            <w:r>
              <w:rPr>
                <w:sz w:val="15"/>
                <w:szCs w:val="15"/>
              </w:rPr>
              <w:t xml:space="preserve">Net cash provided by (used in) investing activities </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4"/>
                <w:szCs w:val="14"/>
              </w:rPr>
            </w:pPr>
            <w:r>
              <w:rPr>
                <w:sz w:val="15"/>
                <w:szCs w:val="15"/>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149,463</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4"/>
                <w:szCs w:val="14"/>
              </w:rPr>
            </w:pPr>
            <w:r>
              <w:rPr>
                <w:sz w:val="15"/>
                <w:szCs w:val="15"/>
              </w:rPr>
              <w:t> </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4"/>
                <w:szCs w:val="14"/>
              </w:rPr>
            </w:pPr>
            <w:r>
              <w:rPr>
                <w:sz w:val="15"/>
                <w:szCs w:val="15"/>
              </w:rPr>
              <w:t>(108,186)</w:t>
            </w:r>
          </w:p>
        </w:tc>
      </w:tr>
      <w:tr w:rsidR="00000000">
        <w:trPr>
          <w:divId w:val="699549984"/>
        </w:trPr>
        <w:tc>
          <w:tcPr>
            <w:tcW w:w="3563" w:type="pct"/>
            <w:tcMar>
              <w:top w:w="0" w:type="dxa"/>
              <w:left w:w="0" w:type="dxa"/>
              <w:bottom w:w="0" w:type="dxa"/>
              <w:right w:w="0" w:type="dxa"/>
            </w:tcMar>
            <w:hideMark/>
          </w:tcPr>
          <w:p w:rsidR="00000000" w:rsidRDefault="00E52F77">
            <w:pPr>
              <w:pStyle w:val="a3"/>
              <w:spacing w:before="0" w:beforeAutospacing="0" w:after="0" w:afterAutospacing="0"/>
              <w:rPr>
                <w:sz w:val="20"/>
                <w:szCs w:val="20"/>
              </w:rPr>
            </w:pPr>
            <w:r>
              <w:rPr>
                <w:sz w:val="15"/>
                <w:szCs w:val="15"/>
              </w:rPr>
              <w:t>​</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5"/>
                <w:szCs w:val="15"/>
              </w:rPr>
              <w:t>​</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5"/>
                <w:szCs w:val="15"/>
              </w:rPr>
              <w:t>​</w:t>
            </w:r>
          </w:p>
        </w:tc>
      </w:tr>
      <w:tr w:rsidR="00000000">
        <w:trPr>
          <w:divId w:val="699549984"/>
        </w:trPr>
        <w:tc>
          <w:tcPr>
            <w:tcW w:w="3563"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rPr>
                <w:sz w:val="14"/>
                <w:szCs w:val="14"/>
              </w:rPr>
            </w:pPr>
            <w:r>
              <w:rPr>
                <w:b/>
                <w:bCs/>
                <w:sz w:val="15"/>
                <w:szCs w:val="15"/>
              </w:rPr>
              <w:t>Financing activities</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5"/>
                <w:szCs w:val="15"/>
              </w:rPr>
              <w:t>​</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5"/>
                <w:szCs w:val="15"/>
              </w:rPr>
              <w:t>​</w:t>
            </w:r>
          </w:p>
        </w:tc>
      </w:tr>
      <w:tr w:rsidR="00000000">
        <w:trPr>
          <w:divId w:val="699549984"/>
        </w:trPr>
        <w:tc>
          <w:tcPr>
            <w:tcW w:w="3563"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4"/>
                <w:szCs w:val="14"/>
              </w:rPr>
            </w:pPr>
            <w:r>
              <w:rPr>
                <w:sz w:val="15"/>
                <w:szCs w:val="15"/>
              </w:rPr>
              <w:t>Proceeds from the sale of ordinary shares, net</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108,180</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139,915</w:t>
            </w:r>
          </w:p>
        </w:tc>
      </w:tr>
      <w:tr w:rsidR="00000000">
        <w:trPr>
          <w:divId w:val="699549984"/>
        </w:trPr>
        <w:tc>
          <w:tcPr>
            <w:tcW w:w="356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14"/>
                <w:szCs w:val="14"/>
              </w:rPr>
            </w:pPr>
            <w:r>
              <w:rPr>
                <w:sz w:val="15"/>
                <w:szCs w:val="15"/>
              </w:rPr>
              <w:t>Proceeds from issuance of 2035 notes, net</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380,000</w:t>
            </w:r>
          </w:p>
        </w:tc>
      </w:tr>
      <w:tr w:rsidR="00000000">
        <w:trPr>
          <w:divId w:val="699549984"/>
        </w:trPr>
        <w:tc>
          <w:tcPr>
            <w:tcW w:w="3563"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4"/>
                <w:szCs w:val="14"/>
              </w:rPr>
            </w:pPr>
            <w:r>
              <w:rPr>
                <w:sz w:val="15"/>
                <w:szCs w:val="15"/>
              </w:rPr>
              <w:t>Payment of issuance costs on 2035 notes</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4"/>
                <w:szCs w:val="14"/>
              </w:rPr>
            </w:pPr>
            <w:r>
              <w:rPr>
                <w:sz w:val="15"/>
                <w:szCs w:val="15"/>
              </w:rPr>
              <w:t>(5,326)</w:t>
            </w:r>
          </w:p>
        </w:tc>
      </w:tr>
      <w:tr w:rsidR="00000000">
        <w:trPr>
          <w:divId w:val="699549984"/>
        </w:trPr>
        <w:tc>
          <w:tcPr>
            <w:tcW w:w="3563"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rPr>
                <w:sz w:val="14"/>
                <w:szCs w:val="14"/>
              </w:rPr>
            </w:pPr>
            <w:r>
              <w:rPr>
                <w:sz w:val="15"/>
                <w:szCs w:val="15"/>
              </w:rPr>
              <w:t>Principal payment on 2035 notes</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4"/>
                <w:szCs w:val="14"/>
              </w:rPr>
            </w:pPr>
            <w:r>
              <w:rPr>
                <w:sz w:val="15"/>
                <w:szCs w:val="15"/>
              </w:rPr>
              <w:t>(10,730)</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w:t>
            </w:r>
          </w:p>
        </w:tc>
      </w:tr>
      <w:tr w:rsidR="00000000">
        <w:trPr>
          <w:divId w:val="699549984"/>
        </w:trPr>
        <w:tc>
          <w:tcPr>
            <w:tcW w:w="3563"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4"/>
                <w:szCs w:val="14"/>
              </w:rPr>
            </w:pPr>
            <w:r>
              <w:rPr>
                <w:sz w:val="15"/>
                <w:szCs w:val="15"/>
              </w:rPr>
              <w:t>Payment of redemption premium on 2033 notes</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4"/>
                <w:szCs w:val="14"/>
              </w:rPr>
            </w:pPr>
            <w:r>
              <w:rPr>
                <w:sz w:val="15"/>
                <w:szCs w:val="15"/>
              </w:rPr>
              <w:t>(11,470)</w:t>
            </w:r>
          </w:p>
        </w:tc>
      </w:tr>
      <w:tr w:rsidR="00000000">
        <w:trPr>
          <w:divId w:val="699549984"/>
        </w:trPr>
        <w:tc>
          <w:tcPr>
            <w:tcW w:w="3563"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rPr>
                <w:sz w:val="14"/>
                <w:szCs w:val="14"/>
              </w:rPr>
            </w:pPr>
            <w:r>
              <w:rPr>
                <w:sz w:val="15"/>
                <w:szCs w:val="15"/>
              </w:rPr>
              <w:t>Principal payment on 2033 notes</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4"/>
                <w:szCs w:val="14"/>
              </w:rPr>
            </w:pPr>
            <w:r>
              <w:rPr>
                <w:sz w:val="15"/>
                <w:szCs w:val="15"/>
              </w:rPr>
              <w:t>(235,347)</w:t>
            </w:r>
          </w:p>
        </w:tc>
      </w:tr>
      <w:tr w:rsidR="00000000">
        <w:trPr>
          <w:divId w:val="699549984"/>
        </w:trPr>
        <w:tc>
          <w:tcPr>
            <w:tcW w:w="3563" w:type="pct"/>
            <w:tcMar>
              <w:top w:w="0" w:type="dxa"/>
              <w:left w:w="0" w:type="dxa"/>
              <w:bottom w:w="0" w:type="dxa"/>
              <w:right w:w="0" w:type="dxa"/>
            </w:tcMar>
            <w:vAlign w:val="bottom"/>
            <w:hideMark/>
          </w:tcPr>
          <w:p w:rsidR="00000000" w:rsidRDefault="00E52F77">
            <w:pPr>
              <w:pStyle w:val="a3"/>
              <w:spacing w:before="0" w:beforeAutospacing="0" w:after="0" w:afterAutospacing="0"/>
              <w:rPr>
                <w:sz w:val="14"/>
                <w:szCs w:val="14"/>
              </w:rPr>
            </w:pPr>
            <w:r>
              <w:rPr>
                <w:sz w:val="15"/>
                <w:szCs w:val="15"/>
              </w:rPr>
              <w:t>Proceeds from ESPP purchases</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2,862</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2,545</w:t>
            </w:r>
          </w:p>
        </w:tc>
      </w:tr>
      <w:tr w:rsidR="00000000">
        <w:trPr>
          <w:divId w:val="699549984"/>
        </w:trPr>
        <w:tc>
          <w:tcPr>
            <w:tcW w:w="3563"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rPr>
                <w:sz w:val="14"/>
                <w:szCs w:val="14"/>
              </w:rPr>
            </w:pPr>
            <w:r>
              <w:rPr>
                <w:sz w:val="15"/>
                <w:szCs w:val="15"/>
              </w:rPr>
              <w:t>Proceeds from option exercises</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5</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936</w:t>
            </w:r>
          </w:p>
        </w:tc>
      </w:tr>
      <w:tr w:rsidR="00000000">
        <w:trPr>
          <w:divId w:val="699549984"/>
        </w:trPr>
        <w:tc>
          <w:tcPr>
            <w:tcW w:w="3563" w:type="pct"/>
            <w:tcMar>
              <w:top w:w="0" w:type="dxa"/>
              <w:left w:w="0" w:type="dxa"/>
              <w:bottom w:w="0" w:type="dxa"/>
              <w:right w:w="0" w:type="dxa"/>
            </w:tcMar>
            <w:hideMark/>
          </w:tcPr>
          <w:p w:rsidR="00000000" w:rsidRDefault="00E52F77">
            <w:pPr>
              <w:pStyle w:val="a3"/>
              <w:spacing w:before="0" w:beforeAutospacing="0" w:after="0" w:afterAutospacing="0"/>
              <w:rPr>
                <w:sz w:val="14"/>
                <w:szCs w:val="14"/>
              </w:rPr>
            </w:pPr>
            <w:r>
              <w:rPr>
                <w:sz w:val="15"/>
                <w:szCs w:val="15"/>
              </w:rPr>
              <w:t>Repurchase of shares to satisfy tax withholding</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4"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4"/>
                <w:szCs w:val="14"/>
              </w:rPr>
            </w:pPr>
            <w:r>
              <w:rPr>
                <w:sz w:val="15"/>
                <w:szCs w:val="15"/>
              </w:rPr>
              <w:t>(6,320)</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3"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14"/>
                <w:szCs w:val="14"/>
              </w:rPr>
            </w:pPr>
            <w:r>
              <w:rPr>
                <w:sz w:val="15"/>
                <w:szCs w:val="15"/>
              </w:rPr>
              <w:t>(7,948)</w:t>
            </w:r>
          </w:p>
        </w:tc>
      </w:tr>
      <w:tr w:rsidR="00000000">
        <w:trPr>
          <w:divId w:val="699549984"/>
        </w:trPr>
        <w:tc>
          <w:tcPr>
            <w:tcW w:w="3563"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ind w:left="480"/>
              <w:rPr>
                <w:sz w:val="14"/>
                <w:szCs w:val="14"/>
              </w:rPr>
            </w:pPr>
            <w:r>
              <w:rPr>
                <w:sz w:val="15"/>
                <w:szCs w:val="15"/>
              </w:rPr>
              <w:t>Net cash provided by financing activities</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4"/>
                <w:szCs w:val="14"/>
              </w:rPr>
            </w:pPr>
            <w:r>
              <w:rPr>
                <w:sz w:val="15"/>
                <w:szCs w:val="15"/>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93,997</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4"/>
                <w:szCs w:val="14"/>
              </w:rPr>
            </w:pPr>
            <w:r>
              <w:rPr>
                <w:sz w:val="15"/>
                <w:szCs w:val="15"/>
              </w:rPr>
              <w:t> </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263,305</w:t>
            </w:r>
          </w:p>
        </w:tc>
      </w:tr>
      <w:tr w:rsidR="00000000">
        <w:trPr>
          <w:divId w:val="699549984"/>
        </w:trPr>
        <w:tc>
          <w:tcPr>
            <w:tcW w:w="3563" w:type="pct"/>
            <w:tcMar>
              <w:top w:w="0" w:type="dxa"/>
              <w:left w:w="0" w:type="dxa"/>
              <w:bottom w:w="0" w:type="dxa"/>
              <w:right w:w="0" w:type="dxa"/>
            </w:tcMar>
            <w:hideMark/>
          </w:tcPr>
          <w:p w:rsidR="00000000" w:rsidRDefault="00E52F77">
            <w:pPr>
              <w:pStyle w:val="a3"/>
              <w:spacing w:before="0" w:beforeAutospacing="0" w:after="0" w:afterAutospacing="0"/>
              <w:rPr>
                <w:sz w:val="20"/>
                <w:szCs w:val="20"/>
              </w:rPr>
            </w:pPr>
            <w:r>
              <w:rPr>
                <w:sz w:val="15"/>
                <w:szCs w:val="15"/>
              </w:rPr>
              <w:t>​</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5"/>
                <w:szCs w:val="15"/>
              </w:rPr>
              <w:t>​</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5"/>
                <w:szCs w:val="15"/>
              </w:rPr>
              <w:t>​</w:t>
            </w:r>
          </w:p>
        </w:tc>
      </w:tr>
      <w:tr w:rsidR="00000000">
        <w:trPr>
          <w:divId w:val="699549984"/>
        </w:trPr>
        <w:tc>
          <w:tcPr>
            <w:tcW w:w="3563"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rPr>
                <w:sz w:val="14"/>
                <w:szCs w:val="14"/>
              </w:rPr>
            </w:pPr>
            <w:r>
              <w:rPr>
                <w:b/>
                <w:bCs/>
                <w:sz w:val="15"/>
                <w:szCs w:val="15"/>
              </w:rPr>
              <w:t>Net increase in cash, cash equivalents, and restricted cash</w:t>
            </w:r>
            <w:r>
              <w:rPr>
                <w:sz w:val="15"/>
                <w:szCs w:val="15"/>
              </w:rPr>
              <w:t xml:space="preserve"> </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4"/>
                <w:szCs w:val="14"/>
              </w:rPr>
            </w:pPr>
            <w:r>
              <w:rPr>
                <w:sz w:val="15"/>
                <w:szCs w:val="15"/>
              </w:rPr>
              <w:t> </w:t>
            </w:r>
          </w:p>
        </w:tc>
        <w:tc>
          <w:tcPr>
            <w:tcW w:w="50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123,482</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4"/>
                <w:szCs w:val="14"/>
              </w:rPr>
            </w:pPr>
            <w:r>
              <w:rPr>
                <w:sz w:val="15"/>
                <w:szCs w:val="15"/>
              </w:rPr>
              <w:t> </w:t>
            </w:r>
          </w:p>
        </w:tc>
        <w:tc>
          <w:tcPr>
            <w:tcW w:w="50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46,671</w:t>
            </w:r>
          </w:p>
        </w:tc>
      </w:tr>
      <w:tr w:rsidR="00000000">
        <w:trPr>
          <w:divId w:val="699549984"/>
        </w:trPr>
        <w:tc>
          <w:tcPr>
            <w:tcW w:w="3563" w:type="pct"/>
            <w:tcMar>
              <w:top w:w="0" w:type="dxa"/>
              <w:left w:w="0" w:type="dxa"/>
              <w:bottom w:w="0" w:type="dxa"/>
              <w:right w:w="0" w:type="dxa"/>
            </w:tcMar>
            <w:hideMark/>
          </w:tcPr>
          <w:p w:rsidR="00000000" w:rsidRDefault="00E52F77">
            <w:pPr>
              <w:pStyle w:val="a3"/>
              <w:spacing w:before="0" w:beforeAutospacing="0" w:after="0" w:afterAutospacing="0"/>
              <w:rPr>
                <w:sz w:val="14"/>
                <w:szCs w:val="14"/>
              </w:rPr>
            </w:pPr>
            <w:r>
              <w:rPr>
                <w:b/>
                <w:bCs/>
                <w:sz w:val="15"/>
                <w:szCs w:val="15"/>
              </w:rPr>
              <w:t>Cash, cash equivalents, and restricted cash at beginning of period</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4"/>
                <w:szCs w:val="14"/>
              </w:rPr>
            </w:pPr>
            <w:r>
              <w:rPr>
                <w:sz w:val="15"/>
                <w:szCs w:val="15"/>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82,300</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4"/>
                <w:szCs w:val="14"/>
              </w:rPr>
            </w:pPr>
            <w:r>
              <w:rPr>
                <w:sz w:val="15"/>
                <w:szCs w:val="15"/>
              </w:rPr>
              <w:t> </w:t>
            </w:r>
          </w:p>
        </w:tc>
        <w:tc>
          <w:tcPr>
            <w:tcW w:w="503"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58,897</w:t>
            </w:r>
          </w:p>
        </w:tc>
      </w:tr>
      <w:tr w:rsidR="00000000">
        <w:trPr>
          <w:divId w:val="699549984"/>
        </w:trPr>
        <w:tc>
          <w:tcPr>
            <w:tcW w:w="3563"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rPr>
                <w:sz w:val="14"/>
                <w:szCs w:val="14"/>
              </w:rPr>
            </w:pPr>
            <w:r>
              <w:rPr>
                <w:b/>
                <w:bCs/>
                <w:sz w:val="15"/>
                <w:szCs w:val="15"/>
              </w:rPr>
              <w:t>Cash, cash equivalents, and restricted cash at end of period</w:t>
            </w:r>
            <w:r>
              <w:rPr>
                <w:sz w:val="15"/>
                <w:szCs w:val="15"/>
              </w:rPr>
              <w:t xml:space="preserve"> </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4"/>
                <w:szCs w:val="14"/>
              </w:rPr>
            </w:pPr>
            <w:r>
              <w:rPr>
                <w:sz w:val="15"/>
                <w:szCs w:val="15"/>
              </w:rPr>
              <w:t>$</w:t>
            </w:r>
          </w:p>
        </w:tc>
        <w:tc>
          <w:tcPr>
            <w:tcW w:w="50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205,782</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4"/>
                <w:szCs w:val="14"/>
              </w:rPr>
            </w:pPr>
            <w:r>
              <w:rPr>
                <w:sz w:val="15"/>
                <w:szCs w:val="15"/>
              </w:rPr>
              <w:t>$</w:t>
            </w:r>
          </w:p>
        </w:tc>
        <w:tc>
          <w:tcPr>
            <w:tcW w:w="5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105,568</w:t>
            </w:r>
          </w:p>
        </w:tc>
      </w:tr>
      <w:tr w:rsidR="00000000">
        <w:trPr>
          <w:divId w:val="699549984"/>
        </w:trPr>
        <w:tc>
          <w:tcPr>
            <w:tcW w:w="3563" w:type="pct"/>
            <w:tcMar>
              <w:top w:w="0" w:type="dxa"/>
              <w:left w:w="0" w:type="dxa"/>
              <w:bottom w:w="0" w:type="dxa"/>
              <w:right w:w="0" w:type="dxa"/>
            </w:tcMar>
            <w:hideMark/>
          </w:tcPr>
          <w:p w:rsidR="00000000" w:rsidRDefault="00E52F77">
            <w:pPr>
              <w:pStyle w:val="a3"/>
              <w:spacing w:before="0" w:beforeAutospacing="0" w:after="0" w:afterAutospacing="0"/>
              <w:rPr>
                <w:sz w:val="20"/>
                <w:szCs w:val="20"/>
              </w:rPr>
            </w:pPr>
            <w:r>
              <w:rPr>
                <w:b/>
                <w:bCs/>
                <w:sz w:val="15"/>
                <w:szCs w:val="15"/>
              </w:rPr>
              <w:t>​</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5"/>
                <w:szCs w:val="15"/>
              </w:rPr>
              <w:t>​</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5"/>
                <w:szCs w:val="15"/>
              </w:rPr>
              <w:t>​</w:t>
            </w:r>
          </w:p>
        </w:tc>
      </w:tr>
      <w:tr w:rsidR="00000000">
        <w:trPr>
          <w:divId w:val="699549984"/>
        </w:trPr>
        <w:tc>
          <w:tcPr>
            <w:tcW w:w="3563"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rPr>
                <w:sz w:val="14"/>
                <w:szCs w:val="14"/>
              </w:rPr>
            </w:pPr>
            <w:r>
              <w:rPr>
                <w:b/>
                <w:bCs/>
                <w:sz w:val="15"/>
                <w:szCs w:val="15"/>
              </w:rPr>
              <w:t>Supplemental disclosure of cash flow information</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5"/>
                <w:szCs w:val="15"/>
              </w:rPr>
              <w:t>​</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15"/>
                <w:szCs w:val="15"/>
              </w:rPr>
              <w:t>​</w:t>
            </w:r>
          </w:p>
        </w:tc>
      </w:tr>
      <w:tr w:rsidR="00000000">
        <w:trPr>
          <w:divId w:val="699549984"/>
        </w:trPr>
        <w:tc>
          <w:tcPr>
            <w:tcW w:w="3563" w:type="pct"/>
            <w:tcMar>
              <w:top w:w="0" w:type="dxa"/>
              <w:left w:w="0" w:type="dxa"/>
              <w:bottom w:w="0" w:type="dxa"/>
              <w:right w:w="0" w:type="dxa"/>
            </w:tcMar>
            <w:hideMark/>
          </w:tcPr>
          <w:p w:rsidR="00000000" w:rsidRDefault="00E52F77">
            <w:pPr>
              <w:pStyle w:val="a3"/>
              <w:spacing w:before="0" w:beforeAutospacing="0" w:after="0" w:afterAutospacing="0"/>
              <w:rPr>
                <w:sz w:val="14"/>
                <w:szCs w:val="14"/>
              </w:rPr>
            </w:pPr>
            <w:r>
              <w:rPr>
                <w:sz w:val="15"/>
                <w:szCs w:val="15"/>
              </w:rPr>
              <w:t>Cash paid for interest</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4"/>
                <w:szCs w:val="14"/>
              </w:rPr>
            </w:pPr>
            <w:r>
              <w:rPr>
                <w:sz w:val="15"/>
                <w:szCs w:val="15"/>
              </w:rPr>
              <w:t>$</w:t>
            </w:r>
          </w:p>
        </w:tc>
        <w:tc>
          <w:tcPr>
            <w:tcW w:w="504"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22,490</w:t>
            </w:r>
          </w:p>
        </w:tc>
        <w:tc>
          <w:tcPr>
            <w:tcW w:w="12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4"/>
                <w:szCs w:val="14"/>
              </w:rPr>
            </w:pPr>
            <w:r>
              <w:rPr>
                <w:sz w:val="15"/>
                <w:szCs w:val="15"/>
              </w:rPr>
              <w:t>$</w:t>
            </w:r>
          </w:p>
        </w:tc>
        <w:tc>
          <w:tcPr>
            <w:tcW w:w="503"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20,287</w:t>
            </w:r>
          </w:p>
        </w:tc>
      </w:tr>
      <w:tr w:rsidR="00000000">
        <w:trPr>
          <w:divId w:val="699549984"/>
        </w:trPr>
        <w:tc>
          <w:tcPr>
            <w:tcW w:w="3563"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rPr>
                <w:sz w:val="14"/>
                <w:szCs w:val="14"/>
              </w:rPr>
            </w:pPr>
            <w:r>
              <w:rPr>
                <w:sz w:val="15"/>
                <w:szCs w:val="15"/>
              </w:rPr>
              <w:t>Cash paid for income taxes, net</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4"/>
                <w:szCs w:val="14"/>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12</w:t>
            </w:r>
          </w:p>
        </w:tc>
        <w:tc>
          <w:tcPr>
            <w:tcW w:w="12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4"/>
                <w:szCs w:val="14"/>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50"/>
              <w:jc w:val="right"/>
              <w:rPr>
                <w:sz w:val="14"/>
                <w:szCs w:val="14"/>
              </w:rPr>
            </w:pPr>
            <w:r>
              <w:rPr>
                <w:sz w:val="15"/>
                <w:szCs w:val="15"/>
              </w:rPr>
              <w:t>14</w:t>
            </w:r>
          </w:p>
        </w:tc>
      </w:tr>
    </w:tbl>
    <w:p w:rsidR="00000000" w:rsidRDefault="00E52F77">
      <w:pPr>
        <w:pStyle w:val="a3"/>
        <w:spacing w:before="20" w:beforeAutospacing="0" w:after="0" w:afterAutospacing="0"/>
        <w:divId w:val="699549984"/>
        <w:rPr>
          <w:sz w:val="20"/>
          <w:szCs w:val="20"/>
        </w:rPr>
      </w:pPr>
      <w:r>
        <w:rPr>
          <w:sz w:val="18"/>
          <w:szCs w:val="18"/>
        </w:rPr>
        <w:t>​</w:t>
      </w:r>
    </w:p>
    <w:p w:rsidR="00000000" w:rsidRDefault="00E52F77">
      <w:pPr>
        <w:pStyle w:val="a3"/>
        <w:spacing w:before="20" w:beforeAutospacing="0" w:after="0" w:afterAutospacing="0"/>
        <w:divId w:val="699549984"/>
        <w:rPr>
          <w:sz w:val="20"/>
          <w:szCs w:val="20"/>
        </w:rPr>
      </w:pPr>
      <w:r>
        <w:rPr>
          <w:sz w:val="20"/>
          <w:szCs w:val="20"/>
        </w:rPr>
        <w:t>​</w:t>
      </w:r>
    </w:p>
    <w:p w:rsidR="00000000" w:rsidRDefault="00E52F77">
      <w:pPr>
        <w:pStyle w:val="a3"/>
        <w:spacing w:before="0" w:beforeAutospacing="0" w:after="0" w:afterAutospacing="0"/>
        <w:jc w:val="center"/>
        <w:divId w:val="699549984"/>
        <w:rPr>
          <w:sz w:val="20"/>
          <w:szCs w:val="20"/>
        </w:rPr>
      </w:pPr>
      <w:r>
        <w:rPr>
          <w:i/>
          <w:iCs/>
          <w:sz w:val="20"/>
          <w:szCs w:val="20"/>
        </w:rPr>
        <w:t>See accompanying notes to condensed consolidated financial statements</w:t>
      </w:r>
      <w:r>
        <w:rPr>
          <w:sz w:val="20"/>
          <w:szCs w:val="20"/>
        </w:rPr>
        <w:t>.</w:t>
      </w:r>
    </w:p>
    <w:p w:rsidR="00000000" w:rsidRDefault="00E52F77">
      <w:pPr>
        <w:pStyle w:val="a3"/>
        <w:spacing w:before="0" w:beforeAutospacing="0" w:after="0" w:afterAutospacing="0"/>
        <w:jc w:val="center"/>
        <w:divId w:val="699549984"/>
        <w:rPr>
          <w:sz w:val="20"/>
          <w:szCs w:val="20"/>
        </w:rPr>
      </w:pPr>
      <w:r>
        <w:rPr>
          <w:b/>
          <w:bCs/>
          <w:sz w:val="20"/>
          <w:szCs w:val="20"/>
        </w:rPr>
        <w:t>​</w:t>
      </w:r>
    </w:p>
    <w:p w:rsidR="00000000" w:rsidRDefault="00E52F77">
      <w:pPr>
        <w:pStyle w:val="a3"/>
        <w:spacing w:before="0" w:beforeAutospacing="0" w:after="0" w:afterAutospacing="0"/>
        <w:divId w:val="699549984"/>
        <w:rPr>
          <w:sz w:val="20"/>
          <w:szCs w:val="20"/>
        </w:rPr>
      </w:pPr>
      <w:r>
        <w:rPr>
          <w:b/>
          <w:bCs/>
          <w:sz w:val="20"/>
          <w:szCs w:val="20"/>
        </w:rPr>
        <w:t>​</w:t>
      </w:r>
    </w:p>
    <w:p w:rsidR="00000000" w:rsidRDefault="00E52F77">
      <w:pPr>
        <w:pStyle w:val="a3"/>
        <w:spacing w:before="360" w:beforeAutospacing="0" w:after="0" w:afterAutospacing="0"/>
        <w:jc w:val="center"/>
        <w:divId w:val="2062512920"/>
        <w:rPr>
          <w:sz w:val="20"/>
          <w:szCs w:val="20"/>
        </w:rPr>
      </w:pPr>
      <w:r>
        <w:rPr>
          <w:sz w:val="20"/>
          <w:szCs w:val="20"/>
        </w:rPr>
        <w:t>6</w:t>
      </w:r>
    </w:p>
    <w:p w:rsidR="00000000" w:rsidRDefault="00E52F77">
      <w:pPr>
        <w:pStyle w:val="a3"/>
        <w:spacing w:before="0" w:beforeAutospacing="0" w:after="600" w:afterAutospacing="0"/>
        <w:divId w:val="1477068618"/>
        <w:rPr>
          <w:sz w:val="20"/>
          <w:szCs w:val="20"/>
        </w:rPr>
      </w:pPr>
      <w:hyperlink w:anchor="TOC" w:history="1">
        <w:r>
          <w:rPr>
            <w:rStyle w:val="a4"/>
            <w:sz w:val="20"/>
            <w:szCs w:val="20"/>
          </w:rPr>
          <w:t>Table of Contents</w:t>
        </w:r>
      </w:hyperlink>
    </w:p>
    <w:p w:rsidR="00000000" w:rsidRDefault="00E52F77">
      <w:pPr>
        <w:pStyle w:val="a3"/>
        <w:spacing w:before="0" w:beforeAutospacing="0" w:after="0" w:afterAutospacing="0"/>
        <w:jc w:val="center"/>
        <w:divId w:val="166989647"/>
        <w:rPr>
          <w:sz w:val="20"/>
          <w:szCs w:val="20"/>
        </w:rPr>
      </w:pPr>
      <w:r>
        <w:rPr>
          <w:b/>
          <w:bCs/>
          <w:sz w:val="20"/>
          <w:szCs w:val="20"/>
        </w:rPr>
        <w:t>THERAVANCE BIOPHARMA, INC.</w:t>
      </w:r>
    </w:p>
    <w:p w:rsidR="00000000" w:rsidRDefault="00E52F77">
      <w:pPr>
        <w:pStyle w:val="a3"/>
        <w:spacing w:before="0" w:beforeAutospacing="0" w:after="0" w:afterAutospacing="0"/>
        <w:jc w:val="center"/>
        <w:divId w:val="166989647"/>
        <w:rPr>
          <w:sz w:val="20"/>
          <w:szCs w:val="20"/>
        </w:rPr>
      </w:pPr>
      <w:r>
        <w:rPr>
          <w:b/>
          <w:bCs/>
          <w:sz w:val="20"/>
          <w:szCs w:val="20"/>
        </w:rPr>
        <w:t>NOTES TO CONDENSED CONSOLIDATED FINANCIAL STATEMENTS</w:t>
      </w:r>
    </w:p>
    <w:p w:rsidR="00000000" w:rsidRDefault="00E52F77">
      <w:pPr>
        <w:pStyle w:val="a3"/>
        <w:spacing w:before="0" w:beforeAutospacing="0" w:after="0" w:afterAutospacing="0"/>
        <w:jc w:val="center"/>
        <w:divId w:val="166989647"/>
        <w:rPr>
          <w:sz w:val="20"/>
          <w:szCs w:val="20"/>
        </w:rPr>
      </w:pPr>
      <w:r>
        <w:rPr>
          <w:b/>
          <w:bCs/>
          <w:sz w:val="20"/>
          <w:szCs w:val="20"/>
        </w:rPr>
        <w:t>(Unaudited)</w:t>
      </w:r>
    </w:p>
    <w:p w:rsidR="00000000" w:rsidRDefault="00E52F77">
      <w:pPr>
        <w:pStyle w:val="a3"/>
        <w:spacing w:before="0" w:beforeAutospacing="0" w:after="0" w:afterAutospacing="0"/>
        <w:jc w:val="center"/>
        <w:divId w:val="166989647"/>
        <w:rPr>
          <w:sz w:val="20"/>
          <w:szCs w:val="20"/>
        </w:rPr>
      </w:pPr>
      <w:r>
        <w:rPr>
          <w:sz w:val="20"/>
          <w:szCs w:val="20"/>
        </w:rPr>
        <w:t>​</w:t>
      </w:r>
    </w:p>
    <w:p w:rsidR="00000000" w:rsidRDefault="00E52F77">
      <w:pPr>
        <w:pStyle w:val="a3"/>
        <w:spacing w:before="0" w:beforeAutospacing="0" w:after="0" w:afterAutospacing="0"/>
        <w:divId w:val="166989647"/>
        <w:rPr>
          <w:sz w:val="20"/>
          <w:szCs w:val="20"/>
        </w:rPr>
      </w:pPr>
      <w:r>
        <w:rPr>
          <w:sz w:val="20"/>
          <w:szCs w:val="20"/>
        </w:rPr>
        <w:t>​</w:t>
      </w:r>
    </w:p>
    <w:p w:rsidR="00000000" w:rsidRDefault="00E52F77">
      <w:pPr>
        <w:pStyle w:val="a3"/>
        <w:spacing w:before="0" w:beforeAutospacing="0" w:after="0" w:afterAutospacing="0"/>
        <w:divId w:val="166989647"/>
        <w:rPr>
          <w:sz w:val="20"/>
          <w:szCs w:val="20"/>
        </w:rPr>
      </w:pPr>
      <w:r>
        <w:rPr>
          <w:b/>
          <w:bCs/>
          <w:sz w:val="20"/>
          <w:szCs w:val="20"/>
        </w:rPr>
        <w:t>1. Organization and Summary of Significant Accounting Policies</w:t>
      </w:r>
    </w:p>
    <w:p w:rsidR="00000000" w:rsidRDefault="00E52F77">
      <w:pPr>
        <w:pStyle w:val="a3"/>
        <w:spacing w:before="0" w:beforeAutospacing="0" w:after="0" w:afterAutospacing="0"/>
        <w:divId w:val="166989647"/>
        <w:rPr>
          <w:sz w:val="20"/>
          <w:szCs w:val="20"/>
        </w:rPr>
      </w:pPr>
      <w:r>
        <w:rPr>
          <w:sz w:val="10"/>
          <w:szCs w:val="10"/>
        </w:rPr>
        <w:t>​</w:t>
      </w:r>
    </w:p>
    <w:p w:rsidR="00000000" w:rsidRDefault="00E52F77">
      <w:pPr>
        <w:pStyle w:val="a3"/>
        <w:spacing w:before="0" w:beforeAutospacing="0" w:after="0" w:afterAutospacing="0"/>
        <w:ind w:firstLine="720"/>
        <w:divId w:val="166989647"/>
        <w:rPr>
          <w:sz w:val="20"/>
          <w:szCs w:val="20"/>
        </w:rPr>
      </w:pPr>
      <w:r>
        <w:rPr>
          <w:sz w:val="20"/>
          <w:szCs w:val="20"/>
        </w:rPr>
        <w:t xml:space="preserve">Theravance Biopharma, Inc. (“Theravance Biopharma” or the “Company”) is a diversified biopharmaceutical company primarily </w:t>
      </w:r>
      <w:r>
        <w:rPr>
          <w:sz w:val="20"/>
          <w:szCs w:val="20"/>
        </w:rPr>
        <w:t xml:space="preserve">focused on the discovery, development and commercialization of organ-selective medicines. The Company’s purpose is to create transformational medicines to improve the lives of patients suffering from serious illnesses. The Company’s research is focused in </w:t>
      </w:r>
      <w:r>
        <w:rPr>
          <w:sz w:val="20"/>
          <w:szCs w:val="20"/>
        </w:rPr>
        <w:t>the areas of inflammation and immunology.</w:t>
      </w:r>
    </w:p>
    <w:p w:rsidR="00000000" w:rsidRDefault="00E52F77">
      <w:pPr>
        <w:pStyle w:val="a3"/>
        <w:spacing w:before="0" w:beforeAutospacing="0" w:after="0" w:afterAutospacing="0"/>
        <w:divId w:val="166989647"/>
        <w:rPr>
          <w:sz w:val="20"/>
          <w:szCs w:val="20"/>
        </w:rPr>
      </w:pPr>
      <w:r>
        <w:rPr>
          <w:sz w:val="20"/>
          <w:szCs w:val="20"/>
        </w:rPr>
        <w:t>​</w:t>
      </w:r>
    </w:p>
    <w:p w:rsidR="00000000" w:rsidRDefault="00E52F77">
      <w:pPr>
        <w:pStyle w:val="a3"/>
        <w:spacing w:before="0" w:beforeAutospacing="0" w:after="0" w:afterAutospacing="0"/>
        <w:divId w:val="166989647"/>
        <w:rPr>
          <w:sz w:val="20"/>
          <w:szCs w:val="20"/>
        </w:rPr>
      </w:pPr>
      <w:r>
        <w:rPr>
          <w:b/>
          <w:bCs/>
          <w:i/>
          <w:iCs/>
          <w:sz w:val="20"/>
          <w:szCs w:val="20"/>
        </w:rPr>
        <w:t>Basis of Presentation</w:t>
      </w:r>
    </w:p>
    <w:p w:rsidR="00000000" w:rsidRDefault="00E52F77">
      <w:pPr>
        <w:pStyle w:val="a3"/>
        <w:spacing w:before="0" w:beforeAutospacing="0" w:after="0" w:afterAutospacing="0"/>
        <w:divId w:val="166989647"/>
        <w:rPr>
          <w:sz w:val="20"/>
          <w:szCs w:val="20"/>
        </w:rPr>
      </w:pPr>
      <w:r>
        <w:rPr>
          <w:sz w:val="10"/>
          <w:szCs w:val="10"/>
        </w:rPr>
        <w:t>​</w:t>
      </w:r>
    </w:p>
    <w:p w:rsidR="00000000" w:rsidRDefault="00E52F77">
      <w:pPr>
        <w:pStyle w:val="a3"/>
        <w:spacing w:before="0" w:beforeAutospacing="0" w:after="0" w:afterAutospacing="0"/>
        <w:ind w:firstLine="720"/>
        <w:divId w:val="166989647"/>
        <w:rPr>
          <w:sz w:val="20"/>
          <w:szCs w:val="20"/>
        </w:rPr>
      </w:pPr>
      <w:r>
        <w:rPr>
          <w:sz w:val="20"/>
          <w:szCs w:val="20"/>
        </w:rPr>
        <w:t>The Company’s condensed consolidated financial information as of June 30, 2021, and for the three and six months ended June 30, 2021 and 2020 is unaudited but includes all adjustments (con</w:t>
      </w:r>
      <w:r>
        <w:rPr>
          <w:sz w:val="20"/>
          <w:szCs w:val="20"/>
        </w:rPr>
        <w:t>sisting only of normal recurring adjustments), which are considered necessary for a fair presentation of the financial position at such date and of the operating results and cash flows for those periods, and have been prepared in accordance with United Sta</w:t>
      </w:r>
      <w:r>
        <w:rPr>
          <w:sz w:val="20"/>
          <w:szCs w:val="20"/>
        </w:rPr>
        <w:t>tes (“US”) generally accepted accounting principles (“GAAP”) for interim financial information. Accordingly, they do not include all of the information and notes required by GAAP for complete financial statements. The accompanying unaudited condensed conso</w:t>
      </w:r>
      <w:r>
        <w:rPr>
          <w:sz w:val="20"/>
          <w:szCs w:val="20"/>
        </w:rPr>
        <w:t>lidated financial statements should be read in conjunction with the audited consolidated December 31, 2020 financial statements and notes thereto included in the Company’s Annual Report on Form 10-K for the year ended December 31, 2020, filed with the Secu</w:t>
      </w:r>
      <w:r>
        <w:rPr>
          <w:sz w:val="20"/>
          <w:szCs w:val="20"/>
        </w:rPr>
        <w:t>rities and Exchange Commission (“SEC”) on February 26, 2021.</w:t>
      </w:r>
    </w:p>
    <w:p w:rsidR="00000000" w:rsidRDefault="00E52F77">
      <w:pPr>
        <w:pStyle w:val="a3"/>
        <w:spacing w:before="0" w:beforeAutospacing="0" w:after="0" w:afterAutospacing="0"/>
        <w:ind w:firstLine="720"/>
        <w:divId w:val="166989647"/>
        <w:rPr>
          <w:sz w:val="20"/>
          <w:szCs w:val="20"/>
        </w:rPr>
      </w:pPr>
      <w:r>
        <w:rPr>
          <w:sz w:val="20"/>
          <w:szCs w:val="20"/>
        </w:rPr>
        <w:t>​</w:t>
      </w:r>
    </w:p>
    <w:p w:rsidR="00000000" w:rsidRDefault="00E52F77">
      <w:pPr>
        <w:pStyle w:val="a3"/>
        <w:spacing w:before="0" w:beforeAutospacing="0" w:after="0" w:afterAutospacing="0"/>
        <w:ind w:firstLine="720"/>
        <w:divId w:val="166989647"/>
        <w:rPr>
          <w:sz w:val="20"/>
          <w:szCs w:val="20"/>
        </w:rPr>
      </w:pPr>
      <w:r>
        <w:rPr>
          <w:sz w:val="20"/>
          <w:szCs w:val="20"/>
        </w:rPr>
        <w:t xml:space="preserve">The results for the three and six months ended June 30, 2021 are not necessarily indicative of the results to be expected for the year ending December 31, 2021, or for any other interim period </w:t>
      </w:r>
      <w:r>
        <w:rPr>
          <w:sz w:val="20"/>
          <w:szCs w:val="20"/>
        </w:rPr>
        <w:t>or for any future period. These condensed consolidated financial statements include the accounts of the Company and its subsidiaries, and intercompany transactions and balances have been eliminated.</w:t>
      </w:r>
    </w:p>
    <w:p w:rsidR="00000000" w:rsidRDefault="00E52F77">
      <w:pPr>
        <w:pStyle w:val="a3"/>
        <w:spacing w:before="0" w:beforeAutospacing="0" w:after="0" w:afterAutospacing="0"/>
        <w:ind w:firstLine="720"/>
        <w:divId w:val="166989647"/>
        <w:rPr>
          <w:sz w:val="20"/>
          <w:szCs w:val="20"/>
        </w:rPr>
      </w:pPr>
      <w:r>
        <w:rPr>
          <w:sz w:val="20"/>
          <w:szCs w:val="20"/>
        </w:rPr>
        <w:t>​</w:t>
      </w:r>
    </w:p>
    <w:p w:rsidR="00000000" w:rsidRDefault="00E52F77">
      <w:pPr>
        <w:pStyle w:val="a3"/>
        <w:spacing w:before="0" w:beforeAutospacing="0" w:after="0" w:afterAutospacing="0"/>
        <w:divId w:val="166989647"/>
        <w:rPr>
          <w:sz w:val="20"/>
          <w:szCs w:val="20"/>
        </w:rPr>
      </w:pPr>
      <w:r>
        <w:rPr>
          <w:b/>
          <w:bCs/>
          <w:i/>
          <w:iCs/>
          <w:sz w:val="20"/>
          <w:szCs w:val="20"/>
        </w:rPr>
        <w:t>Use of Estimates</w:t>
      </w:r>
    </w:p>
    <w:p w:rsidR="00000000" w:rsidRDefault="00E52F77">
      <w:pPr>
        <w:pStyle w:val="a3"/>
        <w:spacing w:before="0" w:beforeAutospacing="0" w:after="0" w:afterAutospacing="0"/>
        <w:divId w:val="166989647"/>
        <w:rPr>
          <w:sz w:val="20"/>
          <w:szCs w:val="20"/>
        </w:rPr>
      </w:pPr>
      <w:r>
        <w:rPr>
          <w:sz w:val="10"/>
          <w:szCs w:val="10"/>
        </w:rPr>
        <w:t>​</w:t>
      </w:r>
    </w:p>
    <w:p w:rsidR="00000000" w:rsidRDefault="00E52F77">
      <w:pPr>
        <w:pStyle w:val="a3"/>
        <w:spacing w:before="0" w:beforeAutospacing="0" w:after="0" w:afterAutospacing="0"/>
        <w:ind w:firstLine="720"/>
        <w:divId w:val="166989647"/>
        <w:rPr>
          <w:sz w:val="20"/>
          <w:szCs w:val="20"/>
        </w:rPr>
      </w:pPr>
      <w:r>
        <w:rPr>
          <w:sz w:val="20"/>
          <w:szCs w:val="20"/>
        </w:rPr>
        <w:t>The preparation of financial stateme</w:t>
      </w:r>
      <w:r>
        <w:rPr>
          <w:sz w:val="20"/>
          <w:szCs w:val="20"/>
        </w:rPr>
        <w:t>nts in conformity with GAAP requires management to make estimates and assumptions that affect the reported amounts of assets, liabilities, revenues and expenses, and related disclosures in the condensed consolidated financial statements and accompanying no</w:t>
      </w:r>
      <w:r>
        <w:rPr>
          <w:sz w:val="20"/>
          <w:szCs w:val="20"/>
        </w:rPr>
        <w:t>tes. Management bases its estimates on historical experience and on assumptions believed to be reasonable under the circumstances. Actual results could differ materially from those estimates.</w:t>
      </w:r>
    </w:p>
    <w:p w:rsidR="00000000" w:rsidRDefault="00E52F77">
      <w:pPr>
        <w:pStyle w:val="a3"/>
        <w:spacing w:before="0" w:beforeAutospacing="0" w:after="0" w:afterAutospacing="0"/>
        <w:divId w:val="166989647"/>
        <w:rPr>
          <w:sz w:val="20"/>
          <w:szCs w:val="20"/>
        </w:rPr>
      </w:pPr>
      <w:r>
        <w:rPr>
          <w:sz w:val="20"/>
          <w:szCs w:val="20"/>
        </w:rPr>
        <w:t>​</w:t>
      </w:r>
    </w:p>
    <w:p w:rsidR="00000000" w:rsidRDefault="00E52F77">
      <w:pPr>
        <w:pStyle w:val="a3"/>
        <w:spacing w:before="0" w:beforeAutospacing="0" w:after="0" w:afterAutospacing="0"/>
        <w:divId w:val="166989647"/>
        <w:rPr>
          <w:sz w:val="20"/>
          <w:szCs w:val="20"/>
        </w:rPr>
      </w:pPr>
      <w:r>
        <w:rPr>
          <w:b/>
          <w:bCs/>
          <w:i/>
          <w:iCs/>
          <w:sz w:val="20"/>
          <w:szCs w:val="20"/>
        </w:rPr>
        <w:t>Significant Accounting Policies</w:t>
      </w:r>
    </w:p>
    <w:p w:rsidR="00000000" w:rsidRDefault="00E52F77">
      <w:pPr>
        <w:pStyle w:val="a3"/>
        <w:spacing w:before="0" w:beforeAutospacing="0" w:after="0" w:afterAutospacing="0"/>
        <w:divId w:val="166989647"/>
        <w:rPr>
          <w:sz w:val="20"/>
          <w:szCs w:val="20"/>
        </w:rPr>
      </w:pPr>
      <w:r>
        <w:rPr>
          <w:sz w:val="10"/>
          <w:szCs w:val="10"/>
        </w:rPr>
        <w:t>​</w:t>
      </w:r>
    </w:p>
    <w:p w:rsidR="00000000" w:rsidRDefault="00E52F77">
      <w:pPr>
        <w:pStyle w:val="a3"/>
        <w:spacing w:before="0" w:beforeAutospacing="0" w:after="0" w:afterAutospacing="0"/>
        <w:ind w:firstLine="720"/>
        <w:divId w:val="166989647"/>
        <w:rPr>
          <w:sz w:val="20"/>
          <w:szCs w:val="20"/>
        </w:rPr>
      </w:pPr>
      <w:r>
        <w:rPr>
          <w:sz w:val="20"/>
          <w:szCs w:val="20"/>
        </w:rPr>
        <w:t>There have been no material revisions in the Company’s significant accounting policies described in Note 1 to the consolidated financial statements included in its Annual Report on Form 10-K for the year ended December 31, 2020.</w:t>
      </w:r>
    </w:p>
    <w:p w:rsidR="00000000" w:rsidRDefault="00E52F77">
      <w:pPr>
        <w:pStyle w:val="a3"/>
        <w:spacing w:before="0" w:beforeAutospacing="0" w:after="0" w:afterAutospacing="0"/>
        <w:divId w:val="166989647"/>
        <w:rPr>
          <w:sz w:val="20"/>
          <w:szCs w:val="20"/>
        </w:rPr>
      </w:pPr>
      <w:r>
        <w:rPr>
          <w:sz w:val="20"/>
          <w:szCs w:val="20"/>
        </w:rPr>
        <w:t>​</w:t>
      </w:r>
    </w:p>
    <w:p w:rsidR="00000000" w:rsidRDefault="00E52F77">
      <w:pPr>
        <w:pStyle w:val="a3"/>
        <w:spacing w:before="0" w:beforeAutospacing="0" w:after="0" w:afterAutospacing="0"/>
        <w:divId w:val="166989647"/>
        <w:rPr>
          <w:sz w:val="20"/>
          <w:szCs w:val="20"/>
        </w:rPr>
      </w:pPr>
      <w:r>
        <w:rPr>
          <w:b/>
          <w:bCs/>
          <w:i/>
          <w:iCs/>
          <w:sz w:val="20"/>
          <w:szCs w:val="20"/>
        </w:rPr>
        <w:t>Recently Adopted Accounti</w:t>
      </w:r>
      <w:r>
        <w:rPr>
          <w:b/>
          <w:bCs/>
          <w:i/>
          <w:iCs/>
          <w:sz w:val="20"/>
          <w:szCs w:val="20"/>
        </w:rPr>
        <w:t>ng Pronouncements</w:t>
      </w:r>
    </w:p>
    <w:p w:rsidR="00000000" w:rsidRDefault="00E52F77">
      <w:pPr>
        <w:pStyle w:val="a3"/>
        <w:spacing w:before="0" w:beforeAutospacing="0" w:after="0" w:afterAutospacing="0"/>
        <w:divId w:val="166989647"/>
        <w:rPr>
          <w:sz w:val="20"/>
          <w:szCs w:val="20"/>
        </w:rPr>
      </w:pPr>
      <w:r>
        <w:rPr>
          <w:b/>
          <w:bCs/>
          <w:i/>
          <w:iCs/>
          <w:sz w:val="10"/>
          <w:szCs w:val="10"/>
        </w:rPr>
        <w:t>​</w:t>
      </w:r>
    </w:p>
    <w:p w:rsidR="00000000" w:rsidRDefault="00E52F77">
      <w:pPr>
        <w:pStyle w:val="a3"/>
        <w:spacing w:before="0" w:beforeAutospacing="0" w:after="0" w:afterAutospacing="0"/>
        <w:ind w:firstLine="720"/>
        <w:divId w:val="166989647"/>
        <w:rPr>
          <w:sz w:val="20"/>
          <w:szCs w:val="20"/>
        </w:rPr>
      </w:pPr>
      <w:r>
        <w:rPr>
          <w:sz w:val="20"/>
          <w:szCs w:val="20"/>
        </w:rPr>
        <w:t xml:space="preserve">In December 2019, the Financial Accounting Standards Board (“FASB”) issued ASU 2019-12, </w:t>
      </w:r>
      <w:r>
        <w:rPr>
          <w:i/>
          <w:iCs/>
          <w:sz w:val="20"/>
          <w:szCs w:val="20"/>
        </w:rPr>
        <w:t>Income Taxes (Topic 740): Simplifying the Accounting for Income Taxes</w:t>
      </w:r>
      <w:r>
        <w:rPr>
          <w:sz w:val="20"/>
          <w:szCs w:val="20"/>
        </w:rPr>
        <w:t xml:space="preserve"> (“ASU 2019-12”</w:t>
      </w:r>
      <w:r>
        <w:rPr>
          <w:sz w:val="20"/>
          <w:szCs w:val="20"/>
        </w:rPr>
        <w:t xml:space="preserve">) as part of its overall simplification initiative to reduce costs and complexity of applying accounting standards. ASU 2019-12 removes certain exceptions from Topic 740, </w:t>
      </w:r>
      <w:r>
        <w:rPr>
          <w:i/>
          <w:iCs/>
          <w:sz w:val="20"/>
          <w:szCs w:val="20"/>
        </w:rPr>
        <w:t>Income Taxes</w:t>
      </w:r>
      <w:r>
        <w:rPr>
          <w:sz w:val="20"/>
          <w:szCs w:val="20"/>
        </w:rPr>
        <w:t>, including (i) the exception to the incremental approach for intra perio</w:t>
      </w:r>
      <w:r>
        <w:rPr>
          <w:sz w:val="20"/>
          <w:szCs w:val="20"/>
        </w:rPr>
        <w:t>d tax allocation when there is a loss from continuing operations and income or a gain from other items such as discontinued operations or other comprehensive income; (ii) the exception to accounting for outside basis differences of equity method investment</w:t>
      </w:r>
      <w:r>
        <w:rPr>
          <w:sz w:val="20"/>
          <w:szCs w:val="20"/>
        </w:rPr>
        <w:t>s and foreign subsidiaries; and (iii) the exception to limit the tax benefit recognized in interim periods in cases when the year-to-date losses exceed anticipated losses. ASU 2019-12 also simplifies GAAP in several other areas of Topic 740 such as (i) fra</w:t>
      </w:r>
      <w:r>
        <w:rPr>
          <w:sz w:val="20"/>
          <w:szCs w:val="20"/>
        </w:rPr>
        <w:t>nchise taxes and other taxes partially based on income; (ii) step-up in tax basis goodwill considered part of a business combination in which the book goodwill was originally recognized or should be considered a separate transaction; (iii) separate financi</w:t>
      </w:r>
      <w:r>
        <w:rPr>
          <w:sz w:val="20"/>
          <w:szCs w:val="20"/>
        </w:rPr>
        <w:t xml:space="preserve">al statements of entities not subject to tax; and (iv) interim recognition of enactment of tax laws or rate changes. ASU 2019-12 became effective for annual reporting periods and interim periods within those years beginning after December 15, 2020. The </w:t>
      </w:r>
    </w:p>
    <w:p w:rsidR="00000000" w:rsidRDefault="00E52F77">
      <w:pPr>
        <w:pStyle w:val="a3"/>
        <w:spacing w:before="360" w:beforeAutospacing="0" w:after="0" w:afterAutospacing="0"/>
        <w:jc w:val="center"/>
        <w:divId w:val="1605336468"/>
        <w:rPr>
          <w:sz w:val="20"/>
          <w:szCs w:val="20"/>
        </w:rPr>
      </w:pPr>
      <w:r>
        <w:rPr>
          <w:sz w:val="20"/>
          <w:szCs w:val="20"/>
        </w:rPr>
        <w:t>7</w:t>
      </w:r>
    </w:p>
    <w:p w:rsidR="00000000" w:rsidRDefault="00E52F77">
      <w:pPr>
        <w:pStyle w:val="a3"/>
        <w:spacing w:before="0" w:beforeAutospacing="0" w:after="600" w:afterAutospacing="0"/>
        <w:divId w:val="898982792"/>
        <w:rPr>
          <w:sz w:val="20"/>
          <w:szCs w:val="20"/>
        </w:rPr>
      </w:pPr>
      <w:hyperlink w:anchor="TOC" w:history="1">
        <w:r>
          <w:rPr>
            <w:rStyle w:val="a4"/>
            <w:sz w:val="20"/>
            <w:szCs w:val="20"/>
          </w:rPr>
          <w:t>Table of Contents</w:t>
        </w:r>
      </w:hyperlink>
    </w:p>
    <w:p w:rsidR="00000000" w:rsidRDefault="00E52F77">
      <w:pPr>
        <w:pStyle w:val="a3"/>
        <w:spacing w:before="0" w:beforeAutospacing="0" w:after="0" w:afterAutospacing="0"/>
        <w:divId w:val="413092100"/>
        <w:rPr>
          <w:sz w:val="20"/>
          <w:szCs w:val="20"/>
        </w:rPr>
      </w:pPr>
      <w:r>
        <w:rPr>
          <w:sz w:val="20"/>
          <w:szCs w:val="20"/>
        </w:rPr>
        <w:t xml:space="preserve">adoption of ASU 2019-12 did not have a material impact on the Company’s condensed consolidated financial statements and related disclosures. </w:t>
      </w:r>
    </w:p>
    <w:p w:rsidR="00000000" w:rsidRDefault="00E52F77">
      <w:pPr>
        <w:pStyle w:val="a3"/>
        <w:spacing w:before="0" w:beforeAutospacing="0" w:after="0" w:afterAutospacing="0"/>
        <w:divId w:val="413092100"/>
        <w:rPr>
          <w:sz w:val="20"/>
          <w:szCs w:val="20"/>
        </w:rPr>
      </w:pPr>
      <w:r>
        <w:rPr>
          <w:sz w:val="20"/>
          <w:szCs w:val="20"/>
        </w:rPr>
        <w:t>​</w:t>
      </w:r>
    </w:p>
    <w:p w:rsidR="00000000" w:rsidRDefault="00E52F77">
      <w:pPr>
        <w:pStyle w:val="a3"/>
        <w:spacing w:before="0" w:beforeAutospacing="0" w:after="0" w:afterAutospacing="0"/>
        <w:divId w:val="413092100"/>
        <w:rPr>
          <w:sz w:val="20"/>
          <w:szCs w:val="20"/>
        </w:rPr>
      </w:pPr>
      <w:r>
        <w:rPr>
          <w:b/>
          <w:bCs/>
          <w:i/>
          <w:iCs/>
          <w:sz w:val="20"/>
          <w:szCs w:val="20"/>
        </w:rPr>
        <w:t xml:space="preserve">Recently Issued Accounting Pronouncements Not Yet Adopted </w:t>
      </w:r>
    </w:p>
    <w:p w:rsidR="00000000" w:rsidRDefault="00E52F77">
      <w:pPr>
        <w:pStyle w:val="a3"/>
        <w:spacing w:before="0" w:beforeAutospacing="0" w:after="0" w:afterAutospacing="0"/>
        <w:divId w:val="413092100"/>
        <w:rPr>
          <w:sz w:val="20"/>
          <w:szCs w:val="20"/>
        </w:rPr>
      </w:pPr>
      <w:r>
        <w:rPr>
          <w:b/>
          <w:bCs/>
          <w:i/>
          <w:iCs/>
          <w:sz w:val="10"/>
          <w:szCs w:val="10"/>
        </w:rPr>
        <w:t>​</w:t>
      </w:r>
    </w:p>
    <w:p w:rsidR="00000000" w:rsidRDefault="00E52F77">
      <w:pPr>
        <w:pStyle w:val="a3"/>
        <w:spacing w:before="0" w:beforeAutospacing="0" w:after="0" w:afterAutospacing="0"/>
        <w:ind w:firstLine="720"/>
        <w:divId w:val="413092100"/>
        <w:rPr>
          <w:sz w:val="20"/>
          <w:szCs w:val="20"/>
        </w:rPr>
      </w:pPr>
      <w:r>
        <w:rPr>
          <w:sz w:val="20"/>
          <w:szCs w:val="20"/>
        </w:rPr>
        <w:t>In Augu</w:t>
      </w:r>
      <w:r>
        <w:rPr>
          <w:sz w:val="20"/>
          <w:szCs w:val="20"/>
        </w:rPr>
        <w:t xml:space="preserve">st 2020, the FASB issued ASU 2020-06, </w:t>
      </w:r>
      <w:r>
        <w:rPr>
          <w:i/>
          <w:iCs/>
          <w:sz w:val="20"/>
          <w:szCs w:val="20"/>
        </w:rPr>
        <w:t>Debt - Debt with Conversion and other Options (Subtopic 470-20) and Derivatives and Hedging: Contracts in Entity’s Own Equity (Subtopic 815-10)</w:t>
      </w:r>
      <w:r>
        <w:rPr>
          <w:sz w:val="20"/>
          <w:szCs w:val="20"/>
        </w:rPr>
        <w:t xml:space="preserve"> (“ASU 2020-06”). ASU 2020-06</w:t>
      </w:r>
      <w:r>
        <w:rPr>
          <w:color w:val="333333"/>
          <w:sz w:val="20"/>
          <w:szCs w:val="20"/>
          <w:shd w:val="clear" w:color="auto" w:fill="FFFFFF"/>
        </w:rPr>
        <w:t> simplifies the complexity associated with app</w:t>
      </w:r>
      <w:r>
        <w:rPr>
          <w:color w:val="333333"/>
          <w:sz w:val="20"/>
          <w:szCs w:val="20"/>
          <w:shd w:val="clear" w:color="auto" w:fill="FFFFFF"/>
        </w:rPr>
        <w:t>lying GAAP for certain financial instruments with characteristics of liabilities and equity</w:t>
      </w:r>
      <w:r>
        <w:rPr>
          <w:sz w:val="20"/>
          <w:szCs w:val="20"/>
        </w:rPr>
        <w:t xml:space="preserve"> by </w:t>
      </w:r>
      <w:r>
        <w:rPr>
          <w:color w:val="333333"/>
          <w:sz w:val="20"/>
          <w:szCs w:val="20"/>
          <w:shd w:val="clear" w:color="auto" w:fill="FFFFFF"/>
        </w:rPr>
        <w:t xml:space="preserve">removing certain accounting models which separate the embedded conversion features from the host contract for convertible instruments. The standard also </w:t>
      </w:r>
      <w:r>
        <w:rPr>
          <w:sz w:val="20"/>
          <w:szCs w:val="20"/>
          <w:shd w:val="clear" w:color="auto" w:fill="FFFFFF"/>
        </w:rPr>
        <w:t>enhances</w:t>
      </w:r>
      <w:r>
        <w:rPr>
          <w:sz w:val="20"/>
          <w:szCs w:val="20"/>
          <w:shd w:val="clear" w:color="auto" w:fill="FFFFFF"/>
        </w:rPr>
        <w:t xml:space="preserve"> the consistency of earnings-per-share calculations by requiring that an entity use the if-converted method and that the effect of potential share settlement be included in diluted earnings-per-share calculations</w:t>
      </w:r>
      <w:r>
        <w:rPr>
          <w:sz w:val="20"/>
          <w:szCs w:val="20"/>
          <w:shd w:val="clear" w:color="auto" w:fill="FFFFFF"/>
        </w:rPr>
        <w:t>.</w:t>
      </w:r>
      <w:r>
        <w:rPr>
          <w:sz w:val="20"/>
          <w:szCs w:val="20"/>
        </w:rPr>
        <w:t xml:space="preserve"> ASU 2020-06 is effective for fiscal years </w:t>
      </w:r>
      <w:r>
        <w:rPr>
          <w:sz w:val="20"/>
          <w:szCs w:val="20"/>
        </w:rPr>
        <w:t>and interim periods within those fiscal years beginning after December 15, 2021, and early adoption is permitted. The Company is currently evaluating the impact of adopting ASU 2020-06 on its condensed consolidated financial statements and related disclosu</w:t>
      </w:r>
      <w:r>
        <w:rPr>
          <w:sz w:val="20"/>
          <w:szCs w:val="20"/>
        </w:rPr>
        <w:t>res.</w:t>
      </w:r>
      <w:r>
        <w:rPr>
          <w:sz w:val="20"/>
          <w:szCs w:val="20"/>
        </w:rPr>
        <w:t xml:space="preserve"> </w:t>
      </w:r>
    </w:p>
    <w:p w:rsidR="00000000" w:rsidRDefault="00E52F77">
      <w:pPr>
        <w:pStyle w:val="a3"/>
        <w:spacing w:before="0" w:beforeAutospacing="0" w:after="0" w:afterAutospacing="0"/>
        <w:divId w:val="413092100"/>
        <w:rPr>
          <w:sz w:val="20"/>
          <w:szCs w:val="20"/>
        </w:rPr>
      </w:pPr>
      <w:r>
        <w:rPr>
          <w:sz w:val="20"/>
          <w:szCs w:val="20"/>
        </w:rPr>
        <w:t>​</w:t>
      </w:r>
    </w:p>
    <w:p w:rsidR="00000000" w:rsidRDefault="00E52F77">
      <w:pPr>
        <w:pStyle w:val="a3"/>
        <w:spacing w:before="0" w:beforeAutospacing="0" w:after="0" w:afterAutospacing="0"/>
        <w:ind w:firstLine="720"/>
        <w:jc w:val="both"/>
        <w:divId w:val="413092100"/>
        <w:rPr>
          <w:sz w:val="20"/>
          <w:szCs w:val="20"/>
        </w:rPr>
      </w:pPr>
      <w:r>
        <w:rPr>
          <w:sz w:val="20"/>
          <w:szCs w:val="20"/>
        </w:rPr>
        <w:t>The Company has evaluated other recently issued accounting pronouncements and does not currently believe that any of these pronouncements will have a material impact on its condensed consolidated financial statements and related disclosures.</w:t>
      </w:r>
    </w:p>
    <w:p w:rsidR="00000000" w:rsidRDefault="00E52F77">
      <w:pPr>
        <w:pStyle w:val="a3"/>
        <w:spacing w:before="0" w:beforeAutospacing="0" w:after="0" w:afterAutospacing="0"/>
        <w:ind w:firstLine="720"/>
        <w:jc w:val="both"/>
        <w:divId w:val="413092100"/>
        <w:rPr>
          <w:sz w:val="20"/>
          <w:szCs w:val="20"/>
        </w:rPr>
      </w:pPr>
      <w:r>
        <w:rPr>
          <w:sz w:val="20"/>
          <w:szCs w:val="20"/>
        </w:rPr>
        <w:t>​</w:t>
      </w:r>
    </w:p>
    <w:p w:rsidR="00000000" w:rsidRDefault="00E52F77">
      <w:pPr>
        <w:pStyle w:val="a3"/>
        <w:spacing w:before="0" w:beforeAutospacing="0" w:after="0" w:afterAutospacing="0"/>
        <w:divId w:val="413092100"/>
        <w:rPr>
          <w:sz w:val="20"/>
          <w:szCs w:val="20"/>
        </w:rPr>
      </w:pPr>
      <w:r>
        <w:rPr>
          <w:sz w:val="2"/>
          <w:szCs w:val="2"/>
        </w:rPr>
        <w:t>​</w:t>
      </w:r>
    </w:p>
    <w:p w:rsidR="00000000" w:rsidRDefault="00E52F77">
      <w:pPr>
        <w:pStyle w:val="a3"/>
        <w:spacing w:before="0" w:beforeAutospacing="0" w:after="0" w:afterAutospacing="0"/>
        <w:divId w:val="413092100"/>
        <w:rPr>
          <w:sz w:val="20"/>
          <w:szCs w:val="20"/>
        </w:rPr>
      </w:pPr>
      <w:r>
        <w:rPr>
          <w:b/>
          <w:bCs/>
          <w:sz w:val="20"/>
          <w:szCs w:val="20"/>
        </w:rPr>
        <w:t>2.</w:t>
      </w:r>
      <w:r>
        <w:rPr>
          <w:b/>
          <w:bCs/>
          <w:sz w:val="20"/>
          <w:szCs w:val="20"/>
        </w:rPr>
        <w:t xml:space="preserve"> Net Loss per Share</w:t>
      </w:r>
    </w:p>
    <w:p w:rsidR="00000000" w:rsidRDefault="00E52F77">
      <w:pPr>
        <w:pStyle w:val="a3"/>
        <w:spacing w:before="0" w:beforeAutospacing="0" w:after="0" w:afterAutospacing="0"/>
        <w:divId w:val="413092100"/>
        <w:rPr>
          <w:sz w:val="20"/>
          <w:szCs w:val="20"/>
        </w:rPr>
      </w:pPr>
      <w:r>
        <w:rPr>
          <w:sz w:val="10"/>
          <w:szCs w:val="10"/>
        </w:rPr>
        <w:t>​</w:t>
      </w:r>
    </w:p>
    <w:p w:rsidR="00000000" w:rsidRDefault="00E52F77">
      <w:pPr>
        <w:pStyle w:val="a3"/>
        <w:spacing w:before="0" w:beforeAutospacing="0" w:after="0" w:afterAutospacing="0"/>
        <w:ind w:firstLine="720"/>
        <w:divId w:val="413092100"/>
        <w:rPr>
          <w:sz w:val="20"/>
          <w:szCs w:val="20"/>
        </w:rPr>
      </w:pPr>
      <w:r>
        <w:rPr>
          <w:sz w:val="20"/>
          <w:szCs w:val="20"/>
        </w:rPr>
        <w:t>Basic net loss per share is computed by dividing net loss by the weighted-average number of shares outstanding, less ordinary shares subject to forfeiture. Diluted net loss per share is computed by dividing net loss by the weighted-av</w:t>
      </w:r>
      <w:r>
        <w:rPr>
          <w:sz w:val="20"/>
          <w:szCs w:val="20"/>
        </w:rPr>
        <w:t>erage number of shares outstanding, less ordinary shares subject to forfeiture, plus all additional ordinary shares that would have been outstanding, assuming dilutive potential ordinary shares had been issued for other dilutive securities.</w:t>
      </w:r>
    </w:p>
    <w:p w:rsidR="00000000" w:rsidRDefault="00E52F77">
      <w:pPr>
        <w:pStyle w:val="a3"/>
        <w:spacing w:before="0" w:beforeAutospacing="0" w:after="0" w:afterAutospacing="0"/>
        <w:ind w:firstLine="720"/>
        <w:divId w:val="413092100"/>
        <w:rPr>
          <w:sz w:val="20"/>
          <w:szCs w:val="20"/>
        </w:rPr>
      </w:pPr>
      <w:r>
        <w:rPr>
          <w:sz w:val="20"/>
          <w:szCs w:val="20"/>
        </w:rPr>
        <w:t>​</w:t>
      </w:r>
    </w:p>
    <w:tbl>
      <w:tblPr>
        <w:tblW w:w="5079" w:type="pct"/>
        <w:tblCellMar>
          <w:top w:w="15" w:type="dxa"/>
          <w:left w:w="0" w:type="dxa"/>
          <w:bottom w:w="15" w:type="dxa"/>
          <w:right w:w="0" w:type="dxa"/>
        </w:tblCellMar>
        <w:tblLook w:val="04A0" w:firstRow="1" w:lastRow="0" w:firstColumn="1" w:lastColumn="0" w:noHBand="0" w:noVBand="1"/>
      </w:tblPr>
      <w:tblGrid>
        <w:gridCol w:w="4615"/>
        <w:gridCol w:w="160"/>
        <w:gridCol w:w="100"/>
        <w:gridCol w:w="684"/>
        <w:gridCol w:w="160"/>
        <w:gridCol w:w="100"/>
        <w:gridCol w:w="684"/>
        <w:gridCol w:w="6"/>
        <w:gridCol w:w="100"/>
        <w:gridCol w:w="784"/>
        <w:gridCol w:w="160"/>
        <w:gridCol w:w="100"/>
        <w:gridCol w:w="784"/>
      </w:tblGrid>
      <w:tr w:rsidR="00000000">
        <w:trPr>
          <w:divId w:val="413092100"/>
          <w:trHeight w:val="20"/>
        </w:trPr>
        <w:tc>
          <w:tcPr>
            <w:tcW w:w="2801" w:type="pct"/>
            <w:tcMar>
              <w:top w:w="0" w:type="dxa"/>
              <w:left w:w="0" w:type="dxa"/>
              <w:bottom w:w="0" w:type="dxa"/>
              <w:right w:w="0" w:type="dxa"/>
            </w:tcMar>
            <w:hideMark/>
          </w:tcPr>
          <w:p w:rsidR="00000000" w:rsidRDefault="00E52F77">
            <w:pPr>
              <w:pStyle w:val="a3"/>
              <w:spacing w:before="0" w:beforeAutospacing="0" w:after="0" w:afterAutospacing="0"/>
              <w:divId w:val="2113360588"/>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623150468"/>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721636235"/>
              <w:rPr>
                <w:sz w:val="20"/>
                <w:szCs w:val="20"/>
              </w:rPr>
            </w:pPr>
            <w:r>
              <w:rPr>
                <w:sz w:val="2"/>
                <w:szCs w:val="2"/>
              </w:rPr>
              <w:t>​</w:t>
            </w:r>
          </w:p>
        </w:tc>
        <w:tc>
          <w:tcPr>
            <w:tcW w:w="370"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580993005"/>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268581301"/>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096556600"/>
              <w:rPr>
                <w:sz w:val="20"/>
                <w:szCs w:val="20"/>
              </w:rPr>
            </w:pPr>
            <w:r>
              <w:rPr>
                <w:sz w:val="2"/>
                <w:szCs w:val="2"/>
              </w:rPr>
              <w:t>​</w:t>
            </w:r>
          </w:p>
        </w:tc>
        <w:tc>
          <w:tcPr>
            <w:tcW w:w="370"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256595305"/>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509101433"/>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51390814"/>
              <w:rPr>
                <w:sz w:val="20"/>
                <w:szCs w:val="20"/>
              </w:rPr>
            </w:pPr>
            <w:r>
              <w:rPr>
                <w:sz w:val="2"/>
                <w:szCs w:val="2"/>
              </w:rPr>
              <w:t>​</w:t>
            </w:r>
          </w:p>
        </w:tc>
        <w:tc>
          <w:tcPr>
            <w:tcW w:w="407"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346450573"/>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428042494"/>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2026246978"/>
              <w:rPr>
                <w:sz w:val="20"/>
                <w:szCs w:val="20"/>
              </w:rPr>
            </w:pPr>
            <w:r>
              <w:rPr>
                <w:sz w:val="2"/>
                <w:szCs w:val="2"/>
              </w:rPr>
              <w:t>​</w:t>
            </w:r>
          </w:p>
        </w:tc>
        <w:tc>
          <w:tcPr>
            <w:tcW w:w="411"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296520632"/>
              <w:rPr>
                <w:sz w:val="20"/>
                <w:szCs w:val="20"/>
              </w:rPr>
            </w:pPr>
            <w:r>
              <w:rPr>
                <w:sz w:val="2"/>
                <w:szCs w:val="2"/>
              </w:rPr>
              <w:t>​</w:t>
            </w:r>
          </w:p>
        </w:tc>
      </w:tr>
      <w:tr w:rsidR="00000000">
        <w:trPr>
          <w:divId w:val="413092100"/>
        </w:trPr>
        <w:tc>
          <w:tcPr>
            <w:tcW w:w="2801"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7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980" w:type="pct"/>
            <w:gridSpan w:val="5"/>
            <w:tcBorders>
              <w:bottom w:val="single" w:sz="6" w:space="0" w:color="000000"/>
            </w:tcBorders>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Three Months Ended June 30, </w:t>
            </w:r>
          </w:p>
        </w:tc>
        <w:tc>
          <w:tcPr>
            <w:tcW w:w="80"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1058" w:type="pct"/>
            <w:gridSpan w:val="5"/>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Six Months Ended June 30, </w:t>
            </w:r>
          </w:p>
        </w:tc>
      </w:tr>
      <w:tr w:rsidR="00000000">
        <w:trPr>
          <w:divId w:val="413092100"/>
        </w:trPr>
        <w:tc>
          <w:tcPr>
            <w:tcW w:w="2801" w:type="pct"/>
            <w:tcBorders>
              <w:bottom w:val="single" w:sz="6" w:space="0" w:color="000000"/>
            </w:tcBorders>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(In thousands, except per share data)</w:t>
            </w:r>
          </w:p>
        </w:tc>
        <w:tc>
          <w:tcPr>
            <w:tcW w:w="7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450"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2021</w:t>
            </w:r>
          </w:p>
        </w:tc>
        <w:tc>
          <w:tcPr>
            <w:tcW w:w="80"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450"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2020</w:t>
            </w:r>
          </w:p>
        </w:tc>
        <w:tc>
          <w:tcPr>
            <w:tcW w:w="80"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87"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2021</w:t>
            </w:r>
          </w:p>
        </w:tc>
        <w:tc>
          <w:tcPr>
            <w:tcW w:w="80"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491"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2020</w:t>
            </w:r>
          </w:p>
        </w:tc>
      </w:tr>
      <w:tr w:rsidR="00000000">
        <w:trPr>
          <w:divId w:val="413092100"/>
        </w:trPr>
        <w:tc>
          <w:tcPr>
            <w:tcW w:w="2801"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rPr>
                <w:sz w:val="20"/>
                <w:szCs w:val="20"/>
              </w:rPr>
            </w:pPr>
            <w:r>
              <w:rPr>
                <w:b/>
                <w:bCs/>
                <w:sz w:val="20"/>
                <w:szCs w:val="20"/>
              </w:rPr>
              <w:t>Numerator:</w:t>
            </w:r>
          </w:p>
        </w:tc>
        <w:tc>
          <w:tcPr>
            <w:tcW w:w="7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7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7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0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11"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r>
      <w:tr w:rsidR="00000000">
        <w:trPr>
          <w:divId w:val="413092100"/>
        </w:trPr>
        <w:tc>
          <w:tcPr>
            <w:tcW w:w="2801" w:type="pct"/>
            <w:tcMar>
              <w:top w:w="0" w:type="dxa"/>
              <w:left w:w="0" w:type="dxa"/>
              <w:bottom w:w="0" w:type="dxa"/>
              <w:right w:w="0" w:type="dxa"/>
            </w:tcMar>
            <w:vAlign w:val="center"/>
            <w:hideMark/>
          </w:tcPr>
          <w:p w:rsidR="00000000" w:rsidRDefault="00E52F77">
            <w:pPr>
              <w:pStyle w:val="a3"/>
              <w:spacing w:before="0" w:beforeAutospacing="0" w:after="0" w:afterAutospacing="0"/>
              <w:rPr>
                <w:sz w:val="20"/>
                <w:szCs w:val="20"/>
              </w:rPr>
            </w:pPr>
            <w:r>
              <w:rPr>
                <w:sz w:val="20"/>
                <w:szCs w:val="20"/>
              </w:rPr>
              <w:t>Net loss</w:t>
            </w:r>
          </w:p>
        </w:tc>
        <w:tc>
          <w:tcPr>
            <w:tcW w:w="7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70"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(52,405)</w:t>
            </w:r>
          </w:p>
        </w:tc>
        <w:tc>
          <w:tcPr>
            <w:tcW w:w="80"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70"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(62,887)</w:t>
            </w:r>
          </w:p>
        </w:tc>
        <w:tc>
          <w:tcPr>
            <w:tcW w:w="80"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07"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(132,084)</w:t>
            </w:r>
          </w:p>
        </w:tc>
        <w:tc>
          <w:tcPr>
            <w:tcW w:w="80"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11"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(145,940)</w:t>
            </w:r>
          </w:p>
        </w:tc>
      </w:tr>
      <w:tr w:rsidR="00000000">
        <w:trPr>
          <w:divId w:val="413092100"/>
        </w:trPr>
        <w:tc>
          <w:tcPr>
            <w:tcW w:w="2801"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rPr>
                <w:sz w:val="20"/>
                <w:szCs w:val="20"/>
              </w:rPr>
            </w:pPr>
            <w:r>
              <w:rPr>
                <w:b/>
                <w:bCs/>
                <w:sz w:val="20"/>
                <w:szCs w:val="20"/>
              </w:rPr>
              <w:t>Denominator:</w:t>
            </w:r>
          </w:p>
        </w:tc>
        <w:tc>
          <w:tcPr>
            <w:tcW w:w="7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 </w:t>
            </w:r>
          </w:p>
        </w:tc>
        <w:tc>
          <w:tcPr>
            <w:tcW w:w="37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7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 </w:t>
            </w:r>
          </w:p>
        </w:tc>
        <w:tc>
          <w:tcPr>
            <w:tcW w:w="40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11"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r>
      <w:tr w:rsidR="00000000">
        <w:trPr>
          <w:divId w:val="413092100"/>
        </w:trPr>
        <w:tc>
          <w:tcPr>
            <w:tcW w:w="2801" w:type="pct"/>
            <w:tcMar>
              <w:top w:w="0" w:type="dxa"/>
              <w:left w:w="0" w:type="dxa"/>
              <w:bottom w:w="0" w:type="dxa"/>
              <w:right w:w="0" w:type="dxa"/>
            </w:tcMar>
            <w:vAlign w:val="center"/>
            <w:hideMark/>
          </w:tcPr>
          <w:p w:rsidR="00000000" w:rsidRDefault="00E52F77">
            <w:pPr>
              <w:pStyle w:val="a3"/>
              <w:spacing w:before="0" w:beforeAutospacing="0" w:after="0" w:afterAutospacing="0"/>
              <w:rPr>
                <w:sz w:val="20"/>
                <w:szCs w:val="20"/>
              </w:rPr>
            </w:pPr>
            <w:r>
              <w:rPr>
                <w:sz w:val="20"/>
                <w:szCs w:val="20"/>
              </w:rPr>
              <w:t>Weighted-average ordinary shares outstanding</w:t>
            </w:r>
          </w:p>
        </w:tc>
        <w:tc>
          <w:tcPr>
            <w:tcW w:w="7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70"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65,669</w:t>
            </w:r>
          </w:p>
        </w:tc>
        <w:tc>
          <w:tcPr>
            <w:tcW w:w="80"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70"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63,275</w:t>
            </w:r>
          </w:p>
        </w:tc>
        <w:tc>
          <w:tcPr>
            <w:tcW w:w="80"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07"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65,199</w:t>
            </w:r>
          </w:p>
        </w:tc>
        <w:tc>
          <w:tcPr>
            <w:tcW w:w="80"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11"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61,676</w:t>
            </w:r>
          </w:p>
        </w:tc>
      </w:tr>
      <w:tr w:rsidR="00000000">
        <w:trPr>
          <w:divId w:val="413092100"/>
        </w:trPr>
        <w:tc>
          <w:tcPr>
            <w:tcW w:w="2801" w:type="pct"/>
            <w:shd w:val="clear" w:color="auto" w:fill="CCEEFF"/>
            <w:tcMar>
              <w:top w:w="0" w:type="dxa"/>
              <w:left w:w="0" w:type="dxa"/>
              <w:bottom w:w="0" w:type="dxa"/>
              <w:right w:w="0" w:type="dxa"/>
            </w:tcMar>
            <w:vAlign w:val="center"/>
            <w:hideMark/>
          </w:tcPr>
          <w:p w:rsidR="00000000" w:rsidRDefault="00E52F77">
            <w:pPr>
              <w:pStyle w:val="a3"/>
              <w:spacing w:before="0" w:beforeAutospacing="0" w:after="0" w:afterAutospacing="0"/>
              <w:rPr>
                <w:sz w:val="20"/>
                <w:szCs w:val="20"/>
              </w:rPr>
            </w:pPr>
            <w:r>
              <w:rPr>
                <w:sz w:val="20"/>
                <w:szCs w:val="20"/>
              </w:rPr>
              <w:t>Less: weighted-average ordinary shares subject to forfeiture</w:t>
            </w:r>
          </w:p>
        </w:tc>
        <w:tc>
          <w:tcPr>
            <w:tcW w:w="7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(414)</w:t>
            </w:r>
          </w:p>
        </w:tc>
        <w:tc>
          <w:tcPr>
            <w:tcW w:w="8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(114)</w:t>
            </w:r>
          </w:p>
        </w:tc>
        <w:tc>
          <w:tcPr>
            <w:tcW w:w="8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(514)</w:t>
            </w:r>
          </w:p>
        </w:tc>
      </w:tr>
      <w:tr w:rsidR="00000000">
        <w:trPr>
          <w:divId w:val="413092100"/>
        </w:trPr>
        <w:tc>
          <w:tcPr>
            <w:tcW w:w="2801" w:type="pct"/>
            <w:tcMar>
              <w:top w:w="0" w:type="dxa"/>
              <w:left w:w="0" w:type="dxa"/>
              <w:bottom w:w="0" w:type="dxa"/>
              <w:right w:w="0" w:type="dxa"/>
            </w:tcMar>
            <w:vAlign w:val="center"/>
            <w:hideMark/>
          </w:tcPr>
          <w:p w:rsidR="00000000" w:rsidRDefault="00E52F77">
            <w:pPr>
              <w:pStyle w:val="a3"/>
              <w:spacing w:before="0" w:beforeAutospacing="0" w:after="0" w:afterAutospacing="0"/>
              <w:ind w:hanging="180"/>
              <w:rPr>
                <w:sz w:val="20"/>
                <w:szCs w:val="20"/>
              </w:rPr>
            </w:pPr>
            <w:r>
              <w:rPr>
                <w:sz w:val="20"/>
                <w:szCs w:val="20"/>
              </w:rPr>
              <w:t>Weighted-average ordinary shares used to compute basic and diluted net loss per share</w:t>
            </w:r>
          </w:p>
        </w:tc>
        <w:tc>
          <w:tcPr>
            <w:tcW w:w="7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70"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65,669</w:t>
            </w:r>
          </w:p>
        </w:tc>
        <w:tc>
          <w:tcPr>
            <w:tcW w:w="80"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70"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62,861</w:t>
            </w:r>
          </w:p>
        </w:tc>
        <w:tc>
          <w:tcPr>
            <w:tcW w:w="80"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07"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65,085</w:t>
            </w:r>
          </w:p>
        </w:tc>
        <w:tc>
          <w:tcPr>
            <w:tcW w:w="80"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11"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61,162</w:t>
            </w:r>
          </w:p>
        </w:tc>
      </w:tr>
      <w:tr w:rsidR="00000000">
        <w:trPr>
          <w:divId w:val="413092100"/>
        </w:trPr>
        <w:tc>
          <w:tcPr>
            <w:tcW w:w="2801"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ind w:left="240"/>
              <w:rPr>
                <w:sz w:val="20"/>
                <w:szCs w:val="20"/>
              </w:rPr>
            </w:pPr>
            <w:r>
              <w:rPr>
                <w:sz w:val="20"/>
                <w:szCs w:val="20"/>
              </w:rPr>
              <w:t>Basic and diluted net loss per share</w:t>
            </w:r>
          </w:p>
        </w:tc>
        <w:tc>
          <w:tcPr>
            <w:tcW w:w="7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(0.80)</w:t>
            </w:r>
          </w:p>
        </w:tc>
        <w:tc>
          <w:tcPr>
            <w:tcW w:w="8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(1.00)</w:t>
            </w:r>
          </w:p>
        </w:tc>
        <w:tc>
          <w:tcPr>
            <w:tcW w:w="8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(2.03)</w:t>
            </w:r>
          </w:p>
        </w:tc>
        <w:tc>
          <w:tcPr>
            <w:tcW w:w="8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1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(2.39)</w:t>
            </w:r>
          </w:p>
        </w:tc>
      </w:tr>
    </w:tbl>
    <w:p w:rsidR="00000000" w:rsidRDefault="00E52F77">
      <w:pPr>
        <w:pStyle w:val="a3"/>
        <w:spacing w:before="0" w:beforeAutospacing="0" w:after="0" w:afterAutospacing="0"/>
        <w:divId w:val="413092100"/>
        <w:rPr>
          <w:sz w:val="20"/>
          <w:szCs w:val="20"/>
        </w:rPr>
      </w:pPr>
      <w:r>
        <w:rPr>
          <w:sz w:val="20"/>
          <w:szCs w:val="20"/>
        </w:rPr>
        <w:t>​</w:t>
      </w:r>
    </w:p>
    <w:p w:rsidR="00000000" w:rsidRDefault="00E52F77">
      <w:pPr>
        <w:pStyle w:val="a3"/>
        <w:spacing w:before="0" w:beforeAutospacing="0" w:after="0" w:afterAutospacing="0"/>
        <w:ind w:firstLine="720"/>
        <w:divId w:val="413092100"/>
        <w:rPr>
          <w:sz w:val="20"/>
          <w:szCs w:val="20"/>
        </w:rPr>
      </w:pPr>
      <w:r>
        <w:rPr>
          <w:sz w:val="20"/>
          <w:szCs w:val="20"/>
        </w:rPr>
        <w:t xml:space="preserve">For the three and six months ended June 30, 2021 and 2020, diluted and basic net loss per share were identical since potential ordinary shares were excluded from the calculation, as their effect was anti-dilutive. </w:t>
      </w:r>
    </w:p>
    <w:p w:rsidR="00000000" w:rsidRDefault="00E52F77">
      <w:pPr>
        <w:pStyle w:val="a3"/>
        <w:spacing w:before="0" w:beforeAutospacing="0" w:after="0" w:afterAutospacing="0"/>
        <w:ind w:firstLine="720"/>
        <w:divId w:val="413092100"/>
        <w:rPr>
          <w:sz w:val="20"/>
          <w:szCs w:val="20"/>
        </w:rPr>
      </w:pPr>
      <w:r>
        <w:rPr>
          <w:sz w:val="20"/>
          <w:szCs w:val="20"/>
        </w:rPr>
        <w:t>​</w:t>
      </w:r>
    </w:p>
    <w:p w:rsidR="00000000" w:rsidRDefault="00E52F77">
      <w:pPr>
        <w:pStyle w:val="a3"/>
        <w:spacing w:before="0" w:beforeAutospacing="0" w:after="0" w:afterAutospacing="0"/>
        <w:divId w:val="413092100"/>
        <w:rPr>
          <w:sz w:val="20"/>
          <w:szCs w:val="20"/>
        </w:rPr>
      </w:pPr>
      <w:r>
        <w:rPr>
          <w:b/>
          <w:bCs/>
          <w:i/>
          <w:iCs/>
          <w:sz w:val="20"/>
          <w:szCs w:val="20"/>
        </w:rPr>
        <w:t>Anti-dilutive Securities</w:t>
      </w:r>
    </w:p>
    <w:p w:rsidR="00000000" w:rsidRDefault="00E52F77">
      <w:pPr>
        <w:pStyle w:val="a3"/>
        <w:spacing w:before="0" w:beforeAutospacing="0" w:after="0" w:afterAutospacing="0"/>
        <w:divId w:val="413092100"/>
        <w:rPr>
          <w:sz w:val="20"/>
          <w:szCs w:val="20"/>
        </w:rPr>
      </w:pPr>
      <w:r>
        <w:rPr>
          <w:sz w:val="10"/>
          <w:szCs w:val="10"/>
        </w:rPr>
        <w:t>​</w:t>
      </w:r>
    </w:p>
    <w:p w:rsidR="00000000" w:rsidRDefault="00E52F77">
      <w:pPr>
        <w:pStyle w:val="a3"/>
        <w:spacing w:before="0" w:beforeAutospacing="0" w:after="0" w:afterAutospacing="0"/>
        <w:ind w:firstLine="720"/>
        <w:divId w:val="413092100"/>
        <w:rPr>
          <w:sz w:val="20"/>
          <w:szCs w:val="20"/>
        </w:rPr>
      </w:pPr>
      <w:r>
        <w:rPr>
          <w:sz w:val="20"/>
          <w:szCs w:val="20"/>
        </w:rPr>
        <w:t>The followin</w:t>
      </w:r>
      <w:r>
        <w:rPr>
          <w:sz w:val="20"/>
          <w:szCs w:val="20"/>
        </w:rPr>
        <w:t>g ordinary equivalent shares were not included in the computation of diluted net loss per share because their effect was anti-dilutive:</w:t>
      </w:r>
    </w:p>
    <w:p w:rsidR="00000000" w:rsidRDefault="00E52F77">
      <w:pPr>
        <w:pStyle w:val="a3"/>
        <w:spacing w:before="0" w:beforeAutospacing="0" w:after="0" w:afterAutospacing="0"/>
        <w:divId w:val="413092100"/>
        <w:rPr>
          <w:sz w:val="20"/>
          <w:szCs w:val="20"/>
        </w:rPr>
      </w:pPr>
      <w:r>
        <w:rPr>
          <w:sz w:val="10"/>
          <w:szCs w:val="10"/>
        </w:rPr>
        <w:t>​</w:t>
      </w:r>
    </w:p>
    <w:tbl>
      <w:tblPr>
        <w:tblW w:w="5038" w:type="pct"/>
        <w:tblCellMar>
          <w:top w:w="15" w:type="dxa"/>
          <w:left w:w="0" w:type="dxa"/>
          <w:bottom w:w="15" w:type="dxa"/>
          <w:right w:w="0" w:type="dxa"/>
        </w:tblCellMar>
        <w:tblLook w:val="04A0" w:firstRow="1" w:lastRow="0" w:firstColumn="1" w:lastColumn="0" w:noHBand="0" w:noVBand="1"/>
      </w:tblPr>
      <w:tblGrid>
        <w:gridCol w:w="5146"/>
        <w:gridCol w:w="163"/>
        <w:gridCol w:w="642"/>
        <w:gridCol w:w="163"/>
        <w:gridCol w:w="645"/>
        <w:gridCol w:w="163"/>
        <w:gridCol w:w="641"/>
        <w:gridCol w:w="162"/>
        <w:gridCol w:w="644"/>
      </w:tblGrid>
      <w:tr w:rsidR="00000000">
        <w:trPr>
          <w:divId w:val="413092100"/>
          <w:trHeight w:val="20"/>
        </w:trPr>
        <w:tc>
          <w:tcPr>
            <w:tcW w:w="3072" w:type="pct"/>
            <w:tcMar>
              <w:top w:w="0" w:type="dxa"/>
              <w:left w:w="0" w:type="dxa"/>
              <w:bottom w:w="0" w:type="dxa"/>
              <w:right w:w="0" w:type="dxa"/>
            </w:tcMar>
            <w:vAlign w:val="bottom"/>
            <w:hideMark/>
          </w:tcPr>
          <w:p w:rsidR="00000000" w:rsidRDefault="00E52F77">
            <w:pPr>
              <w:pStyle w:val="a3"/>
              <w:spacing w:before="0" w:beforeAutospacing="0" w:after="0" w:afterAutospacing="0"/>
              <w:divId w:val="189299562"/>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31272518"/>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027368090"/>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47807599"/>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2027827264"/>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067340905"/>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56961197"/>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778408357"/>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806892542"/>
              <w:rPr>
                <w:sz w:val="20"/>
                <w:szCs w:val="20"/>
              </w:rPr>
            </w:pPr>
            <w:r>
              <w:rPr>
                <w:sz w:val="2"/>
                <w:szCs w:val="2"/>
              </w:rPr>
              <w:t>​</w:t>
            </w:r>
          </w:p>
        </w:tc>
      </w:tr>
      <w:tr w:rsidR="00000000">
        <w:trPr>
          <w:divId w:val="413092100"/>
        </w:trPr>
        <w:tc>
          <w:tcPr>
            <w:tcW w:w="3072"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9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865" w:type="pct"/>
            <w:gridSpan w:val="3"/>
            <w:tcBorders>
              <w:bottom w:val="single" w:sz="6" w:space="0" w:color="000000"/>
            </w:tcBorders>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Three Months Ended June 30, </w:t>
            </w:r>
          </w:p>
        </w:tc>
        <w:tc>
          <w:tcPr>
            <w:tcW w:w="9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865" w:type="pct"/>
            <w:gridSpan w:val="3"/>
            <w:tcBorders>
              <w:bottom w:val="single" w:sz="6" w:space="0" w:color="000000"/>
            </w:tcBorders>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Six Months Ended June 30, </w:t>
            </w:r>
          </w:p>
        </w:tc>
      </w:tr>
      <w:tr w:rsidR="00000000">
        <w:trPr>
          <w:divId w:val="413092100"/>
        </w:trPr>
        <w:tc>
          <w:tcPr>
            <w:tcW w:w="3072" w:type="pct"/>
            <w:tcBorders>
              <w:bottom w:val="single" w:sz="6" w:space="0" w:color="000000"/>
            </w:tcBorders>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(In thousands)</w:t>
            </w:r>
          </w:p>
        </w:tc>
        <w:tc>
          <w:tcPr>
            <w:tcW w:w="9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383"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2021</w:t>
            </w:r>
          </w:p>
        </w:tc>
        <w:tc>
          <w:tcPr>
            <w:tcW w:w="9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383"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2020</w:t>
            </w:r>
          </w:p>
        </w:tc>
        <w:tc>
          <w:tcPr>
            <w:tcW w:w="9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383"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2021</w:t>
            </w:r>
          </w:p>
        </w:tc>
        <w:tc>
          <w:tcPr>
            <w:tcW w:w="9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383"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2020</w:t>
            </w:r>
          </w:p>
        </w:tc>
      </w:tr>
      <w:tr w:rsidR="00000000">
        <w:trPr>
          <w:divId w:val="413092100"/>
        </w:trPr>
        <w:tc>
          <w:tcPr>
            <w:tcW w:w="3072"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rPr>
                <w:sz w:val="20"/>
                <w:szCs w:val="20"/>
              </w:rPr>
            </w:pPr>
            <w:r>
              <w:rPr>
                <w:sz w:val="20"/>
                <w:szCs w:val="20"/>
              </w:rPr>
              <w:t>Share issuances under equity incentive plans and ESPP </w:t>
            </w:r>
          </w:p>
        </w:tc>
        <w:tc>
          <w:tcPr>
            <w:tcW w:w="9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6,228</w:t>
            </w:r>
          </w:p>
        </w:tc>
        <w:tc>
          <w:tcPr>
            <w:tcW w:w="9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5,713</w:t>
            </w:r>
          </w:p>
        </w:tc>
        <w:tc>
          <w:tcPr>
            <w:tcW w:w="9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8,307</w:t>
            </w:r>
          </w:p>
        </w:tc>
        <w:tc>
          <w:tcPr>
            <w:tcW w:w="9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5,741</w:t>
            </w:r>
          </w:p>
        </w:tc>
      </w:tr>
      <w:tr w:rsidR="00000000">
        <w:trPr>
          <w:divId w:val="413092100"/>
        </w:trPr>
        <w:tc>
          <w:tcPr>
            <w:tcW w:w="3072" w:type="pct"/>
            <w:noWrap/>
            <w:tcMar>
              <w:top w:w="0" w:type="dxa"/>
              <w:left w:w="0" w:type="dxa"/>
              <w:bottom w:w="0" w:type="dxa"/>
              <w:right w:w="0" w:type="dxa"/>
            </w:tcMar>
            <w:hideMark/>
          </w:tcPr>
          <w:p w:rsidR="00000000" w:rsidRDefault="00E52F77">
            <w:pPr>
              <w:pStyle w:val="a3"/>
              <w:spacing w:before="0" w:beforeAutospacing="0" w:after="0" w:afterAutospacing="0"/>
              <w:rPr>
                <w:sz w:val="20"/>
                <w:szCs w:val="20"/>
              </w:rPr>
            </w:pPr>
            <w:r>
              <w:rPr>
                <w:sz w:val="20"/>
                <w:szCs w:val="20"/>
              </w:rPr>
              <w:t xml:space="preserve">Share issuances upon the conversion of convertible senior notes </w:t>
            </w:r>
          </w:p>
        </w:tc>
        <w:tc>
          <w:tcPr>
            <w:tcW w:w="9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20"/>
                <w:szCs w:val="20"/>
              </w:rPr>
              <w:t>​</w:t>
            </w:r>
          </w:p>
        </w:tc>
        <w:tc>
          <w:tcPr>
            <w:tcW w:w="383"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6,676</w:t>
            </w:r>
          </w:p>
        </w:tc>
        <w:tc>
          <w:tcPr>
            <w:tcW w:w="9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383"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6,676</w:t>
            </w:r>
          </w:p>
        </w:tc>
        <w:tc>
          <w:tcPr>
            <w:tcW w:w="9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20"/>
                <w:szCs w:val="20"/>
              </w:rPr>
              <w:t>​</w:t>
            </w:r>
          </w:p>
        </w:tc>
        <w:tc>
          <w:tcPr>
            <w:tcW w:w="383"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6,676</w:t>
            </w:r>
          </w:p>
        </w:tc>
        <w:tc>
          <w:tcPr>
            <w:tcW w:w="9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383"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6,676</w:t>
            </w:r>
          </w:p>
        </w:tc>
      </w:tr>
      <w:tr w:rsidR="00000000">
        <w:trPr>
          <w:divId w:val="413092100"/>
        </w:trPr>
        <w:tc>
          <w:tcPr>
            <w:tcW w:w="3072"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ind w:left="120"/>
              <w:rPr>
                <w:sz w:val="20"/>
                <w:szCs w:val="20"/>
              </w:rPr>
            </w:pPr>
            <w:r>
              <w:rPr>
                <w:sz w:val="20"/>
                <w:szCs w:val="20"/>
              </w:rPr>
              <w:t>Total</w:t>
            </w:r>
          </w:p>
        </w:tc>
        <w:tc>
          <w:tcPr>
            <w:tcW w:w="9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 </w:t>
            </w:r>
          </w:p>
        </w:tc>
        <w:tc>
          <w:tcPr>
            <w:tcW w:w="3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12,904</w:t>
            </w:r>
          </w:p>
        </w:tc>
        <w:tc>
          <w:tcPr>
            <w:tcW w:w="9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3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12,389</w:t>
            </w:r>
          </w:p>
        </w:tc>
        <w:tc>
          <w:tcPr>
            <w:tcW w:w="9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3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14,983</w:t>
            </w:r>
          </w:p>
        </w:tc>
        <w:tc>
          <w:tcPr>
            <w:tcW w:w="9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3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12,417</w:t>
            </w:r>
          </w:p>
        </w:tc>
      </w:tr>
    </w:tbl>
    <w:p w:rsidR="00000000" w:rsidRDefault="00E52F77">
      <w:pPr>
        <w:pStyle w:val="a3"/>
        <w:spacing w:before="0" w:beforeAutospacing="0" w:after="0" w:afterAutospacing="0"/>
        <w:divId w:val="413092100"/>
        <w:rPr>
          <w:sz w:val="20"/>
          <w:szCs w:val="20"/>
        </w:rPr>
      </w:pPr>
      <w:r>
        <w:rPr>
          <w:sz w:val="2"/>
          <w:szCs w:val="2"/>
        </w:rPr>
        <w:t>​</w:t>
      </w:r>
    </w:p>
    <w:p w:rsidR="00000000" w:rsidRDefault="00E52F77">
      <w:pPr>
        <w:pStyle w:val="a3"/>
        <w:spacing w:before="0" w:beforeAutospacing="0" w:after="0" w:afterAutospacing="0"/>
        <w:divId w:val="413092100"/>
        <w:rPr>
          <w:sz w:val="20"/>
          <w:szCs w:val="20"/>
        </w:rPr>
      </w:pPr>
      <w:r>
        <w:rPr>
          <w:sz w:val="20"/>
          <w:szCs w:val="20"/>
        </w:rPr>
        <w:t>​</w:t>
      </w:r>
    </w:p>
    <w:p w:rsidR="00000000" w:rsidRDefault="00E52F77">
      <w:pPr>
        <w:pStyle w:val="a3"/>
        <w:spacing w:before="0" w:beforeAutospacing="0" w:after="0" w:afterAutospacing="0"/>
        <w:divId w:val="413092100"/>
        <w:rPr>
          <w:sz w:val="20"/>
          <w:szCs w:val="20"/>
        </w:rPr>
      </w:pPr>
      <w:r>
        <w:rPr>
          <w:sz w:val="20"/>
          <w:szCs w:val="20"/>
        </w:rPr>
        <w:t>​</w:t>
      </w:r>
    </w:p>
    <w:p w:rsidR="00000000" w:rsidRDefault="00E52F77">
      <w:pPr>
        <w:pStyle w:val="a3"/>
        <w:spacing w:before="360" w:beforeAutospacing="0" w:after="0" w:afterAutospacing="0"/>
        <w:jc w:val="center"/>
        <w:divId w:val="726608662"/>
        <w:rPr>
          <w:sz w:val="20"/>
          <w:szCs w:val="20"/>
        </w:rPr>
      </w:pPr>
      <w:r>
        <w:rPr>
          <w:sz w:val="20"/>
          <w:szCs w:val="20"/>
        </w:rPr>
        <w:t>8</w:t>
      </w:r>
    </w:p>
    <w:p w:rsidR="00000000" w:rsidRDefault="00E52F77">
      <w:pPr>
        <w:pStyle w:val="a3"/>
        <w:spacing w:before="0" w:beforeAutospacing="0" w:after="600" w:afterAutospacing="0"/>
        <w:divId w:val="746028837"/>
        <w:rPr>
          <w:sz w:val="20"/>
          <w:szCs w:val="20"/>
        </w:rPr>
      </w:pPr>
      <w:hyperlink w:anchor="TOC" w:history="1">
        <w:r>
          <w:rPr>
            <w:rStyle w:val="a4"/>
            <w:sz w:val="20"/>
            <w:szCs w:val="20"/>
          </w:rPr>
          <w:t>Table of Contents</w:t>
        </w:r>
      </w:hyperlink>
    </w:p>
    <w:p w:rsidR="00000000" w:rsidRDefault="00E52F77">
      <w:pPr>
        <w:pStyle w:val="a3"/>
        <w:spacing w:before="0" w:beforeAutospacing="0" w:after="0" w:afterAutospacing="0"/>
        <w:divId w:val="2067953177"/>
        <w:rPr>
          <w:sz w:val="20"/>
          <w:szCs w:val="20"/>
        </w:rPr>
      </w:pPr>
      <w:r>
        <w:rPr>
          <w:b/>
          <w:bCs/>
          <w:sz w:val="20"/>
          <w:szCs w:val="20"/>
        </w:rPr>
        <w:t>3. Revenue</w:t>
      </w:r>
    </w:p>
    <w:p w:rsidR="00000000" w:rsidRDefault="00E52F77">
      <w:pPr>
        <w:pStyle w:val="a3"/>
        <w:spacing w:before="0" w:beforeAutospacing="0" w:after="0" w:afterAutospacing="0"/>
        <w:divId w:val="2067953177"/>
        <w:rPr>
          <w:sz w:val="20"/>
          <w:szCs w:val="20"/>
        </w:rPr>
      </w:pPr>
      <w:r>
        <w:rPr>
          <w:b/>
          <w:bCs/>
          <w:sz w:val="10"/>
          <w:szCs w:val="10"/>
        </w:rPr>
        <w:t>​</w:t>
      </w:r>
    </w:p>
    <w:p w:rsidR="00000000" w:rsidRDefault="00E52F77">
      <w:pPr>
        <w:pStyle w:val="a3"/>
        <w:spacing w:before="0" w:beforeAutospacing="0" w:after="0" w:afterAutospacing="0"/>
        <w:divId w:val="2067953177"/>
        <w:rPr>
          <w:sz w:val="20"/>
          <w:szCs w:val="20"/>
        </w:rPr>
      </w:pPr>
      <w:r>
        <w:rPr>
          <w:b/>
          <w:bCs/>
          <w:i/>
          <w:iCs/>
          <w:sz w:val="20"/>
          <w:szCs w:val="20"/>
        </w:rPr>
        <w:t>Revenue from Collaborative Arrangements</w:t>
      </w:r>
    </w:p>
    <w:p w:rsidR="00000000" w:rsidRDefault="00E52F77">
      <w:pPr>
        <w:pStyle w:val="a3"/>
        <w:spacing w:before="0" w:beforeAutospacing="0" w:after="0" w:afterAutospacing="0"/>
        <w:divId w:val="2067953177"/>
        <w:rPr>
          <w:sz w:val="20"/>
          <w:szCs w:val="20"/>
        </w:rPr>
      </w:pPr>
      <w:r>
        <w:rPr>
          <w:i/>
          <w:iCs/>
          <w:sz w:val="10"/>
          <w:szCs w:val="10"/>
        </w:rPr>
        <w:t>​</w:t>
      </w:r>
    </w:p>
    <w:p w:rsidR="00000000" w:rsidRDefault="00E52F77">
      <w:pPr>
        <w:pStyle w:val="a3"/>
        <w:spacing w:before="0" w:beforeAutospacing="0" w:after="0" w:afterAutospacing="0"/>
        <w:ind w:firstLine="720"/>
        <w:divId w:val="2067953177"/>
        <w:rPr>
          <w:sz w:val="20"/>
          <w:szCs w:val="20"/>
        </w:rPr>
      </w:pPr>
      <w:r>
        <w:rPr>
          <w:sz w:val="20"/>
          <w:szCs w:val="20"/>
        </w:rPr>
        <w:t>The Company recognized revenues from its collaborative arrangements as follows:</w:t>
      </w:r>
    </w:p>
    <w:p w:rsidR="00000000" w:rsidRDefault="00E52F77">
      <w:pPr>
        <w:pStyle w:val="a3"/>
        <w:spacing w:before="0" w:beforeAutospacing="0" w:after="0" w:afterAutospacing="0"/>
        <w:ind w:firstLine="720"/>
        <w:divId w:val="2067953177"/>
        <w:rPr>
          <w:sz w:val="20"/>
          <w:szCs w:val="20"/>
        </w:rPr>
      </w:pPr>
      <w:r>
        <w:rPr>
          <w:sz w:val="20"/>
          <w:szCs w:val="20"/>
        </w:rPr>
        <w:t>​</w:t>
      </w:r>
    </w:p>
    <w:tbl>
      <w:tblPr>
        <w:tblW w:w="4997" w:type="pct"/>
        <w:tblCellMar>
          <w:top w:w="15" w:type="dxa"/>
          <w:left w:w="0" w:type="dxa"/>
          <w:bottom w:w="15" w:type="dxa"/>
          <w:right w:w="0" w:type="dxa"/>
        </w:tblCellMar>
        <w:tblLook w:val="04A0" w:firstRow="1" w:lastRow="0" w:firstColumn="1" w:lastColumn="0" w:noHBand="0" w:noVBand="1"/>
      </w:tblPr>
      <w:tblGrid>
        <w:gridCol w:w="4680"/>
        <w:gridCol w:w="160"/>
        <w:gridCol w:w="100"/>
        <w:gridCol w:w="551"/>
        <w:gridCol w:w="160"/>
        <w:gridCol w:w="100"/>
        <w:gridCol w:w="540"/>
        <w:gridCol w:w="98"/>
        <w:gridCol w:w="177"/>
        <w:gridCol w:w="699"/>
        <w:gridCol w:w="176"/>
        <w:gridCol w:w="176"/>
        <w:gridCol w:w="684"/>
      </w:tblGrid>
      <w:tr w:rsidR="00000000">
        <w:trPr>
          <w:divId w:val="2067953177"/>
          <w:trHeight w:val="20"/>
        </w:trPr>
        <w:tc>
          <w:tcPr>
            <w:tcW w:w="2849" w:type="pct"/>
            <w:tcMar>
              <w:top w:w="0" w:type="dxa"/>
              <w:left w:w="0" w:type="dxa"/>
              <w:bottom w:w="0" w:type="dxa"/>
              <w:right w:w="0" w:type="dxa"/>
            </w:tcMar>
            <w:hideMark/>
          </w:tcPr>
          <w:p w:rsidR="00000000" w:rsidRDefault="00E52F77">
            <w:pPr>
              <w:pStyle w:val="a3"/>
              <w:spacing w:before="0" w:beforeAutospacing="0" w:after="0" w:afterAutospacing="0"/>
              <w:divId w:val="1569143823"/>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347098899"/>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204102241"/>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102192219"/>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157453239"/>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349259476"/>
              <w:rPr>
                <w:sz w:val="20"/>
                <w:szCs w:val="20"/>
              </w:rPr>
            </w:pPr>
            <w:r>
              <w:rPr>
                <w:sz w:val="2"/>
                <w:szCs w:val="2"/>
              </w:rPr>
              <w:t>​</w:t>
            </w:r>
          </w:p>
        </w:tc>
        <w:tc>
          <w:tcPr>
            <w:tcW w:w="355"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230583700"/>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47800531"/>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704525714"/>
              <w:rPr>
                <w:sz w:val="20"/>
                <w:szCs w:val="20"/>
              </w:rPr>
            </w:pPr>
            <w:r>
              <w:rPr>
                <w:sz w:val="2"/>
                <w:szCs w:val="2"/>
              </w:rPr>
              <w:t>​</w:t>
            </w:r>
          </w:p>
        </w:tc>
        <w:tc>
          <w:tcPr>
            <w:tcW w:w="355"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382752487"/>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760831300"/>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818186279"/>
              <w:rPr>
                <w:sz w:val="20"/>
                <w:szCs w:val="20"/>
              </w:rPr>
            </w:pPr>
            <w:r>
              <w:rPr>
                <w:sz w:val="2"/>
                <w:szCs w:val="2"/>
              </w:rPr>
              <w:t>​</w:t>
            </w:r>
          </w:p>
        </w:tc>
        <w:tc>
          <w:tcPr>
            <w:tcW w:w="346"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2052420179"/>
              <w:rPr>
                <w:sz w:val="20"/>
                <w:szCs w:val="20"/>
              </w:rPr>
            </w:pPr>
            <w:r>
              <w:rPr>
                <w:sz w:val="2"/>
                <w:szCs w:val="2"/>
              </w:rPr>
              <w:t>​</w:t>
            </w:r>
          </w:p>
        </w:tc>
      </w:tr>
      <w:tr w:rsidR="00000000">
        <w:trPr>
          <w:divId w:val="2067953177"/>
        </w:trPr>
        <w:tc>
          <w:tcPr>
            <w:tcW w:w="2849"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993" w:type="pct"/>
            <w:gridSpan w:val="5"/>
            <w:tcBorders>
              <w:bottom w:val="single" w:sz="6" w:space="0" w:color="000000"/>
            </w:tcBorders>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Three Months Ended June 30, </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975" w:type="pct"/>
            <w:gridSpan w:val="5"/>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Six Months Ended June 30, </w:t>
            </w:r>
          </w:p>
        </w:tc>
      </w:tr>
      <w:tr w:rsidR="00000000">
        <w:trPr>
          <w:divId w:val="2067953177"/>
        </w:trPr>
        <w:tc>
          <w:tcPr>
            <w:tcW w:w="2849" w:type="pct"/>
            <w:tcBorders>
              <w:bottom w:val="single" w:sz="6" w:space="0" w:color="000000"/>
            </w:tcBorders>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(In thousands)</w:t>
            </w:r>
          </w:p>
        </w:tc>
        <w:tc>
          <w:tcPr>
            <w:tcW w:w="91"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455"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2021</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2020</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2021</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437"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2020</w:t>
            </w:r>
          </w:p>
        </w:tc>
      </w:tr>
      <w:tr w:rsidR="00000000">
        <w:trPr>
          <w:divId w:val="2067953177"/>
        </w:trPr>
        <w:tc>
          <w:tcPr>
            <w:tcW w:w="2849"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rPr>
                <w:sz w:val="20"/>
                <w:szCs w:val="20"/>
              </w:rPr>
            </w:pPr>
            <w:r>
              <w:rPr>
                <w:sz w:val="20"/>
                <w:szCs w:val="20"/>
              </w:rPr>
              <w:t>Janssen</w:t>
            </w:r>
          </w:p>
        </w:tc>
        <w:tc>
          <w:tcPr>
            <w:tcW w:w="91"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1,971</w:t>
            </w:r>
          </w:p>
        </w:tc>
        <w:tc>
          <w:tcPr>
            <w:tcW w:w="9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5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5,479</w:t>
            </w:r>
          </w:p>
        </w:tc>
        <w:tc>
          <w:tcPr>
            <w:tcW w:w="9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5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5,833</w:t>
            </w:r>
          </w:p>
        </w:tc>
        <w:tc>
          <w:tcPr>
            <w:tcW w:w="9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4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12,101</w:t>
            </w:r>
          </w:p>
        </w:tc>
      </w:tr>
      <w:tr w:rsidR="00000000">
        <w:trPr>
          <w:divId w:val="2067953177"/>
        </w:trPr>
        <w:tc>
          <w:tcPr>
            <w:tcW w:w="2849" w:type="pct"/>
            <w:tcMar>
              <w:top w:w="0" w:type="dxa"/>
              <w:left w:w="0" w:type="dxa"/>
              <w:bottom w:w="0" w:type="dxa"/>
              <w:right w:w="0" w:type="dxa"/>
            </w:tcMar>
            <w:hideMark/>
          </w:tcPr>
          <w:p w:rsidR="00000000" w:rsidRDefault="00E52F77">
            <w:pPr>
              <w:pStyle w:val="a3"/>
              <w:spacing w:before="0" w:beforeAutospacing="0" w:after="0" w:afterAutospacing="0"/>
              <w:rPr>
                <w:sz w:val="20"/>
                <w:szCs w:val="20"/>
              </w:rPr>
            </w:pPr>
            <w:r>
              <w:rPr>
                <w:sz w:val="20"/>
                <w:szCs w:val="20"/>
              </w:rPr>
              <w:t>Other</w:t>
            </w:r>
          </w:p>
        </w:tc>
        <w:tc>
          <w:tcPr>
            <w:tcW w:w="91"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64"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9</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55"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9</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55"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19</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46"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19</w:t>
            </w:r>
          </w:p>
        </w:tc>
      </w:tr>
      <w:tr w:rsidR="00000000">
        <w:trPr>
          <w:divId w:val="2067953177"/>
        </w:trPr>
        <w:tc>
          <w:tcPr>
            <w:tcW w:w="2849" w:type="pct"/>
            <w:shd w:val="clear" w:color="auto" w:fill="CCEEFF"/>
            <w:tcMar>
              <w:top w:w="0" w:type="dxa"/>
              <w:left w:w="0" w:type="dxa"/>
              <w:bottom w:w="0" w:type="dxa"/>
              <w:right w:w="0" w:type="dxa"/>
            </w:tcMar>
            <w:hideMark/>
          </w:tcPr>
          <w:p w:rsidR="00000000" w:rsidRDefault="00E52F77">
            <w:pPr>
              <w:pStyle w:val="a3"/>
              <w:spacing w:before="0" w:beforeAutospacing="0" w:after="0" w:afterAutospacing="0"/>
              <w:ind w:left="240"/>
              <w:rPr>
                <w:sz w:val="20"/>
                <w:szCs w:val="20"/>
              </w:rPr>
            </w:pPr>
            <w:r>
              <w:rPr>
                <w:sz w:val="20"/>
                <w:szCs w:val="20"/>
              </w:rPr>
              <w:t>Total collaboration revenue</w:t>
            </w:r>
          </w:p>
        </w:tc>
        <w:tc>
          <w:tcPr>
            <w:tcW w:w="91"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1,980</w:t>
            </w:r>
          </w:p>
        </w:tc>
        <w:tc>
          <w:tcPr>
            <w:tcW w:w="9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5,488</w:t>
            </w:r>
          </w:p>
        </w:tc>
        <w:tc>
          <w:tcPr>
            <w:tcW w:w="9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5,852</w:t>
            </w:r>
          </w:p>
        </w:tc>
        <w:tc>
          <w:tcPr>
            <w:tcW w:w="9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12,120</w:t>
            </w:r>
          </w:p>
        </w:tc>
      </w:tr>
    </w:tbl>
    <w:p w:rsidR="00000000" w:rsidRDefault="00E52F77">
      <w:pPr>
        <w:pStyle w:val="a3"/>
        <w:spacing w:before="0" w:beforeAutospacing="0" w:after="0" w:afterAutospacing="0"/>
        <w:divId w:val="2067953177"/>
        <w:rPr>
          <w:sz w:val="20"/>
          <w:szCs w:val="20"/>
        </w:rPr>
      </w:pPr>
      <w:r>
        <w:rPr>
          <w:sz w:val="20"/>
          <w:szCs w:val="20"/>
        </w:rPr>
        <w:t>​</w:t>
      </w:r>
    </w:p>
    <w:p w:rsidR="00000000" w:rsidRDefault="00E52F77">
      <w:pPr>
        <w:pStyle w:val="a3"/>
        <w:spacing w:before="0" w:beforeAutospacing="0" w:after="0" w:afterAutospacing="0"/>
        <w:divId w:val="2067953177"/>
        <w:rPr>
          <w:sz w:val="20"/>
          <w:szCs w:val="20"/>
        </w:rPr>
      </w:pPr>
      <w:r>
        <w:rPr>
          <w:sz w:val="20"/>
          <w:szCs w:val="20"/>
        </w:rPr>
        <w:t>All of the recognized revenues from the Company’</w:t>
      </w:r>
      <w:r>
        <w:rPr>
          <w:sz w:val="20"/>
          <w:szCs w:val="20"/>
        </w:rPr>
        <w:t>s collaborative arrangements presented above were included in deferred revenue at the beginning of the respective periods.</w:t>
      </w:r>
    </w:p>
    <w:p w:rsidR="00000000" w:rsidRDefault="00E52F77">
      <w:pPr>
        <w:pStyle w:val="a3"/>
        <w:spacing w:before="240" w:beforeAutospacing="0" w:after="0" w:afterAutospacing="0"/>
        <w:divId w:val="2067953177"/>
        <w:rPr>
          <w:sz w:val="20"/>
          <w:szCs w:val="20"/>
        </w:rPr>
      </w:pPr>
      <w:r>
        <w:rPr>
          <w:b/>
          <w:bCs/>
          <w:i/>
          <w:iCs/>
          <w:sz w:val="20"/>
          <w:szCs w:val="20"/>
        </w:rPr>
        <w:t>Janssen Biotech</w:t>
      </w:r>
    </w:p>
    <w:p w:rsidR="00000000" w:rsidRDefault="00E52F77">
      <w:pPr>
        <w:pStyle w:val="a3"/>
        <w:spacing w:before="0" w:beforeAutospacing="0" w:after="0" w:afterAutospacing="0"/>
        <w:divId w:val="2067953177"/>
        <w:rPr>
          <w:sz w:val="20"/>
          <w:szCs w:val="20"/>
        </w:rPr>
      </w:pPr>
      <w:r>
        <w:rPr>
          <w:sz w:val="10"/>
          <w:szCs w:val="10"/>
        </w:rPr>
        <w:t>​</w:t>
      </w:r>
    </w:p>
    <w:p w:rsidR="00000000" w:rsidRDefault="00E52F77">
      <w:pPr>
        <w:pStyle w:val="a3"/>
        <w:spacing w:before="0" w:beforeAutospacing="0" w:after="0" w:afterAutospacing="0"/>
        <w:ind w:firstLine="720"/>
        <w:divId w:val="2067953177"/>
        <w:rPr>
          <w:sz w:val="20"/>
          <w:szCs w:val="20"/>
        </w:rPr>
      </w:pPr>
      <w:r>
        <w:rPr>
          <w:sz w:val="20"/>
          <w:szCs w:val="20"/>
        </w:rPr>
        <w:t>In February 2018, the Company entered into a global co-development and commercialization agreement with Janssen Bio</w:t>
      </w:r>
      <w:r>
        <w:rPr>
          <w:sz w:val="20"/>
          <w:szCs w:val="20"/>
        </w:rPr>
        <w:t>tech, Inc. (“Janssen”) for izencitinib (formerly known as TD-1473) and related back-up compounds for inflammatory intestinal diseases, including ulcerative colitis and Crohn’s disease (the “Janssen Agreement”). Under the terms of the Janssen Agreement, the</w:t>
      </w:r>
      <w:r>
        <w:rPr>
          <w:sz w:val="20"/>
          <w:szCs w:val="20"/>
        </w:rPr>
        <w:t xml:space="preserve"> Company received an upfront payment of $100.0 million. The Company is conducting a Phase 2 (DIONE) study of izencitinib in Crohn’s disease and a Phase 2b/3 (RHEA) induction and maintenance study of izencitinib in ulcerative colitis.</w:t>
      </w:r>
      <w:r>
        <w:rPr>
          <w:i/>
          <w:iCs/>
          <w:sz w:val="20"/>
          <w:szCs w:val="20"/>
        </w:rPr>
        <w:t xml:space="preserve"> </w:t>
      </w:r>
      <w:r>
        <w:rPr>
          <w:sz w:val="20"/>
          <w:szCs w:val="20"/>
        </w:rPr>
        <w:t xml:space="preserve">Following the initial </w:t>
      </w:r>
      <w:r>
        <w:rPr>
          <w:sz w:val="20"/>
          <w:szCs w:val="20"/>
        </w:rPr>
        <w:t>Phase 2 development period, including the completion of the Phase 2 Crohn’s study and the Phase 2b induction portion of the ulcerative colitis study, Janssen can elect to obtain an exclusive license to develop and commercialize izencitinib and certain rela</w:t>
      </w:r>
      <w:r>
        <w:rPr>
          <w:sz w:val="20"/>
          <w:szCs w:val="20"/>
        </w:rPr>
        <w:t xml:space="preserve">ted back-up compounds by paying the Company a fee of $200.0 million. Upon any such election, the Company and Janssen will jointly develop and commercialize izencitinib in inflammatory intestinal diseases and share profits in the US and expenses related to </w:t>
      </w:r>
      <w:r>
        <w:rPr>
          <w:sz w:val="20"/>
          <w:szCs w:val="20"/>
        </w:rPr>
        <w:t>Phase 3 development and registration activities (67% to Janssen; 33% to Theravance Biopharma). The Company would receive royalties on ex-US sales at double-digit tiered percentage royalty rates, and the Company would be eligible to receive up to an additio</w:t>
      </w:r>
      <w:r>
        <w:rPr>
          <w:sz w:val="20"/>
          <w:szCs w:val="20"/>
        </w:rPr>
        <w:t>nal $700.0 million in development and commercialization milestone payments from Janssen.</w:t>
      </w:r>
    </w:p>
    <w:p w:rsidR="00000000" w:rsidRDefault="00E52F77">
      <w:pPr>
        <w:pStyle w:val="a3"/>
        <w:spacing w:before="0" w:beforeAutospacing="0" w:after="0" w:afterAutospacing="0"/>
        <w:ind w:firstLine="720"/>
        <w:divId w:val="2067953177"/>
        <w:rPr>
          <w:sz w:val="20"/>
          <w:szCs w:val="20"/>
        </w:rPr>
      </w:pPr>
      <w:r>
        <w:rPr>
          <w:sz w:val="20"/>
          <w:szCs w:val="20"/>
        </w:rPr>
        <w:t>​</w:t>
      </w:r>
    </w:p>
    <w:p w:rsidR="00000000" w:rsidRDefault="00E52F77">
      <w:pPr>
        <w:pStyle w:val="a3"/>
        <w:spacing w:before="0" w:beforeAutospacing="0" w:after="0" w:afterAutospacing="0"/>
        <w:ind w:firstLine="720"/>
        <w:divId w:val="2067953177"/>
        <w:rPr>
          <w:sz w:val="20"/>
          <w:szCs w:val="20"/>
        </w:rPr>
      </w:pPr>
      <w:r>
        <w:rPr>
          <w:sz w:val="20"/>
          <w:szCs w:val="20"/>
        </w:rPr>
        <w:t xml:space="preserve">The Janssen Agreement is considered to be within the scope of Accounting Standards Codification, Topic 808, </w:t>
      </w:r>
      <w:r>
        <w:rPr>
          <w:i/>
          <w:iCs/>
          <w:sz w:val="20"/>
          <w:szCs w:val="20"/>
        </w:rPr>
        <w:t xml:space="preserve">Collaborative Arrangements </w:t>
      </w:r>
      <w:r>
        <w:rPr>
          <w:sz w:val="20"/>
          <w:szCs w:val="20"/>
        </w:rPr>
        <w:t>(“ASC 808”), as the parties ar</w:t>
      </w:r>
      <w:r>
        <w:rPr>
          <w:sz w:val="20"/>
          <w:szCs w:val="20"/>
        </w:rPr>
        <w:t xml:space="preserve">e active participants and exposed to the risks and rewards of the collaborative activity. The Company evaluated the terms of the Janssen Agreement and determined it is partially within the scope of Accounting Standards Codification, Topic 606, </w:t>
      </w:r>
      <w:r>
        <w:rPr>
          <w:i/>
          <w:iCs/>
          <w:sz w:val="20"/>
          <w:szCs w:val="20"/>
        </w:rPr>
        <w:t>Revenue from</w:t>
      </w:r>
      <w:r>
        <w:rPr>
          <w:i/>
          <w:iCs/>
          <w:sz w:val="20"/>
          <w:szCs w:val="20"/>
        </w:rPr>
        <w:t xml:space="preserve"> Contracts with Customers</w:t>
      </w:r>
      <w:r>
        <w:rPr>
          <w:sz w:val="20"/>
          <w:szCs w:val="20"/>
        </w:rPr>
        <w:t xml:space="preserve"> (“ASC 606”) as the research and development activities to be performed through the initial Phase 2 development period of the collaborative arrangement are considered to be part of the Company’s ordinary activities. The Company has</w:t>
      </w:r>
      <w:r>
        <w:rPr>
          <w:sz w:val="20"/>
          <w:szCs w:val="20"/>
        </w:rPr>
        <w:t xml:space="preserve"> identified research and development activities as its only performance obligation. The Company further determined that the transaction price under the arrangement was the $100.0 million upfront payment which was allocated to the single performance obligat</w:t>
      </w:r>
      <w:r>
        <w:rPr>
          <w:sz w:val="20"/>
          <w:szCs w:val="20"/>
        </w:rPr>
        <w:t>ion.</w:t>
      </w:r>
    </w:p>
    <w:p w:rsidR="00000000" w:rsidRDefault="00E52F77">
      <w:pPr>
        <w:pStyle w:val="a3"/>
        <w:spacing w:before="0" w:beforeAutospacing="0" w:after="0" w:afterAutospacing="0"/>
        <w:divId w:val="2067953177"/>
        <w:rPr>
          <w:sz w:val="20"/>
          <w:szCs w:val="20"/>
        </w:rPr>
      </w:pPr>
      <w:r>
        <w:rPr>
          <w:sz w:val="20"/>
          <w:szCs w:val="20"/>
        </w:rPr>
        <w:t>​</w:t>
      </w:r>
    </w:p>
    <w:p w:rsidR="00000000" w:rsidRDefault="00E52F77">
      <w:pPr>
        <w:pStyle w:val="a3"/>
        <w:spacing w:before="0" w:beforeAutospacing="0" w:after="0" w:afterAutospacing="0"/>
        <w:ind w:firstLine="720"/>
        <w:divId w:val="2067953177"/>
        <w:rPr>
          <w:sz w:val="20"/>
          <w:szCs w:val="20"/>
        </w:rPr>
      </w:pPr>
      <w:r>
        <w:rPr>
          <w:sz w:val="20"/>
          <w:szCs w:val="20"/>
        </w:rPr>
        <w:t>The $900.0 million in future potential payments, inclusive of the $200.0 million opt-in fee and $700.0 million future development and commercialization milestones, is considered variable consideration if Janssen elects to remain in the collaboration</w:t>
      </w:r>
      <w:r>
        <w:rPr>
          <w:sz w:val="20"/>
          <w:szCs w:val="20"/>
        </w:rPr>
        <w:t xml:space="preserve"> arrangement following completion of the initial Phase 2 development period, as described above and, as such, was not included in the transaction price, as the potential payments were all determined to be fully constrained under ASC 606. As part of the Com</w:t>
      </w:r>
      <w:r>
        <w:rPr>
          <w:sz w:val="20"/>
          <w:szCs w:val="20"/>
        </w:rPr>
        <w:t xml:space="preserve">pany’s evaluation of this variable consideration constraint, it determined that the potential payments are contingent upon developmental and regulatory milestones that are uncertain and are highly susceptible to factors outside of its control. The Company </w:t>
      </w:r>
      <w:r>
        <w:rPr>
          <w:sz w:val="20"/>
          <w:szCs w:val="20"/>
        </w:rPr>
        <w:t xml:space="preserve">expects that any consideration related to royalties and sales-based milestones will be recognized when the subsequent sales occur. </w:t>
      </w:r>
    </w:p>
    <w:p w:rsidR="00000000" w:rsidRDefault="00E52F77">
      <w:pPr>
        <w:pStyle w:val="a3"/>
        <w:spacing w:before="0" w:beforeAutospacing="0" w:after="0" w:afterAutospacing="0"/>
        <w:divId w:val="2067953177"/>
        <w:rPr>
          <w:sz w:val="20"/>
          <w:szCs w:val="20"/>
        </w:rPr>
      </w:pPr>
      <w:r>
        <w:rPr>
          <w:sz w:val="20"/>
          <w:szCs w:val="20"/>
        </w:rPr>
        <w:t>​</w:t>
      </w:r>
    </w:p>
    <w:p w:rsidR="00000000" w:rsidRDefault="00E52F77">
      <w:pPr>
        <w:pStyle w:val="a3"/>
        <w:spacing w:before="0" w:beforeAutospacing="0" w:after="0" w:afterAutospacing="0"/>
        <w:ind w:firstLine="720"/>
        <w:divId w:val="2067953177"/>
        <w:rPr>
          <w:sz w:val="20"/>
          <w:szCs w:val="20"/>
        </w:rPr>
      </w:pPr>
      <w:r>
        <w:rPr>
          <w:sz w:val="20"/>
          <w:szCs w:val="20"/>
        </w:rPr>
        <w:t>For the three and six months ended June 30, 2021, the Company recognized $2.0 million and $5.8 million, respectively, as revenue from collaboration arrangements related to the Janssen Agreement. The remaining transaction price of $5.6 million, related to t</w:t>
      </w:r>
      <w:r>
        <w:rPr>
          <w:sz w:val="20"/>
          <w:szCs w:val="20"/>
        </w:rPr>
        <w:t>he $100.0 million upfront payment, was recorded in deferred revenue on the condensed consolidated balance sheets and will be recognized as collaboration revenue as the research and development services are delivered over the Phase 2 development period whic</w:t>
      </w:r>
      <w:r>
        <w:rPr>
          <w:sz w:val="20"/>
          <w:szCs w:val="20"/>
        </w:rPr>
        <w:t xml:space="preserve">h is currently expected to continue through the late fourth quarter of 2021 or early first quarter of 2022. Collaboration revenue is recognized for the research and development services based on a </w:t>
      </w:r>
    </w:p>
    <w:p w:rsidR="00000000" w:rsidRDefault="00E52F77">
      <w:pPr>
        <w:pStyle w:val="a3"/>
        <w:spacing w:before="360" w:beforeAutospacing="0" w:after="0" w:afterAutospacing="0"/>
        <w:jc w:val="center"/>
        <w:divId w:val="1259367397"/>
        <w:rPr>
          <w:sz w:val="20"/>
          <w:szCs w:val="20"/>
        </w:rPr>
      </w:pPr>
      <w:r>
        <w:rPr>
          <w:sz w:val="20"/>
          <w:szCs w:val="20"/>
        </w:rPr>
        <w:t>9</w:t>
      </w:r>
    </w:p>
    <w:p w:rsidR="00000000" w:rsidRDefault="00E52F77">
      <w:pPr>
        <w:pStyle w:val="a3"/>
        <w:spacing w:before="0" w:beforeAutospacing="0" w:after="600" w:afterAutospacing="0"/>
        <w:divId w:val="849416188"/>
        <w:rPr>
          <w:sz w:val="20"/>
          <w:szCs w:val="20"/>
        </w:rPr>
      </w:pPr>
      <w:hyperlink w:anchor="TOC" w:history="1">
        <w:r>
          <w:rPr>
            <w:rStyle w:val="a4"/>
            <w:sz w:val="20"/>
            <w:szCs w:val="20"/>
          </w:rPr>
          <w:t>Table of Contents</w:t>
        </w:r>
      </w:hyperlink>
    </w:p>
    <w:p w:rsidR="00000000" w:rsidRDefault="00E52F77">
      <w:pPr>
        <w:pStyle w:val="a3"/>
        <w:spacing w:before="0" w:beforeAutospacing="0" w:after="0" w:afterAutospacing="0"/>
        <w:divId w:val="1407607700"/>
        <w:rPr>
          <w:sz w:val="20"/>
          <w:szCs w:val="20"/>
        </w:rPr>
      </w:pPr>
      <w:r>
        <w:rPr>
          <w:sz w:val="20"/>
          <w:szCs w:val="20"/>
        </w:rPr>
        <w:t>measure of t</w:t>
      </w:r>
      <w:r>
        <w:rPr>
          <w:sz w:val="20"/>
          <w:szCs w:val="20"/>
        </w:rPr>
        <w:t xml:space="preserve">he Company’s efforts toward satisfying the performance obligation relative to the total expected efforts or inputs to satisfy the performance obligation (e.g., costs incurred compared to total budget). Consequently, delays in trial activity and/or changes </w:t>
      </w:r>
      <w:r>
        <w:rPr>
          <w:sz w:val="20"/>
          <w:szCs w:val="20"/>
        </w:rPr>
        <w:t>to the total budget will impact the timing and amount of revenue recognized in any given reporting period. For the three and six months ended June 30, 2021, the Company incurred $6.1 million and $13.5 million, respectively, in research and development cost</w:t>
      </w:r>
      <w:r>
        <w:rPr>
          <w:sz w:val="20"/>
          <w:szCs w:val="20"/>
        </w:rPr>
        <w:t>s related to the Janssen Agreement. For the three and six months ended June 30, 2020, the Company incurred $9.0 million and $19.2 million, respectively, in research and development costs related to the Janssen Agreement. In future reporting periods, the Co</w:t>
      </w:r>
      <w:r>
        <w:rPr>
          <w:sz w:val="20"/>
          <w:szCs w:val="20"/>
        </w:rPr>
        <w:t>mpany will reevaluate the estimates related to its efforts towards satisfying the performance obligation and may record a change in estimate if deemed necessary</w:t>
      </w:r>
      <w:r>
        <w:rPr>
          <w:sz w:val="20"/>
          <w:szCs w:val="20"/>
        </w:rPr>
        <w:t>.</w:t>
      </w:r>
    </w:p>
    <w:p w:rsidR="00000000" w:rsidRDefault="00E52F77">
      <w:pPr>
        <w:pStyle w:val="a3"/>
        <w:spacing w:before="0" w:beforeAutospacing="0" w:after="0" w:afterAutospacing="0"/>
        <w:ind w:firstLine="720"/>
        <w:divId w:val="1407607700"/>
        <w:rPr>
          <w:sz w:val="20"/>
          <w:szCs w:val="20"/>
        </w:rPr>
      </w:pPr>
      <w:r>
        <w:rPr>
          <w:sz w:val="20"/>
          <w:szCs w:val="20"/>
        </w:rPr>
        <w:t>​</w:t>
      </w:r>
    </w:p>
    <w:p w:rsidR="00000000" w:rsidRDefault="00E52F77">
      <w:pPr>
        <w:pStyle w:val="a3"/>
        <w:shd w:val="clear" w:color="auto" w:fill="FFFFFF"/>
        <w:spacing w:before="0" w:beforeAutospacing="0" w:after="0" w:afterAutospacing="0"/>
        <w:divId w:val="1407607700"/>
        <w:rPr>
          <w:sz w:val="20"/>
          <w:szCs w:val="20"/>
        </w:rPr>
      </w:pPr>
      <w:r>
        <w:rPr>
          <w:b/>
          <w:bCs/>
          <w:i/>
          <w:iCs/>
          <w:sz w:val="20"/>
          <w:szCs w:val="20"/>
        </w:rPr>
        <w:t>Viatris</w:t>
      </w:r>
    </w:p>
    <w:p w:rsidR="00000000" w:rsidRDefault="00E52F77">
      <w:pPr>
        <w:pStyle w:val="a3"/>
        <w:shd w:val="clear" w:color="auto" w:fill="FFFFFF"/>
        <w:spacing w:before="0" w:beforeAutospacing="0" w:after="0" w:afterAutospacing="0"/>
        <w:divId w:val="1407607700"/>
        <w:rPr>
          <w:sz w:val="20"/>
          <w:szCs w:val="20"/>
        </w:rPr>
      </w:pPr>
      <w:r>
        <w:rPr>
          <w:b/>
          <w:bCs/>
          <w:i/>
          <w:iCs/>
          <w:sz w:val="10"/>
          <w:szCs w:val="10"/>
        </w:rPr>
        <w:t>​</w:t>
      </w:r>
    </w:p>
    <w:p w:rsidR="00000000" w:rsidRDefault="00E52F77">
      <w:pPr>
        <w:pStyle w:val="a3"/>
        <w:spacing w:before="0" w:beforeAutospacing="0" w:after="0" w:afterAutospacing="0"/>
        <w:ind w:firstLine="720"/>
        <w:divId w:val="1407607700"/>
        <w:rPr>
          <w:sz w:val="20"/>
          <w:szCs w:val="20"/>
        </w:rPr>
      </w:pPr>
      <w:r>
        <w:rPr>
          <w:sz w:val="20"/>
          <w:szCs w:val="20"/>
        </w:rPr>
        <w:t>In January 2015, the Company and Viatris Inc. (formerly, Mylan Ireland Limited) (“Viatris”) established a strategic collaboration (the “Viatris Agreement”) for the development and commercialization of revefenacin, including YUPELR</w:t>
      </w:r>
      <w:r>
        <w:rPr>
          <w:sz w:val="20"/>
          <w:szCs w:val="20"/>
        </w:rPr>
        <w:t>I</w:t>
      </w:r>
      <w:r>
        <w:rPr>
          <w:sz w:val="15"/>
          <w:szCs w:val="15"/>
          <w:vertAlign w:val="superscript"/>
        </w:rPr>
        <w:t>®</w:t>
      </w:r>
      <w:r>
        <w:rPr>
          <w:sz w:val="20"/>
          <w:szCs w:val="20"/>
        </w:rPr>
        <w:t xml:space="preserve"> (revefenacin) inhalatio</w:t>
      </w:r>
      <w:r>
        <w:rPr>
          <w:sz w:val="20"/>
          <w:szCs w:val="20"/>
        </w:rPr>
        <w:t>n solution. The Company entered into the collaboration to expand the breadth of its revefenacin development program and extend its commercial reach beyond the hospital setting.</w:t>
      </w:r>
    </w:p>
    <w:p w:rsidR="00000000" w:rsidRDefault="00E52F77">
      <w:pPr>
        <w:pStyle w:val="a3"/>
        <w:spacing w:before="0" w:beforeAutospacing="0" w:after="0" w:afterAutospacing="0"/>
        <w:divId w:val="1407607700"/>
        <w:rPr>
          <w:sz w:val="20"/>
          <w:szCs w:val="20"/>
        </w:rPr>
      </w:pPr>
      <w:r>
        <w:rPr>
          <w:sz w:val="20"/>
          <w:szCs w:val="20"/>
        </w:rPr>
        <w:t>​</w:t>
      </w:r>
    </w:p>
    <w:p w:rsidR="00000000" w:rsidRDefault="00E52F77">
      <w:pPr>
        <w:pStyle w:val="a3"/>
        <w:spacing w:before="0" w:beforeAutospacing="0" w:after="0" w:afterAutospacing="0"/>
        <w:ind w:firstLine="720"/>
        <w:divId w:val="1407607700"/>
        <w:rPr>
          <w:sz w:val="20"/>
          <w:szCs w:val="20"/>
        </w:rPr>
      </w:pPr>
      <w:r>
        <w:rPr>
          <w:sz w:val="20"/>
          <w:szCs w:val="20"/>
        </w:rPr>
        <w:t>As of June 30, 2021, the Company is eligible to receive from Viatris potentia</w:t>
      </w:r>
      <w:r>
        <w:rPr>
          <w:sz w:val="20"/>
          <w:szCs w:val="20"/>
        </w:rPr>
        <w:t xml:space="preserve">l global (ex-China and </w:t>
      </w:r>
      <w:r>
        <w:rPr>
          <w:sz w:val="20"/>
          <w:szCs w:val="20"/>
          <w:shd w:val="clear" w:color="auto" w:fill="FFFFFF"/>
        </w:rPr>
        <w:t>adjacent territories)</w:t>
      </w:r>
      <w:r>
        <w:rPr>
          <w:sz w:val="20"/>
          <w:szCs w:val="20"/>
        </w:rPr>
        <w:t xml:space="preserve"> development, regulatory and sales milestone payments totaling up to $205.0 million in the aggregate, with $160.0 million associated with YUPELRI monotherapy, and $45.0 million associated with future potential co</w:t>
      </w:r>
      <w:r>
        <w:rPr>
          <w:sz w:val="20"/>
          <w:szCs w:val="20"/>
        </w:rPr>
        <w:t>mbination products. Of the $160.0 million associated with monotherapy, $150.0 million relates to sales milestones based on achieving certain levels of net sales and $10.0 million relates to regulatory actions in the European Union (“EU”). The $45.0 million</w:t>
      </w:r>
      <w:r>
        <w:rPr>
          <w:sz w:val="20"/>
          <w:szCs w:val="20"/>
        </w:rPr>
        <w:t xml:space="preserve"> associated with future potential combination products relates solely to development and regulatory actions.</w:t>
      </w:r>
    </w:p>
    <w:p w:rsidR="00000000" w:rsidRDefault="00E52F77">
      <w:pPr>
        <w:pStyle w:val="a3"/>
        <w:spacing w:before="0" w:beforeAutospacing="0" w:after="0" w:afterAutospacing="0"/>
        <w:ind w:firstLine="720"/>
        <w:divId w:val="1407607700"/>
        <w:rPr>
          <w:sz w:val="20"/>
          <w:szCs w:val="20"/>
        </w:rPr>
      </w:pPr>
      <w:r>
        <w:rPr>
          <w:sz w:val="20"/>
          <w:szCs w:val="20"/>
        </w:rPr>
        <w:t>​</w:t>
      </w:r>
    </w:p>
    <w:p w:rsidR="00000000" w:rsidRDefault="00E52F77">
      <w:pPr>
        <w:pStyle w:val="a3"/>
        <w:spacing w:before="0" w:beforeAutospacing="0" w:after="0" w:afterAutospacing="0"/>
        <w:ind w:firstLine="720"/>
        <w:divId w:val="1407607700"/>
        <w:rPr>
          <w:sz w:val="20"/>
          <w:szCs w:val="20"/>
        </w:rPr>
      </w:pPr>
      <w:r>
        <w:rPr>
          <w:sz w:val="20"/>
          <w:szCs w:val="20"/>
        </w:rPr>
        <w:t>The Viatris Agreement is considered to be within the scope of ASC 808 and partially within the scope of ASC 606, as the parties are active partic</w:t>
      </w:r>
      <w:r>
        <w:rPr>
          <w:sz w:val="20"/>
          <w:szCs w:val="20"/>
        </w:rPr>
        <w:t xml:space="preserve">ipants and exposed to the risks and rewards of the collaborative activity with a unit of account provided to Viatris as a customer. Under the terms of the Viatris Agreement, which included the delivery by the Company of a license to Viatris to develop and </w:t>
      </w:r>
      <w:r>
        <w:rPr>
          <w:sz w:val="20"/>
          <w:szCs w:val="20"/>
        </w:rPr>
        <w:t>commercialize revefenacin in exchange for $15.0 million received in 2015, Viatris was responsible for reimbursement of the Company’s costs related to the registrational program up until the approval of the first new drug application in November 2018, there</w:t>
      </w:r>
      <w:r>
        <w:rPr>
          <w:sz w:val="20"/>
          <w:szCs w:val="20"/>
        </w:rPr>
        <w:t>after, R&amp;D expenses are shared. Performing R&amp;D services for reimbursement is considered to be a collaborative activity under the scope of ASC 808. Reimbursable program costs are recognized proportionately with the performance of the underlying services and</w:t>
      </w:r>
      <w:r>
        <w:rPr>
          <w:sz w:val="20"/>
          <w:szCs w:val="20"/>
        </w:rPr>
        <w:t xml:space="preserve"> accounted for as reductions to R&amp;D expense. For this unit of account, the Company did not recognize revenue or analogize to ASC 606 and, as such, the reimbursable program costs are excluded from the transaction price. The Company determined the license to</w:t>
      </w:r>
      <w:r>
        <w:rPr>
          <w:sz w:val="20"/>
          <w:szCs w:val="20"/>
        </w:rPr>
        <w:t xml:space="preserve"> develop and commercialize revefenacin to be a unit of account and a separate performance obligation for which Viatris is a customer with the $15.0 million for the delivery of the license as the transaction price.</w:t>
      </w:r>
    </w:p>
    <w:p w:rsidR="00000000" w:rsidRDefault="00E52F77">
      <w:pPr>
        <w:pStyle w:val="a3"/>
        <w:spacing w:before="0" w:beforeAutospacing="0" w:after="0" w:afterAutospacing="0"/>
        <w:divId w:val="1407607700"/>
        <w:rPr>
          <w:sz w:val="20"/>
          <w:szCs w:val="20"/>
        </w:rPr>
      </w:pPr>
      <w:r>
        <w:rPr>
          <w:sz w:val="20"/>
          <w:szCs w:val="20"/>
        </w:rPr>
        <w:t>​</w:t>
      </w:r>
    </w:p>
    <w:p w:rsidR="00000000" w:rsidRDefault="00E52F77">
      <w:pPr>
        <w:pStyle w:val="a3"/>
        <w:spacing w:before="0" w:beforeAutospacing="0" w:after="0" w:afterAutospacing="0"/>
        <w:ind w:firstLine="720"/>
        <w:divId w:val="1407607700"/>
        <w:rPr>
          <w:sz w:val="20"/>
          <w:szCs w:val="20"/>
        </w:rPr>
      </w:pPr>
      <w:r>
        <w:rPr>
          <w:sz w:val="20"/>
          <w:szCs w:val="20"/>
        </w:rPr>
        <w:t>The future potential milestone amounts f</w:t>
      </w:r>
      <w:r>
        <w:rPr>
          <w:sz w:val="20"/>
          <w:szCs w:val="20"/>
        </w:rPr>
        <w:t>or</w:t>
      </w:r>
      <w:r>
        <w:rPr>
          <w:color w:val="FF0000"/>
          <w:sz w:val="20"/>
          <w:szCs w:val="20"/>
        </w:rPr>
        <w:t xml:space="preserve"> </w:t>
      </w:r>
      <w:r>
        <w:rPr>
          <w:sz w:val="20"/>
          <w:szCs w:val="20"/>
        </w:rPr>
        <w:t>the Viatris Agreement were not included in the transaction price, as they were all determined to be fully constrained following the concepts of ASC 606. As part of the Company’s evaluation of the development and regulatory milestones constraint, the Com</w:t>
      </w:r>
      <w:r>
        <w:rPr>
          <w:sz w:val="20"/>
          <w:szCs w:val="20"/>
        </w:rPr>
        <w:t xml:space="preserve">pany determined that the achievement of such milestones is contingent upon success in future clinical trials and regulatory approvals which are not within its control and uncertain at this stage. The Company expects that the sales-based milestone payments </w:t>
      </w:r>
      <w:r>
        <w:rPr>
          <w:sz w:val="20"/>
          <w:szCs w:val="20"/>
        </w:rPr>
        <w:t xml:space="preserve">and royalty arrangements will be recognized when the sales occur or the milestone is achieved. </w:t>
      </w:r>
    </w:p>
    <w:p w:rsidR="00000000" w:rsidRDefault="00E52F77">
      <w:pPr>
        <w:pStyle w:val="a3"/>
        <w:spacing w:before="0" w:beforeAutospacing="0" w:after="0" w:afterAutospacing="0"/>
        <w:divId w:val="1407607700"/>
        <w:rPr>
          <w:sz w:val="20"/>
          <w:szCs w:val="20"/>
        </w:rPr>
      </w:pPr>
      <w:r>
        <w:rPr>
          <w:sz w:val="20"/>
          <w:szCs w:val="20"/>
        </w:rPr>
        <w:t>​</w:t>
      </w:r>
    </w:p>
    <w:p w:rsidR="00000000" w:rsidRDefault="00E52F77">
      <w:pPr>
        <w:pStyle w:val="a3"/>
        <w:spacing w:before="0" w:beforeAutospacing="0" w:after="0" w:afterAutospacing="0"/>
        <w:ind w:firstLine="720"/>
        <w:divId w:val="1407607700"/>
        <w:rPr>
          <w:sz w:val="20"/>
          <w:szCs w:val="20"/>
        </w:rPr>
      </w:pPr>
      <w:r>
        <w:rPr>
          <w:sz w:val="20"/>
          <w:szCs w:val="20"/>
        </w:rPr>
        <w:t>The Company is also entitled to a share of US profits and losses (65% to Viatris; 35% to Theravance Biopharma) received in connection with commercialization o</w:t>
      </w:r>
      <w:r>
        <w:rPr>
          <w:sz w:val="20"/>
          <w:szCs w:val="20"/>
        </w:rPr>
        <w:t>f YUPELRI, and the Company is entitled to low double-digit tiered royalties on ex-US net sales. Viatris is the principal in the sales transactions, and as a result, the Company does not reflect the product sales in its condensed consolidated financial stat</w:t>
      </w:r>
      <w:r>
        <w:rPr>
          <w:sz w:val="20"/>
          <w:szCs w:val="20"/>
        </w:rPr>
        <w:t>ements.</w:t>
      </w:r>
    </w:p>
    <w:p w:rsidR="00000000" w:rsidRDefault="00E52F77">
      <w:pPr>
        <w:pStyle w:val="a3"/>
        <w:spacing w:before="0" w:beforeAutospacing="0" w:after="0" w:afterAutospacing="0"/>
        <w:ind w:firstLine="720"/>
        <w:divId w:val="1407607700"/>
        <w:rPr>
          <w:sz w:val="20"/>
          <w:szCs w:val="20"/>
        </w:rPr>
      </w:pPr>
      <w:r>
        <w:rPr>
          <w:sz w:val="20"/>
          <w:szCs w:val="20"/>
        </w:rPr>
        <w:t>​</w:t>
      </w:r>
    </w:p>
    <w:p w:rsidR="00000000" w:rsidRDefault="00E52F77">
      <w:pPr>
        <w:pStyle w:val="a3"/>
        <w:spacing w:before="0" w:beforeAutospacing="0" w:after="0" w:afterAutospacing="0"/>
        <w:ind w:firstLine="720"/>
        <w:divId w:val="1407607700"/>
        <w:rPr>
          <w:sz w:val="20"/>
          <w:szCs w:val="20"/>
        </w:rPr>
      </w:pPr>
      <w:r>
        <w:rPr>
          <w:sz w:val="20"/>
          <w:szCs w:val="20"/>
        </w:rPr>
        <w:t>Following the US Food and Drug Administration (“FDA”) approval of YUPELRI in November 2018, net amounts payable to or receivable from Viatris each quarter under the profit-sharing structure are disaggregated according to their individual componen</w:t>
      </w:r>
      <w:r>
        <w:rPr>
          <w:sz w:val="20"/>
          <w:szCs w:val="20"/>
        </w:rPr>
        <w:t xml:space="preserve">ts. </w:t>
      </w:r>
      <w:r>
        <w:rPr>
          <w:sz w:val="20"/>
          <w:szCs w:val="20"/>
          <w:shd w:val="clear" w:color="auto" w:fill="FFFFFF"/>
        </w:rPr>
        <w:t>In accordance with the applicable accounting guidance, amounts receivable</w:t>
      </w:r>
      <w:r>
        <w:rPr>
          <w:sz w:val="20"/>
          <w:szCs w:val="20"/>
        </w:rPr>
        <w:t xml:space="preserve"> from Viatris in connection with the commercialization of YUPELRI are recorded within the condensed consolidated statements of operations as revenue from “Viatris collaboration ag</w:t>
      </w:r>
      <w:r>
        <w:rPr>
          <w:sz w:val="20"/>
          <w:szCs w:val="20"/>
        </w:rPr>
        <w:t>reement” irrespective of whether the overall collaboration is profitable. A</w:t>
      </w:r>
      <w:r>
        <w:rPr>
          <w:sz w:val="20"/>
          <w:szCs w:val="20"/>
          <w:shd w:val="clear" w:color="auto" w:fill="FFFFFF"/>
        </w:rPr>
        <w:t>mounts payable to Viatris, if any, in connection with the commercialization of YUPELRI are recorded within the condensed consolidated statements of operations as a collaboration los</w:t>
      </w:r>
      <w:r>
        <w:rPr>
          <w:sz w:val="20"/>
          <w:szCs w:val="20"/>
          <w:shd w:val="clear" w:color="auto" w:fill="FFFFFF"/>
        </w:rPr>
        <w:t xml:space="preserve">s within selling, general and administrative expenses. Any </w:t>
      </w:r>
    </w:p>
    <w:p w:rsidR="00000000" w:rsidRDefault="00E52F77">
      <w:pPr>
        <w:pStyle w:val="a3"/>
        <w:spacing w:before="360" w:beforeAutospacing="0" w:after="0" w:afterAutospacing="0"/>
        <w:jc w:val="center"/>
        <w:divId w:val="1063062795"/>
        <w:rPr>
          <w:sz w:val="20"/>
          <w:szCs w:val="20"/>
        </w:rPr>
      </w:pPr>
      <w:r>
        <w:rPr>
          <w:sz w:val="20"/>
          <w:szCs w:val="20"/>
        </w:rPr>
        <w:t>10</w:t>
      </w:r>
    </w:p>
    <w:p w:rsidR="00000000" w:rsidRDefault="00E52F77">
      <w:pPr>
        <w:pStyle w:val="a3"/>
        <w:spacing w:before="0" w:beforeAutospacing="0" w:after="600" w:afterAutospacing="0"/>
        <w:divId w:val="639305445"/>
        <w:rPr>
          <w:sz w:val="20"/>
          <w:szCs w:val="20"/>
        </w:rPr>
      </w:pPr>
      <w:hyperlink w:anchor="TOC" w:history="1">
        <w:r>
          <w:rPr>
            <w:rStyle w:val="a4"/>
            <w:sz w:val="20"/>
            <w:szCs w:val="20"/>
          </w:rPr>
          <w:t>Table of Contents</w:t>
        </w:r>
      </w:hyperlink>
    </w:p>
    <w:p w:rsidR="00000000" w:rsidRDefault="00E52F77">
      <w:pPr>
        <w:pStyle w:val="a3"/>
        <w:spacing w:before="0" w:beforeAutospacing="0" w:after="0" w:afterAutospacing="0"/>
        <w:divId w:val="590044422"/>
        <w:rPr>
          <w:sz w:val="20"/>
          <w:szCs w:val="20"/>
        </w:rPr>
      </w:pPr>
      <w:r>
        <w:rPr>
          <w:sz w:val="20"/>
          <w:szCs w:val="20"/>
          <w:shd w:val="clear" w:color="auto" w:fill="FFFFFF"/>
        </w:rPr>
        <w:t>reimbursement from Viatris attributed to the 65% cost-sharing of the Company’s R&amp;D expenses is characterized as a reduction of R&amp;D expense, as the Co</w:t>
      </w:r>
      <w:r>
        <w:rPr>
          <w:sz w:val="20"/>
          <w:szCs w:val="20"/>
          <w:shd w:val="clear" w:color="auto" w:fill="FFFFFF"/>
        </w:rPr>
        <w:t xml:space="preserve">mpany does not consider performing research and development services for reimbursement to be a part of its ordinary activities. </w:t>
      </w:r>
    </w:p>
    <w:p w:rsidR="00000000" w:rsidRDefault="00E52F77">
      <w:pPr>
        <w:pStyle w:val="a3"/>
        <w:spacing w:before="0" w:beforeAutospacing="0" w:after="0" w:afterAutospacing="0"/>
        <w:ind w:firstLine="720"/>
        <w:divId w:val="590044422"/>
        <w:rPr>
          <w:sz w:val="20"/>
          <w:szCs w:val="20"/>
        </w:rPr>
      </w:pPr>
      <w:r>
        <w:rPr>
          <w:sz w:val="20"/>
          <w:szCs w:val="20"/>
          <w:shd w:val="clear" w:color="auto" w:fill="FFFFFF"/>
        </w:rPr>
        <w:t>​</w:t>
      </w:r>
    </w:p>
    <w:p w:rsidR="00000000" w:rsidRDefault="00E52F77">
      <w:pPr>
        <w:pStyle w:val="a3"/>
        <w:spacing w:before="0" w:beforeAutospacing="0" w:after="0" w:afterAutospacing="0"/>
        <w:ind w:firstLine="720"/>
        <w:divId w:val="590044422"/>
        <w:rPr>
          <w:sz w:val="20"/>
          <w:szCs w:val="20"/>
        </w:rPr>
      </w:pPr>
      <w:r>
        <w:rPr>
          <w:sz w:val="20"/>
          <w:szCs w:val="20"/>
        </w:rPr>
        <w:t>The following YUPELRI-related amounts were recognized within revenue in the Company’s condensed consolidated statements of operations:</w:t>
      </w:r>
    </w:p>
    <w:p w:rsidR="00000000" w:rsidRDefault="00E52F77">
      <w:pPr>
        <w:pStyle w:val="a3"/>
        <w:spacing w:before="0" w:beforeAutospacing="0" w:after="0" w:afterAutospacing="0"/>
        <w:ind w:firstLine="720"/>
        <w:divId w:val="59004442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727"/>
        <w:gridCol w:w="142"/>
        <w:gridCol w:w="141"/>
        <w:gridCol w:w="620"/>
        <w:gridCol w:w="141"/>
        <w:gridCol w:w="141"/>
        <w:gridCol w:w="586"/>
        <w:gridCol w:w="142"/>
        <w:gridCol w:w="142"/>
        <w:gridCol w:w="620"/>
        <w:gridCol w:w="142"/>
        <w:gridCol w:w="142"/>
        <w:gridCol w:w="620"/>
      </w:tblGrid>
      <w:tr w:rsidR="00000000">
        <w:trPr>
          <w:divId w:val="590044422"/>
          <w:trHeight w:val="20"/>
        </w:trPr>
        <w:tc>
          <w:tcPr>
            <w:tcW w:w="2849" w:type="pct"/>
            <w:tcMar>
              <w:top w:w="0" w:type="dxa"/>
              <w:left w:w="0" w:type="dxa"/>
              <w:bottom w:w="0" w:type="dxa"/>
              <w:right w:w="0" w:type="dxa"/>
            </w:tcMar>
            <w:vAlign w:val="center"/>
            <w:hideMark/>
          </w:tcPr>
          <w:p w:rsidR="00000000" w:rsidRDefault="00E52F77">
            <w:pPr>
              <w:pStyle w:val="a3"/>
              <w:spacing w:before="0" w:beforeAutospacing="0" w:after="0" w:afterAutospacing="0"/>
              <w:divId w:val="365254020"/>
              <w:rPr>
                <w:sz w:val="20"/>
                <w:szCs w:val="20"/>
              </w:rPr>
            </w:pPr>
            <w:r>
              <w:rPr>
                <w:sz w:val="2"/>
                <w:szCs w:val="2"/>
              </w:rPr>
              <w:t>​</w:t>
            </w:r>
          </w:p>
        </w:tc>
        <w:tc>
          <w:tcPr>
            <w:tcW w:w="91" w:type="pct"/>
            <w:tcMar>
              <w:top w:w="0" w:type="dxa"/>
              <w:left w:w="0" w:type="dxa"/>
              <w:bottom w:w="0" w:type="dxa"/>
              <w:right w:w="0" w:type="dxa"/>
            </w:tcMar>
            <w:vAlign w:val="bottom"/>
            <w:hideMark/>
          </w:tcPr>
          <w:p w:rsidR="00000000" w:rsidRDefault="00E52F77">
            <w:pPr>
              <w:pStyle w:val="a3"/>
              <w:spacing w:before="0" w:beforeAutospacing="0" w:after="0" w:afterAutospacing="0"/>
              <w:divId w:val="514727627"/>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75516725"/>
              <w:rPr>
                <w:sz w:val="20"/>
                <w:szCs w:val="20"/>
              </w:rPr>
            </w:pPr>
            <w:r>
              <w:rPr>
                <w:sz w:val="2"/>
                <w:szCs w:val="2"/>
              </w:rPr>
              <w:t>​</w:t>
            </w:r>
          </w:p>
        </w:tc>
        <w:tc>
          <w:tcPr>
            <w:tcW w:w="356"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837616023"/>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257183307"/>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521042987"/>
              <w:rPr>
                <w:sz w:val="20"/>
                <w:szCs w:val="20"/>
              </w:rPr>
            </w:pPr>
            <w:r>
              <w:rPr>
                <w:sz w:val="2"/>
                <w:szCs w:val="2"/>
              </w:rPr>
              <w:t>​</w:t>
            </w:r>
          </w:p>
        </w:tc>
        <w:tc>
          <w:tcPr>
            <w:tcW w:w="356"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169980367"/>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906643066"/>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278537495"/>
              <w:rPr>
                <w:sz w:val="20"/>
                <w:szCs w:val="20"/>
              </w:rPr>
            </w:pPr>
            <w:r>
              <w:rPr>
                <w:sz w:val="2"/>
                <w:szCs w:val="2"/>
              </w:rPr>
              <w:t>​</w:t>
            </w:r>
          </w:p>
        </w:tc>
        <w:tc>
          <w:tcPr>
            <w:tcW w:w="356"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476215507"/>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740056938"/>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557326613"/>
              <w:rPr>
                <w:sz w:val="20"/>
                <w:szCs w:val="20"/>
              </w:rPr>
            </w:pPr>
            <w:r>
              <w:rPr>
                <w:sz w:val="2"/>
                <w:szCs w:val="2"/>
              </w:rPr>
              <w:t>​</w:t>
            </w:r>
          </w:p>
        </w:tc>
        <w:tc>
          <w:tcPr>
            <w:tcW w:w="355"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316343297"/>
              <w:rPr>
                <w:sz w:val="20"/>
                <w:szCs w:val="20"/>
              </w:rPr>
            </w:pPr>
            <w:r>
              <w:rPr>
                <w:sz w:val="2"/>
                <w:szCs w:val="2"/>
              </w:rPr>
              <w:t>​</w:t>
            </w:r>
          </w:p>
        </w:tc>
      </w:tr>
      <w:tr w:rsidR="00000000">
        <w:trPr>
          <w:divId w:val="590044422"/>
        </w:trPr>
        <w:tc>
          <w:tcPr>
            <w:tcW w:w="2849"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91"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984" w:type="pct"/>
            <w:gridSpan w:val="5"/>
            <w:tcBorders>
              <w:bottom w:val="single" w:sz="6" w:space="0" w:color="000000"/>
            </w:tcBorders>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Three Months Ended June 30, </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983" w:type="pct"/>
            <w:gridSpan w:val="5"/>
            <w:tcBorders>
              <w:bottom w:val="single" w:sz="6" w:space="0" w:color="000000"/>
            </w:tcBorders>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Six Months Ended June 30, </w:t>
            </w:r>
          </w:p>
        </w:tc>
      </w:tr>
      <w:tr w:rsidR="00000000">
        <w:trPr>
          <w:divId w:val="590044422"/>
        </w:trPr>
        <w:tc>
          <w:tcPr>
            <w:tcW w:w="2849" w:type="pct"/>
            <w:tcBorders>
              <w:bottom w:val="single" w:sz="6" w:space="0" w:color="000000"/>
            </w:tcBorders>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(In </w:t>
            </w:r>
            <w:r>
              <w:rPr>
                <w:b/>
                <w:bCs/>
                <w:sz w:val="16"/>
                <w:szCs w:val="16"/>
              </w:rPr>
              <w:t>thousands)</w:t>
            </w:r>
          </w:p>
        </w:tc>
        <w:tc>
          <w:tcPr>
            <w:tcW w:w="91"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2021</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2020</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2021</w:t>
            </w:r>
          </w:p>
        </w:tc>
        <w:tc>
          <w:tcPr>
            <w:tcW w:w="90"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16"/>
                <w:szCs w:val="16"/>
              </w:rPr>
              <w:t>​</w:t>
            </w:r>
          </w:p>
        </w:tc>
        <w:tc>
          <w:tcPr>
            <w:tcW w:w="445"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2020</w:t>
            </w:r>
          </w:p>
        </w:tc>
      </w:tr>
      <w:tr w:rsidR="00000000">
        <w:trPr>
          <w:divId w:val="590044422"/>
        </w:trPr>
        <w:tc>
          <w:tcPr>
            <w:tcW w:w="2849" w:type="pct"/>
            <w:shd w:val="clear" w:color="auto" w:fill="CCEEFF"/>
            <w:tcMar>
              <w:top w:w="0" w:type="dxa"/>
              <w:left w:w="0" w:type="dxa"/>
              <w:bottom w:w="0" w:type="dxa"/>
              <w:right w:w="0" w:type="dxa"/>
            </w:tcMar>
            <w:vAlign w:val="center"/>
            <w:hideMark/>
          </w:tcPr>
          <w:p w:rsidR="00000000" w:rsidRDefault="00E52F77">
            <w:pPr>
              <w:pStyle w:val="a3"/>
              <w:spacing w:before="0" w:beforeAutospacing="0" w:after="0" w:afterAutospacing="0"/>
              <w:rPr>
                <w:sz w:val="20"/>
                <w:szCs w:val="20"/>
              </w:rPr>
            </w:pPr>
            <w:r>
              <w:rPr>
                <w:sz w:val="20"/>
                <w:szCs w:val="20"/>
              </w:rPr>
              <w:t xml:space="preserve">Viatris collaboration agreement - </w:t>
            </w:r>
            <w:r>
              <w:rPr>
                <w:i/>
                <w:iCs/>
                <w:sz w:val="20"/>
                <w:szCs w:val="20"/>
              </w:rPr>
              <w:t>Amounts receivable from Viatris</w:t>
            </w:r>
          </w:p>
        </w:tc>
        <w:tc>
          <w:tcPr>
            <w:tcW w:w="91"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20"/>
                <w:szCs w:val="20"/>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10,934</w:t>
            </w:r>
          </w:p>
        </w:tc>
        <w:tc>
          <w:tcPr>
            <w:tcW w:w="9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9,520</w:t>
            </w:r>
          </w:p>
        </w:tc>
        <w:tc>
          <w:tcPr>
            <w:tcW w:w="9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21,319</w:t>
            </w:r>
          </w:p>
        </w:tc>
        <w:tc>
          <w:tcPr>
            <w:tcW w:w="9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21,250</w:t>
            </w:r>
          </w:p>
        </w:tc>
      </w:tr>
    </w:tbl>
    <w:p w:rsidR="00000000" w:rsidRDefault="00E52F77">
      <w:pPr>
        <w:pStyle w:val="a3"/>
        <w:spacing w:before="0" w:beforeAutospacing="0" w:after="0" w:afterAutospacing="0"/>
        <w:divId w:val="590044422"/>
        <w:rPr>
          <w:sz w:val="20"/>
          <w:szCs w:val="20"/>
        </w:rPr>
      </w:pPr>
      <w:r>
        <w:rPr>
          <w:color w:val="FF0000"/>
          <w:sz w:val="20"/>
          <w:szCs w:val="20"/>
        </w:rPr>
        <w:t>​</w:t>
      </w:r>
    </w:p>
    <w:p w:rsidR="00000000" w:rsidRDefault="00E52F77">
      <w:pPr>
        <w:pStyle w:val="a3"/>
        <w:spacing w:before="0" w:beforeAutospacing="0" w:after="0" w:afterAutospacing="0"/>
        <w:divId w:val="590044422"/>
        <w:rPr>
          <w:sz w:val="20"/>
          <w:szCs w:val="20"/>
        </w:rPr>
      </w:pPr>
      <w:r>
        <w:rPr>
          <w:sz w:val="20"/>
          <w:szCs w:val="20"/>
        </w:rPr>
        <w:t xml:space="preserve">While Viatris records the total net sales of YUPELRI within its consolidated financial statements, Viatris collaboration agreement revenue includes the Company’s implied 35% share of net sales of YUPELRI for the three and six months ended June 30, 2021 of </w:t>
      </w:r>
      <w:r>
        <w:rPr>
          <w:sz w:val="20"/>
          <w:szCs w:val="20"/>
        </w:rPr>
        <w:t>$14.6 million and $27.5 million, respectively, before deducting shared expenses.</w:t>
      </w:r>
    </w:p>
    <w:p w:rsidR="00000000" w:rsidRDefault="00E52F77">
      <w:pPr>
        <w:pStyle w:val="a3"/>
        <w:spacing w:before="0" w:beforeAutospacing="0" w:after="0" w:afterAutospacing="0"/>
        <w:divId w:val="590044422"/>
        <w:rPr>
          <w:sz w:val="20"/>
          <w:szCs w:val="20"/>
        </w:rPr>
      </w:pPr>
      <w:r>
        <w:rPr>
          <w:sz w:val="20"/>
          <w:szCs w:val="20"/>
        </w:rPr>
        <w:t>For the three and six months ended June 30, 2020, the Company’s implied 35% share of net sales of YUPELRI was $10.6 million and $23.5 million, respectively, before deducting s</w:t>
      </w:r>
      <w:r>
        <w:rPr>
          <w:sz w:val="20"/>
          <w:szCs w:val="20"/>
        </w:rPr>
        <w:t>hared expenses.</w:t>
      </w:r>
    </w:p>
    <w:p w:rsidR="00000000" w:rsidRDefault="00E52F77">
      <w:pPr>
        <w:pStyle w:val="a3"/>
        <w:spacing w:before="0" w:beforeAutospacing="0" w:after="0" w:afterAutospacing="0"/>
        <w:divId w:val="590044422"/>
        <w:rPr>
          <w:sz w:val="20"/>
          <w:szCs w:val="20"/>
        </w:rPr>
      </w:pPr>
      <w:r>
        <w:rPr>
          <w:color w:val="FF0000"/>
          <w:sz w:val="20"/>
          <w:szCs w:val="20"/>
        </w:rPr>
        <w:t>​</w:t>
      </w:r>
    </w:p>
    <w:p w:rsidR="00000000" w:rsidRDefault="00E52F77">
      <w:pPr>
        <w:pStyle w:val="a3"/>
        <w:spacing w:before="0" w:beforeAutospacing="0" w:after="0" w:afterAutospacing="0"/>
        <w:divId w:val="590044422"/>
        <w:rPr>
          <w:sz w:val="20"/>
          <w:szCs w:val="20"/>
        </w:rPr>
      </w:pPr>
      <w:r>
        <w:rPr>
          <w:b/>
          <w:bCs/>
          <w:i/>
          <w:iCs/>
          <w:sz w:val="20"/>
          <w:szCs w:val="20"/>
        </w:rPr>
        <w:t>Reimbursement of R&amp;D Expense</w:t>
      </w:r>
    </w:p>
    <w:p w:rsidR="00000000" w:rsidRDefault="00E52F77">
      <w:pPr>
        <w:pStyle w:val="a3"/>
        <w:spacing w:before="0" w:beforeAutospacing="0" w:after="0" w:afterAutospacing="0"/>
        <w:divId w:val="590044422"/>
        <w:rPr>
          <w:sz w:val="20"/>
          <w:szCs w:val="20"/>
        </w:rPr>
      </w:pPr>
      <w:r>
        <w:rPr>
          <w:sz w:val="10"/>
          <w:szCs w:val="10"/>
        </w:rPr>
        <w:t>​</w:t>
      </w:r>
    </w:p>
    <w:p w:rsidR="00000000" w:rsidRDefault="00E52F77">
      <w:pPr>
        <w:pStyle w:val="a3"/>
        <w:spacing w:before="0" w:beforeAutospacing="0" w:after="0" w:afterAutospacing="0"/>
        <w:ind w:firstLine="720"/>
        <w:divId w:val="590044422"/>
        <w:rPr>
          <w:sz w:val="20"/>
          <w:szCs w:val="20"/>
        </w:rPr>
      </w:pPr>
      <w:r>
        <w:rPr>
          <w:sz w:val="20"/>
          <w:szCs w:val="20"/>
        </w:rPr>
        <w:t>As noted above, under certain collaborative arrangements the Company is entitled to reimbursement of certain R&amp;D expenses. Activities under collaborative arrangements for which the Company is entitled to rei</w:t>
      </w:r>
      <w:r>
        <w:rPr>
          <w:sz w:val="20"/>
          <w:szCs w:val="20"/>
        </w:rPr>
        <w:t>mbursement are considered to be collaborative activities under the scope of ASC 808. For these units of account, the Company does not analogize to ASC 606 or recognize revenue. The Company records reimbursement payments received from its collaboration part</w:t>
      </w:r>
      <w:r>
        <w:rPr>
          <w:sz w:val="20"/>
          <w:szCs w:val="20"/>
        </w:rPr>
        <w:t>ners as reductions to R&amp;D expense.</w:t>
      </w:r>
    </w:p>
    <w:p w:rsidR="00000000" w:rsidRDefault="00E52F77">
      <w:pPr>
        <w:pStyle w:val="a3"/>
        <w:spacing w:before="0" w:beforeAutospacing="0" w:after="0" w:afterAutospacing="0"/>
        <w:divId w:val="590044422"/>
        <w:rPr>
          <w:sz w:val="20"/>
          <w:szCs w:val="20"/>
        </w:rPr>
      </w:pPr>
      <w:r>
        <w:rPr>
          <w:sz w:val="20"/>
          <w:szCs w:val="20"/>
        </w:rPr>
        <w:t>​</w:t>
      </w:r>
    </w:p>
    <w:p w:rsidR="00000000" w:rsidRDefault="00E52F77">
      <w:pPr>
        <w:pStyle w:val="a3"/>
        <w:spacing w:before="0" w:beforeAutospacing="0" w:after="0" w:afterAutospacing="0"/>
        <w:ind w:firstLine="720"/>
        <w:divId w:val="590044422"/>
        <w:rPr>
          <w:sz w:val="20"/>
          <w:szCs w:val="20"/>
        </w:rPr>
      </w:pPr>
      <w:r>
        <w:rPr>
          <w:sz w:val="20"/>
          <w:szCs w:val="20"/>
        </w:rPr>
        <w:t>The following table summarizes the reductions to R&amp;D expense related to the reimbursement payments:</w:t>
      </w:r>
    </w:p>
    <w:p w:rsidR="00000000" w:rsidRDefault="00E52F77">
      <w:pPr>
        <w:pStyle w:val="a3"/>
        <w:spacing w:before="0" w:beforeAutospacing="0" w:after="0" w:afterAutospacing="0"/>
        <w:ind w:firstLine="720"/>
        <w:divId w:val="590044422"/>
        <w:rPr>
          <w:sz w:val="20"/>
          <w:szCs w:val="20"/>
        </w:rPr>
      </w:pPr>
      <w:r>
        <w:rPr>
          <w:sz w:val="20"/>
          <w:szCs w:val="20"/>
        </w:rPr>
        <w:t>​</w:t>
      </w:r>
    </w:p>
    <w:p w:rsidR="00000000" w:rsidRDefault="00E52F77">
      <w:pPr>
        <w:pStyle w:val="a3"/>
        <w:spacing w:before="0" w:beforeAutospacing="0" w:after="0" w:afterAutospacing="0"/>
        <w:ind w:firstLine="720"/>
        <w:divId w:val="590044422"/>
        <w:rPr>
          <w:sz w:val="20"/>
          <w:szCs w:val="20"/>
        </w:rPr>
      </w:pPr>
      <w:r>
        <w:rPr>
          <w:sz w:val="2"/>
          <w:szCs w:val="2"/>
        </w:rPr>
        <w:t>​</w:t>
      </w:r>
    </w:p>
    <w:tbl>
      <w:tblPr>
        <w:tblW w:w="5088" w:type="pct"/>
        <w:tblCellMar>
          <w:top w:w="15" w:type="dxa"/>
          <w:left w:w="0" w:type="dxa"/>
          <w:bottom w:w="15" w:type="dxa"/>
          <w:right w:w="0" w:type="dxa"/>
        </w:tblCellMar>
        <w:tblLook w:val="04A0" w:firstRow="1" w:lastRow="0" w:firstColumn="1" w:lastColumn="0" w:noHBand="0" w:noVBand="1"/>
      </w:tblPr>
      <w:tblGrid>
        <w:gridCol w:w="4772"/>
        <w:gridCol w:w="160"/>
        <w:gridCol w:w="110"/>
        <w:gridCol w:w="557"/>
        <w:gridCol w:w="160"/>
        <w:gridCol w:w="111"/>
        <w:gridCol w:w="559"/>
        <w:gridCol w:w="111"/>
        <w:gridCol w:w="177"/>
        <w:gridCol w:w="690"/>
        <w:gridCol w:w="177"/>
        <w:gridCol w:w="177"/>
        <w:gridCol w:w="691"/>
      </w:tblGrid>
      <w:tr w:rsidR="00000000">
        <w:trPr>
          <w:divId w:val="590044422"/>
          <w:trHeight w:val="20"/>
        </w:trPr>
        <w:tc>
          <w:tcPr>
            <w:tcW w:w="2848" w:type="pct"/>
            <w:tcMar>
              <w:top w:w="0" w:type="dxa"/>
              <w:left w:w="0" w:type="dxa"/>
              <w:bottom w:w="0" w:type="dxa"/>
              <w:right w:w="0" w:type="dxa"/>
            </w:tcMar>
            <w:vAlign w:val="bottom"/>
            <w:hideMark/>
          </w:tcPr>
          <w:p w:rsidR="00000000" w:rsidRDefault="00E52F77">
            <w:pPr>
              <w:pStyle w:val="a3"/>
              <w:spacing w:before="0" w:beforeAutospacing="0" w:after="0" w:afterAutospacing="0"/>
              <w:divId w:val="2095322373"/>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782534293"/>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529492364"/>
              <w:rPr>
                <w:sz w:val="20"/>
                <w:szCs w:val="20"/>
              </w:rPr>
            </w:pPr>
            <w:r>
              <w:rPr>
                <w:sz w:val="2"/>
                <w:szCs w:val="2"/>
              </w:rPr>
              <w:t>​</w:t>
            </w:r>
          </w:p>
        </w:tc>
        <w:tc>
          <w:tcPr>
            <w:tcW w:w="355" w:type="pct"/>
            <w:noWrap/>
            <w:tcMar>
              <w:top w:w="0" w:type="dxa"/>
              <w:left w:w="0" w:type="dxa"/>
              <w:bottom w:w="0" w:type="dxa"/>
              <w:right w:w="0" w:type="dxa"/>
            </w:tcMar>
            <w:vAlign w:val="center"/>
            <w:hideMark/>
          </w:tcPr>
          <w:p w:rsidR="00000000" w:rsidRDefault="00E52F77">
            <w:pPr>
              <w:pStyle w:val="a3"/>
              <w:spacing w:before="0" w:beforeAutospacing="0" w:after="0" w:afterAutospacing="0"/>
              <w:divId w:val="1749380245"/>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588545427"/>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816998319"/>
              <w:rPr>
                <w:sz w:val="20"/>
                <w:szCs w:val="20"/>
              </w:rPr>
            </w:pPr>
            <w:r>
              <w:rPr>
                <w:sz w:val="2"/>
                <w:szCs w:val="2"/>
              </w:rPr>
              <w:t>​</w:t>
            </w:r>
          </w:p>
        </w:tc>
        <w:tc>
          <w:tcPr>
            <w:tcW w:w="355" w:type="pct"/>
            <w:noWrap/>
            <w:tcMar>
              <w:top w:w="0" w:type="dxa"/>
              <w:left w:w="0" w:type="dxa"/>
              <w:bottom w:w="0" w:type="dxa"/>
              <w:right w:w="0" w:type="dxa"/>
            </w:tcMar>
            <w:vAlign w:val="center"/>
            <w:hideMark/>
          </w:tcPr>
          <w:p w:rsidR="00000000" w:rsidRDefault="00E52F77">
            <w:pPr>
              <w:pStyle w:val="a3"/>
              <w:spacing w:before="0" w:beforeAutospacing="0" w:after="0" w:afterAutospacing="0"/>
              <w:divId w:val="1851794093"/>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957489150"/>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757050085"/>
              <w:rPr>
                <w:sz w:val="20"/>
                <w:szCs w:val="20"/>
              </w:rPr>
            </w:pPr>
            <w:r>
              <w:rPr>
                <w:sz w:val="2"/>
                <w:szCs w:val="2"/>
              </w:rPr>
              <w:t>​</w:t>
            </w:r>
          </w:p>
        </w:tc>
        <w:tc>
          <w:tcPr>
            <w:tcW w:w="355" w:type="pct"/>
            <w:noWrap/>
            <w:tcMar>
              <w:top w:w="0" w:type="dxa"/>
              <w:left w:w="0" w:type="dxa"/>
              <w:bottom w:w="0" w:type="dxa"/>
              <w:right w:w="0" w:type="dxa"/>
            </w:tcMar>
            <w:vAlign w:val="center"/>
            <w:hideMark/>
          </w:tcPr>
          <w:p w:rsidR="00000000" w:rsidRDefault="00E52F77">
            <w:pPr>
              <w:pStyle w:val="a3"/>
              <w:spacing w:before="0" w:beforeAutospacing="0" w:after="0" w:afterAutospacing="0"/>
              <w:divId w:val="1074357381"/>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570385596"/>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307782065"/>
              <w:rPr>
                <w:sz w:val="20"/>
                <w:szCs w:val="20"/>
              </w:rPr>
            </w:pPr>
            <w:r>
              <w:rPr>
                <w:sz w:val="2"/>
                <w:szCs w:val="2"/>
              </w:rPr>
              <w:t>​</w:t>
            </w:r>
          </w:p>
        </w:tc>
        <w:tc>
          <w:tcPr>
            <w:tcW w:w="354" w:type="pct"/>
            <w:noWrap/>
            <w:tcMar>
              <w:top w:w="0" w:type="dxa"/>
              <w:left w:w="0" w:type="dxa"/>
              <w:bottom w:w="0" w:type="dxa"/>
              <w:right w:w="0" w:type="dxa"/>
            </w:tcMar>
            <w:vAlign w:val="center"/>
            <w:hideMark/>
          </w:tcPr>
          <w:p w:rsidR="00000000" w:rsidRDefault="00E52F77">
            <w:pPr>
              <w:pStyle w:val="a3"/>
              <w:spacing w:before="0" w:beforeAutospacing="0" w:after="0" w:afterAutospacing="0"/>
              <w:divId w:val="1747998620"/>
              <w:rPr>
                <w:sz w:val="20"/>
                <w:szCs w:val="20"/>
              </w:rPr>
            </w:pPr>
            <w:r>
              <w:rPr>
                <w:sz w:val="2"/>
                <w:szCs w:val="2"/>
              </w:rPr>
              <w:t>​</w:t>
            </w:r>
          </w:p>
        </w:tc>
      </w:tr>
      <w:tr w:rsidR="00000000">
        <w:trPr>
          <w:divId w:val="590044422"/>
        </w:trPr>
        <w:tc>
          <w:tcPr>
            <w:tcW w:w="2848"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984" w:type="pct"/>
            <w:gridSpan w:val="5"/>
            <w:tcBorders>
              <w:bottom w:val="single" w:sz="6" w:space="0" w:color="000000"/>
            </w:tcBorders>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Three Months Ended June 30, </w:t>
            </w:r>
          </w:p>
        </w:tc>
        <w:tc>
          <w:tcPr>
            <w:tcW w:w="91"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984" w:type="pct"/>
            <w:gridSpan w:val="5"/>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Six Months Ended June 30, </w:t>
            </w:r>
          </w:p>
        </w:tc>
      </w:tr>
      <w:tr w:rsidR="00000000">
        <w:trPr>
          <w:divId w:val="590044422"/>
        </w:trPr>
        <w:tc>
          <w:tcPr>
            <w:tcW w:w="2848" w:type="pct"/>
            <w:tcBorders>
              <w:bottom w:val="single" w:sz="6" w:space="0" w:color="000000"/>
            </w:tcBorders>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(In </w:t>
            </w:r>
            <w:r>
              <w:rPr>
                <w:b/>
                <w:bCs/>
                <w:sz w:val="16"/>
                <w:szCs w:val="16"/>
              </w:rPr>
              <w:t>thousands)</w:t>
            </w:r>
          </w:p>
        </w:tc>
        <w:tc>
          <w:tcPr>
            <w:tcW w:w="91"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2021</w:t>
            </w:r>
          </w:p>
        </w:tc>
        <w:tc>
          <w:tcPr>
            <w:tcW w:w="91"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2020</w:t>
            </w:r>
          </w:p>
        </w:tc>
        <w:tc>
          <w:tcPr>
            <w:tcW w:w="91"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2021</w:t>
            </w:r>
          </w:p>
        </w:tc>
        <w:tc>
          <w:tcPr>
            <w:tcW w:w="91"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445"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2020</w:t>
            </w:r>
          </w:p>
        </w:tc>
      </w:tr>
      <w:tr w:rsidR="00000000">
        <w:trPr>
          <w:divId w:val="590044422"/>
        </w:trPr>
        <w:tc>
          <w:tcPr>
            <w:tcW w:w="2848"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Janssen</w:t>
            </w:r>
          </w:p>
        </w:tc>
        <w:tc>
          <w:tcPr>
            <w:tcW w:w="91"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55"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1,193</w:t>
            </w:r>
          </w:p>
        </w:tc>
        <w:tc>
          <w:tcPr>
            <w:tcW w:w="91"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55"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1,563</w:t>
            </w:r>
          </w:p>
        </w:tc>
        <w:tc>
          <w:tcPr>
            <w:tcW w:w="91"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55"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2,525</w:t>
            </w:r>
          </w:p>
        </w:tc>
        <w:tc>
          <w:tcPr>
            <w:tcW w:w="91"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54"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2,770</w:t>
            </w:r>
          </w:p>
        </w:tc>
      </w:tr>
      <w:tr w:rsidR="00000000">
        <w:trPr>
          <w:divId w:val="590044422"/>
        </w:trPr>
        <w:tc>
          <w:tcPr>
            <w:tcW w:w="2848"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Viatris</w:t>
            </w:r>
          </w:p>
        </w:tc>
        <w:tc>
          <w:tcPr>
            <w:tcW w:w="91"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20"/>
                <w:szCs w:val="20"/>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55" w:type="pct"/>
            <w:tcBorders>
              <w:bottom w:val="single" w:sz="6" w:space="0" w:color="000000"/>
            </w:tcBorders>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67</w:t>
            </w:r>
          </w:p>
        </w:tc>
        <w:tc>
          <w:tcPr>
            <w:tcW w:w="91"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20"/>
                <w:szCs w:val="20"/>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55" w:type="pct"/>
            <w:tcBorders>
              <w:bottom w:val="single" w:sz="6" w:space="0" w:color="000000"/>
            </w:tcBorders>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351</w:t>
            </w:r>
          </w:p>
        </w:tc>
        <w:tc>
          <w:tcPr>
            <w:tcW w:w="91"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20"/>
                <w:szCs w:val="20"/>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55" w:type="pct"/>
            <w:tcBorders>
              <w:bottom w:val="single" w:sz="6" w:space="0" w:color="000000"/>
            </w:tcBorders>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161</w:t>
            </w:r>
          </w:p>
        </w:tc>
        <w:tc>
          <w:tcPr>
            <w:tcW w:w="91"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20"/>
                <w:szCs w:val="20"/>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54" w:type="pct"/>
            <w:tcBorders>
              <w:bottom w:val="single" w:sz="6" w:space="0" w:color="000000"/>
            </w:tcBorders>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1,622</w:t>
            </w:r>
          </w:p>
        </w:tc>
      </w:tr>
      <w:tr w:rsidR="00000000">
        <w:trPr>
          <w:divId w:val="590044422"/>
        </w:trPr>
        <w:tc>
          <w:tcPr>
            <w:tcW w:w="2848"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left="240"/>
              <w:rPr>
                <w:sz w:val="20"/>
                <w:szCs w:val="20"/>
              </w:rPr>
            </w:pPr>
            <w:r>
              <w:rPr>
                <w:sz w:val="20"/>
                <w:szCs w:val="20"/>
              </w:rPr>
              <w:t>Total reduction to R&amp;D expense, net</w:t>
            </w:r>
          </w:p>
        </w:tc>
        <w:tc>
          <w:tcPr>
            <w:tcW w:w="91"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55"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1,260</w:t>
            </w:r>
          </w:p>
        </w:tc>
        <w:tc>
          <w:tcPr>
            <w:tcW w:w="91"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55"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1,914</w:t>
            </w:r>
          </w:p>
        </w:tc>
        <w:tc>
          <w:tcPr>
            <w:tcW w:w="91"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55"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2,686</w:t>
            </w:r>
          </w:p>
        </w:tc>
        <w:tc>
          <w:tcPr>
            <w:tcW w:w="91"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54"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4,392</w:t>
            </w:r>
          </w:p>
        </w:tc>
      </w:tr>
    </w:tbl>
    <w:p w:rsidR="00000000" w:rsidRDefault="00E52F77">
      <w:pPr>
        <w:pStyle w:val="a3"/>
        <w:spacing w:before="0" w:beforeAutospacing="0" w:after="0" w:afterAutospacing="0"/>
        <w:divId w:val="590044422"/>
        <w:rPr>
          <w:sz w:val="20"/>
          <w:szCs w:val="20"/>
        </w:rPr>
      </w:pPr>
      <w:r>
        <w:rPr>
          <w:sz w:val="20"/>
          <w:szCs w:val="20"/>
        </w:rPr>
        <w:t>​</w:t>
      </w:r>
    </w:p>
    <w:p w:rsidR="00000000" w:rsidRDefault="00E52F77">
      <w:pPr>
        <w:pStyle w:val="a3"/>
        <w:spacing w:before="0" w:beforeAutospacing="0" w:after="0" w:afterAutospacing="0"/>
        <w:divId w:val="590044422"/>
        <w:rPr>
          <w:sz w:val="20"/>
          <w:szCs w:val="20"/>
        </w:rPr>
      </w:pPr>
      <w:r>
        <w:rPr>
          <w:b/>
          <w:bCs/>
          <w:i/>
          <w:iCs/>
          <w:sz w:val="20"/>
          <w:szCs w:val="20"/>
        </w:rPr>
        <w:t>Revenue from Licensing Arrangements</w:t>
      </w:r>
    </w:p>
    <w:p w:rsidR="00000000" w:rsidRDefault="00E52F77">
      <w:pPr>
        <w:pStyle w:val="a3"/>
        <w:spacing w:before="0" w:beforeAutospacing="0" w:after="0" w:afterAutospacing="0"/>
        <w:divId w:val="590044422"/>
        <w:rPr>
          <w:sz w:val="20"/>
          <w:szCs w:val="20"/>
        </w:rPr>
      </w:pPr>
      <w:r>
        <w:rPr>
          <w:b/>
          <w:bCs/>
          <w:i/>
          <w:iCs/>
          <w:sz w:val="20"/>
          <w:szCs w:val="20"/>
        </w:rPr>
        <w:t>​</w:t>
      </w:r>
    </w:p>
    <w:p w:rsidR="00000000" w:rsidRDefault="00E52F77">
      <w:pPr>
        <w:pStyle w:val="a3"/>
        <w:shd w:val="clear" w:color="auto" w:fill="FFFFFF"/>
        <w:spacing w:before="0" w:beforeAutospacing="0" w:after="120" w:afterAutospacing="0"/>
        <w:divId w:val="590044422"/>
        <w:rPr>
          <w:sz w:val="20"/>
          <w:szCs w:val="20"/>
        </w:rPr>
      </w:pPr>
      <w:r>
        <w:rPr>
          <w:b/>
          <w:bCs/>
          <w:i/>
          <w:iCs/>
          <w:sz w:val="20"/>
          <w:szCs w:val="20"/>
        </w:rPr>
        <w:t>Viatris</w:t>
      </w:r>
    </w:p>
    <w:p w:rsidR="00000000" w:rsidRDefault="00E52F77">
      <w:pPr>
        <w:pStyle w:val="a3"/>
        <w:spacing w:before="0" w:beforeAutospacing="0" w:after="0" w:afterAutospacing="0"/>
        <w:ind w:firstLine="720"/>
        <w:divId w:val="590044422"/>
        <w:rPr>
          <w:sz w:val="20"/>
          <w:szCs w:val="20"/>
        </w:rPr>
      </w:pPr>
      <w:r>
        <w:rPr>
          <w:sz w:val="20"/>
          <w:szCs w:val="20"/>
          <w:shd w:val="clear" w:color="auto" w:fill="FFFFFF"/>
        </w:rPr>
        <w:t>In June 2019, the Company announced the expansion of the Viatris Agreement (the “Viatris Amendment”) to grant Viatris exclusive development and commercialization rights to nebulized revefenacin in China and adj</w:t>
      </w:r>
      <w:r>
        <w:rPr>
          <w:sz w:val="20"/>
          <w:szCs w:val="20"/>
          <w:shd w:val="clear" w:color="auto" w:fill="FFFFFF"/>
        </w:rPr>
        <w:t>acent territories. In exchange, the Company received an upfront payment of $18.5 million (before a required tax withholding) and will be eligible to receive potential development and sales milestones totaling $54.0 million and low double-digit tiered royal</w:t>
      </w:r>
      <w:r>
        <w:rPr>
          <w:sz w:val="20"/>
          <w:szCs w:val="20"/>
          <w:shd w:val="clear" w:color="auto" w:fill="FFFFFF"/>
        </w:rPr>
        <w:t xml:space="preserve">ties on net sales of nebulized revefenacin, if approved. Of the $54.0 million in potential milestones, $9.0 million is associated with the development of </w:t>
      </w:r>
      <w:r>
        <w:rPr>
          <w:sz w:val="20"/>
          <w:szCs w:val="20"/>
        </w:rPr>
        <w:t>YUPELRI monotherapy, $7.5 million associated with the development of future potential combination prod</w:t>
      </w:r>
      <w:r>
        <w:rPr>
          <w:sz w:val="20"/>
          <w:szCs w:val="20"/>
        </w:rPr>
        <w:t xml:space="preserve">ucts, and </w:t>
      </w:r>
      <w:r>
        <w:rPr>
          <w:sz w:val="20"/>
          <w:szCs w:val="20"/>
          <w:shd w:val="clear" w:color="auto" w:fill="FFFFFF"/>
        </w:rPr>
        <w:t xml:space="preserve">$37.5 million is associated with sales milestones. Viatris is responsible for all aspects of development and commercialization in the partnered regions, including pre- and post-launch activities and product registration and all associated costs. </w:t>
      </w:r>
    </w:p>
    <w:p w:rsidR="00000000" w:rsidRDefault="00E52F77">
      <w:pPr>
        <w:pStyle w:val="a3"/>
        <w:spacing w:before="0" w:beforeAutospacing="0" w:after="0" w:afterAutospacing="0"/>
        <w:divId w:val="590044422"/>
        <w:rPr>
          <w:sz w:val="20"/>
          <w:szCs w:val="20"/>
        </w:rPr>
      </w:pPr>
      <w:r>
        <w:rPr>
          <w:sz w:val="20"/>
          <w:szCs w:val="20"/>
        </w:rPr>
        <w:t>​</w:t>
      </w:r>
    </w:p>
    <w:p w:rsidR="00000000" w:rsidRDefault="00E52F77">
      <w:pPr>
        <w:pStyle w:val="a3"/>
        <w:spacing w:before="0" w:beforeAutospacing="0" w:after="0" w:afterAutospacing="0"/>
        <w:ind w:firstLine="720"/>
        <w:divId w:val="590044422"/>
        <w:rPr>
          <w:sz w:val="20"/>
          <w:szCs w:val="20"/>
        </w:rPr>
      </w:pPr>
      <w:r>
        <w:rPr>
          <w:sz w:val="20"/>
          <w:szCs w:val="20"/>
          <w:shd w:val="clear" w:color="auto" w:fill="FFFFFF"/>
        </w:rPr>
        <w:t>The Viatris Amendment is accounted for under ASC 606 as a separate contract from the original Viatris Agreement that was entered into in January 2015. The Company identified a</w:t>
      </w:r>
      <w:r>
        <w:rPr>
          <w:sz w:val="20"/>
          <w:szCs w:val="20"/>
        </w:rPr>
        <w:t xml:space="preserve"> single performance obligation comprising of the delivery of the license to de</w:t>
      </w:r>
      <w:r>
        <w:rPr>
          <w:sz w:val="20"/>
          <w:szCs w:val="20"/>
        </w:rPr>
        <w:t>velop and commercialize revefenacin in China and adjacent territories. The transaction price was determined to be the upfront payment of $18.5 million</w:t>
      </w:r>
      <w:r>
        <w:rPr>
          <w:sz w:val="20"/>
          <w:szCs w:val="20"/>
          <w:shd w:val="clear" w:color="auto" w:fill="FFFFFF"/>
        </w:rPr>
        <w:t xml:space="preserve"> </w:t>
      </w:r>
      <w:r>
        <w:rPr>
          <w:sz w:val="20"/>
          <w:szCs w:val="20"/>
        </w:rPr>
        <w:t xml:space="preserve">which the Company recognized as licensing revenue following the completion of the performance obligation </w:t>
      </w:r>
      <w:r>
        <w:rPr>
          <w:sz w:val="20"/>
          <w:szCs w:val="20"/>
        </w:rPr>
        <w:t xml:space="preserve">in June 2019. </w:t>
      </w:r>
    </w:p>
    <w:p w:rsidR="00000000" w:rsidRDefault="00E52F77">
      <w:pPr>
        <w:pStyle w:val="a3"/>
        <w:spacing w:before="0" w:beforeAutospacing="0" w:after="0" w:afterAutospacing="0"/>
        <w:ind w:firstLine="720"/>
        <w:divId w:val="590044422"/>
        <w:rPr>
          <w:sz w:val="20"/>
          <w:szCs w:val="20"/>
        </w:rPr>
      </w:pPr>
      <w:r>
        <w:rPr>
          <w:sz w:val="20"/>
          <w:szCs w:val="20"/>
        </w:rPr>
        <w:t>​</w:t>
      </w:r>
    </w:p>
    <w:p w:rsidR="00000000" w:rsidRDefault="00E52F77">
      <w:pPr>
        <w:pStyle w:val="a3"/>
        <w:spacing w:before="360" w:beforeAutospacing="0" w:after="0" w:afterAutospacing="0"/>
        <w:jc w:val="center"/>
        <w:divId w:val="1076628038"/>
        <w:rPr>
          <w:sz w:val="20"/>
          <w:szCs w:val="20"/>
        </w:rPr>
      </w:pPr>
      <w:r>
        <w:rPr>
          <w:sz w:val="20"/>
          <w:szCs w:val="20"/>
        </w:rPr>
        <w:t>11</w:t>
      </w:r>
    </w:p>
    <w:p w:rsidR="00000000" w:rsidRDefault="00E52F77">
      <w:pPr>
        <w:pStyle w:val="a3"/>
        <w:spacing w:before="0" w:beforeAutospacing="0" w:after="600" w:afterAutospacing="0"/>
        <w:divId w:val="28992899"/>
        <w:rPr>
          <w:sz w:val="20"/>
          <w:szCs w:val="20"/>
        </w:rPr>
      </w:pPr>
      <w:hyperlink w:anchor="TOC" w:history="1">
        <w:r>
          <w:rPr>
            <w:rStyle w:val="a4"/>
            <w:sz w:val="20"/>
            <w:szCs w:val="20"/>
          </w:rPr>
          <w:t>Table of Contents</w:t>
        </w:r>
      </w:hyperlink>
    </w:p>
    <w:p w:rsidR="00000000" w:rsidRDefault="00E52F77">
      <w:pPr>
        <w:pStyle w:val="a3"/>
        <w:spacing w:before="0" w:beforeAutospacing="0" w:after="0" w:afterAutospacing="0"/>
        <w:ind w:firstLine="720"/>
        <w:divId w:val="1915507362"/>
        <w:rPr>
          <w:sz w:val="20"/>
          <w:szCs w:val="20"/>
        </w:rPr>
      </w:pPr>
      <w:r>
        <w:rPr>
          <w:sz w:val="20"/>
          <w:szCs w:val="20"/>
        </w:rPr>
        <w:t>The future potential milestone amounts for</w:t>
      </w:r>
      <w:r>
        <w:rPr>
          <w:color w:val="FF0000"/>
          <w:sz w:val="20"/>
          <w:szCs w:val="20"/>
        </w:rPr>
        <w:t xml:space="preserve"> </w:t>
      </w:r>
      <w:r>
        <w:rPr>
          <w:sz w:val="20"/>
          <w:szCs w:val="20"/>
        </w:rPr>
        <w:t>the Viatris Amendment were not included in the transaction price, as they were all determined to be fully constrained following the concepts of ASC 606. As part of the Company’s evaluation of the development milestones constraint, the Company determined th</w:t>
      </w:r>
      <w:r>
        <w:rPr>
          <w:sz w:val="20"/>
          <w:szCs w:val="20"/>
        </w:rPr>
        <w:t>at the achievement of such milestones is contingent upon success in future clinical trials and regulatory approvals which are not within its control and uncertain at this stage. The Company expects that the sales-based milestone payments and royalty arrang</w:t>
      </w:r>
      <w:r>
        <w:rPr>
          <w:sz w:val="20"/>
          <w:szCs w:val="20"/>
        </w:rPr>
        <w:t xml:space="preserve">ements will be recognized when the sales occur or the milestone is achieved. The Company will re-evaluate the transaction price each quarter and as uncertain events are resolved or other changes in circumstances occur. </w:t>
      </w:r>
    </w:p>
    <w:p w:rsidR="00000000" w:rsidRDefault="00E52F77">
      <w:pPr>
        <w:pStyle w:val="a3"/>
        <w:spacing w:before="0" w:beforeAutospacing="0" w:after="0" w:afterAutospacing="0"/>
        <w:ind w:firstLine="720"/>
        <w:divId w:val="1915507362"/>
        <w:rPr>
          <w:sz w:val="20"/>
          <w:szCs w:val="20"/>
        </w:rPr>
      </w:pPr>
      <w:r>
        <w:rPr>
          <w:sz w:val="20"/>
          <w:szCs w:val="20"/>
        </w:rPr>
        <w:t>​</w:t>
      </w:r>
    </w:p>
    <w:p w:rsidR="00000000" w:rsidRDefault="00E52F77">
      <w:pPr>
        <w:pStyle w:val="a3"/>
        <w:spacing w:before="0" w:beforeAutospacing="0" w:after="0" w:afterAutospacing="0"/>
        <w:ind w:firstLine="720"/>
        <w:divId w:val="1915507362"/>
        <w:rPr>
          <w:sz w:val="20"/>
          <w:szCs w:val="20"/>
        </w:rPr>
      </w:pPr>
      <w:r>
        <w:rPr>
          <w:sz w:val="20"/>
          <w:szCs w:val="20"/>
          <w:shd w:val="clear" w:color="auto" w:fill="FFFFFF"/>
        </w:rPr>
        <w:t xml:space="preserve">In March 2020, the Company earned </w:t>
      </w:r>
      <w:r>
        <w:rPr>
          <w:sz w:val="20"/>
          <w:szCs w:val="20"/>
          <w:shd w:val="clear" w:color="auto" w:fill="FFFFFF"/>
        </w:rPr>
        <w:t>a $1.5 million development milestone payment for the acceptance of a clinical trial application associated with the use of YUPELRI monotherapy in China and adjacent territories.</w:t>
      </w:r>
    </w:p>
    <w:p w:rsidR="00000000" w:rsidRDefault="00E52F77">
      <w:pPr>
        <w:pStyle w:val="a3"/>
        <w:spacing w:before="0" w:beforeAutospacing="0" w:after="0" w:afterAutospacing="0"/>
        <w:divId w:val="1915507362"/>
        <w:rPr>
          <w:sz w:val="20"/>
          <w:szCs w:val="20"/>
        </w:rPr>
      </w:pPr>
      <w:r>
        <w:rPr>
          <w:sz w:val="20"/>
          <w:szCs w:val="20"/>
        </w:rPr>
        <w:t>​</w:t>
      </w:r>
    </w:p>
    <w:p w:rsidR="00000000" w:rsidRDefault="00E52F77">
      <w:pPr>
        <w:pStyle w:val="a3"/>
        <w:spacing w:before="0" w:beforeAutospacing="0" w:after="0" w:afterAutospacing="0"/>
        <w:divId w:val="1915507362"/>
        <w:rPr>
          <w:sz w:val="20"/>
          <w:szCs w:val="20"/>
        </w:rPr>
      </w:pPr>
      <w:r>
        <w:rPr>
          <w:b/>
          <w:bCs/>
          <w:sz w:val="20"/>
          <w:szCs w:val="20"/>
        </w:rPr>
        <w:t>4. Cash, Cash Equivalents, and Restricted Cash</w:t>
      </w:r>
    </w:p>
    <w:p w:rsidR="00000000" w:rsidRDefault="00E52F77">
      <w:pPr>
        <w:pStyle w:val="a3"/>
        <w:spacing w:before="0" w:beforeAutospacing="0" w:after="0" w:afterAutospacing="0"/>
        <w:divId w:val="1915507362"/>
        <w:rPr>
          <w:sz w:val="20"/>
          <w:szCs w:val="20"/>
        </w:rPr>
      </w:pPr>
      <w:r>
        <w:rPr>
          <w:b/>
          <w:bCs/>
          <w:sz w:val="10"/>
          <w:szCs w:val="10"/>
        </w:rPr>
        <w:t>​</w:t>
      </w:r>
    </w:p>
    <w:p w:rsidR="00000000" w:rsidRDefault="00E52F77">
      <w:pPr>
        <w:pStyle w:val="a3"/>
        <w:spacing w:before="0" w:beforeAutospacing="0" w:after="0" w:afterAutospacing="0"/>
        <w:ind w:firstLine="720"/>
        <w:divId w:val="1915507362"/>
        <w:rPr>
          <w:sz w:val="20"/>
          <w:szCs w:val="20"/>
        </w:rPr>
      </w:pPr>
      <w:r>
        <w:rPr>
          <w:sz w:val="20"/>
          <w:szCs w:val="20"/>
        </w:rPr>
        <w:t>The following table provides a reconciliation of cash, cash equivalents, and restricted cash reported within the current period and comparable prior year period condensed consolidated balance sheets that sum to the total of the same such amount shown on th</w:t>
      </w:r>
      <w:r>
        <w:rPr>
          <w:sz w:val="20"/>
          <w:szCs w:val="20"/>
        </w:rPr>
        <w:t>e condensed consolidated statements of cash flows.</w:t>
      </w:r>
    </w:p>
    <w:p w:rsidR="00000000" w:rsidRDefault="00E52F77">
      <w:pPr>
        <w:pStyle w:val="a3"/>
        <w:spacing w:before="0" w:beforeAutospacing="0" w:after="0" w:afterAutospacing="0"/>
        <w:ind w:firstLine="720"/>
        <w:divId w:val="191550736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031"/>
        <w:gridCol w:w="192"/>
        <w:gridCol w:w="191"/>
        <w:gridCol w:w="754"/>
        <w:gridCol w:w="191"/>
        <w:gridCol w:w="191"/>
        <w:gridCol w:w="756"/>
      </w:tblGrid>
      <w:tr w:rsidR="00000000">
        <w:trPr>
          <w:divId w:val="1915507362"/>
          <w:trHeight w:val="20"/>
        </w:trPr>
        <w:tc>
          <w:tcPr>
            <w:tcW w:w="3629" w:type="pct"/>
            <w:tcMar>
              <w:top w:w="0" w:type="dxa"/>
              <w:left w:w="0" w:type="dxa"/>
              <w:bottom w:w="0" w:type="dxa"/>
              <w:right w:w="0" w:type="dxa"/>
            </w:tcMar>
            <w:vAlign w:val="center"/>
            <w:hideMark/>
          </w:tcPr>
          <w:p w:rsidR="00000000" w:rsidRDefault="00E52F77">
            <w:pPr>
              <w:pStyle w:val="a3"/>
              <w:spacing w:before="0" w:beforeAutospacing="0" w:after="0" w:afterAutospacing="0"/>
              <w:divId w:val="168177208"/>
              <w:rPr>
                <w:sz w:val="20"/>
                <w:szCs w:val="20"/>
              </w:rPr>
            </w:pPr>
            <w:r>
              <w:rPr>
                <w:sz w:val="2"/>
                <w:szCs w:val="2"/>
              </w:rPr>
              <w:t>​</w:t>
            </w:r>
          </w:p>
        </w:tc>
        <w:tc>
          <w:tcPr>
            <w:tcW w:w="115" w:type="pct"/>
            <w:tcMar>
              <w:top w:w="0" w:type="dxa"/>
              <w:left w:w="0" w:type="dxa"/>
              <w:bottom w:w="0" w:type="dxa"/>
              <w:right w:w="0" w:type="dxa"/>
            </w:tcMar>
            <w:vAlign w:val="center"/>
            <w:hideMark/>
          </w:tcPr>
          <w:p w:rsidR="00000000" w:rsidRDefault="00E52F77">
            <w:pPr>
              <w:pStyle w:val="a3"/>
              <w:spacing w:before="0" w:beforeAutospacing="0" w:after="0" w:afterAutospacing="0"/>
              <w:divId w:val="2045716489"/>
              <w:rPr>
                <w:sz w:val="20"/>
                <w:szCs w:val="20"/>
              </w:rPr>
            </w:pPr>
            <w:r>
              <w:rPr>
                <w:sz w:val="2"/>
                <w:szCs w:val="2"/>
              </w:rPr>
              <w:t>​</w:t>
            </w:r>
          </w:p>
        </w:tc>
        <w:tc>
          <w:tcPr>
            <w:tcW w:w="115" w:type="pct"/>
            <w:tcMar>
              <w:top w:w="0" w:type="dxa"/>
              <w:left w:w="0" w:type="dxa"/>
              <w:bottom w:w="0" w:type="dxa"/>
              <w:right w:w="0" w:type="dxa"/>
            </w:tcMar>
            <w:vAlign w:val="center"/>
            <w:hideMark/>
          </w:tcPr>
          <w:p w:rsidR="00000000" w:rsidRDefault="00E52F77">
            <w:pPr>
              <w:pStyle w:val="a3"/>
              <w:spacing w:before="0" w:beforeAutospacing="0" w:after="0" w:afterAutospacing="0"/>
              <w:divId w:val="1992640005"/>
              <w:rPr>
                <w:sz w:val="20"/>
                <w:szCs w:val="20"/>
              </w:rPr>
            </w:pPr>
            <w:r>
              <w:rPr>
                <w:sz w:val="2"/>
                <w:szCs w:val="2"/>
              </w:rPr>
              <w:t>​</w:t>
            </w:r>
          </w:p>
        </w:tc>
        <w:tc>
          <w:tcPr>
            <w:tcW w:w="454" w:type="pct"/>
            <w:noWrap/>
            <w:tcMar>
              <w:top w:w="0" w:type="dxa"/>
              <w:left w:w="0" w:type="dxa"/>
              <w:bottom w:w="0" w:type="dxa"/>
              <w:right w:w="0" w:type="dxa"/>
            </w:tcMar>
            <w:vAlign w:val="center"/>
            <w:hideMark/>
          </w:tcPr>
          <w:p w:rsidR="00000000" w:rsidRDefault="00E52F77">
            <w:pPr>
              <w:pStyle w:val="a3"/>
              <w:spacing w:before="0" w:beforeAutospacing="0" w:after="0" w:afterAutospacing="0"/>
              <w:divId w:val="892540305"/>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40832671"/>
              <w:rPr>
                <w:sz w:val="20"/>
                <w:szCs w:val="20"/>
              </w:rPr>
            </w:pPr>
            <w:r>
              <w:rPr>
                <w:sz w:val="2"/>
                <w:szCs w:val="2"/>
              </w:rPr>
              <w:t>​</w:t>
            </w:r>
          </w:p>
        </w:tc>
        <w:tc>
          <w:tcPr>
            <w:tcW w:w="115" w:type="pct"/>
            <w:tcMar>
              <w:top w:w="0" w:type="dxa"/>
              <w:left w:w="0" w:type="dxa"/>
              <w:bottom w:w="0" w:type="dxa"/>
              <w:right w:w="0" w:type="dxa"/>
            </w:tcMar>
            <w:vAlign w:val="center"/>
            <w:hideMark/>
          </w:tcPr>
          <w:p w:rsidR="00000000" w:rsidRDefault="00E52F77">
            <w:pPr>
              <w:pStyle w:val="a3"/>
              <w:spacing w:before="0" w:beforeAutospacing="0" w:after="0" w:afterAutospacing="0"/>
              <w:divId w:val="1899245532"/>
              <w:rPr>
                <w:sz w:val="20"/>
                <w:szCs w:val="20"/>
              </w:rPr>
            </w:pPr>
            <w:r>
              <w:rPr>
                <w:sz w:val="2"/>
                <w:szCs w:val="2"/>
              </w:rPr>
              <w:t>​</w:t>
            </w:r>
          </w:p>
        </w:tc>
        <w:tc>
          <w:tcPr>
            <w:tcW w:w="454" w:type="pct"/>
            <w:noWrap/>
            <w:tcMar>
              <w:top w:w="0" w:type="dxa"/>
              <w:left w:w="0" w:type="dxa"/>
              <w:bottom w:w="0" w:type="dxa"/>
              <w:right w:w="0" w:type="dxa"/>
            </w:tcMar>
            <w:vAlign w:val="center"/>
            <w:hideMark/>
          </w:tcPr>
          <w:p w:rsidR="00000000" w:rsidRDefault="00E52F77">
            <w:pPr>
              <w:pStyle w:val="a3"/>
              <w:spacing w:before="0" w:beforeAutospacing="0" w:after="0" w:afterAutospacing="0"/>
              <w:divId w:val="53898281"/>
              <w:rPr>
                <w:sz w:val="20"/>
                <w:szCs w:val="20"/>
              </w:rPr>
            </w:pPr>
            <w:r>
              <w:rPr>
                <w:sz w:val="2"/>
                <w:szCs w:val="2"/>
              </w:rPr>
              <w:t>​</w:t>
            </w:r>
          </w:p>
        </w:tc>
      </w:tr>
      <w:tr w:rsidR="00000000">
        <w:trPr>
          <w:divId w:val="1915507362"/>
        </w:trPr>
        <w:tc>
          <w:tcPr>
            <w:tcW w:w="3629" w:type="pct"/>
            <w:tcMar>
              <w:top w:w="0" w:type="dxa"/>
              <w:left w:w="0" w:type="dxa"/>
              <w:bottom w:w="0" w:type="dxa"/>
              <w:right w:w="0" w:type="dxa"/>
            </w:tcMar>
            <w:vAlign w:val="center"/>
            <w:hideMark/>
          </w:tcPr>
          <w:p w:rsidR="00000000" w:rsidRDefault="00E52F77">
            <w:pPr>
              <w:pStyle w:val="a3"/>
              <w:spacing w:before="0" w:beforeAutospacing="0" w:after="0" w:afterAutospacing="0"/>
              <w:rPr>
                <w:sz w:val="20"/>
                <w:szCs w:val="20"/>
              </w:rPr>
            </w:pPr>
            <w:r>
              <w:rPr>
                <w:b/>
                <w:bCs/>
                <w:sz w:val="16"/>
                <w:szCs w:val="16"/>
              </w:rPr>
              <w:t>​</w:t>
            </w:r>
          </w:p>
        </w:tc>
        <w:tc>
          <w:tcPr>
            <w:tcW w:w="115" w:type="pct"/>
            <w:tcMar>
              <w:top w:w="0" w:type="dxa"/>
              <w:left w:w="0" w:type="dxa"/>
              <w:bottom w:w="0" w:type="dxa"/>
              <w:right w:w="0" w:type="dxa"/>
            </w:tcMar>
            <w:vAlign w:val="center"/>
            <w:hideMark/>
          </w:tcPr>
          <w:p w:rsidR="00000000" w:rsidRDefault="00E52F77">
            <w:pPr>
              <w:pStyle w:val="a3"/>
              <w:spacing w:before="0" w:beforeAutospacing="0" w:after="0" w:afterAutospacing="0"/>
              <w:jc w:val="center"/>
              <w:rPr>
                <w:sz w:val="20"/>
                <w:szCs w:val="20"/>
              </w:rPr>
            </w:pPr>
            <w:r>
              <w:rPr>
                <w:b/>
                <w:bCs/>
                <w:sz w:val="16"/>
                <w:szCs w:val="16"/>
              </w:rPr>
              <w:t>​</w:t>
            </w:r>
          </w:p>
        </w:tc>
        <w:tc>
          <w:tcPr>
            <w:tcW w:w="1254" w:type="pct"/>
            <w:gridSpan w:val="5"/>
            <w:tcBorders>
              <w:bottom w:val="single" w:sz="6" w:space="0" w:color="000000"/>
            </w:tcBorders>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June 30, </w:t>
            </w:r>
          </w:p>
        </w:tc>
      </w:tr>
      <w:tr w:rsidR="00000000">
        <w:trPr>
          <w:divId w:val="1915507362"/>
        </w:trPr>
        <w:tc>
          <w:tcPr>
            <w:tcW w:w="3629" w:type="pct"/>
            <w:tcBorders>
              <w:bottom w:val="single" w:sz="6" w:space="0" w:color="000000"/>
            </w:tcBorders>
            <w:tcMar>
              <w:top w:w="0" w:type="dxa"/>
              <w:left w:w="0" w:type="dxa"/>
              <w:bottom w:w="0" w:type="dxa"/>
              <w:right w:w="0" w:type="dxa"/>
            </w:tcMar>
            <w:vAlign w:val="center"/>
            <w:hideMark/>
          </w:tcPr>
          <w:p w:rsidR="00000000" w:rsidRDefault="00E52F77">
            <w:pPr>
              <w:pStyle w:val="a3"/>
              <w:spacing w:before="0" w:beforeAutospacing="0" w:after="0" w:afterAutospacing="0"/>
              <w:rPr>
                <w:sz w:val="16"/>
                <w:szCs w:val="16"/>
              </w:rPr>
            </w:pPr>
            <w:r>
              <w:rPr>
                <w:b/>
                <w:bCs/>
                <w:sz w:val="16"/>
                <w:szCs w:val="16"/>
              </w:rPr>
              <w:t>(In thousands)</w:t>
            </w:r>
          </w:p>
        </w:tc>
        <w:tc>
          <w:tcPr>
            <w:tcW w:w="115" w:type="pct"/>
            <w:tcMar>
              <w:top w:w="0" w:type="dxa"/>
              <w:left w:w="0" w:type="dxa"/>
              <w:bottom w:w="0" w:type="dxa"/>
              <w:right w:w="0" w:type="dxa"/>
            </w:tcMar>
            <w:vAlign w:val="center"/>
            <w:hideMark/>
          </w:tcPr>
          <w:p w:rsidR="00000000" w:rsidRDefault="00E52F77">
            <w:pPr>
              <w:pStyle w:val="a3"/>
              <w:spacing w:before="0" w:beforeAutospacing="0" w:after="0" w:afterAutospacing="0"/>
              <w:jc w:val="center"/>
              <w:rPr>
                <w:sz w:val="20"/>
                <w:szCs w:val="20"/>
              </w:rPr>
            </w:pPr>
            <w:r>
              <w:rPr>
                <w:b/>
                <w:bCs/>
                <w:sz w:val="16"/>
                <w:szCs w:val="16"/>
              </w:rPr>
              <w:t>​</w:t>
            </w:r>
          </w:p>
        </w:tc>
        <w:tc>
          <w:tcPr>
            <w:tcW w:w="569"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2021</w:t>
            </w:r>
          </w:p>
        </w:tc>
        <w:tc>
          <w:tcPr>
            <w:tcW w:w="115" w:type="pct"/>
            <w:tcMar>
              <w:top w:w="0" w:type="dxa"/>
              <w:left w:w="0" w:type="dxa"/>
              <w:bottom w:w="0" w:type="dxa"/>
              <w:right w:w="0" w:type="dxa"/>
            </w:tcMar>
            <w:vAlign w:val="center"/>
            <w:hideMark/>
          </w:tcPr>
          <w:p w:rsidR="00000000" w:rsidRDefault="00E52F77">
            <w:pPr>
              <w:pStyle w:val="a3"/>
              <w:spacing w:before="0" w:beforeAutospacing="0" w:after="0" w:afterAutospacing="0"/>
              <w:jc w:val="center"/>
              <w:rPr>
                <w:sz w:val="20"/>
                <w:szCs w:val="20"/>
              </w:rPr>
            </w:pPr>
            <w:r>
              <w:rPr>
                <w:b/>
                <w:bCs/>
                <w:sz w:val="16"/>
                <w:szCs w:val="16"/>
              </w:rPr>
              <w:t>​</w:t>
            </w:r>
          </w:p>
        </w:tc>
        <w:tc>
          <w:tcPr>
            <w:tcW w:w="569"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2020</w:t>
            </w:r>
          </w:p>
        </w:tc>
      </w:tr>
      <w:tr w:rsidR="00000000">
        <w:trPr>
          <w:divId w:val="1915507362"/>
        </w:trPr>
        <w:tc>
          <w:tcPr>
            <w:tcW w:w="3629" w:type="pct"/>
            <w:shd w:val="clear" w:color="auto" w:fill="CCEEFF"/>
            <w:tcMar>
              <w:top w:w="0" w:type="dxa"/>
              <w:left w:w="0" w:type="dxa"/>
              <w:bottom w:w="0" w:type="dxa"/>
              <w:right w:w="0" w:type="dxa"/>
            </w:tcMar>
            <w:vAlign w:val="center"/>
            <w:hideMark/>
          </w:tcPr>
          <w:p w:rsidR="00000000" w:rsidRDefault="00E52F77">
            <w:pPr>
              <w:pStyle w:val="a3"/>
              <w:spacing w:before="0" w:beforeAutospacing="0" w:after="0" w:afterAutospacing="0"/>
              <w:rPr>
                <w:sz w:val="20"/>
                <w:szCs w:val="20"/>
              </w:rPr>
            </w:pPr>
            <w:r>
              <w:rPr>
                <w:sz w:val="20"/>
                <w:szCs w:val="20"/>
              </w:rPr>
              <w:t>Cash and cash equivalents</w:t>
            </w:r>
          </w:p>
        </w:tc>
        <w:tc>
          <w:tcPr>
            <w:tcW w:w="115" w:type="pct"/>
            <w:shd w:val="clear" w:color="auto" w:fill="CCEEFF"/>
            <w:tcMar>
              <w:top w:w="0" w:type="dxa"/>
              <w:left w:w="0" w:type="dxa"/>
              <w:bottom w:w="0" w:type="dxa"/>
              <w:right w:w="0" w:type="dxa"/>
            </w:tcMar>
            <w:vAlign w:val="center"/>
            <w:hideMark/>
          </w:tcPr>
          <w:p w:rsidR="00000000" w:rsidRDefault="00E52F77">
            <w:pPr>
              <w:pStyle w:val="a3"/>
              <w:spacing w:before="0" w:beforeAutospacing="0" w:after="0" w:afterAutospacing="0"/>
              <w:rPr>
                <w:sz w:val="20"/>
                <w:szCs w:val="20"/>
              </w:rPr>
            </w:pPr>
            <w:r>
              <w:rPr>
                <w:sz w:val="20"/>
                <w:szCs w:val="20"/>
              </w:rPr>
              <w:t>​</w:t>
            </w:r>
          </w:p>
        </w:tc>
        <w:tc>
          <w:tcPr>
            <w:tcW w:w="115" w:type="pct"/>
            <w:shd w:val="clear" w:color="auto" w:fill="CCEEFF"/>
            <w:tcMar>
              <w:top w:w="0" w:type="dxa"/>
              <w:left w:w="0" w:type="dxa"/>
              <w:bottom w:w="0" w:type="dxa"/>
              <w:right w:w="0" w:type="dxa"/>
            </w:tcMar>
            <w:vAlign w:val="center"/>
            <w:hideMark/>
          </w:tcPr>
          <w:p w:rsidR="00000000" w:rsidRDefault="00E52F77">
            <w:pPr>
              <w:pStyle w:val="a3"/>
              <w:spacing w:before="0" w:beforeAutospacing="0" w:after="0" w:afterAutospacing="0"/>
              <w:jc w:val="center"/>
              <w:rPr>
                <w:sz w:val="20"/>
                <w:szCs w:val="20"/>
              </w:rPr>
            </w:pPr>
            <w:r>
              <w:rPr>
                <w:sz w:val="20"/>
                <w:szCs w:val="20"/>
              </w:rPr>
              <w:t>$</w:t>
            </w:r>
          </w:p>
        </w:tc>
        <w:tc>
          <w:tcPr>
            <w:tcW w:w="454"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204,949</w:t>
            </w:r>
          </w:p>
        </w:tc>
        <w:tc>
          <w:tcPr>
            <w:tcW w:w="11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115" w:type="pct"/>
            <w:shd w:val="clear" w:color="auto" w:fill="CCEEFF"/>
            <w:tcMar>
              <w:top w:w="0" w:type="dxa"/>
              <w:left w:w="0" w:type="dxa"/>
              <w:bottom w:w="0" w:type="dxa"/>
              <w:right w:w="0" w:type="dxa"/>
            </w:tcMar>
            <w:vAlign w:val="center"/>
            <w:hideMark/>
          </w:tcPr>
          <w:p w:rsidR="00000000" w:rsidRDefault="00E52F77">
            <w:pPr>
              <w:pStyle w:val="a3"/>
              <w:spacing w:before="0" w:beforeAutospacing="0" w:after="0" w:afterAutospacing="0"/>
              <w:jc w:val="center"/>
              <w:rPr>
                <w:sz w:val="20"/>
                <w:szCs w:val="20"/>
              </w:rPr>
            </w:pPr>
            <w:r>
              <w:rPr>
                <w:sz w:val="20"/>
                <w:szCs w:val="20"/>
              </w:rPr>
              <w:t>$</w:t>
            </w:r>
          </w:p>
        </w:tc>
        <w:tc>
          <w:tcPr>
            <w:tcW w:w="454"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104,735</w:t>
            </w:r>
          </w:p>
        </w:tc>
      </w:tr>
      <w:tr w:rsidR="00000000">
        <w:trPr>
          <w:divId w:val="1915507362"/>
        </w:trPr>
        <w:tc>
          <w:tcPr>
            <w:tcW w:w="3629" w:type="pct"/>
            <w:tcMar>
              <w:top w:w="0" w:type="dxa"/>
              <w:left w:w="0" w:type="dxa"/>
              <w:bottom w:w="0" w:type="dxa"/>
              <w:right w:w="0" w:type="dxa"/>
            </w:tcMar>
            <w:vAlign w:val="center"/>
            <w:hideMark/>
          </w:tcPr>
          <w:p w:rsidR="00000000" w:rsidRDefault="00E52F77">
            <w:pPr>
              <w:pStyle w:val="a3"/>
              <w:spacing w:before="0" w:beforeAutospacing="0" w:after="0" w:afterAutospacing="0"/>
              <w:rPr>
                <w:sz w:val="20"/>
                <w:szCs w:val="20"/>
              </w:rPr>
            </w:pPr>
            <w:r>
              <w:rPr>
                <w:sz w:val="20"/>
                <w:szCs w:val="20"/>
              </w:rPr>
              <w:t>Restricted cash</w:t>
            </w:r>
          </w:p>
        </w:tc>
        <w:tc>
          <w:tcPr>
            <w:tcW w:w="115" w:type="pct"/>
            <w:tcMar>
              <w:top w:w="0" w:type="dxa"/>
              <w:left w:w="0" w:type="dxa"/>
              <w:bottom w:w="0" w:type="dxa"/>
              <w:right w:w="0" w:type="dxa"/>
            </w:tcMar>
            <w:vAlign w:val="center"/>
            <w:hideMark/>
          </w:tcPr>
          <w:p w:rsidR="00000000" w:rsidRDefault="00E52F77">
            <w:pPr>
              <w:pStyle w:val="a3"/>
              <w:spacing w:before="0" w:beforeAutospacing="0" w:after="0" w:afterAutospacing="0"/>
              <w:rPr>
                <w:sz w:val="20"/>
                <w:szCs w:val="20"/>
              </w:rPr>
            </w:pPr>
            <w:r>
              <w:rPr>
                <w:sz w:val="20"/>
                <w:szCs w:val="20"/>
              </w:rPr>
              <w:t>​</w:t>
            </w:r>
          </w:p>
        </w:tc>
        <w:tc>
          <w:tcPr>
            <w:tcW w:w="115" w:type="pct"/>
            <w:tcBorders>
              <w:bottom w:val="single" w:sz="6" w:space="0" w:color="000000"/>
            </w:tcBorders>
            <w:tcMar>
              <w:top w:w="0" w:type="dxa"/>
              <w:left w:w="0" w:type="dxa"/>
              <w:bottom w:w="0" w:type="dxa"/>
              <w:right w:w="0" w:type="dxa"/>
            </w:tcMar>
            <w:vAlign w:val="center"/>
            <w:hideMark/>
          </w:tcPr>
          <w:p w:rsidR="00000000" w:rsidRDefault="00E52F77">
            <w:pPr>
              <w:pStyle w:val="a3"/>
              <w:spacing w:before="0" w:beforeAutospacing="0" w:after="0" w:afterAutospacing="0"/>
              <w:jc w:val="center"/>
              <w:rPr>
                <w:sz w:val="20"/>
                <w:szCs w:val="20"/>
              </w:rPr>
            </w:pPr>
            <w:r>
              <w:rPr>
                <w:sz w:val="20"/>
                <w:szCs w:val="20"/>
              </w:rPr>
              <w:t>​</w:t>
            </w:r>
          </w:p>
        </w:tc>
        <w:tc>
          <w:tcPr>
            <w:tcW w:w="454" w:type="pct"/>
            <w:tcBorders>
              <w:bottom w:val="single" w:sz="6" w:space="0" w:color="000000"/>
            </w:tcBorders>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833</w:t>
            </w:r>
          </w:p>
        </w:tc>
        <w:tc>
          <w:tcPr>
            <w:tcW w:w="11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115" w:type="pct"/>
            <w:tcBorders>
              <w:bottom w:val="single" w:sz="6" w:space="0" w:color="000000"/>
            </w:tcBorders>
            <w:tcMar>
              <w:top w:w="0" w:type="dxa"/>
              <w:left w:w="0" w:type="dxa"/>
              <w:bottom w:w="0" w:type="dxa"/>
              <w:right w:w="0" w:type="dxa"/>
            </w:tcMar>
            <w:vAlign w:val="center"/>
            <w:hideMark/>
          </w:tcPr>
          <w:p w:rsidR="00000000" w:rsidRDefault="00E52F77">
            <w:pPr>
              <w:pStyle w:val="a3"/>
              <w:spacing w:before="0" w:beforeAutospacing="0" w:after="0" w:afterAutospacing="0"/>
              <w:jc w:val="center"/>
              <w:rPr>
                <w:sz w:val="20"/>
                <w:szCs w:val="20"/>
              </w:rPr>
            </w:pPr>
            <w:r>
              <w:rPr>
                <w:sz w:val="20"/>
                <w:szCs w:val="20"/>
              </w:rPr>
              <w:t>​</w:t>
            </w:r>
          </w:p>
        </w:tc>
        <w:tc>
          <w:tcPr>
            <w:tcW w:w="454" w:type="pct"/>
            <w:tcBorders>
              <w:bottom w:val="single" w:sz="6" w:space="0" w:color="000000"/>
            </w:tcBorders>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833</w:t>
            </w:r>
          </w:p>
        </w:tc>
      </w:tr>
      <w:tr w:rsidR="00000000">
        <w:trPr>
          <w:divId w:val="1915507362"/>
        </w:trPr>
        <w:tc>
          <w:tcPr>
            <w:tcW w:w="3629" w:type="pct"/>
            <w:shd w:val="clear" w:color="auto" w:fill="CCEEFF"/>
            <w:tcMar>
              <w:top w:w="0" w:type="dxa"/>
              <w:left w:w="0" w:type="dxa"/>
              <w:bottom w:w="0" w:type="dxa"/>
              <w:right w:w="0" w:type="dxa"/>
            </w:tcMar>
            <w:vAlign w:val="center"/>
            <w:hideMark/>
          </w:tcPr>
          <w:p w:rsidR="00000000" w:rsidRDefault="00E52F77">
            <w:pPr>
              <w:pStyle w:val="a3"/>
              <w:spacing w:before="0" w:beforeAutospacing="0" w:after="0" w:afterAutospacing="0"/>
              <w:ind w:left="240" w:hanging="120"/>
              <w:rPr>
                <w:sz w:val="20"/>
                <w:szCs w:val="20"/>
              </w:rPr>
            </w:pPr>
            <w:r>
              <w:rPr>
                <w:sz w:val="20"/>
                <w:szCs w:val="20"/>
              </w:rPr>
              <w:t>Total cash, cash equivalents, and restricted cash shown on the condensed</w:t>
            </w:r>
            <w:r>
              <w:rPr>
                <w:sz w:val="20"/>
                <w:szCs w:val="20"/>
              </w:rPr>
              <w:br/>
              <w:t>consolidated statements of cash flows</w:t>
            </w:r>
          </w:p>
        </w:tc>
        <w:tc>
          <w:tcPr>
            <w:tcW w:w="115" w:type="pct"/>
            <w:shd w:val="clear" w:color="auto" w:fill="CCEEFF"/>
            <w:tcMar>
              <w:top w:w="0" w:type="dxa"/>
              <w:left w:w="0" w:type="dxa"/>
              <w:bottom w:w="0" w:type="dxa"/>
              <w:right w:w="0" w:type="dxa"/>
            </w:tcMar>
            <w:vAlign w:val="center"/>
            <w:hideMark/>
          </w:tcPr>
          <w:p w:rsidR="00000000" w:rsidRDefault="00E52F77">
            <w:pPr>
              <w:pStyle w:val="a3"/>
              <w:spacing w:before="0" w:beforeAutospacing="0" w:after="0" w:afterAutospacing="0"/>
              <w:rPr>
                <w:sz w:val="20"/>
                <w:szCs w:val="20"/>
              </w:rPr>
            </w:pPr>
            <w:r>
              <w:rPr>
                <w:sz w:val="20"/>
                <w:szCs w:val="20"/>
              </w:rPr>
              <w:t>​</w:t>
            </w:r>
          </w:p>
        </w:tc>
        <w:tc>
          <w:tcPr>
            <w:tcW w:w="1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205,782</w:t>
            </w:r>
          </w:p>
        </w:tc>
        <w:tc>
          <w:tcPr>
            <w:tcW w:w="11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1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105,568</w:t>
            </w:r>
          </w:p>
        </w:tc>
      </w:tr>
    </w:tbl>
    <w:p w:rsidR="00000000" w:rsidRDefault="00E52F77">
      <w:pPr>
        <w:pStyle w:val="a3"/>
        <w:spacing w:before="0" w:beforeAutospacing="0" w:after="0" w:afterAutospacing="0"/>
        <w:ind w:firstLine="720"/>
        <w:divId w:val="1915507362"/>
        <w:rPr>
          <w:sz w:val="20"/>
          <w:szCs w:val="20"/>
        </w:rPr>
      </w:pPr>
      <w:r>
        <w:rPr>
          <w:sz w:val="20"/>
          <w:szCs w:val="20"/>
        </w:rPr>
        <w:t>​</w:t>
      </w:r>
    </w:p>
    <w:p w:rsidR="00000000" w:rsidRDefault="00E52F77">
      <w:pPr>
        <w:pStyle w:val="a3"/>
        <w:spacing w:before="0" w:beforeAutospacing="0" w:after="0" w:afterAutospacing="0"/>
        <w:ind w:firstLine="720"/>
        <w:divId w:val="1915507362"/>
        <w:rPr>
          <w:sz w:val="20"/>
          <w:szCs w:val="20"/>
        </w:rPr>
      </w:pPr>
      <w:r>
        <w:rPr>
          <w:sz w:val="20"/>
          <w:szCs w:val="20"/>
        </w:rPr>
        <w:t xml:space="preserve">The Company maintains restricted cash for certain lease agreements and letters of credit by which the Company has pledged cash and cash equivalents as collateral. The Company also maintained restricted cash for debt servicing of its 9.5% non-recourse 2035 </w:t>
      </w:r>
      <w:r>
        <w:rPr>
          <w:sz w:val="20"/>
          <w:szCs w:val="20"/>
        </w:rPr>
        <w:t xml:space="preserve">notes. See </w:t>
      </w:r>
      <w:r>
        <w:rPr>
          <w:i/>
          <w:iCs/>
          <w:sz w:val="20"/>
          <w:szCs w:val="20"/>
        </w:rPr>
        <w:t>“Note 6. Debt”</w:t>
      </w:r>
      <w:r>
        <w:rPr>
          <w:sz w:val="20"/>
          <w:szCs w:val="20"/>
        </w:rPr>
        <w:t xml:space="preserve"> for further information regarding the 9.5% non-recourse 2035 notes. The cash-related amounts reported in the table above exclude the Company’s investments in short and long-term marketable securities that are reported separately o</w:t>
      </w:r>
      <w:r>
        <w:rPr>
          <w:sz w:val="20"/>
          <w:szCs w:val="20"/>
        </w:rPr>
        <w:t>n the condensed consolidated balance sheets.</w:t>
      </w:r>
    </w:p>
    <w:p w:rsidR="00000000" w:rsidRDefault="00E52F77">
      <w:pPr>
        <w:pStyle w:val="a3"/>
        <w:spacing w:before="0" w:beforeAutospacing="0" w:after="0" w:afterAutospacing="0"/>
        <w:divId w:val="1915507362"/>
        <w:rPr>
          <w:sz w:val="20"/>
          <w:szCs w:val="20"/>
        </w:rPr>
      </w:pPr>
      <w:r>
        <w:rPr>
          <w:sz w:val="20"/>
          <w:szCs w:val="20"/>
        </w:rPr>
        <w:t>​</w:t>
      </w:r>
    </w:p>
    <w:p w:rsidR="00000000" w:rsidRDefault="00E52F77">
      <w:pPr>
        <w:pStyle w:val="a3"/>
        <w:spacing w:before="0" w:beforeAutospacing="0" w:after="0" w:afterAutospacing="0"/>
        <w:divId w:val="1915507362"/>
        <w:rPr>
          <w:sz w:val="20"/>
          <w:szCs w:val="20"/>
        </w:rPr>
      </w:pPr>
      <w:r>
        <w:rPr>
          <w:b/>
          <w:bCs/>
          <w:sz w:val="20"/>
          <w:szCs w:val="20"/>
        </w:rPr>
        <w:t>5.</w:t>
      </w:r>
      <w:r>
        <w:rPr>
          <w:sz w:val="20"/>
          <w:szCs w:val="20"/>
        </w:rPr>
        <w:t xml:space="preserve"> </w:t>
      </w:r>
      <w:r>
        <w:rPr>
          <w:b/>
          <w:bCs/>
          <w:sz w:val="20"/>
          <w:szCs w:val="20"/>
        </w:rPr>
        <w:t>Investments and Fair Value Measurements</w:t>
      </w:r>
    </w:p>
    <w:p w:rsidR="00000000" w:rsidRDefault="00E52F77">
      <w:pPr>
        <w:pStyle w:val="a3"/>
        <w:spacing w:before="0" w:beforeAutospacing="0" w:after="0" w:afterAutospacing="0"/>
        <w:divId w:val="1915507362"/>
        <w:rPr>
          <w:sz w:val="20"/>
          <w:szCs w:val="20"/>
        </w:rPr>
      </w:pPr>
      <w:r>
        <w:rPr>
          <w:sz w:val="10"/>
          <w:szCs w:val="10"/>
        </w:rPr>
        <w:t>​</w:t>
      </w:r>
    </w:p>
    <w:p w:rsidR="00000000" w:rsidRDefault="00E52F77">
      <w:pPr>
        <w:pStyle w:val="a3"/>
        <w:spacing w:before="0" w:beforeAutospacing="0" w:after="0" w:afterAutospacing="0"/>
        <w:divId w:val="1915507362"/>
        <w:rPr>
          <w:sz w:val="20"/>
          <w:szCs w:val="20"/>
        </w:rPr>
      </w:pPr>
      <w:r>
        <w:rPr>
          <w:b/>
          <w:bCs/>
          <w:i/>
          <w:iCs/>
          <w:sz w:val="20"/>
          <w:szCs w:val="20"/>
        </w:rPr>
        <w:t>Available-for-Sale Securities</w:t>
      </w:r>
    </w:p>
    <w:p w:rsidR="00000000" w:rsidRDefault="00E52F77">
      <w:pPr>
        <w:pStyle w:val="a3"/>
        <w:spacing w:before="0" w:beforeAutospacing="0" w:after="0" w:afterAutospacing="0"/>
        <w:divId w:val="1915507362"/>
        <w:rPr>
          <w:sz w:val="20"/>
          <w:szCs w:val="20"/>
        </w:rPr>
      </w:pPr>
      <w:r>
        <w:rPr>
          <w:sz w:val="10"/>
          <w:szCs w:val="10"/>
        </w:rPr>
        <w:t>​</w:t>
      </w:r>
    </w:p>
    <w:p w:rsidR="00000000" w:rsidRDefault="00E52F77">
      <w:pPr>
        <w:pStyle w:val="a3"/>
        <w:spacing w:before="0" w:beforeAutospacing="0" w:after="0" w:afterAutospacing="0"/>
        <w:ind w:firstLine="720"/>
        <w:divId w:val="1915507362"/>
        <w:rPr>
          <w:sz w:val="20"/>
          <w:szCs w:val="20"/>
        </w:rPr>
      </w:pPr>
      <w:r>
        <w:rPr>
          <w:sz w:val="20"/>
          <w:szCs w:val="20"/>
        </w:rPr>
        <w:t>The estimated fair value of marketable securities is based on quoted market prices for these or similar investments obtained from a commercial pricing service. The fair market value of marketable securities classified within Level 1 is based on quoted pric</w:t>
      </w:r>
      <w:r>
        <w:rPr>
          <w:sz w:val="20"/>
          <w:szCs w:val="20"/>
        </w:rPr>
        <w:t>es for identical instruments in active markets. The fair value of marketable securities classified within Level 2 is based on quoted prices for similar instruments in active markets; quoted prices for identical or similar instruments in markets that are no</w:t>
      </w:r>
      <w:r>
        <w:rPr>
          <w:sz w:val="20"/>
          <w:szCs w:val="20"/>
        </w:rPr>
        <w:t>t active; or model-driven valuations whose inputs are observable or whose significant value drivers are observable. Observable inputs may include benchmark yields, reported trades, broker/dealer quotes, issuer spreads, two-sided markets, benchmark securiti</w:t>
      </w:r>
      <w:r>
        <w:rPr>
          <w:sz w:val="20"/>
          <w:szCs w:val="20"/>
        </w:rPr>
        <w:t xml:space="preserve">es, bids, offers and reference data including market research publications. </w:t>
      </w:r>
    </w:p>
    <w:p w:rsidR="00000000" w:rsidRDefault="00E52F77">
      <w:pPr>
        <w:pStyle w:val="a3"/>
        <w:spacing w:before="0" w:beforeAutospacing="0" w:after="0" w:afterAutospacing="0"/>
        <w:divId w:val="1915507362"/>
        <w:rPr>
          <w:sz w:val="20"/>
          <w:szCs w:val="20"/>
        </w:rPr>
      </w:pPr>
      <w:r>
        <w:rPr>
          <w:sz w:val="20"/>
          <w:szCs w:val="20"/>
        </w:rPr>
        <w:t>​</w:t>
      </w:r>
    </w:p>
    <w:p w:rsidR="00000000" w:rsidRDefault="00E52F77">
      <w:pPr>
        <w:pStyle w:val="a3"/>
        <w:spacing w:before="0" w:beforeAutospacing="0" w:after="0" w:afterAutospacing="0"/>
        <w:ind w:firstLine="720"/>
        <w:divId w:val="1915507362"/>
        <w:rPr>
          <w:sz w:val="20"/>
          <w:szCs w:val="20"/>
        </w:rPr>
      </w:pPr>
      <w:r>
        <w:rPr>
          <w:sz w:val="20"/>
          <w:szCs w:val="20"/>
        </w:rPr>
        <w:t>Available-for-sale securities are summarized below:</w:t>
      </w:r>
    </w:p>
    <w:p w:rsidR="00000000" w:rsidRDefault="00E52F77">
      <w:pPr>
        <w:pStyle w:val="a3"/>
        <w:spacing w:before="0" w:beforeAutospacing="0" w:after="0" w:afterAutospacing="0"/>
        <w:divId w:val="191550736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620"/>
        <w:gridCol w:w="160"/>
        <w:gridCol w:w="606"/>
        <w:gridCol w:w="160"/>
        <w:gridCol w:w="140"/>
        <w:gridCol w:w="720"/>
        <w:gridCol w:w="160"/>
        <w:gridCol w:w="152"/>
        <w:gridCol w:w="625"/>
        <w:gridCol w:w="160"/>
        <w:gridCol w:w="152"/>
        <w:gridCol w:w="625"/>
        <w:gridCol w:w="160"/>
        <w:gridCol w:w="146"/>
        <w:gridCol w:w="720"/>
      </w:tblGrid>
      <w:tr w:rsidR="00000000">
        <w:trPr>
          <w:divId w:val="1915507362"/>
          <w:trHeight w:val="20"/>
        </w:trPr>
        <w:tc>
          <w:tcPr>
            <w:tcW w:w="2185" w:type="pct"/>
            <w:tcMar>
              <w:top w:w="0" w:type="dxa"/>
              <w:left w:w="0" w:type="dxa"/>
              <w:bottom w:w="0" w:type="dxa"/>
              <w:right w:w="0" w:type="dxa"/>
            </w:tcMar>
            <w:vAlign w:val="center"/>
            <w:hideMark/>
          </w:tcPr>
          <w:p w:rsidR="00000000" w:rsidRDefault="00E52F77">
            <w:pPr>
              <w:pStyle w:val="a3"/>
              <w:spacing w:before="0" w:beforeAutospacing="0" w:after="0" w:afterAutospacing="0"/>
              <w:divId w:val="2019842165"/>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661812389"/>
              <w:rPr>
                <w:sz w:val="20"/>
                <w:szCs w:val="20"/>
              </w:rPr>
            </w:pPr>
            <w:r>
              <w:rPr>
                <w:sz w:val="2"/>
                <w:szCs w:val="2"/>
              </w:rPr>
              <w:t>​</w:t>
            </w:r>
          </w:p>
        </w:tc>
        <w:tc>
          <w:tcPr>
            <w:tcW w:w="375" w:type="pct"/>
            <w:noWrap/>
            <w:tcMar>
              <w:top w:w="0" w:type="dxa"/>
              <w:left w:w="0" w:type="dxa"/>
              <w:bottom w:w="0" w:type="dxa"/>
              <w:right w:w="0" w:type="dxa"/>
            </w:tcMar>
            <w:vAlign w:val="center"/>
            <w:hideMark/>
          </w:tcPr>
          <w:p w:rsidR="00000000" w:rsidRDefault="00E52F77">
            <w:pPr>
              <w:pStyle w:val="a3"/>
              <w:spacing w:before="0" w:beforeAutospacing="0" w:after="0" w:afterAutospacing="0"/>
              <w:divId w:val="209268233"/>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700326691"/>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308047367"/>
              <w:rPr>
                <w:sz w:val="20"/>
                <w:szCs w:val="20"/>
              </w:rPr>
            </w:pPr>
            <w:r>
              <w:rPr>
                <w:sz w:val="2"/>
                <w:szCs w:val="2"/>
              </w:rPr>
              <w:t>​</w:t>
            </w:r>
          </w:p>
        </w:tc>
        <w:tc>
          <w:tcPr>
            <w:tcW w:w="385" w:type="pct"/>
            <w:noWrap/>
            <w:tcMar>
              <w:top w:w="0" w:type="dxa"/>
              <w:left w:w="0" w:type="dxa"/>
              <w:bottom w:w="0" w:type="dxa"/>
              <w:right w:w="0" w:type="dxa"/>
            </w:tcMar>
            <w:vAlign w:val="center"/>
            <w:hideMark/>
          </w:tcPr>
          <w:p w:rsidR="00000000" w:rsidRDefault="00E52F77">
            <w:pPr>
              <w:pStyle w:val="a3"/>
              <w:spacing w:before="0" w:beforeAutospacing="0" w:after="0" w:afterAutospacing="0"/>
              <w:divId w:val="835076660"/>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269048704"/>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236010827"/>
              <w:rPr>
                <w:sz w:val="20"/>
                <w:szCs w:val="20"/>
              </w:rPr>
            </w:pPr>
            <w:r>
              <w:rPr>
                <w:sz w:val="2"/>
                <w:szCs w:val="2"/>
              </w:rPr>
              <w:t>​</w:t>
            </w:r>
          </w:p>
        </w:tc>
        <w:tc>
          <w:tcPr>
            <w:tcW w:w="385" w:type="pct"/>
            <w:noWrap/>
            <w:tcMar>
              <w:top w:w="0" w:type="dxa"/>
              <w:left w:w="0" w:type="dxa"/>
              <w:bottom w:w="0" w:type="dxa"/>
              <w:right w:w="0" w:type="dxa"/>
            </w:tcMar>
            <w:vAlign w:val="center"/>
            <w:hideMark/>
          </w:tcPr>
          <w:p w:rsidR="00000000" w:rsidRDefault="00E52F77">
            <w:pPr>
              <w:pStyle w:val="a3"/>
              <w:spacing w:before="0" w:beforeAutospacing="0" w:after="0" w:afterAutospacing="0"/>
              <w:divId w:val="1289168352"/>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425157786"/>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536163293"/>
              <w:rPr>
                <w:sz w:val="20"/>
                <w:szCs w:val="20"/>
              </w:rPr>
            </w:pPr>
            <w:r>
              <w:rPr>
                <w:sz w:val="2"/>
                <w:szCs w:val="2"/>
              </w:rPr>
              <w:t>​</w:t>
            </w:r>
          </w:p>
        </w:tc>
        <w:tc>
          <w:tcPr>
            <w:tcW w:w="385" w:type="pct"/>
            <w:noWrap/>
            <w:tcMar>
              <w:top w:w="0" w:type="dxa"/>
              <w:left w:w="0" w:type="dxa"/>
              <w:bottom w:w="0" w:type="dxa"/>
              <w:right w:w="0" w:type="dxa"/>
            </w:tcMar>
            <w:vAlign w:val="center"/>
            <w:hideMark/>
          </w:tcPr>
          <w:p w:rsidR="00000000" w:rsidRDefault="00E52F77">
            <w:pPr>
              <w:pStyle w:val="a3"/>
              <w:spacing w:before="0" w:beforeAutospacing="0" w:after="0" w:afterAutospacing="0"/>
              <w:divId w:val="223956243"/>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507598894"/>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641352110"/>
              <w:rPr>
                <w:sz w:val="20"/>
                <w:szCs w:val="20"/>
              </w:rPr>
            </w:pPr>
            <w:r>
              <w:rPr>
                <w:sz w:val="2"/>
                <w:szCs w:val="2"/>
              </w:rPr>
              <w:t>​</w:t>
            </w:r>
          </w:p>
        </w:tc>
        <w:tc>
          <w:tcPr>
            <w:tcW w:w="397" w:type="pct"/>
            <w:noWrap/>
            <w:tcMar>
              <w:top w:w="0" w:type="dxa"/>
              <w:left w:w="0" w:type="dxa"/>
              <w:bottom w:w="0" w:type="dxa"/>
              <w:right w:w="0" w:type="dxa"/>
            </w:tcMar>
            <w:vAlign w:val="center"/>
            <w:hideMark/>
          </w:tcPr>
          <w:p w:rsidR="00000000" w:rsidRDefault="00E52F77">
            <w:pPr>
              <w:pStyle w:val="a3"/>
              <w:spacing w:before="0" w:beforeAutospacing="0" w:after="0" w:afterAutospacing="0"/>
              <w:divId w:val="904334962"/>
              <w:rPr>
                <w:sz w:val="20"/>
                <w:szCs w:val="20"/>
              </w:rPr>
            </w:pPr>
            <w:r>
              <w:rPr>
                <w:sz w:val="2"/>
                <w:szCs w:val="2"/>
              </w:rPr>
              <w:t>​</w:t>
            </w:r>
          </w:p>
        </w:tc>
      </w:tr>
      <w:tr w:rsidR="00000000">
        <w:trPr>
          <w:divId w:val="1915507362"/>
        </w:trPr>
        <w:tc>
          <w:tcPr>
            <w:tcW w:w="218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9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37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2243" w:type="pct"/>
            <w:gridSpan w:val="11"/>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June 30, 2021</w:t>
            </w:r>
          </w:p>
        </w:tc>
      </w:tr>
      <w:tr w:rsidR="00000000">
        <w:trPr>
          <w:divId w:val="1915507362"/>
        </w:trPr>
        <w:tc>
          <w:tcPr>
            <w:tcW w:w="218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9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37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3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484"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Gross</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484"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Gross</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39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r>
      <w:tr w:rsidR="00000000">
        <w:trPr>
          <w:divId w:val="1915507362"/>
        </w:trPr>
        <w:tc>
          <w:tcPr>
            <w:tcW w:w="218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9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37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84"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Amortized</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84"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Unrealized</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84"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Unrealized</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96"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Estimated</w:t>
            </w:r>
          </w:p>
        </w:tc>
      </w:tr>
      <w:tr w:rsidR="00000000">
        <w:trPr>
          <w:divId w:val="1915507362"/>
        </w:trPr>
        <w:tc>
          <w:tcPr>
            <w:tcW w:w="2185" w:type="pct"/>
            <w:tcBorders>
              <w:bottom w:val="single" w:sz="6" w:space="0" w:color="000000"/>
            </w:tcBorders>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(In thousands)</w:t>
            </w:r>
          </w:p>
        </w:tc>
        <w:tc>
          <w:tcPr>
            <w:tcW w:w="9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37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Cost</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Gains</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Losses</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96"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Fair Value</w:t>
            </w:r>
          </w:p>
        </w:tc>
      </w:tr>
      <w:tr w:rsidR="00000000">
        <w:trPr>
          <w:divId w:val="1915507362"/>
        </w:trPr>
        <w:tc>
          <w:tcPr>
            <w:tcW w:w="2185" w:type="pct"/>
            <w:shd w:val="clear" w:color="auto" w:fill="CCEEFF"/>
            <w:tcMar>
              <w:top w:w="0" w:type="dxa"/>
              <w:left w:w="0" w:type="dxa"/>
              <w:bottom w:w="0" w:type="dxa"/>
              <w:right w:w="0" w:type="dxa"/>
            </w:tcMar>
            <w:vAlign w:val="center"/>
            <w:hideMark/>
          </w:tcPr>
          <w:p w:rsidR="00000000" w:rsidRDefault="00E52F77">
            <w:pPr>
              <w:pStyle w:val="a3"/>
              <w:spacing w:before="0" w:beforeAutospacing="0" w:after="0" w:afterAutospacing="0"/>
              <w:rPr>
                <w:sz w:val="20"/>
                <w:szCs w:val="20"/>
              </w:rPr>
            </w:pPr>
            <w:r>
              <w:rPr>
                <w:sz w:val="20"/>
                <w:szCs w:val="20"/>
              </w:rPr>
              <w:t>US government securities</w:t>
            </w:r>
          </w:p>
        </w:tc>
        <w:tc>
          <w:tcPr>
            <w:tcW w:w="9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375"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jc w:val="center"/>
              <w:rPr>
                <w:sz w:val="20"/>
                <w:szCs w:val="20"/>
              </w:rPr>
            </w:pPr>
            <w:r>
              <w:rPr>
                <w:sz w:val="20"/>
                <w:szCs w:val="20"/>
              </w:rPr>
              <w:t>Level 1</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20,014</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3</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97"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20,017</w:t>
            </w:r>
          </w:p>
        </w:tc>
      </w:tr>
      <w:tr w:rsidR="00000000">
        <w:trPr>
          <w:divId w:val="1915507362"/>
        </w:trPr>
        <w:tc>
          <w:tcPr>
            <w:tcW w:w="218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Commercial paper</w:t>
            </w:r>
          </w:p>
        </w:tc>
        <w:tc>
          <w:tcPr>
            <w:tcW w:w="9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375" w:type="pct"/>
            <w:noWrap/>
            <w:tcMar>
              <w:top w:w="0" w:type="dxa"/>
              <w:left w:w="0" w:type="dxa"/>
              <w:bottom w:w="0" w:type="dxa"/>
              <w:right w:w="0" w:type="dxa"/>
            </w:tcMar>
            <w:vAlign w:val="center"/>
            <w:hideMark/>
          </w:tcPr>
          <w:p w:rsidR="00000000" w:rsidRDefault="00E52F77">
            <w:pPr>
              <w:pStyle w:val="a3"/>
              <w:spacing w:before="0" w:beforeAutospacing="0" w:after="0" w:afterAutospacing="0"/>
              <w:jc w:val="center"/>
              <w:rPr>
                <w:sz w:val="20"/>
                <w:szCs w:val="20"/>
              </w:rPr>
            </w:pPr>
            <w:r>
              <w:rPr>
                <w:sz w:val="20"/>
                <w:szCs w:val="20"/>
              </w:rPr>
              <w:t>Level 2</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52,868</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5</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97" w:type="pct"/>
            <w:tcBorders>
              <w:bottom w:val="single" w:sz="6" w:space="0" w:color="000000"/>
            </w:tcBorders>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52,873</w:t>
            </w:r>
          </w:p>
        </w:tc>
      </w:tr>
      <w:tr w:rsidR="00000000">
        <w:trPr>
          <w:divId w:val="1915507362"/>
        </w:trPr>
        <w:tc>
          <w:tcPr>
            <w:tcW w:w="2185"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left="120"/>
              <w:rPr>
                <w:sz w:val="20"/>
                <w:szCs w:val="20"/>
              </w:rPr>
            </w:pPr>
            <w:r>
              <w:rPr>
                <w:sz w:val="20"/>
                <w:szCs w:val="20"/>
              </w:rPr>
              <w:t>Marketable securities</w:t>
            </w:r>
          </w:p>
        </w:tc>
        <w:tc>
          <w:tcPr>
            <w:tcW w:w="9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375"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jc w:val="center"/>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72,882</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8</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97"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72,890</w:t>
            </w:r>
          </w:p>
        </w:tc>
      </w:tr>
      <w:tr w:rsidR="00000000">
        <w:trPr>
          <w:divId w:val="1915507362"/>
        </w:trPr>
        <w:tc>
          <w:tcPr>
            <w:tcW w:w="218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 xml:space="preserve">Money market funds </w:t>
            </w:r>
          </w:p>
        </w:tc>
        <w:tc>
          <w:tcPr>
            <w:tcW w:w="9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375" w:type="pct"/>
            <w:noWrap/>
            <w:tcMar>
              <w:top w:w="0" w:type="dxa"/>
              <w:left w:w="0" w:type="dxa"/>
              <w:bottom w:w="0" w:type="dxa"/>
              <w:right w:w="0" w:type="dxa"/>
            </w:tcMar>
            <w:vAlign w:val="center"/>
            <w:hideMark/>
          </w:tcPr>
          <w:p w:rsidR="00000000" w:rsidRDefault="00E52F77">
            <w:pPr>
              <w:pStyle w:val="a3"/>
              <w:spacing w:before="0" w:beforeAutospacing="0" w:after="0" w:afterAutospacing="0"/>
              <w:jc w:val="center"/>
              <w:rPr>
                <w:sz w:val="20"/>
                <w:szCs w:val="20"/>
              </w:rPr>
            </w:pPr>
            <w:r>
              <w:rPr>
                <w:sz w:val="20"/>
                <w:szCs w:val="20"/>
              </w:rPr>
              <w:t>Level 1</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162,607</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97" w:type="pct"/>
            <w:tcBorders>
              <w:bottom w:val="single" w:sz="6" w:space="0" w:color="000000"/>
            </w:tcBorders>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162,607</w:t>
            </w:r>
          </w:p>
        </w:tc>
      </w:tr>
      <w:tr w:rsidR="00000000">
        <w:trPr>
          <w:divId w:val="1915507362"/>
        </w:trPr>
        <w:tc>
          <w:tcPr>
            <w:tcW w:w="2185" w:type="pct"/>
            <w:shd w:val="clear" w:color="auto" w:fill="CCEEFF"/>
            <w:tcMar>
              <w:top w:w="0" w:type="dxa"/>
              <w:left w:w="0" w:type="dxa"/>
              <w:bottom w:w="0" w:type="dxa"/>
              <w:right w:w="0" w:type="dxa"/>
            </w:tcMar>
            <w:vAlign w:val="center"/>
            <w:hideMark/>
          </w:tcPr>
          <w:p w:rsidR="00000000" w:rsidRDefault="00E52F77">
            <w:pPr>
              <w:pStyle w:val="a3"/>
              <w:spacing w:before="0" w:beforeAutospacing="0" w:after="0" w:afterAutospacing="0"/>
              <w:ind w:left="240"/>
              <w:rPr>
                <w:sz w:val="20"/>
                <w:szCs w:val="20"/>
              </w:rPr>
            </w:pPr>
            <w:r>
              <w:rPr>
                <w:sz w:val="20"/>
                <w:szCs w:val="20"/>
              </w:rPr>
              <w:t xml:space="preserve">Total </w:t>
            </w:r>
          </w:p>
        </w:tc>
        <w:tc>
          <w:tcPr>
            <w:tcW w:w="9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37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left="24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235,489</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8</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97"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235,497</w:t>
            </w:r>
          </w:p>
        </w:tc>
      </w:tr>
    </w:tbl>
    <w:p w:rsidR="00000000" w:rsidRDefault="00E52F77">
      <w:pPr>
        <w:pStyle w:val="a3"/>
        <w:spacing w:before="0" w:beforeAutospacing="0" w:after="0" w:afterAutospacing="0"/>
        <w:divId w:val="1915507362"/>
        <w:rPr>
          <w:sz w:val="20"/>
          <w:szCs w:val="20"/>
        </w:rPr>
      </w:pPr>
      <w:r>
        <w:rPr>
          <w:sz w:val="10"/>
          <w:szCs w:val="10"/>
        </w:rPr>
        <w:t>​</w:t>
      </w:r>
    </w:p>
    <w:p w:rsidR="00000000" w:rsidRDefault="00E52F77">
      <w:pPr>
        <w:pStyle w:val="a3"/>
        <w:spacing w:before="0" w:beforeAutospacing="0" w:after="0" w:afterAutospacing="0"/>
        <w:divId w:val="1915507362"/>
        <w:rPr>
          <w:sz w:val="20"/>
          <w:szCs w:val="20"/>
        </w:rPr>
      </w:pPr>
      <w:r>
        <w:rPr>
          <w:sz w:val="10"/>
          <w:szCs w:val="10"/>
        </w:rPr>
        <w:t>​</w:t>
      </w:r>
    </w:p>
    <w:p w:rsidR="00000000" w:rsidRDefault="00E52F77">
      <w:pPr>
        <w:pStyle w:val="a3"/>
        <w:spacing w:before="360" w:beforeAutospacing="0" w:after="0" w:afterAutospacing="0"/>
        <w:jc w:val="center"/>
        <w:divId w:val="727342423"/>
        <w:rPr>
          <w:sz w:val="20"/>
          <w:szCs w:val="20"/>
        </w:rPr>
      </w:pPr>
      <w:r>
        <w:rPr>
          <w:sz w:val="20"/>
          <w:szCs w:val="20"/>
        </w:rPr>
        <w:t>12</w:t>
      </w:r>
    </w:p>
    <w:p w:rsidR="00000000" w:rsidRDefault="00E52F77">
      <w:pPr>
        <w:pStyle w:val="a3"/>
        <w:spacing w:before="0" w:beforeAutospacing="0" w:after="600" w:afterAutospacing="0"/>
        <w:divId w:val="1013454427"/>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3620"/>
        <w:gridCol w:w="160"/>
        <w:gridCol w:w="606"/>
        <w:gridCol w:w="160"/>
        <w:gridCol w:w="140"/>
        <w:gridCol w:w="720"/>
        <w:gridCol w:w="160"/>
        <w:gridCol w:w="152"/>
        <w:gridCol w:w="625"/>
        <w:gridCol w:w="160"/>
        <w:gridCol w:w="152"/>
        <w:gridCol w:w="625"/>
        <w:gridCol w:w="160"/>
        <w:gridCol w:w="146"/>
        <w:gridCol w:w="720"/>
      </w:tblGrid>
      <w:tr w:rsidR="00000000">
        <w:trPr>
          <w:divId w:val="753169272"/>
          <w:trHeight w:val="20"/>
        </w:trPr>
        <w:tc>
          <w:tcPr>
            <w:tcW w:w="2185" w:type="pct"/>
            <w:tcMar>
              <w:top w:w="0" w:type="dxa"/>
              <w:left w:w="0" w:type="dxa"/>
              <w:bottom w:w="0" w:type="dxa"/>
              <w:right w:w="0" w:type="dxa"/>
            </w:tcMar>
            <w:vAlign w:val="center"/>
            <w:hideMark/>
          </w:tcPr>
          <w:p w:rsidR="00000000" w:rsidRDefault="00E52F77">
            <w:pPr>
              <w:pStyle w:val="a3"/>
              <w:spacing w:before="0" w:beforeAutospacing="0" w:after="0" w:afterAutospacing="0"/>
              <w:divId w:val="708258910"/>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626279574"/>
              <w:rPr>
                <w:sz w:val="20"/>
                <w:szCs w:val="20"/>
              </w:rPr>
            </w:pPr>
            <w:r>
              <w:rPr>
                <w:sz w:val="2"/>
                <w:szCs w:val="2"/>
              </w:rPr>
              <w:t>​</w:t>
            </w:r>
          </w:p>
        </w:tc>
        <w:tc>
          <w:tcPr>
            <w:tcW w:w="375" w:type="pct"/>
            <w:noWrap/>
            <w:tcMar>
              <w:top w:w="0" w:type="dxa"/>
              <w:left w:w="0" w:type="dxa"/>
              <w:bottom w:w="0" w:type="dxa"/>
              <w:right w:w="0" w:type="dxa"/>
            </w:tcMar>
            <w:vAlign w:val="center"/>
            <w:hideMark/>
          </w:tcPr>
          <w:p w:rsidR="00000000" w:rsidRDefault="00E52F77">
            <w:pPr>
              <w:pStyle w:val="a3"/>
              <w:spacing w:before="0" w:beforeAutospacing="0" w:after="0" w:afterAutospacing="0"/>
              <w:divId w:val="1306743049"/>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62801314"/>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858928251"/>
              <w:rPr>
                <w:sz w:val="20"/>
                <w:szCs w:val="20"/>
              </w:rPr>
            </w:pPr>
            <w:r>
              <w:rPr>
                <w:sz w:val="2"/>
                <w:szCs w:val="2"/>
              </w:rPr>
              <w:t>​</w:t>
            </w:r>
          </w:p>
        </w:tc>
        <w:tc>
          <w:tcPr>
            <w:tcW w:w="385" w:type="pct"/>
            <w:noWrap/>
            <w:tcMar>
              <w:top w:w="0" w:type="dxa"/>
              <w:left w:w="0" w:type="dxa"/>
              <w:bottom w:w="0" w:type="dxa"/>
              <w:right w:w="0" w:type="dxa"/>
            </w:tcMar>
            <w:vAlign w:val="center"/>
            <w:hideMark/>
          </w:tcPr>
          <w:p w:rsidR="00000000" w:rsidRDefault="00E52F77">
            <w:pPr>
              <w:pStyle w:val="a3"/>
              <w:spacing w:before="0" w:beforeAutospacing="0" w:after="0" w:afterAutospacing="0"/>
              <w:divId w:val="232008817"/>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702246488"/>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202328799"/>
              <w:rPr>
                <w:sz w:val="20"/>
                <w:szCs w:val="20"/>
              </w:rPr>
            </w:pPr>
            <w:r>
              <w:rPr>
                <w:sz w:val="2"/>
                <w:szCs w:val="2"/>
              </w:rPr>
              <w:t>​</w:t>
            </w:r>
          </w:p>
        </w:tc>
        <w:tc>
          <w:tcPr>
            <w:tcW w:w="385" w:type="pct"/>
            <w:noWrap/>
            <w:tcMar>
              <w:top w:w="0" w:type="dxa"/>
              <w:left w:w="0" w:type="dxa"/>
              <w:bottom w:w="0" w:type="dxa"/>
              <w:right w:w="0" w:type="dxa"/>
            </w:tcMar>
            <w:vAlign w:val="center"/>
            <w:hideMark/>
          </w:tcPr>
          <w:p w:rsidR="00000000" w:rsidRDefault="00E52F77">
            <w:pPr>
              <w:pStyle w:val="a3"/>
              <w:spacing w:before="0" w:beforeAutospacing="0" w:after="0" w:afterAutospacing="0"/>
              <w:divId w:val="2092896765"/>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592930243"/>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454755020"/>
              <w:rPr>
                <w:sz w:val="20"/>
                <w:szCs w:val="20"/>
              </w:rPr>
            </w:pPr>
            <w:r>
              <w:rPr>
                <w:sz w:val="2"/>
                <w:szCs w:val="2"/>
              </w:rPr>
              <w:t>​</w:t>
            </w:r>
          </w:p>
        </w:tc>
        <w:tc>
          <w:tcPr>
            <w:tcW w:w="385" w:type="pct"/>
            <w:noWrap/>
            <w:tcMar>
              <w:top w:w="0" w:type="dxa"/>
              <w:left w:w="0" w:type="dxa"/>
              <w:bottom w:w="0" w:type="dxa"/>
              <w:right w:w="0" w:type="dxa"/>
            </w:tcMar>
            <w:vAlign w:val="center"/>
            <w:hideMark/>
          </w:tcPr>
          <w:p w:rsidR="00000000" w:rsidRDefault="00E52F77">
            <w:pPr>
              <w:pStyle w:val="a3"/>
              <w:spacing w:before="0" w:beforeAutospacing="0" w:after="0" w:afterAutospacing="0"/>
              <w:divId w:val="703560545"/>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534542796"/>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27862485"/>
              <w:rPr>
                <w:sz w:val="20"/>
                <w:szCs w:val="20"/>
              </w:rPr>
            </w:pPr>
            <w:r>
              <w:rPr>
                <w:sz w:val="2"/>
                <w:szCs w:val="2"/>
              </w:rPr>
              <w:t>​</w:t>
            </w:r>
          </w:p>
        </w:tc>
        <w:tc>
          <w:tcPr>
            <w:tcW w:w="397" w:type="pct"/>
            <w:noWrap/>
            <w:tcMar>
              <w:top w:w="0" w:type="dxa"/>
              <w:left w:w="0" w:type="dxa"/>
              <w:bottom w:w="0" w:type="dxa"/>
              <w:right w:w="0" w:type="dxa"/>
            </w:tcMar>
            <w:vAlign w:val="center"/>
            <w:hideMark/>
          </w:tcPr>
          <w:p w:rsidR="00000000" w:rsidRDefault="00E52F77">
            <w:pPr>
              <w:pStyle w:val="a3"/>
              <w:spacing w:before="0" w:beforeAutospacing="0" w:after="0" w:afterAutospacing="0"/>
              <w:divId w:val="179858012"/>
              <w:rPr>
                <w:sz w:val="20"/>
                <w:szCs w:val="20"/>
              </w:rPr>
            </w:pPr>
            <w:r>
              <w:rPr>
                <w:sz w:val="2"/>
                <w:szCs w:val="2"/>
              </w:rPr>
              <w:t>​</w:t>
            </w:r>
          </w:p>
        </w:tc>
      </w:tr>
      <w:tr w:rsidR="00000000">
        <w:trPr>
          <w:divId w:val="753169272"/>
        </w:trPr>
        <w:tc>
          <w:tcPr>
            <w:tcW w:w="218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9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37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2243" w:type="pct"/>
            <w:gridSpan w:val="11"/>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December 31, 2020</w:t>
            </w:r>
          </w:p>
        </w:tc>
      </w:tr>
      <w:tr w:rsidR="00000000">
        <w:trPr>
          <w:divId w:val="753169272"/>
        </w:trPr>
        <w:tc>
          <w:tcPr>
            <w:tcW w:w="218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9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37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3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484"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Gross</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484"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Gross</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39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r>
      <w:tr w:rsidR="00000000">
        <w:trPr>
          <w:divId w:val="753169272"/>
        </w:trPr>
        <w:tc>
          <w:tcPr>
            <w:tcW w:w="218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9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37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84"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Amortized</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84"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Unrealized</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84"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Unrealized</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96"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Estimated</w:t>
            </w:r>
          </w:p>
        </w:tc>
      </w:tr>
      <w:tr w:rsidR="00000000">
        <w:trPr>
          <w:divId w:val="753169272"/>
        </w:trPr>
        <w:tc>
          <w:tcPr>
            <w:tcW w:w="2185" w:type="pct"/>
            <w:tcBorders>
              <w:bottom w:val="single" w:sz="6" w:space="0" w:color="000000"/>
            </w:tcBorders>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(In thousands)</w:t>
            </w:r>
          </w:p>
        </w:tc>
        <w:tc>
          <w:tcPr>
            <w:tcW w:w="9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37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Cost</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Gains</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Losses</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96"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Fair Value</w:t>
            </w:r>
          </w:p>
        </w:tc>
      </w:tr>
      <w:tr w:rsidR="00000000">
        <w:trPr>
          <w:divId w:val="753169272"/>
        </w:trPr>
        <w:tc>
          <w:tcPr>
            <w:tcW w:w="2185" w:type="pct"/>
            <w:shd w:val="clear" w:color="auto" w:fill="CCEEFF"/>
            <w:tcMar>
              <w:top w:w="0" w:type="dxa"/>
              <w:left w:w="0" w:type="dxa"/>
              <w:bottom w:w="0" w:type="dxa"/>
              <w:right w:w="0" w:type="dxa"/>
            </w:tcMar>
            <w:vAlign w:val="center"/>
            <w:hideMark/>
          </w:tcPr>
          <w:p w:rsidR="00000000" w:rsidRDefault="00E52F77">
            <w:pPr>
              <w:pStyle w:val="a3"/>
              <w:spacing w:before="0" w:beforeAutospacing="0" w:after="0" w:afterAutospacing="0"/>
              <w:rPr>
                <w:sz w:val="20"/>
                <w:szCs w:val="20"/>
              </w:rPr>
            </w:pPr>
            <w:r>
              <w:rPr>
                <w:sz w:val="20"/>
                <w:szCs w:val="20"/>
              </w:rPr>
              <w:t>US government securities</w:t>
            </w:r>
          </w:p>
        </w:tc>
        <w:tc>
          <w:tcPr>
            <w:tcW w:w="9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375"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jc w:val="center"/>
              <w:rPr>
                <w:sz w:val="20"/>
                <w:szCs w:val="20"/>
              </w:rPr>
            </w:pPr>
            <w:r>
              <w:rPr>
                <w:sz w:val="20"/>
                <w:szCs w:val="20"/>
              </w:rPr>
              <w:t>Level 1</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75,036</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34</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97"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75,070</w:t>
            </w:r>
          </w:p>
        </w:tc>
      </w:tr>
      <w:tr w:rsidR="00000000">
        <w:trPr>
          <w:divId w:val="753169272"/>
        </w:trPr>
        <w:tc>
          <w:tcPr>
            <w:tcW w:w="2185" w:type="pct"/>
            <w:tcMar>
              <w:top w:w="0" w:type="dxa"/>
              <w:left w:w="0" w:type="dxa"/>
              <w:bottom w:w="0" w:type="dxa"/>
              <w:right w:w="0" w:type="dxa"/>
            </w:tcMar>
            <w:vAlign w:val="center"/>
            <w:hideMark/>
          </w:tcPr>
          <w:p w:rsidR="00000000" w:rsidRDefault="00E52F77">
            <w:pPr>
              <w:pStyle w:val="a3"/>
              <w:spacing w:before="0" w:beforeAutospacing="0" w:after="0" w:afterAutospacing="0"/>
              <w:rPr>
                <w:sz w:val="20"/>
                <w:szCs w:val="20"/>
              </w:rPr>
            </w:pPr>
            <w:r>
              <w:rPr>
                <w:sz w:val="20"/>
                <w:szCs w:val="20"/>
              </w:rPr>
              <w:t>US government agency securities</w:t>
            </w:r>
          </w:p>
        </w:tc>
        <w:tc>
          <w:tcPr>
            <w:tcW w:w="9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375" w:type="pct"/>
            <w:noWrap/>
            <w:tcMar>
              <w:top w:w="0" w:type="dxa"/>
              <w:left w:w="0" w:type="dxa"/>
              <w:bottom w:w="0" w:type="dxa"/>
              <w:right w:w="0" w:type="dxa"/>
            </w:tcMar>
            <w:vAlign w:val="center"/>
            <w:hideMark/>
          </w:tcPr>
          <w:p w:rsidR="00000000" w:rsidRDefault="00E52F77">
            <w:pPr>
              <w:pStyle w:val="a3"/>
              <w:spacing w:before="0" w:beforeAutospacing="0" w:after="0" w:afterAutospacing="0"/>
              <w:jc w:val="center"/>
              <w:rPr>
                <w:sz w:val="20"/>
                <w:szCs w:val="20"/>
              </w:rPr>
            </w:pPr>
            <w:r>
              <w:rPr>
                <w:sz w:val="20"/>
                <w:szCs w:val="20"/>
              </w:rPr>
              <w:t>Level 2</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 </w:t>
            </w:r>
          </w:p>
        </w:tc>
        <w:tc>
          <w:tcPr>
            <w:tcW w:w="385" w:type="pct"/>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74,971</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 </w:t>
            </w:r>
          </w:p>
        </w:tc>
        <w:tc>
          <w:tcPr>
            <w:tcW w:w="385" w:type="pct"/>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18</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 </w:t>
            </w:r>
          </w:p>
        </w:tc>
        <w:tc>
          <w:tcPr>
            <w:tcW w:w="385" w:type="pct"/>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 </w:t>
            </w:r>
          </w:p>
        </w:tc>
        <w:tc>
          <w:tcPr>
            <w:tcW w:w="397" w:type="pct"/>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74,989</w:t>
            </w:r>
          </w:p>
        </w:tc>
      </w:tr>
      <w:tr w:rsidR="00000000">
        <w:trPr>
          <w:divId w:val="753169272"/>
        </w:trPr>
        <w:tc>
          <w:tcPr>
            <w:tcW w:w="2185" w:type="pct"/>
            <w:shd w:val="clear" w:color="auto" w:fill="CCEEFF"/>
            <w:tcMar>
              <w:top w:w="0" w:type="dxa"/>
              <w:left w:w="0" w:type="dxa"/>
              <w:bottom w:w="0" w:type="dxa"/>
              <w:right w:w="0" w:type="dxa"/>
            </w:tcMar>
            <w:vAlign w:val="center"/>
            <w:hideMark/>
          </w:tcPr>
          <w:p w:rsidR="00000000" w:rsidRDefault="00E52F77">
            <w:pPr>
              <w:pStyle w:val="a3"/>
              <w:spacing w:before="0" w:beforeAutospacing="0" w:after="0" w:afterAutospacing="0"/>
              <w:rPr>
                <w:sz w:val="20"/>
                <w:szCs w:val="20"/>
              </w:rPr>
            </w:pPr>
            <w:r>
              <w:rPr>
                <w:sz w:val="20"/>
                <w:szCs w:val="20"/>
              </w:rPr>
              <w:t>Corporate notes</w:t>
            </w:r>
          </w:p>
        </w:tc>
        <w:tc>
          <w:tcPr>
            <w:tcW w:w="9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375"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jc w:val="center"/>
              <w:rPr>
                <w:sz w:val="20"/>
                <w:szCs w:val="20"/>
              </w:rPr>
            </w:pPr>
            <w:r>
              <w:rPr>
                <w:sz w:val="20"/>
                <w:szCs w:val="20"/>
              </w:rPr>
              <w:t>Level 2</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 </w:t>
            </w:r>
          </w:p>
        </w:tc>
        <w:tc>
          <w:tcPr>
            <w:tcW w:w="385"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5,046</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 </w:t>
            </w:r>
          </w:p>
        </w:tc>
        <w:tc>
          <w:tcPr>
            <w:tcW w:w="385"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 </w:t>
            </w:r>
          </w:p>
        </w:tc>
        <w:tc>
          <w:tcPr>
            <w:tcW w:w="385"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jc w:val="right"/>
              <w:rPr>
                <w:sz w:val="20"/>
                <w:szCs w:val="20"/>
              </w:rPr>
            </w:pPr>
            <w:r>
              <w:rPr>
                <w:sz w:val="20"/>
                <w:szCs w:val="20"/>
              </w:rPr>
              <w:t>(1)</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 </w:t>
            </w:r>
          </w:p>
        </w:tc>
        <w:tc>
          <w:tcPr>
            <w:tcW w:w="397"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5,045</w:t>
            </w:r>
          </w:p>
        </w:tc>
      </w:tr>
      <w:tr w:rsidR="00000000">
        <w:trPr>
          <w:divId w:val="753169272"/>
        </w:trPr>
        <w:tc>
          <w:tcPr>
            <w:tcW w:w="218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Commercial paper</w:t>
            </w:r>
          </w:p>
        </w:tc>
        <w:tc>
          <w:tcPr>
            <w:tcW w:w="9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375" w:type="pct"/>
            <w:noWrap/>
            <w:tcMar>
              <w:top w:w="0" w:type="dxa"/>
              <w:left w:w="0" w:type="dxa"/>
              <w:bottom w:w="0" w:type="dxa"/>
              <w:right w:w="0" w:type="dxa"/>
            </w:tcMar>
            <w:vAlign w:val="center"/>
            <w:hideMark/>
          </w:tcPr>
          <w:p w:rsidR="00000000" w:rsidRDefault="00E52F77">
            <w:pPr>
              <w:pStyle w:val="a3"/>
              <w:spacing w:before="0" w:beforeAutospacing="0" w:after="0" w:afterAutospacing="0"/>
              <w:jc w:val="center"/>
              <w:rPr>
                <w:sz w:val="20"/>
                <w:szCs w:val="20"/>
              </w:rPr>
            </w:pPr>
            <w:r>
              <w:rPr>
                <w:sz w:val="20"/>
                <w:szCs w:val="20"/>
              </w:rPr>
              <w:t>Level 2</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56,374</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1</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rsidR="00000000" w:rsidRDefault="00E52F77">
            <w:pPr>
              <w:pStyle w:val="a3"/>
              <w:spacing w:before="0" w:beforeAutospacing="0" w:after="0" w:afterAutospacing="0"/>
              <w:jc w:val="right"/>
              <w:rPr>
                <w:sz w:val="20"/>
                <w:szCs w:val="20"/>
              </w:rPr>
            </w:pPr>
            <w:r>
              <w:rPr>
                <w:sz w:val="20"/>
                <w:szCs w:val="20"/>
              </w:rPr>
              <w:t>(5)</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97" w:type="pct"/>
            <w:tcBorders>
              <w:bottom w:val="single" w:sz="6" w:space="0" w:color="000000"/>
            </w:tcBorders>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56,370</w:t>
            </w:r>
          </w:p>
        </w:tc>
      </w:tr>
      <w:tr w:rsidR="00000000">
        <w:trPr>
          <w:divId w:val="753169272"/>
        </w:trPr>
        <w:tc>
          <w:tcPr>
            <w:tcW w:w="2185"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left="120"/>
              <w:rPr>
                <w:sz w:val="20"/>
                <w:szCs w:val="20"/>
              </w:rPr>
            </w:pPr>
            <w:r>
              <w:rPr>
                <w:sz w:val="20"/>
                <w:szCs w:val="20"/>
              </w:rPr>
              <w:t>Marketable securities</w:t>
            </w:r>
          </w:p>
        </w:tc>
        <w:tc>
          <w:tcPr>
            <w:tcW w:w="9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375"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jc w:val="center"/>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211,427</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53</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jc w:val="right"/>
              <w:rPr>
                <w:sz w:val="20"/>
                <w:szCs w:val="20"/>
              </w:rPr>
            </w:pPr>
            <w:r>
              <w:rPr>
                <w:sz w:val="20"/>
                <w:szCs w:val="20"/>
              </w:rPr>
              <w:t>(6)</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97"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211,474</w:t>
            </w:r>
          </w:p>
        </w:tc>
      </w:tr>
      <w:tr w:rsidR="00000000">
        <w:trPr>
          <w:divId w:val="753169272"/>
        </w:trPr>
        <w:tc>
          <w:tcPr>
            <w:tcW w:w="218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 xml:space="preserve">Money market funds </w:t>
            </w:r>
          </w:p>
        </w:tc>
        <w:tc>
          <w:tcPr>
            <w:tcW w:w="97"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375" w:type="pct"/>
            <w:noWrap/>
            <w:tcMar>
              <w:top w:w="0" w:type="dxa"/>
              <w:left w:w="0" w:type="dxa"/>
              <w:bottom w:w="0" w:type="dxa"/>
              <w:right w:w="0" w:type="dxa"/>
            </w:tcMar>
            <w:vAlign w:val="center"/>
            <w:hideMark/>
          </w:tcPr>
          <w:p w:rsidR="00000000" w:rsidRDefault="00E52F77">
            <w:pPr>
              <w:pStyle w:val="a3"/>
              <w:spacing w:before="0" w:beforeAutospacing="0" w:after="0" w:afterAutospacing="0"/>
              <w:jc w:val="center"/>
              <w:rPr>
                <w:sz w:val="20"/>
                <w:szCs w:val="20"/>
              </w:rPr>
            </w:pPr>
            <w:r>
              <w:rPr>
                <w:sz w:val="20"/>
                <w:szCs w:val="20"/>
              </w:rPr>
              <w:t>Level 1</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97" w:type="pct"/>
            <w:tcBorders>
              <w:bottom w:val="single" w:sz="6" w:space="0" w:color="000000"/>
            </w:tcBorders>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w:t>
            </w:r>
          </w:p>
        </w:tc>
      </w:tr>
      <w:tr w:rsidR="00000000">
        <w:trPr>
          <w:divId w:val="753169272"/>
        </w:trPr>
        <w:tc>
          <w:tcPr>
            <w:tcW w:w="2185" w:type="pct"/>
            <w:shd w:val="clear" w:color="auto" w:fill="CCEEFF"/>
            <w:tcMar>
              <w:top w:w="0" w:type="dxa"/>
              <w:left w:w="0" w:type="dxa"/>
              <w:bottom w:w="0" w:type="dxa"/>
              <w:right w:w="0" w:type="dxa"/>
            </w:tcMar>
            <w:vAlign w:val="center"/>
            <w:hideMark/>
          </w:tcPr>
          <w:p w:rsidR="00000000" w:rsidRDefault="00E52F77">
            <w:pPr>
              <w:pStyle w:val="a3"/>
              <w:spacing w:before="0" w:beforeAutospacing="0" w:after="0" w:afterAutospacing="0"/>
              <w:ind w:left="240"/>
              <w:rPr>
                <w:sz w:val="20"/>
                <w:szCs w:val="20"/>
              </w:rPr>
            </w:pPr>
            <w:r>
              <w:rPr>
                <w:sz w:val="20"/>
                <w:szCs w:val="20"/>
              </w:rPr>
              <w:t xml:space="preserve">Total </w:t>
            </w:r>
          </w:p>
        </w:tc>
        <w:tc>
          <w:tcPr>
            <w:tcW w:w="9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37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211,427</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53</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jc w:val="right"/>
              <w:rPr>
                <w:sz w:val="20"/>
                <w:szCs w:val="20"/>
              </w:rPr>
            </w:pPr>
            <w:r>
              <w:rPr>
                <w:sz w:val="20"/>
                <w:szCs w:val="20"/>
              </w:rPr>
              <w:t>(6)</w:t>
            </w:r>
          </w:p>
        </w:tc>
        <w:tc>
          <w:tcPr>
            <w:tcW w:w="9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97"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211,474</w:t>
            </w:r>
          </w:p>
        </w:tc>
      </w:tr>
    </w:tbl>
    <w:p w:rsidR="00000000" w:rsidRDefault="00E52F77">
      <w:pPr>
        <w:pStyle w:val="a3"/>
        <w:spacing w:before="0" w:beforeAutospacing="0" w:after="0" w:afterAutospacing="0"/>
        <w:divId w:val="753169272"/>
        <w:rPr>
          <w:sz w:val="20"/>
          <w:szCs w:val="20"/>
        </w:rPr>
      </w:pPr>
      <w:r>
        <w:rPr>
          <w:sz w:val="20"/>
          <w:szCs w:val="20"/>
        </w:rPr>
        <w:t>​</w:t>
      </w:r>
    </w:p>
    <w:p w:rsidR="00000000" w:rsidRDefault="00E52F77">
      <w:pPr>
        <w:pStyle w:val="a3"/>
        <w:spacing w:before="0" w:beforeAutospacing="0" w:after="0" w:afterAutospacing="0"/>
        <w:ind w:firstLine="720"/>
        <w:divId w:val="753169272"/>
        <w:rPr>
          <w:sz w:val="20"/>
          <w:szCs w:val="20"/>
        </w:rPr>
      </w:pPr>
      <w:r>
        <w:rPr>
          <w:sz w:val="20"/>
          <w:szCs w:val="20"/>
        </w:rPr>
        <w:t>As of June 30, 2021, all of the Company’s available-for-sale securities had contractual maturities within 6 months and the weighted-average maturity of marketable securities was approximately 1 month. There were no transfers between Level 1 and Level 2 dur</w:t>
      </w:r>
      <w:r>
        <w:rPr>
          <w:sz w:val="20"/>
          <w:szCs w:val="20"/>
        </w:rPr>
        <w:t xml:space="preserve">ing the periods presented, and there have been no material changes to the Company’s valuation techniques during the three and six months ended June 30, 2021. </w:t>
      </w:r>
    </w:p>
    <w:p w:rsidR="00000000" w:rsidRDefault="00E52F77">
      <w:pPr>
        <w:pStyle w:val="a3"/>
        <w:spacing w:before="0" w:beforeAutospacing="0" w:after="0" w:afterAutospacing="0"/>
        <w:divId w:val="753169272"/>
        <w:rPr>
          <w:sz w:val="20"/>
          <w:szCs w:val="20"/>
        </w:rPr>
      </w:pPr>
      <w:r>
        <w:rPr>
          <w:sz w:val="20"/>
          <w:szCs w:val="20"/>
        </w:rPr>
        <w:t>​</w:t>
      </w:r>
    </w:p>
    <w:p w:rsidR="00000000" w:rsidRDefault="00E52F77">
      <w:pPr>
        <w:pStyle w:val="a3"/>
        <w:spacing w:before="0" w:beforeAutospacing="0" w:after="0" w:afterAutospacing="0"/>
        <w:ind w:firstLine="720"/>
        <w:divId w:val="753169272"/>
        <w:rPr>
          <w:sz w:val="20"/>
          <w:szCs w:val="20"/>
        </w:rPr>
      </w:pPr>
      <w:r>
        <w:rPr>
          <w:sz w:val="20"/>
          <w:szCs w:val="20"/>
        </w:rPr>
        <w:t>As of June 30, 2021, the Company did not have any available-for-sale debt securities with unrea</w:t>
      </w:r>
      <w:r>
        <w:rPr>
          <w:sz w:val="20"/>
          <w:szCs w:val="20"/>
        </w:rPr>
        <w:t>lized losses. Available-for-sale debt securities with unrealized losses as of December 31, 2020 is summarized below:</w:t>
      </w:r>
    </w:p>
    <w:p w:rsidR="00000000" w:rsidRDefault="00E52F77">
      <w:pPr>
        <w:pStyle w:val="a3"/>
        <w:spacing w:before="0" w:beforeAutospacing="0" w:after="0" w:afterAutospacing="0"/>
        <w:divId w:val="75316927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124"/>
        <w:gridCol w:w="160"/>
        <w:gridCol w:w="128"/>
        <w:gridCol w:w="621"/>
        <w:gridCol w:w="161"/>
        <w:gridCol w:w="148"/>
        <w:gridCol w:w="599"/>
        <w:gridCol w:w="6"/>
        <w:gridCol w:w="151"/>
        <w:gridCol w:w="601"/>
        <w:gridCol w:w="150"/>
        <w:gridCol w:w="150"/>
        <w:gridCol w:w="606"/>
        <w:gridCol w:w="160"/>
        <w:gridCol w:w="147"/>
        <w:gridCol w:w="620"/>
        <w:gridCol w:w="27"/>
        <w:gridCol w:w="157"/>
        <w:gridCol w:w="590"/>
      </w:tblGrid>
      <w:tr w:rsidR="00000000">
        <w:trPr>
          <w:divId w:val="753169272"/>
          <w:trHeight w:val="20"/>
        </w:trPr>
        <w:tc>
          <w:tcPr>
            <w:tcW w:w="1934" w:type="pct"/>
            <w:tcMar>
              <w:top w:w="0" w:type="dxa"/>
              <w:left w:w="0" w:type="dxa"/>
              <w:bottom w:w="0" w:type="dxa"/>
              <w:right w:w="0" w:type="dxa"/>
            </w:tcMar>
            <w:vAlign w:val="center"/>
            <w:hideMark/>
          </w:tcPr>
          <w:p w:rsidR="00000000" w:rsidRDefault="00E52F77">
            <w:pPr>
              <w:pStyle w:val="a3"/>
              <w:spacing w:before="0" w:beforeAutospacing="0" w:after="0" w:afterAutospacing="0"/>
              <w:divId w:val="1825929154"/>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633515267"/>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480998928"/>
              <w:rPr>
                <w:sz w:val="20"/>
                <w:szCs w:val="20"/>
              </w:rPr>
            </w:pPr>
            <w:r>
              <w:rPr>
                <w:sz w:val="2"/>
                <w:szCs w:val="2"/>
              </w:rPr>
              <w:t>​</w:t>
            </w:r>
          </w:p>
        </w:tc>
        <w:tc>
          <w:tcPr>
            <w:tcW w:w="350" w:type="pct"/>
            <w:noWrap/>
            <w:tcMar>
              <w:top w:w="0" w:type="dxa"/>
              <w:left w:w="0" w:type="dxa"/>
              <w:bottom w:w="0" w:type="dxa"/>
              <w:right w:w="0" w:type="dxa"/>
            </w:tcMar>
            <w:vAlign w:val="center"/>
            <w:hideMark/>
          </w:tcPr>
          <w:p w:rsidR="00000000" w:rsidRDefault="00E52F77">
            <w:pPr>
              <w:pStyle w:val="a3"/>
              <w:spacing w:before="0" w:beforeAutospacing="0" w:after="0" w:afterAutospacing="0"/>
              <w:divId w:val="259458899"/>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789669463"/>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8315158"/>
              <w:rPr>
                <w:sz w:val="20"/>
                <w:szCs w:val="20"/>
              </w:rPr>
            </w:pPr>
            <w:r>
              <w:rPr>
                <w:sz w:val="2"/>
                <w:szCs w:val="2"/>
              </w:rPr>
              <w:t>​</w:t>
            </w:r>
          </w:p>
        </w:tc>
        <w:tc>
          <w:tcPr>
            <w:tcW w:w="345" w:type="pct"/>
            <w:noWrap/>
            <w:tcMar>
              <w:top w:w="0" w:type="dxa"/>
              <w:left w:w="0" w:type="dxa"/>
              <w:bottom w:w="0" w:type="dxa"/>
              <w:right w:w="0" w:type="dxa"/>
            </w:tcMar>
            <w:vAlign w:val="center"/>
            <w:hideMark/>
          </w:tcPr>
          <w:p w:rsidR="00000000" w:rsidRDefault="00E52F77">
            <w:pPr>
              <w:pStyle w:val="a3"/>
              <w:spacing w:before="0" w:beforeAutospacing="0" w:after="0" w:afterAutospacing="0"/>
              <w:divId w:val="770783897"/>
              <w:rPr>
                <w:sz w:val="20"/>
                <w:szCs w:val="20"/>
              </w:rPr>
            </w:pPr>
            <w:r>
              <w:rPr>
                <w:sz w:val="2"/>
                <w:szCs w:val="2"/>
              </w:rPr>
              <w:t>​</w:t>
            </w:r>
          </w:p>
        </w:tc>
        <w:tc>
          <w:tcPr>
            <w:tcW w:w="85" w:type="pct"/>
            <w:noWrap/>
            <w:tcMar>
              <w:top w:w="0" w:type="dxa"/>
              <w:left w:w="0" w:type="dxa"/>
              <w:bottom w:w="0" w:type="dxa"/>
              <w:right w:w="0" w:type="dxa"/>
            </w:tcMar>
            <w:vAlign w:val="center"/>
            <w:hideMark/>
          </w:tcPr>
          <w:p w:rsidR="00000000" w:rsidRDefault="00E52F77">
            <w:pPr>
              <w:pStyle w:val="a3"/>
              <w:spacing w:before="0" w:beforeAutospacing="0" w:after="0" w:afterAutospacing="0"/>
              <w:divId w:val="619068749"/>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611737726"/>
              <w:rPr>
                <w:sz w:val="20"/>
                <w:szCs w:val="20"/>
              </w:rPr>
            </w:pPr>
            <w:r>
              <w:rPr>
                <w:sz w:val="2"/>
                <w:szCs w:val="2"/>
              </w:rPr>
              <w:t>​</w:t>
            </w:r>
          </w:p>
        </w:tc>
        <w:tc>
          <w:tcPr>
            <w:tcW w:w="339" w:type="pct"/>
            <w:noWrap/>
            <w:tcMar>
              <w:top w:w="0" w:type="dxa"/>
              <w:left w:w="0" w:type="dxa"/>
              <w:bottom w:w="0" w:type="dxa"/>
              <w:right w:w="0" w:type="dxa"/>
            </w:tcMar>
            <w:vAlign w:val="center"/>
            <w:hideMark/>
          </w:tcPr>
          <w:p w:rsidR="00000000" w:rsidRDefault="00E52F77">
            <w:pPr>
              <w:pStyle w:val="a3"/>
              <w:spacing w:before="0" w:beforeAutospacing="0" w:after="0" w:afterAutospacing="0"/>
              <w:divId w:val="257520278"/>
              <w:rPr>
                <w:sz w:val="20"/>
                <w:szCs w:val="20"/>
              </w:rPr>
            </w:pPr>
            <w:r>
              <w:rPr>
                <w:sz w:val="2"/>
                <w:szCs w:val="2"/>
              </w:rPr>
              <w:t>​</w:t>
            </w:r>
          </w:p>
        </w:tc>
        <w:tc>
          <w:tcPr>
            <w:tcW w:w="85" w:type="pct"/>
            <w:noWrap/>
            <w:tcMar>
              <w:top w:w="0" w:type="dxa"/>
              <w:left w:w="0" w:type="dxa"/>
              <w:bottom w:w="0" w:type="dxa"/>
              <w:right w:w="0" w:type="dxa"/>
            </w:tcMar>
            <w:vAlign w:val="center"/>
            <w:hideMark/>
          </w:tcPr>
          <w:p w:rsidR="00000000" w:rsidRDefault="00E52F77">
            <w:pPr>
              <w:pStyle w:val="a3"/>
              <w:spacing w:before="0" w:beforeAutospacing="0" w:after="0" w:afterAutospacing="0"/>
              <w:divId w:val="1693265969"/>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982877994"/>
              <w:rPr>
                <w:sz w:val="20"/>
                <w:szCs w:val="20"/>
              </w:rPr>
            </w:pPr>
            <w:r>
              <w:rPr>
                <w:sz w:val="2"/>
                <w:szCs w:val="2"/>
              </w:rPr>
              <w:t>​</w:t>
            </w:r>
          </w:p>
        </w:tc>
        <w:tc>
          <w:tcPr>
            <w:tcW w:w="340" w:type="pct"/>
            <w:noWrap/>
            <w:tcMar>
              <w:top w:w="0" w:type="dxa"/>
              <w:left w:w="0" w:type="dxa"/>
              <w:bottom w:w="0" w:type="dxa"/>
              <w:right w:w="0" w:type="dxa"/>
            </w:tcMar>
            <w:vAlign w:val="center"/>
            <w:hideMark/>
          </w:tcPr>
          <w:p w:rsidR="00000000" w:rsidRDefault="00E52F77">
            <w:pPr>
              <w:pStyle w:val="a3"/>
              <w:spacing w:before="0" w:beforeAutospacing="0" w:after="0" w:afterAutospacing="0"/>
              <w:divId w:val="1853228393"/>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585072393"/>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367752611"/>
              <w:rPr>
                <w:sz w:val="20"/>
                <w:szCs w:val="20"/>
              </w:rPr>
            </w:pPr>
            <w:r>
              <w:rPr>
                <w:sz w:val="2"/>
                <w:szCs w:val="2"/>
              </w:rPr>
              <w:t>​</w:t>
            </w:r>
          </w:p>
        </w:tc>
        <w:tc>
          <w:tcPr>
            <w:tcW w:w="339" w:type="pct"/>
            <w:noWrap/>
            <w:tcMar>
              <w:top w:w="0" w:type="dxa"/>
              <w:left w:w="0" w:type="dxa"/>
              <w:bottom w:w="0" w:type="dxa"/>
              <w:right w:w="0" w:type="dxa"/>
            </w:tcMar>
            <w:vAlign w:val="center"/>
            <w:hideMark/>
          </w:tcPr>
          <w:p w:rsidR="00000000" w:rsidRDefault="00E52F77">
            <w:pPr>
              <w:pStyle w:val="a3"/>
              <w:spacing w:before="0" w:beforeAutospacing="0" w:after="0" w:afterAutospacing="0"/>
              <w:divId w:val="1561134804"/>
              <w:rPr>
                <w:sz w:val="20"/>
                <w:szCs w:val="20"/>
              </w:rPr>
            </w:pPr>
            <w:r>
              <w:rPr>
                <w:sz w:val="2"/>
                <w:szCs w:val="2"/>
              </w:rPr>
              <w:t>​</w:t>
            </w:r>
          </w:p>
        </w:tc>
        <w:tc>
          <w:tcPr>
            <w:tcW w:w="85" w:type="pct"/>
            <w:noWrap/>
            <w:tcMar>
              <w:top w:w="0" w:type="dxa"/>
              <w:left w:w="0" w:type="dxa"/>
              <w:bottom w:w="0" w:type="dxa"/>
              <w:right w:w="0" w:type="dxa"/>
            </w:tcMar>
            <w:vAlign w:val="center"/>
            <w:hideMark/>
          </w:tcPr>
          <w:p w:rsidR="00000000" w:rsidRDefault="00E52F77">
            <w:pPr>
              <w:pStyle w:val="a3"/>
              <w:spacing w:before="0" w:beforeAutospacing="0" w:after="0" w:afterAutospacing="0"/>
              <w:divId w:val="1443064710"/>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215434613"/>
              <w:rPr>
                <w:sz w:val="20"/>
                <w:szCs w:val="20"/>
              </w:rPr>
            </w:pPr>
            <w:r>
              <w:rPr>
                <w:sz w:val="2"/>
                <w:szCs w:val="2"/>
              </w:rPr>
              <w:t>​</w:t>
            </w:r>
          </w:p>
        </w:tc>
        <w:tc>
          <w:tcPr>
            <w:tcW w:w="317" w:type="pct"/>
            <w:noWrap/>
            <w:tcMar>
              <w:top w:w="0" w:type="dxa"/>
              <w:left w:w="0" w:type="dxa"/>
              <w:bottom w:w="0" w:type="dxa"/>
              <w:right w:w="0" w:type="dxa"/>
            </w:tcMar>
            <w:vAlign w:val="center"/>
            <w:hideMark/>
          </w:tcPr>
          <w:p w:rsidR="00000000" w:rsidRDefault="00E52F77">
            <w:pPr>
              <w:pStyle w:val="a3"/>
              <w:spacing w:before="0" w:beforeAutospacing="0" w:after="0" w:afterAutospacing="0"/>
              <w:divId w:val="194469921"/>
              <w:rPr>
                <w:sz w:val="20"/>
                <w:szCs w:val="20"/>
              </w:rPr>
            </w:pPr>
            <w:r>
              <w:rPr>
                <w:sz w:val="2"/>
                <w:szCs w:val="2"/>
              </w:rPr>
              <w:t>​</w:t>
            </w:r>
          </w:p>
        </w:tc>
      </w:tr>
      <w:tr w:rsidR="00000000">
        <w:trPr>
          <w:divId w:val="753169272"/>
        </w:trPr>
        <w:tc>
          <w:tcPr>
            <w:tcW w:w="1934"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2"/>
                <w:szCs w:val="22"/>
              </w:rPr>
              <w:t>​</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2"/>
                <w:szCs w:val="22"/>
              </w:rPr>
              <w:t>​</w:t>
            </w:r>
          </w:p>
        </w:tc>
        <w:tc>
          <w:tcPr>
            <w:tcW w:w="2979" w:type="pct"/>
            <w:gridSpan w:val="17"/>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December 31, 2020</w:t>
            </w:r>
          </w:p>
        </w:tc>
      </w:tr>
      <w:tr w:rsidR="00000000">
        <w:trPr>
          <w:divId w:val="753169272"/>
        </w:trPr>
        <w:tc>
          <w:tcPr>
            <w:tcW w:w="1934"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2"/>
                <w:szCs w:val="22"/>
              </w:rPr>
              <w:t>​</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954" w:type="pct"/>
            <w:gridSpan w:val="5"/>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Less than 12 Months</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938" w:type="pct"/>
            <w:gridSpan w:val="5"/>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Greater than 12 Months</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915" w:type="pct"/>
            <w:gridSpan w:val="5"/>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Total</w:t>
            </w:r>
          </w:p>
        </w:tc>
      </w:tr>
      <w:tr w:rsidR="00000000">
        <w:trPr>
          <w:divId w:val="753169272"/>
        </w:trPr>
        <w:tc>
          <w:tcPr>
            <w:tcW w:w="1934"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350"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430"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Gross</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33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26"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Gross</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3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403"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Gross</w:t>
            </w:r>
          </w:p>
        </w:tc>
      </w:tr>
      <w:tr w:rsidR="00000000">
        <w:trPr>
          <w:divId w:val="753169272"/>
        </w:trPr>
        <w:tc>
          <w:tcPr>
            <w:tcW w:w="1934"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37"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Estimated</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30"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Unrealized</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425"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Estimated</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426"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Unrealized</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25"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Estimated</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403"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Unrealized</w:t>
            </w:r>
          </w:p>
        </w:tc>
      </w:tr>
      <w:tr w:rsidR="00000000">
        <w:trPr>
          <w:divId w:val="753169272"/>
        </w:trPr>
        <w:tc>
          <w:tcPr>
            <w:tcW w:w="1934" w:type="pct"/>
            <w:tcBorders>
              <w:bottom w:val="single" w:sz="6" w:space="0" w:color="000000"/>
            </w:tcBorders>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(In thousands)</w:t>
            </w:r>
          </w:p>
        </w:tc>
        <w:tc>
          <w:tcPr>
            <w:tcW w:w="86"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37"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Fair Value</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30"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Losses</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425"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Fair Value</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426"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Losses</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25"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Fair Value</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403"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Losses</w:t>
            </w:r>
          </w:p>
        </w:tc>
      </w:tr>
      <w:tr w:rsidR="00000000">
        <w:trPr>
          <w:divId w:val="753169272"/>
        </w:trPr>
        <w:tc>
          <w:tcPr>
            <w:tcW w:w="1934" w:type="pct"/>
            <w:shd w:val="clear" w:color="auto" w:fill="CCEEFF"/>
            <w:tcMar>
              <w:top w:w="0" w:type="dxa"/>
              <w:left w:w="0" w:type="dxa"/>
              <w:bottom w:w="0" w:type="dxa"/>
              <w:right w:w="0" w:type="dxa"/>
            </w:tcMar>
            <w:vAlign w:val="center"/>
            <w:hideMark/>
          </w:tcPr>
          <w:p w:rsidR="00000000" w:rsidRDefault="00E52F77">
            <w:pPr>
              <w:pStyle w:val="a3"/>
              <w:spacing w:before="0" w:beforeAutospacing="0" w:after="0" w:afterAutospacing="0"/>
              <w:rPr>
                <w:sz w:val="20"/>
                <w:szCs w:val="20"/>
              </w:rPr>
            </w:pPr>
            <w:r>
              <w:rPr>
                <w:sz w:val="20"/>
                <w:szCs w:val="20"/>
              </w:rPr>
              <w:t>Corporate notes</w:t>
            </w:r>
          </w:p>
        </w:tc>
        <w:tc>
          <w:tcPr>
            <w:tcW w:w="8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50"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5,045</w:t>
            </w:r>
          </w:p>
        </w:tc>
        <w:tc>
          <w:tcPr>
            <w:tcW w:w="8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45"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jc w:val="right"/>
              <w:rPr>
                <w:sz w:val="20"/>
                <w:szCs w:val="20"/>
              </w:rPr>
            </w:pPr>
            <w:r>
              <w:rPr>
                <w:sz w:val="20"/>
                <w:szCs w:val="20"/>
              </w:rPr>
              <w:t>(1)</w:t>
            </w:r>
          </w:p>
        </w:tc>
        <w:tc>
          <w:tcPr>
            <w:tcW w:w="85"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39"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40"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39"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5,045</w:t>
            </w:r>
          </w:p>
        </w:tc>
        <w:tc>
          <w:tcPr>
            <w:tcW w:w="85"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17"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jc w:val="right"/>
              <w:rPr>
                <w:sz w:val="20"/>
                <w:szCs w:val="20"/>
              </w:rPr>
            </w:pPr>
            <w:r>
              <w:rPr>
                <w:sz w:val="20"/>
                <w:szCs w:val="20"/>
              </w:rPr>
              <w:t>(1)</w:t>
            </w:r>
          </w:p>
        </w:tc>
      </w:tr>
      <w:tr w:rsidR="00000000">
        <w:trPr>
          <w:divId w:val="753169272"/>
        </w:trPr>
        <w:tc>
          <w:tcPr>
            <w:tcW w:w="1934"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Commercial paper</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50" w:type="pct"/>
            <w:tcBorders>
              <w:bottom w:val="single" w:sz="6" w:space="0" w:color="000000"/>
            </w:tcBorders>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39,375</w:t>
            </w:r>
          </w:p>
        </w:tc>
        <w:tc>
          <w:tcPr>
            <w:tcW w:w="86"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45" w:type="pct"/>
            <w:tcBorders>
              <w:bottom w:val="single" w:sz="6" w:space="0" w:color="000000"/>
            </w:tcBorders>
            <w:noWrap/>
            <w:tcMar>
              <w:top w:w="0" w:type="dxa"/>
              <w:left w:w="0" w:type="dxa"/>
              <w:bottom w:w="0" w:type="dxa"/>
              <w:right w:w="0" w:type="dxa"/>
            </w:tcMar>
            <w:vAlign w:val="center"/>
            <w:hideMark/>
          </w:tcPr>
          <w:p w:rsidR="00000000" w:rsidRDefault="00E52F77">
            <w:pPr>
              <w:pStyle w:val="a3"/>
              <w:spacing w:before="0" w:beforeAutospacing="0" w:after="0" w:afterAutospacing="0"/>
              <w:jc w:val="right"/>
              <w:rPr>
                <w:sz w:val="20"/>
                <w:szCs w:val="20"/>
              </w:rPr>
            </w:pPr>
            <w:r>
              <w:rPr>
                <w:sz w:val="20"/>
                <w:szCs w:val="20"/>
              </w:rPr>
              <w:t>(5)</w:t>
            </w:r>
          </w:p>
        </w:tc>
        <w:tc>
          <w:tcPr>
            <w:tcW w:w="85" w:type="pct"/>
            <w:noWrap/>
            <w:tcMar>
              <w:top w:w="0" w:type="dxa"/>
              <w:left w:w="0" w:type="dxa"/>
              <w:bottom w:w="0" w:type="dxa"/>
              <w:right w:w="0" w:type="dxa"/>
            </w:tcMar>
            <w:vAlign w:val="center"/>
            <w:hideMark/>
          </w:tcPr>
          <w:p w:rsidR="00000000" w:rsidRDefault="00E52F77">
            <w:pPr>
              <w:pStyle w:val="a3"/>
              <w:spacing w:before="0" w:beforeAutospacing="0" w:after="0" w:afterAutospacing="0"/>
              <w:jc w:val="right"/>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39" w:type="pct"/>
            <w:tcBorders>
              <w:bottom w:val="single" w:sz="6" w:space="0" w:color="000000"/>
            </w:tcBorders>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w:t>
            </w:r>
          </w:p>
        </w:tc>
        <w:tc>
          <w:tcPr>
            <w:tcW w:w="85" w:type="pct"/>
            <w:noWrap/>
            <w:tcMar>
              <w:top w:w="0" w:type="dxa"/>
              <w:left w:w="0" w:type="dxa"/>
              <w:bottom w:w="0" w:type="dxa"/>
              <w:right w:w="0" w:type="dxa"/>
            </w:tcMar>
            <w:vAlign w:val="center"/>
            <w:hideMark/>
          </w:tcPr>
          <w:p w:rsidR="00000000" w:rsidRDefault="00E52F77">
            <w:pPr>
              <w:pStyle w:val="a3"/>
              <w:spacing w:before="0" w:beforeAutospacing="0" w:after="0" w:afterAutospacing="0"/>
              <w:jc w:val="right"/>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40" w:type="pct"/>
            <w:tcBorders>
              <w:bottom w:val="single" w:sz="6" w:space="0" w:color="000000"/>
            </w:tcBorders>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39" w:type="pct"/>
            <w:tcBorders>
              <w:bottom w:val="single" w:sz="6" w:space="0" w:color="000000"/>
            </w:tcBorders>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39,375</w:t>
            </w:r>
          </w:p>
        </w:tc>
        <w:tc>
          <w:tcPr>
            <w:tcW w:w="85" w:type="pct"/>
            <w:noWrap/>
            <w:tcMar>
              <w:top w:w="0" w:type="dxa"/>
              <w:left w:w="0" w:type="dxa"/>
              <w:bottom w:w="0" w:type="dxa"/>
              <w:right w:w="0" w:type="dxa"/>
            </w:tcMar>
            <w:vAlign w:val="center"/>
            <w:hideMark/>
          </w:tcPr>
          <w:p w:rsidR="00000000" w:rsidRDefault="00E52F77">
            <w:pPr>
              <w:pStyle w:val="a3"/>
              <w:spacing w:before="0" w:beforeAutospacing="0" w:after="0" w:afterAutospacing="0"/>
              <w:jc w:val="right"/>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17" w:type="pct"/>
            <w:tcBorders>
              <w:bottom w:val="single" w:sz="6" w:space="0" w:color="000000"/>
            </w:tcBorders>
            <w:noWrap/>
            <w:tcMar>
              <w:top w:w="0" w:type="dxa"/>
              <w:left w:w="0" w:type="dxa"/>
              <w:bottom w:w="0" w:type="dxa"/>
              <w:right w:w="0" w:type="dxa"/>
            </w:tcMar>
            <w:vAlign w:val="center"/>
            <w:hideMark/>
          </w:tcPr>
          <w:p w:rsidR="00000000" w:rsidRDefault="00E52F77">
            <w:pPr>
              <w:pStyle w:val="a3"/>
              <w:spacing w:before="0" w:beforeAutospacing="0" w:after="0" w:afterAutospacing="0"/>
              <w:jc w:val="right"/>
              <w:rPr>
                <w:sz w:val="20"/>
                <w:szCs w:val="20"/>
              </w:rPr>
            </w:pPr>
            <w:r>
              <w:rPr>
                <w:sz w:val="20"/>
                <w:szCs w:val="20"/>
              </w:rPr>
              <w:t>(5)</w:t>
            </w:r>
          </w:p>
        </w:tc>
      </w:tr>
      <w:tr w:rsidR="00000000">
        <w:trPr>
          <w:divId w:val="753169272"/>
        </w:trPr>
        <w:tc>
          <w:tcPr>
            <w:tcW w:w="1934" w:type="pct"/>
            <w:shd w:val="clear" w:color="auto" w:fill="CCEEFF"/>
            <w:tcMar>
              <w:top w:w="0" w:type="dxa"/>
              <w:left w:w="0" w:type="dxa"/>
              <w:bottom w:w="0" w:type="dxa"/>
              <w:right w:w="0" w:type="dxa"/>
            </w:tcMar>
            <w:vAlign w:val="center"/>
            <w:hideMark/>
          </w:tcPr>
          <w:p w:rsidR="00000000" w:rsidRDefault="00E52F77">
            <w:pPr>
              <w:pStyle w:val="a3"/>
              <w:spacing w:before="0" w:beforeAutospacing="0" w:after="0" w:afterAutospacing="0"/>
              <w:ind w:left="240"/>
              <w:rPr>
                <w:sz w:val="20"/>
                <w:szCs w:val="20"/>
              </w:rPr>
            </w:pPr>
            <w:r>
              <w:rPr>
                <w:sz w:val="20"/>
                <w:szCs w:val="20"/>
              </w:rPr>
              <w:t>Total</w:t>
            </w:r>
          </w:p>
        </w:tc>
        <w:tc>
          <w:tcPr>
            <w:tcW w:w="8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50"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44,420</w:t>
            </w:r>
          </w:p>
        </w:tc>
        <w:tc>
          <w:tcPr>
            <w:tcW w:w="8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45"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jc w:val="right"/>
              <w:rPr>
                <w:sz w:val="20"/>
                <w:szCs w:val="20"/>
              </w:rPr>
            </w:pPr>
            <w:r>
              <w:rPr>
                <w:sz w:val="20"/>
                <w:szCs w:val="20"/>
              </w:rPr>
              <w:t>(6)</w:t>
            </w:r>
          </w:p>
        </w:tc>
        <w:tc>
          <w:tcPr>
            <w:tcW w:w="85"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jc w:val="right"/>
              <w:rPr>
                <w:sz w:val="20"/>
                <w:szCs w:val="20"/>
              </w:rPr>
            </w:pPr>
            <w:r>
              <w:rPr>
                <w:sz w:val="20"/>
                <w:szCs w:val="20"/>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39"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jc w:val="right"/>
              <w:rPr>
                <w:sz w:val="20"/>
                <w:szCs w:val="20"/>
              </w:rPr>
            </w:pPr>
            <w:r>
              <w:rPr>
                <w:sz w:val="20"/>
                <w:szCs w:val="20"/>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40"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w:t>
            </w:r>
          </w:p>
        </w:tc>
        <w:tc>
          <w:tcPr>
            <w:tcW w:w="85"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39"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44,420</w:t>
            </w:r>
          </w:p>
        </w:tc>
        <w:tc>
          <w:tcPr>
            <w:tcW w:w="85"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jc w:val="right"/>
              <w:rPr>
                <w:sz w:val="20"/>
                <w:szCs w:val="20"/>
              </w:rPr>
            </w:pPr>
            <w:r>
              <w:rPr>
                <w:sz w:val="20"/>
                <w:szCs w:val="20"/>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17"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jc w:val="right"/>
              <w:rPr>
                <w:sz w:val="20"/>
                <w:szCs w:val="20"/>
              </w:rPr>
            </w:pPr>
            <w:r>
              <w:rPr>
                <w:sz w:val="20"/>
                <w:szCs w:val="20"/>
              </w:rPr>
              <w:t>(6)</w:t>
            </w:r>
          </w:p>
        </w:tc>
      </w:tr>
    </w:tbl>
    <w:p w:rsidR="00000000" w:rsidRDefault="00E52F77">
      <w:pPr>
        <w:pStyle w:val="a3"/>
        <w:spacing w:before="0" w:beforeAutospacing="0" w:after="0" w:afterAutospacing="0"/>
        <w:divId w:val="753169272"/>
        <w:rPr>
          <w:sz w:val="20"/>
          <w:szCs w:val="20"/>
        </w:rPr>
      </w:pPr>
      <w:r>
        <w:rPr>
          <w:sz w:val="20"/>
          <w:szCs w:val="20"/>
        </w:rPr>
        <w:t>​</w:t>
      </w:r>
    </w:p>
    <w:p w:rsidR="00000000" w:rsidRDefault="00E52F77">
      <w:pPr>
        <w:pStyle w:val="a3"/>
        <w:spacing w:before="0" w:beforeAutospacing="0" w:after="0" w:afterAutospacing="0"/>
        <w:ind w:firstLine="720"/>
        <w:divId w:val="753169272"/>
        <w:rPr>
          <w:sz w:val="20"/>
          <w:szCs w:val="20"/>
        </w:rPr>
      </w:pPr>
      <w:r>
        <w:rPr>
          <w:sz w:val="20"/>
          <w:szCs w:val="20"/>
        </w:rPr>
        <w:t xml:space="preserve">The Company invests primarily in </w:t>
      </w:r>
      <w:r>
        <w:rPr>
          <w:sz w:val="20"/>
          <w:szCs w:val="20"/>
          <w:shd w:val="clear" w:color="auto" w:fill="FFFFFF"/>
        </w:rPr>
        <w:t xml:space="preserve">high credit quality and short-term maturity </w:t>
      </w:r>
      <w:r>
        <w:rPr>
          <w:sz w:val="20"/>
          <w:szCs w:val="20"/>
        </w:rPr>
        <w:t>debt securities with the intent to hold such securities until maturity at par value. The Company does not intend to sell the investments that are currently in an unrealized loss p</w:t>
      </w:r>
      <w:r>
        <w:rPr>
          <w:sz w:val="20"/>
          <w:szCs w:val="20"/>
        </w:rPr>
        <w:t xml:space="preserve">osition, and it is unlikely that it will be required to sell the investments before recovery of their amortized cost basis, which may be maturity. </w:t>
      </w:r>
      <w:r>
        <w:rPr>
          <w:sz w:val="20"/>
          <w:szCs w:val="20"/>
          <w:shd w:val="clear" w:color="auto" w:fill="FFFFFF"/>
        </w:rPr>
        <w:t>T</w:t>
      </w:r>
      <w:r>
        <w:rPr>
          <w:sz w:val="20"/>
          <w:szCs w:val="20"/>
        </w:rPr>
        <w:t>he Company reviewed its available-for-sale debt securities and determined that there were n</w:t>
      </w:r>
      <w:r>
        <w:rPr>
          <w:sz w:val="20"/>
          <w:szCs w:val="20"/>
        </w:rPr>
        <w:t>o</w:t>
      </w:r>
      <w:r>
        <w:rPr>
          <w:sz w:val="20"/>
          <w:szCs w:val="20"/>
        </w:rPr>
        <w:t xml:space="preserve"> credit-related losses to be recognized as of June 30, 2021.</w:t>
      </w:r>
      <w:r>
        <w:rPr>
          <w:sz w:val="20"/>
          <w:szCs w:val="20"/>
        </w:rPr>
        <w:t xml:space="preserve"> </w:t>
      </w:r>
    </w:p>
    <w:p w:rsidR="00000000" w:rsidRDefault="00E52F77">
      <w:pPr>
        <w:pStyle w:val="a3"/>
        <w:spacing w:before="0" w:beforeAutospacing="0" w:after="0" w:afterAutospacing="0"/>
        <w:divId w:val="753169272"/>
        <w:rPr>
          <w:sz w:val="20"/>
          <w:szCs w:val="20"/>
        </w:rPr>
      </w:pPr>
      <w:r>
        <w:rPr>
          <w:sz w:val="20"/>
          <w:szCs w:val="20"/>
        </w:rPr>
        <w:t>​</w:t>
      </w:r>
    </w:p>
    <w:p w:rsidR="00000000" w:rsidRDefault="00E52F77">
      <w:pPr>
        <w:pStyle w:val="a3"/>
        <w:spacing w:before="0" w:beforeAutospacing="0" w:after="0" w:afterAutospacing="0"/>
        <w:ind w:firstLine="720"/>
        <w:divId w:val="753169272"/>
        <w:rPr>
          <w:sz w:val="20"/>
          <w:szCs w:val="20"/>
        </w:rPr>
      </w:pPr>
      <w:r>
        <w:rPr>
          <w:sz w:val="20"/>
          <w:szCs w:val="20"/>
        </w:rPr>
        <w:t>As of June 30, 2021, the Company’s accumulated other comprehensive income on its condensed consolida</w:t>
      </w:r>
      <w:r>
        <w:rPr>
          <w:sz w:val="20"/>
          <w:szCs w:val="20"/>
        </w:rPr>
        <w:t xml:space="preserve">ted balance sheets consisted of net unrealized gains on available-for-sale investments. For the three and six months ended June 30, 2021, the Company did not sell any marketable securities, and for the three and six months ended June 30, 2020, the Company </w:t>
      </w:r>
      <w:r>
        <w:rPr>
          <w:sz w:val="20"/>
          <w:szCs w:val="20"/>
        </w:rPr>
        <w:t>sold marketable securities for total proceeds of $5.0 million and $19.9 million, respectively, and recognized minimal net realized gains from the sales based on the specific identification method.</w:t>
      </w:r>
    </w:p>
    <w:p w:rsidR="00000000" w:rsidRDefault="00E52F77">
      <w:pPr>
        <w:pStyle w:val="a3"/>
        <w:spacing w:before="0" w:beforeAutospacing="0" w:after="0" w:afterAutospacing="0"/>
        <w:divId w:val="753169272"/>
        <w:rPr>
          <w:sz w:val="20"/>
          <w:szCs w:val="20"/>
        </w:rPr>
      </w:pPr>
      <w:r>
        <w:rPr>
          <w:sz w:val="20"/>
          <w:szCs w:val="20"/>
        </w:rPr>
        <w:t>​</w:t>
      </w:r>
    </w:p>
    <w:p w:rsidR="00000000" w:rsidRDefault="00E52F77">
      <w:pPr>
        <w:pStyle w:val="a3"/>
        <w:spacing w:before="360" w:beforeAutospacing="0" w:after="0" w:afterAutospacing="0"/>
        <w:jc w:val="center"/>
        <w:divId w:val="1808624315"/>
        <w:rPr>
          <w:sz w:val="20"/>
          <w:szCs w:val="20"/>
        </w:rPr>
      </w:pPr>
      <w:r>
        <w:rPr>
          <w:sz w:val="20"/>
          <w:szCs w:val="20"/>
        </w:rPr>
        <w:t>13</w:t>
      </w:r>
    </w:p>
    <w:p w:rsidR="00000000" w:rsidRDefault="00E52F77">
      <w:pPr>
        <w:pStyle w:val="a3"/>
        <w:spacing w:before="0" w:beforeAutospacing="0" w:after="600" w:afterAutospacing="0"/>
        <w:divId w:val="1335646164"/>
        <w:rPr>
          <w:sz w:val="20"/>
          <w:szCs w:val="20"/>
        </w:rPr>
      </w:pPr>
      <w:hyperlink w:anchor="TOC" w:history="1">
        <w:r>
          <w:rPr>
            <w:rStyle w:val="a4"/>
            <w:sz w:val="20"/>
            <w:szCs w:val="20"/>
          </w:rPr>
          <w:t>Table of Contents</w:t>
        </w:r>
      </w:hyperlink>
    </w:p>
    <w:p w:rsidR="00000000" w:rsidRDefault="00E52F77">
      <w:pPr>
        <w:pStyle w:val="a3"/>
        <w:spacing w:before="0" w:beforeAutospacing="0" w:after="0" w:afterAutospacing="0"/>
        <w:divId w:val="582497973"/>
        <w:rPr>
          <w:sz w:val="20"/>
          <w:szCs w:val="20"/>
        </w:rPr>
      </w:pPr>
      <w:r>
        <w:rPr>
          <w:b/>
          <w:bCs/>
          <w:sz w:val="20"/>
          <w:szCs w:val="20"/>
        </w:rPr>
        <w:t xml:space="preserve">6. Debt </w:t>
      </w:r>
    </w:p>
    <w:p w:rsidR="00000000" w:rsidRDefault="00E52F77">
      <w:pPr>
        <w:pStyle w:val="a3"/>
        <w:spacing w:before="0" w:beforeAutospacing="0" w:after="0" w:afterAutospacing="0"/>
        <w:divId w:val="582497973"/>
        <w:rPr>
          <w:sz w:val="20"/>
          <w:szCs w:val="20"/>
        </w:rPr>
      </w:pPr>
      <w:r>
        <w:rPr>
          <w:b/>
          <w:bCs/>
          <w:sz w:val="10"/>
          <w:szCs w:val="10"/>
        </w:rPr>
        <w:t>​</w:t>
      </w:r>
    </w:p>
    <w:p w:rsidR="00000000" w:rsidRDefault="00E52F77">
      <w:pPr>
        <w:pStyle w:val="a3"/>
        <w:shd w:val="clear" w:color="auto" w:fill="FFFFFF"/>
        <w:spacing w:before="0" w:beforeAutospacing="0" w:after="0" w:afterAutospacing="0"/>
        <w:divId w:val="582497973"/>
        <w:rPr>
          <w:sz w:val="20"/>
          <w:szCs w:val="20"/>
        </w:rPr>
      </w:pPr>
      <w:r>
        <w:rPr>
          <w:sz w:val="20"/>
          <w:szCs w:val="20"/>
        </w:rPr>
        <w:t>Debt consisted of the following liability components:</w:t>
      </w:r>
    </w:p>
    <w:p w:rsidR="00000000" w:rsidRDefault="00E52F77">
      <w:pPr>
        <w:pStyle w:val="a3"/>
        <w:shd w:val="clear" w:color="auto" w:fill="FFFFFF"/>
        <w:spacing w:before="0" w:beforeAutospacing="0" w:after="0" w:afterAutospacing="0"/>
        <w:divId w:val="582497973"/>
        <w:rPr>
          <w:sz w:val="20"/>
          <w:szCs w:val="20"/>
        </w:rPr>
      </w:pPr>
      <w:r>
        <w:rPr>
          <w:b/>
          <w:bCs/>
          <w:i/>
          <w:i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990"/>
        <w:gridCol w:w="221"/>
        <w:gridCol w:w="221"/>
        <w:gridCol w:w="874"/>
      </w:tblGrid>
      <w:tr w:rsidR="00000000">
        <w:trPr>
          <w:divId w:val="582497973"/>
          <w:trHeight w:val="20"/>
        </w:trPr>
        <w:tc>
          <w:tcPr>
            <w:tcW w:w="4206" w:type="pct"/>
            <w:tcMar>
              <w:top w:w="0" w:type="dxa"/>
              <w:left w:w="0" w:type="dxa"/>
              <w:bottom w:w="0" w:type="dxa"/>
              <w:right w:w="0" w:type="dxa"/>
            </w:tcMar>
            <w:vAlign w:val="bottom"/>
            <w:hideMark/>
          </w:tcPr>
          <w:p w:rsidR="00000000" w:rsidRDefault="00E52F77">
            <w:pPr>
              <w:pStyle w:val="a3"/>
              <w:spacing w:before="0" w:beforeAutospacing="0" w:after="0" w:afterAutospacing="0"/>
              <w:divId w:val="250699691"/>
              <w:rPr>
                <w:sz w:val="20"/>
                <w:szCs w:val="20"/>
              </w:rPr>
            </w:pPr>
            <w:r>
              <w:rPr>
                <w:sz w:val="2"/>
                <w:szCs w:val="2"/>
              </w:rPr>
              <w:t>​</w:t>
            </w:r>
          </w:p>
        </w:tc>
        <w:tc>
          <w:tcPr>
            <w:tcW w:w="13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246353914"/>
              <w:rPr>
                <w:sz w:val="20"/>
                <w:szCs w:val="20"/>
              </w:rPr>
            </w:pPr>
            <w:r>
              <w:rPr>
                <w:sz w:val="2"/>
                <w:szCs w:val="2"/>
              </w:rPr>
              <w:t>​</w:t>
            </w:r>
          </w:p>
        </w:tc>
        <w:tc>
          <w:tcPr>
            <w:tcW w:w="13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091776399"/>
              <w:rPr>
                <w:sz w:val="20"/>
                <w:szCs w:val="20"/>
              </w:rPr>
            </w:pPr>
            <w:r>
              <w:rPr>
                <w:sz w:val="2"/>
                <w:szCs w:val="2"/>
              </w:rPr>
              <w:t>​</w:t>
            </w:r>
          </w:p>
        </w:tc>
        <w:tc>
          <w:tcPr>
            <w:tcW w:w="525"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677191980"/>
              <w:rPr>
                <w:sz w:val="20"/>
                <w:szCs w:val="20"/>
              </w:rPr>
            </w:pPr>
            <w:r>
              <w:rPr>
                <w:sz w:val="2"/>
                <w:szCs w:val="2"/>
              </w:rPr>
              <w:t>​</w:t>
            </w:r>
          </w:p>
        </w:tc>
      </w:tr>
      <w:tr w:rsidR="00000000">
        <w:trPr>
          <w:divId w:val="582497973"/>
        </w:trPr>
        <w:tc>
          <w:tcPr>
            <w:tcW w:w="4206"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133"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659"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June 30, </w:t>
            </w:r>
          </w:p>
        </w:tc>
      </w:tr>
      <w:tr w:rsidR="00000000">
        <w:trPr>
          <w:divId w:val="582497973"/>
        </w:trPr>
        <w:tc>
          <w:tcPr>
            <w:tcW w:w="4206" w:type="pct"/>
            <w:tcBorders>
              <w:bottom w:val="single" w:sz="6" w:space="0" w:color="000000"/>
            </w:tcBorders>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(In thousands)</w:t>
            </w:r>
          </w:p>
        </w:tc>
        <w:tc>
          <w:tcPr>
            <w:tcW w:w="133"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659"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2021</w:t>
            </w:r>
          </w:p>
        </w:tc>
      </w:tr>
      <w:tr w:rsidR="00000000">
        <w:trPr>
          <w:divId w:val="582497973"/>
        </w:trPr>
        <w:tc>
          <w:tcPr>
            <w:tcW w:w="4206"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u w:val="single"/>
              </w:rPr>
              <w:t>9.5</w:t>
            </w:r>
            <w:r>
              <w:rPr>
                <w:sz w:val="20"/>
                <w:szCs w:val="20"/>
                <w:u w:val="single"/>
              </w:rPr>
              <w:t>%</w:t>
            </w:r>
            <w:r>
              <w:rPr>
                <w:sz w:val="20"/>
                <w:szCs w:val="20"/>
                <w:u w:val="single"/>
              </w:rPr>
              <w:t xml:space="preserve"> Non-Recourse 2035 Notes</w:t>
            </w:r>
            <w:r>
              <w:rPr>
                <w:sz w:val="20"/>
                <w:szCs w:val="20"/>
                <w:u w:val="single"/>
              </w:rPr>
              <w:t>:</w:t>
            </w:r>
          </w:p>
        </w:tc>
        <w:tc>
          <w:tcPr>
            <w:tcW w:w="13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13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5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r>
      <w:tr w:rsidR="00000000">
        <w:trPr>
          <w:divId w:val="582497973"/>
        </w:trPr>
        <w:tc>
          <w:tcPr>
            <w:tcW w:w="4206"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Principal amoun</w:t>
            </w:r>
            <w:r>
              <w:rPr>
                <w:sz w:val="20"/>
                <w:szCs w:val="20"/>
              </w:rPr>
              <w:t>t</w:t>
            </w:r>
          </w:p>
        </w:tc>
        <w:tc>
          <w:tcPr>
            <w:tcW w:w="133"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133"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525"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407,277</w:t>
            </w:r>
          </w:p>
        </w:tc>
      </w:tr>
      <w:tr w:rsidR="00000000">
        <w:trPr>
          <w:divId w:val="582497973"/>
        </w:trPr>
        <w:tc>
          <w:tcPr>
            <w:tcW w:w="4206"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Less:</w:t>
            </w:r>
            <w:r>
              <w:rPr>
                <w:sz w:val="20"/>
                <w:szCs w:val="20"/>
              </w:rPr>
              <w:t xml:space="preserve"> </w:t>
            </w:r>
            <w:r>
              <w:rPr>
                <w:sz w:val="20"/>
                <w:szCs w:val="20"/>
              </w:rPr>
              <w:t>5</w:t>
            </w:r>
            <w:r>
              <w:rPr>
                <w:sz w:val="20"/>
                <w:szCs w:val="20"/>
              </w:rPr>
              <w:t>% retained by the Company</w:t>
            </w:r>
          </w:p>
        </w:tc>
        <w:tc>
          <w:tcPr>
            <w:tcW w:w="13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13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5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(20,364)</w:t>
            </w:r>
          </w:p>
        </w:tc>
      </w:tr>
      <w:tr w:rsidR="00000000">
        <w:trPr>
          <w:divId w:val="582497973"/>
        </w:trPr>
        <w:tc>
          <w:tcPr>
            <w:tcW w:w="4206"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Unamortized debt issuance costs -</w:t>
            </w:r>
            <w:r>
              <w:rPr>
                <w:sz w:val="20"/>
                <w:szCs w:val="20"/>
              </w:rPr>
              <w:t xml:space="preserve"> </w:t>
            </w:r>
            <w:r>
              <w:rPr>
                <w:sz w:val="20"/>
                <w:szCs w:val="20"/>
              </w:rPr>
              <w:t>9.5% Non-Recourse 2035 Notes</w:t>
            </w:r>
          </w:p>
        </w:tc>
        <w:tc>
          <w:tcPr>
            <w:tcW w:w="133"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133"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 </w:t>
            </w:r>
          </w:p>
        </w:tc>
        <w:tc>
          <w:tcPr>
            <w:tcW w:w="525"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(3,470)</w:t>
            </w:r>
          </w:p>
        </w:tc>
      </w:tr>
      <w:tr w:rsidR="00000000">
        <w:trPr>
          <w:divId w:val="582497973"/>
        </w:trPr>
        <w:tc>
          <w:tcPr>
            <w:tcW w:w="4206"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Unamortized debt issuance costs - Modified</w:t>
            </w:r>
            <w:r>
              <w:rPr>
                <w:sz w:val="20"/>
                <w:szCs w:val="20"/>
              </w:rPr>
              <w:t xml:space="preserve"> </w:t>
            </w:r>
            <w:r>
              <w:rPr>
                <w:sz w:val="20"/>
                <w:szCs w:val="20"/>
              </w:rPr>
              <w:t>9.0% Non-Recourse 2033 Notes</w:t>
            </w:r>
          </w:p>
        </w:tc>
        <w:tc>
          <w:tcPr>
            <w:tcW w:w="13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13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5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(1,433)</w:t>
            </w:r>
          </w:p>
        </w:tc>
      </w:tr>
      <w:tr w:rsidR="00000000">
        <w:trPr>
          <w:divId w:val="582497973"/>
        </w:trPr>
        <w:tc>
          <w:tcPr>
            <w:tcW w:w="4206"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133"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133"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525"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382,010</w:t>
            </w:r>
          </w:p>
        </w:tc>
      </w:tr>
      <w:tr w:rsidR="00000000">
        <w:trPr>
          <w:divId w:val="582497973"/>
        </w:trPr>
        <w:tc>
          <w:tcPr>
            <w:tcW w:w="4206"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u w:val="single"/>
              </w:rPr>
              <w:t>3.25</w:t>
            </w:r>
            <w:r>
              <w:rPr>
                <w:sz w:val="20"/>
                <w:szCs w:val="20"/>
                <w:u w:val="single"/>
              </w:rPr>
              <w:t>%</w:t>
            </w:r>
            <w:r>
              <w:rPr>
                <w:sz w:val="20"/>
                <w:szCs w:val="20"/>
                <w:u w:val="single"/>
              </w:rPr>
              <w:t xml:space="preserve"> </w:t>
            </w:r>
            <w:r>
              <w:rPr>
                <w:sz w:val="20"/>
                <w:szCs w:val="20"/>
                <w:u w:val="single"/>
              </w:rPr>
              <w:t>Convertible 2023 Notes</w:t>
            </w:r>
            <w:r>
              <w:rPr>
                <w:sz w:val="20"/>
                <w:szCs w:val="20"/>
                <w:u w:val="single"/>
              </w:rPr>
              <w:t>:</w:t>
            </w:r>
          </w:p>
        </w:tc>
        <w:tc>
          <w:tcPr>
            <w:tcW w:w="13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13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52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r>
      <w:tr w:rsidR="00000000">
        <w:trPr>
          <w:divId w:val="582497973"/>
        </w:trPr>
        <w:tc>
          <w:tcPr>
            <w:tcW w:w="4206"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Principal amoun</w:t>
            </w:r>
            <w:r>
              <w:rPr>
                <w:sz w:val="20"/>
                <w:szCs w:val="20"/>
              </w:rPr>
              <w:t>t</w:t>
            </w:r>
          </w:p>
        </w:tc>
        <w:tc>
          <w:tcPr>
            <w:tcW w:w="133"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133"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525"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230,000</w:t>
            </w:r>
          </w:p>
        </w:tc>
      </w:tr>
      <w:tr w:rsidR="00000000">
        <w:trPr>
          <w:divId w:val="582497973"/>
        </w:trPr>
        <w:tc>
          <w:tcPr>
            <w:tcW w:w="4206"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Unamortized debt issuance cost</w:t>
            </w:r>
            <w:r>
              <w:rPr>
                <w:sz w:val="20"/>
                <w:szCs w:val="20"/>
              </w:rPr>
              <w:t>s</w:t>
            </w:r>
          </w:p>
        </w:tc>
        <w:tc>
          <w:tcPr>
            <w:tcW w:w="13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13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5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(2,501)</w:t>
            </w:r>
          </w:p>
        </w:tc>
      </w:tr>
      <w:tr w:rsidR="00000000">
        <w:trPr>
          <w:divId w:val="582497973"/>
        </w:trPr>
        <w:tc>
          <w:tcPr>
            <w:tcW w:w="4206"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133"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133"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525"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227,499</w:t>
            </w:r>
          </w:p>
        </w:tc>
      </w:tr>
      <w:tr w:rsidR="00000000">
        <w:trPr>
          <w:divId w:val="582497973"/>
        </w:trPr>
        <w:tc>
          <w:tcPr>
            <w:tcW w:w="4206"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13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13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5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r>
      <w:tr w:rsidR="00000000">
        <w:trPr>
          <w:divId w:val="582497973"/>
        </w:trPr>
        <w:tc>
          <w:tcPr>
            <w:tcW w:w="4206" w:type="pct"/>
            <w:noWrap/>
            <w:tcMar>
              <w:top w:w="0" w:type="dxa"/>
              <w:left w:w="0" w:type="dxa"/>
              <w:bottom w:w="0" w:type="dxa"/>
              <w:right w:w="0" w:type="dxa"/>
            </w:tcMar>
            <w:vAlign w:val="bottom"/>
            <w:hideMark/>
          </w:tcPr>
          <w:p w:rsidR="00000000" w:rsidRDefault="00E52F77">
            <w:pPr>
              <w:pStyle w:val="a3"/>
              <w:spacing w:before="0" w:beforeAutospacing="0" w:after="0" w:afterAutospacing="0"/>
              <w:ind w:left="240"/>
              <w:rPr>
                <w:sz w:val="20"/>
                <w:szCs w:val="20"/>
              </w:rPr>
            </w:pPr>
            <w:r>
              <w:rPr>
                <w:sz w:val="20"/>
                <w:szCs w:val="20"/>
              </w:rPr>
              <w:t>Total debt</w:t>
            </w:r>
          </w:p>
        </w:tc>
        <w:tc>
          <w:tcPr>
            <w:tcW w:w="133"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133"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525" w:type="pct"/>
            <w:tcBorders>
              <w:bottom w:val="double" w:sz="6" w:space="0" w:color="000000"/>
            </w:tcBorders>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609,509</w:t>
            </w:r>
          </w:p>
        </w:tc>
      </w:tr>
    </w:tbl>
    <w:p w:rsidR="00000000" w:rsidRDefault="00E52F77">
      <w:pPr>
        <w:pStyle w:val="a3"/>
        <w:shd w:val="clear" w:color="auto" w:fill="FFFFFF"/>
        <w:spacing w:before="0" w:beforeAutospacing="0" w:after="0" w:afterAutospacing="0"/>
        <w:divId w:val="582497973"/>
        <w:rPr>
          <w:sz w:val="20"/>
          <w:szCs w:val="20"/>
        </w:rPr>
      </w:pPr>
      <w:r>
        <w:rPr>
          <w:b/>
          <w:bCs/>
          <w:i/>
          <w:iCs/>
          <w:sz w:val="20"/>
          <w:szCs w:val="20"/>
        </w:rPr>
        <w:t>​</w:t>
      </w:r>
    </w:p>
    <w:p w:rsidR="00000000" w:rsidRDefault="00E52F77">
      <w:pPr>
        <w:pStyle w:val="a3"/>
        <w:shd w:val="clear" w:color="auto" w:fill="FFFFFF"/>
        <w:spacing w:before="0" w:beforeAutospacing="0" w:after="0" w:afterAutospacing="0"/>
        <w:divId w:val="582497973"/>
        <w:rPr>
          <w:sz w:val="20"/>
          <w:szCs w:val="20"/>
        </w:rPr>
      </w:pPr>
      <w:r>
        <w:rPr>
          <w:b/>
          <w:bCs/>
          <w:i/>
          <w:iCs/>
          <w:sz w:val="20"/>
          <w:szCs w:val="20"/>
        </w:rPr>
        <w:t>9.5% Non-Recourse Notes Due 2035</w:t>
      </w:r>
    </w:p>
    <w:p w:rsidR="00000000" w:rsidRDefault="00E52F77">
      <w:pPr>
        <w:pStyle w:val="a3"/>
        <w:shd w:val="clear" w:color="auto" w:fill="FFFFFF"/>
        <w:spacing w:before="0" w:beforeAutospacing="0" w:after="0" w:afterAutospacing="0"/>
        <w:divId w:val="582497973"/>
        <w:rPr>
          <w:sz w:val="20"/>
          <w:szCs w:val="20"/>
        </w:rPr>
      </w:pPr>
      <w:r>
        <w:rPr>
          <w:sz w:val="10"/>
          <w:szCs w:val="10"/>
        </w:rPr>
        <w:t>​</w:t>
      </w:r>
    </w:p>
    <w:p w:rsidR="00000000" w:rsidRDefault="00E52F77">
      <w:pPr>
        <w:pStyle w:val="a3"/>
        <w:shd w:val="clear" w:color="auto" w:fill="FFFFFF"/>
        <w:spacing w:before="0" w:beforeAutospacing="0" w:after="0" w:afterAutospacing="0"/>
        <w:ind w:firstLine="720"/>
        <w:divId w:val="582497973"/>
        <w:rPr>
          <w:sz w:val="20"/>
          <w:szCs w:val="20"/>
        </w:rPr>
      </w:pPr>
      <w:r>
        <w:rPr>
          <w:sz w:val="20"/>
          <w:szCs w:val="20"/>
        </w:rPr>
        <w:t>On February 21, 2020, Theravance Biopharma R&amp;D, Inc. (“Theravance R&amp;D”), a wholly-owned subsidiary of the Company, and Triple Royalty Sub II LLC (the “Issuer II” or “Triple II”), a wholly-owned subsidiary of Theravance Biopharma R&amp;D, entered into certain n</w:t>
      </w:r>
      <w:r>
        <w:rPr>
          <w:sz w:val="20"/>
          <w:szCs w:val="20"/>
        </w:rPr>
        <w:t>ote purchase agreements (“Note Purchase Agreements”) with certain note purchasers (“Note Purchasers”), relating to the private placement by Issuer II of $400.0 million 9.5% Fixed Rate Term Notes due on or before 2035 (the “Non-Recourse 2035 Notes”). Ninety</w:t>
      </w:r>
      <w:r>
        <w:rPr>
          <w:sz w:val="20"/>
          <w:szCs w:val="20"/>
        </w:rPr>
        <w:t>-five percent of the Non-Recourse 2035 Notes were sold to the Note Purchasers pursuant to the Note Purchase Agreements. The remaining 5% of the Non-Recourse 2035 Notes (the “Retained Notes”) were retained by the Company to comply with Regulation RR — Credi</w:t>
      </w:r>
      <w:r>
        <w:rPr>
          <w:sz w:val="20"/>
          <w:szCs w:val="20"/>
        </w:rPr>
        <w:t>t Risk Retention (17 C.F.R. Part 246). The Retained Notes are eliminated in the Company’s condensed consolidated financial statements.</w:t>
      </w:r>
    </w:p>
    <w:p w:rsidR="00000000" w:rsidRDefault="00E52F77">
      <w:pPr>
        <w:pStyle w:val="a3"/>
        <w:shd w:val="clear" w:color="auto" w:fill="FFFFFF"/>
        <w:spacing w:before="0" w:beforeAutospacing="0" w:after="0" w:afterAutospacing="0"/>
        <w:ind w:firstLine="720"/>
        <w:divId w:val="582497973"/>
        <w:rPr>
          <w:sz w:val="20"/>
          <w:szCs w:val="20"/>
        </w:rPr>
      </w:pPr>
      <w:r>
        <w:rPr>
          <w:sz w:val="20"/>
          <w:szCs w:val="20"/>
        </w:rPr>
        <w:t>​</w:t>
      </w:r>
    </w:p>
    <w:p w:rsidR="00000000" w:rsidRDefault="00E52F77">
      <w:pPr>
        <w:pStyle w:val="a3"/>
        <w:shd w:val="clear" w:color="auto" w:fill="FFFFFF"/>
        <w:spacing w:before="0" w:beforeAutospacing="0" w:after="0" w:afterAutospacing="0"/>
        <w:ind w:firstLine="720"/>
        <w:divId w:val="582497973"/>
        <w:rPr>
          <w:sz w:val="20"/>
          <w:szCs w:val="20"/>
        </w:rPr>
      </w:pPr>
      <w:r>
        <w:rPr>
          <w:sz w:val="20"/>
          <w:szCs w:val="20"/>
        </w:rPr>
        <w:t>The Non-Recourse 2035 Notes are secured by all of Issuer II’s right, title and interest as a holder of certain membersh</w:t>
      </w:r>
      <w:r>
        <w:rPr>
          <w:sz w:val="20"/>
          <w:szCs w:val="20"/>
        </w:rPr>
        <w:t xml:space="preserve">ip interests (the “Issuer II Class C Units”) in Theravance Respiratory Company, LLC (“TRC”). TRC holds the right to receive upward-tiering royalties ranging from 6.5% to 10% on worldwide net sales of TRELEGY, and the Company holds an 85% economic interest </w:t>
      </w:r>
      <w:r>
        <w:rPr>
          <w:sz w:val="20"/>
          <w:szCs w:val="20"/>
        </w:rPr>
        <w:t xml:space="preserve">in TRC. The Issuer II Class C Units represent 75% of the Company's 85% economic interest, which equates to 63.75% of the economic interests in TRC. </w:t>
      </w:r>
    </w:p>
    <w:p w:rsidR="00000000" w:rsidRDefault="00E52F77">
      <w:pPr>
        <w:pStyle w:val="a3"/>
        <w:spacing w:before="0" w:beforeAutospacing="0" w:after="0" w:afterAutospacing="0"/>
        <w:ind w:firstLine="720"/>
        <w:divId w:val="582497973"/>
        <w:rPr>
          <w:sz w:val="20"/>
          <w:szCs w:val="20"/>
        </w:rPr>
      </w:pPr>
      <w:r>
        <w:rPr>
          <w:sz w:val="20"/>
          <w:szCs w:val="20"/>
        </w:rPr>
        <w:t>​</w:t>
      </w:r>
    </w:p>
    <w:p w:rsidR="00000000" w:rsidRDefault="00E52F77">
      <w:pPr>
        <w:pStyle w:val="a3"/>
        <w:spacing w:before="0" w:beforeAutospacing="0" w:after="0" w:afterAutospacing="0"/>
        <w:ind w:firstLine="720"/>
        <w:divId w:val="582497973"/>
        <w:rPr>
          <w:sz w:val="20"/>
          <w:szCs w:val="20"/>
        </w:rPr>
      </w:pPr>
      <w:r>
        <w:rPr>
          <w:sz w:val="20"/>
          <w:szCs w:val="20"/>
        </w:rPr>
        <w:t>The source of principal and interest payments for the Non-Recourse 2035 Notes are the future royalty paym</w:t>
      </w:r>
      <w:r>
        <w:rPr>
          <w:sz w:val="20"/>
          <w:szCs w:val="20"/>
        </w:rPr>
        <w:t>ents generated from the TRELEGY program, and as a result, the holders of the Non-Recourse 2035 Notes have no recourse against the Company even if the TRELEGY payments are insufficient to cover the principal and interest payments for the Non-Recourse 2035 N</w:t>
      </w:r>
      <w:r>
        <w:rPr>
          <w:sz w:val="20"/>
          <w:szCs w:val="20"/>
        </w:rPr>
        <w:t>otes. Prior to and including the December 5, 2024 payment date, in the event that the distributions received by the Issuer II from TRC in a quarter are less than the interest accrued for that quarter, the principal amount of the Non-Recourse 2035 Notes wil</w:t>
      </w:r>
      <w:r>
        <w:rPr>
          <w:sz w:val="20"/>
          <w:szCs w:val="20"/>
        </w:rPr>
        <w:t>l increase by the interest shortfall amount for that quarter. While the holders of the Non-Recourse 2035 Notes have no recourse against the Company, the terms of the Non-Recourse 2035 Notes also provide that the Company, at its option, may satisfy the quar</w:t>
      </w:r>
      <w:r>
        <w:rPr>
          <w:sz w:val="20"/>
          <w:szCs w:val="20"/>
        </w:rPr>
        <w:t>terly interest payment obligations by making a capital contribution to the Issuer II. During the six months ended June 30, 2021, the net principal amount of the Non-Recourse 2035 Notes decreased by $10.7 million which represented royalties received in exce</w:t>
      </w:r>
      <w:r>
        <w:rPr>
          <w:sz w:val="20"/>
          <w:szCs w:val="20"/>
        </w:rPr>
        <w:t xml:space="preserve">ss of the interest payable through the respective payment date. </w:t>
      </w:r>
    </w:p>
    <w:p w:rsidR="00000000" w:rsidRDefault="00E52F77">
      <w:pPr>
        <w:pStyle w:val="a3"/>
        <w:spacing w:before="0" w:beforeAutospacing="0" w:after="0" w:afterAutospacing="0"/>
        <w:ind w:firstLine="720"/>
        <w:divId w:val="582497973"/>
        <w:rPr>
          <w:sz w:val="20"/>
          <w:szCs w:val="20"/>
        </w:rPr>
      </w:pPr>
      <w:r>
        <w:rPr>
          <w:i/>
          <w:iCs/>
          <w:color w:val="FF0000"/>
          <w:sz w:val="20"/>
          <w:szCs w:val="20"/>
        </w:rPr>
        <w:t>​</w:t>
      </w:r>
    </w:p>
    <w:p w:rsidR="00000000" w:rsidRDefault="00E52F77">
      <w:pPr>
        <w:pStyle w:val="a3"/>
        <w:spacing w:before="0" w:beforeAutospacing="0" w:after="0" w:afterAutospacing="0"/>
        <w:ind w:firstLine="720"/>
        <w:divId w:val="582497973"/>
        <w:rPr>
          <w:sz w:val="20"/>
          <w:szCs w:val="20"/>
        </w:rPr>
      </w:pPr>
      <w:r>
        <w:rPr>
          <w:sz w:val="20"/>
          <w:szCs w:val="20"/>
        </w:rPr>
        <w:t>The Non-Recourse 2035 Notes are not convertible into Company equity and have no security interest in nor rights under any agreement with Glaxo Group Limited or one of its affiliates (“GSK”)</w:t>
      </w:r>
      <w:r>
        <w:rPr>
          <w:sz w:val="20"/>
          <w:szCs w:val="20"/>
        </w:rPr>
        <w:t>. The Non-Recourse 2035 Notes may be redeemed by Issuer II on and after February 28, 2022, in whole or in part, at specified redemption premiums. The Non-Recourse 2035 Notes bear an annual interest rate of 9.5%, with interest and principal paid quarterly b</w:t>
      </w:r>
      <w:r>
        <w:rPr>
          <w:sz w:val="20"/>
          <w:szCs w:val="20"/>
        </w:rPr>
        <w:t>eginning June 5, 2020. Since the principal and interest payments on the Non-Recourse 2035 Notes are ultimately based on royalties from </w:t>
      </w:r>
      <w:r>
        <w:rPr>
          <w:caps/>
          <w:sz w:val="20"/>
          <w:szCs w:val="20"/>
        </w:rPr>
        <w:t>TRELEGY</w:t>
      </w:r>
      <w:r>
        <w:rPr>
          <w:sz w:val="20"/>
          <w:szCs w:val="20"/>
        </w:rPr>
        <w:t xml:space="preserve"> product sales, which will vary from quarter to quarter, the Non-Recourse 2035 Notes may be repaid prior to the fi</w:t>
      </w:r>
      <w:r>
        <w:rPr>
          <w:sz w:val="20"/>
          <w:szCs w:val="20"/>
        </w:rPr>
        <w:t xml:space="preserve">nal maturity date in 2035. Following the redemption or repayment of the Non-Recourse 2035 Notes, all </w:t>
      </w:r>
      <w:r>
        <w:rPr>
          <w:caps/>
          <w:sz w:val="20"/>
          <w:szCs w:val="20"/>
        </w:rPr>
        <w:t>TRELEGY</w:t>
      </w:r>
      <w:r>
        <w:rPr>
          <w:sz w:val="20"/>
          <w:szCs w:val="20"/>
        </w:rPr>
        <w:t>-related pledged cash flows will revert back to the Company.</w:t>
      </w:r>
    </w:p>
    <w:p w:rsidR="00000000" w:rsidRDefault="00E52F77">
      <w:pPr>
        <w:pStyle w:val="a3"/>
        <w:spacing w:before="360" w:beforeAutospacing="0" w:after="0" w:afterAutospacing="0"/>
        <w:jc w:val="center"/>
        <w:divId w:val="1421291699"/>
        <w:rPr>
          <w:sz w:val="20"/>
          <w:szCs w:val="20"/>
        </w:rPr>
      </w:pPr>
      <w:r>
        <w:rPr>
          <w:sz w:val="20"/>
          <w:szCs w:val="20"/>
        </w:rPr>
        <w:t>14</w:t>
      </w:r>
    </w:p>
    <w:p w:rsidR="00000000" w:rsidRDefault="00E52F77">
      <w:pPr>
        <w:pStyle w:val="a3"/>
        <w:spacing w:before="0" w:beforeAutospacing="0" w:after="600" w:afterAutospacing="0"/>
        <w:divId w:val="901795311"/>
        <w:rPr>
          <w:sz w:val="20"/>
          <w:szCs w:val="20"/>
        </w:rPr>
      </w:pPr>
      <w:hyperlink w:anchor="TOC" w:history="1">
        <w:r>
          <w:rPr>
            <w:rStyle w:val="a4"/>
            <w:sz w:val="20"/>
            <w:szCs w:val="20"/>
          </w:rPr>
          <w:t>Table of Contents</w:t>
        </w:r>
      </w:hyperlink>
    </w:p>
    <w:p w:rsidR="00000000" w:rsidRDefault="00E52F77">
      <w:pPr>
        <w:pStyle w:val="a3"/>
        <w:spacing w:before="0" w:beforeAutospacing="0" w:after="0" w:afterAutospacing="0"/>
        <w:ind w:firstLine="720"/>
        <w:divId w:val="1619604292"/>
        <w:rPr>
          <w:sz w:val="20"/>
          <w:szCs w:val="20"/>
        </w:rPr>
      </w:pPr>
      <w:r>
        <w:rPr>
          <w:sz w:val="20"/>
          <w:szCs w:val="20"/>
        </w:rPr>
        <w:t>​</w:t>
      </w:r>
    </w:p>
    <w:p w:rsidR="00000000" w:rsidRDefault="00E52F77">
      <w:pPr>
        <w:pStyle w:val="a3"/>
        <w:spacing w:before="0" w:beforeAutospacing="0" w:after="0" w:afterAutospacing="0"/>
        <w:ind w:firstLine="720"/>
        <w:divId w:val="1619604292"/>
        <w:rPr>
          <w:sz w:val="20"/>
          <w:szCs w:val="20"/>
        </w:rPr>
      </w:pPr>
      <w:r>
        <w:rPr>
          <w:sz w:val="20"/>
          <w:szCs w:val="20"/>
        </w:rPr>
        <w:t>The portion of the Non-Recourse 2035 Notes classified as a current liability, if any, is based on the amount of royalties received, or receivable, as of June 30, 2021, that are expected to be used to make a principal repayment on the Non-Recourse 2035 Note</w:t>
      </w:r>
      <w:r>
        <w:rPr>
          <w:sz w:val="20"/>
          <w:szCs w:val="20"/>
        </w:rPr>
        <w:t xml:space="preserve">s within the next 12 months. </w:t>
      </w:r>
    </w:p>
    <w:p w:rsidR="00000000" w:rsidRDefault="00E52F77">
      <w:pPr>
        <w:pStyle w:val="a3"/>
        <w:spacing w:before="0" w:beforeAutospacing="0" w:after="0" w:afterAutospacing="0"/>
        <w:ind w:firstLine="720"/>
        <w:divId w:val="1619604292"/>
        <w:rPr>
          <w:sz w:val="20"/>
          <w:szCs w:val="20"/>
        </w:rPr>
      </w:pPr>
      <w:r>
        <w:rPr>
          <w:color w:val="FF0000"/>
          <w:sz w:val="20"/>
          <w:szCs w:val="20"/>
        </w:rPr>
        <w:t>​</w:t>
      </w:r>
    </w:p>
    <w:p w:rsidR="00000000" w:rsidRDefault="00E52F77">
      <w:pPr>
        <w:pStyle w:val="a3"/>
        <w:spacing w:before="0" w:beforeAutospacing="0" w:after="0" w:afterAutospacing="0"/>
        <w:divId w:val="1619604292"/>
        <w:rPr>
          <w:sz w:val="20"/>
          <w:szCs w:val="20"/>
        </w:rPr>
      </w:pPr>
      <w:r>
        <w:rPr>
          <w:sz w:val="20"/>
          <w:szCs w:val="20"/>
        </w:rPr>
        <w:t>As of June 30, 2021, the net principal and estimated fair value of the Non-Recourse 2035 Notes were $386.9 million and $388.8 million, respectively.</w:t>
      </w:r>
      <w:r>
        <w:rPr>
          <w:color w:val="FF0000"/>
          <w:sz w:val="20"/>
          <w:szCs w:val="20"/>
        </w:rPr>
        <w:t xml:space="preserve"> </w:t>
      </w:r>
      <w:r>
        <w:rPr>
          <w:sz w:val="20"/>
          <w:szCs w:val="20"/>
        </w:rPr>
        <w:t>The inputs to determine fair value of the Non-Recourse 2035 Notes are categ</w:t>
      </w:r>
      <w:r>
        <w:rPr>
          <w:sz w:val="20"/>
          <w:szCs w:val="20"/>
        </w:rPr>
        <w:t>orized as Level 2 inputs. Level 2 inputs include quoted prices for similar instruments in active markets; quoted prices for identical or similar instruments in markets that are not active; and model-derived valuations whose inputs are observable or whose s</w:t>
      </w:r>
      <w:r>
        <w:rPr>
          <w:sz w:val="20"/>
          <w:szCs w:val="20"/>
        </w:rPr>
        <w:t>ignificant value drivers are observable.</w:t>
      </w:r>
    </w:p>
    <w:p w:rsidR="00000000" w:rsidRDefault="00E52F77">
      <w:pPr>
        <w:pStyle w:val="a3"/>
        <w:spacing w:before="0" w:beforeAutospacing="0" w:after="0" w:afterAutospacing="0"/>
        <w:divId w:val="1619604292"/>
        <w:rPr>
          <w:sz w:val="20"/>
          <w:szCs w:val="20"/>
        </w:rPr>
      </w:pPr>
      <w:r>
        <w:rPr>
          <w:sz w:val="20"/>
          <w:szCs w:val="20"/>
        </w:rPr>
        <w:t>​</w:t>
      </w:r>
    </w:p>
    <w:p w:rsidR="00000000" w:rsidRDefault="00E52F77">
      <w:pPr>
        <w:pStyle w:val="a3"/>
        <w:spacing w:before="0" w:beforeAutospacing="0" w:after="120" w:afterAutospacing="0"/>
        <w:divId w:val="1619604292"/>
        <w:rPr>
          <w:sz w:val="20"/>
          <w:szCs w:val="20"/>
        </w:rPr>
      </w:pPr>
      <w:r>
        <w:rPr>
          <w:b/>
          <w:bCs/>
          <w:i/>
          <w:iCs/>
          <w:sz w:val="20"/>
          <w:szCs w:val="20"/>
        </w:rPr>
        <w:t>3.25% Convertible Senior Notes Due 2023</w:t>
      </w:r>
    </w:p>
    <w:p w:rsidR="00000000" w:rsidRDefault="00E52F77">
      <w:pPr>
        <w:pStyle w:val="a3"/>
        <w:spacing w:before="0" w:beforeAutospacing="0" w:after="0" w:afterAutospacing="0"/>
        <w:ind w:firstLine="720"/>
        <w:divId w:val="1619604292"/>
        <w:rPr>
          <w:sz w:val="20"/>
          <w:szCs w:val="20"/>
        </w:rPr>
      </w:pPr>
      <w:r>
        <w:rPr>
          <w:sz w:val="20"/>
          <w:szCs w:val="20"/>
        </w:rPr>
        <w:t>The Company had $230.0 million of 3.25% convertible senior notes due in 2023 (“Convertible Senior 2023 Notes”) outstanding as of June 30, 2021 with an estimated fair value o</w:t>
      </w:r>
      <w:r>
        <w:rPr>
          <w:sz w:val="20"/>
          <w:szCs w:val="20"/>
        </w:rPr>
        <w:t>f $217.9 million. The estimated fair value was primarily based upon the underlying price of Theravance Biopharma’s publicly traded shares and other observable inputs as of June 30, 2021. The inputs to determine fair value of the Convertible Senior 2023 Not</w:t>
      </w:r>
      <w:r>
        <w:rPr>
          <w:sz w:val="20"/>
          <w:szCs w:val="20"/>
        </w:rPr>
        <w:t>es are categorized as Level 2 inputs. Level 2 inputs include quoted prices for similar instruments in active markets; quoted prices for identical or similar instruments in markets that are not active; and model-derived valuations whose inputs are observabl</w:t>
      </w:r>
      <w:r>
        <w:rPr>
          <w:sz w:val="20"/>
          <w:szCs w:val="20"/>
        </w:rPr>
        <w:t>e or whose significant value drivers are observable.</w:t>
      </w:r>
    </w:p>
    <w:p w:rsidR="00000000" w:rsidRDefault="00E52F77">
      <w:pPr>
        <w:pStyle w:val="a3"/>
        <w:spacing w:before="0" w:beforeAutospacing="0" w:after="0" w:afterAutospacing="0"/>
        <w:ind w:firstLine="720"/>
        <w:divId w:val="1619604292"/>
        <w:rPr>
          <w:sz w:val="20"/>
          <w:szCs w:val="20"/>
        </w:rPr>
      </w:pPr>
      <w:r>
        <w:rPr>
          <w:sz w:val="20"/>
          <w:szCs w:val="20"/>
        </w:rPr>
        <w:t>​</w:t>
      </w:r>
    </w:p>
    <w:p w:rsidR="00000000" w:rsidRDefault="00E52F77">
      <w:pPr>
        <w:pStyle w:val="a3"/>
        <w:spacing w:before="0" w:beforeAutospacing="0" w:after="0" w:afterAutospacing="0"/>
        <w:divId w:val="1619604292"/>
        <w:rPr>
          <w:sz w:val="20"/>
          <w:szCs w:val="20"/>
        </w:rPr>
      </w:pPr>
      <w:r>
        <w:rPr>
          <w:b/>
          <w:bCs/>
          <w:sz w:val="20"/>
          <w:szCs w:val="20"/>
        </w:rPr>
        <w:t xml:space="preserve">7. Theravance Respiratory Company, LLC </w:t>
      </w:r>
    </w:p>
    <w:p w:rsidR="00000000" w:rsidRDefault="00E52F77">
      <w:pPr>
        <w:pStyle w:val="a3"/>
        <w:spacing w:before="0" w:beforeAutospacing="0" w:after="0" w:afterAutospacing="0"/>
        <w:divId w:val="1619604292"/>
        <w:rPr>
          <w:sz w:val="20"/>
          <w:szCs w:val="20"/>
        </w:rPr>
      </w:pPr>
      <w:r>
        <w:rPr>
          <w:sz w:val="10"/>
          <w:szCs w:val="10"/>
        </w:rPr>
        <w:t>​</w:t>
      </w:r>
    </w:p>
    <w:p w:rsidR="00000000" w:rsidRDefault="00E52F77">
      <w:pPr>
        <w:pStyle w:val="a3"/>
        <w:spacing w:before="0" w:beforeAutospacing="0" w:after="0" w:afterAutospacing="0"/>
        <w:ind w:firstLine="720"/>
        <w:divId w:val="1619604292"/>
        <w:rPr>
          <w:sz w:val="20"/>
          <w:szCs w:val="20"/>
        </w:rPr>
      </w:pPr>
      <w:r>
        <w:rPr>
          <w:sz w:val="20"/>
          <w:szCs w:val="20"/>
        </w:rPr>
        <w:t>Through the Company’s 85% equity interest in TRC, the Company is entitled to receive an 85% economic interest in any future payments made by GSK under the stra</w:t>
      </w:r>
      <w:r>
        <w:rPr>
          <w:sz w:val="20"/>
          <w:szCs w:val="20"/>
        </w:rPr>
        <w:t>tegic alliance agreement and under the portion of the collaboration agreement assigned to TRC (net of TRC expenses paid and the amount of cash, if any, expected to be used by TRC pursuant to the TRC LLC Agreement over the next</w:t>
      </w:r>
      <w:r>
        <w:rPr>
          <w:sz w:val="20"/>
          <w:szCs w:val="20"/>
        </w:rPr>
        <w:t xml:space="preserve"> </w:t>
      </w:r>
      <w:r>
        <w:rPr>
          <w:sz w:val="20"/>
          <w:szCs w:val="20"/>
        </w:rPr>
        <w:t>fou</w:t>
      </w:r>
      <w:r>
        <w:rPr>
          <w:sz w:val="20"/>
          <w:szCs w:val="20"/>
        </w:rPr>
        <w:t>r</w:t>
      </w:r>
      <w:r>
        <w:rPr>
          <w:sz w:val="20"/>
          <w:szCs w:val="20"/>
        </w:rPr>
        <w:t xml:space="preserve"> fiscal quarters). The pr</w:t>
      </w:r>
      <w:r>
        <w:rPr>
          <w:sz w:val="20"/>
          <w:szCs w:val="20"/>
        </w:rPr>
        <w:t xml:space="preserve">imary drug program assigned to TRC is </w:t>
      </w:r>
      <w:r>
        <w:rPr>
          <w:caps/>
          <w:sz w:val="20"/>
          <w:szCs w:val="20"/>
        </w:rPr>
        <w:t>Trelegy</w:t>
      </w:r>
      <w:r>
        <w:rPr>
          <w:sz w:val="20"/>
          <w:szCs w:val="20"/>
        </w:rPr>
        <w:t xml:space="preserve">. </w:t>
      </w:r>
    </w:p>
    <w:p w:rsidR="00000000" w:rsidRDefault="00E52F77">
      <w:pPr>
        <w:pStyle w:val="a3"/>
        <w:spacing w:before="0" w:beforeAutospacing="0" w:after="0" w:afterAutospacing="0"/>
        <w:ind w:firstLine="720"/>
        <w:divId w:val="1619604292"/>
        <w:rPr>
          <w:sz w:val="20"/>
          <w:szCs w:val="20"/>
        </w:rPr>
      </w:pPr>
      <w:r>
        <w:rPr>
          <w:sz w:val="20"/>
          <w:szCs w:val="20"/>
        </w:rPr>
        <w:t>​</w:t>
      </w:r>
    </w:p>
    <w:p w:rsidR="00000000" w:rsidRDefault="00E52F77">
      <w:pPr>
        <w:pStyle w:val="a3"/>
        <w:spacing w:before="0" w:beforeAutospacing="0" w:after="0" w:afterAutospacing="0"/>
        <w:ind w:firstLine="720"/>
        <w:divId w:val="1619604292"/>
        <w:rPr>
          <w:sz w:val="20"/>
          <w:szCs w:val="20"/>
        </w:rPr>
      </w:pPr>
      <w:r>
        <w:rPr>
          <w:sz w:val="20"/>
          <w:szCs w:val="20"/>
        </w:rPr>
        <w:t xml:space="preserve">In May 2014, the Company entered into the TRC LLC Agreement with Innoviva, Inc. (“Innoviva”) that governs the operation of TRC. Under the TRC LLC Agreement, Innoviva is the manager of TRC, and the business </w:t>
      </w:r>
      <w:r>
        <w:rPr>
          <w:sz w:val="20"/>
          <w:szCs w:val="20"/>
        </w:rPr>
        <w:t>and affairs of TRC are managed exclusively by the manager, including (i) day to day management of the drug programs in accordance with the existing GSK agreements; (ii) preparing an annual operating plan for TRC; and (iii) taking all actions necessary to e</w:t>
      </w:r>
      <w:r>
        <w:rPr>
          <w:sz w:val="20"/>
          <w:szCs w:val="20"/>
        </w:rPr>
        <w:t>nsure that the formation, structure and operation of TRC complies with applicable law and partner agreements. The Company is responsible for its proportionate share of TRC’s administrative expenses incurred, and communicated to the Company, by Innoviva.</w:t>
      </w:r>
    </w:p>
    <w:p w:rsidR="00000000" w:rsidRDefault="00E52F77">
      <w:pPr>
        <w:pStyle w:val="a3"/>
        <w:spacing w:before="0" w:beforeAutospacing="0" w:after="0" w:afterAutospacing="0"/>
        <w:divId w:val="1619604292"/>
        <w:rPr>
          <w:sz w:val="20"/>
          <w:szCs w:val="20"/>
        </w:rPr>
      </w:pPr>
      <w:r>
        <w:rPr>
          <w:sz w:val="20"/>
          <w:szCs w:val="20"/>
        </w:rPr>
        <w:t>​</w:t>
      </w:r>
    </w:p>
    <w:p w:rsidR="00000000" w:rsidRDefault="00E52F77">
      <w:pPr>
        <w:pStyle w:val="a3"/>
        <w:spacing w:before="0" w:beforeAutospacing="0" w:after="0" w:afterAutospacing="0"/>
        <w:ind w:firstLine="720"/>
        <w:divId w:val="1619604292"/>
        <w:rPr>
          <w:sz w:val="20"/>
          <w:szCs w:val="20"/>
        </w:rPr>
      </w:pPr>
      <w:r>
        <w:rPr>
          <w:sz w:val="20"/>
          <w:szCs w:val="20"/>
        </w:rPr>
        <w:t xml:space="preserve">The Company analyzed its ownership, contractual and other interests in TRC to determine if it is a variable-interest entity (“VIE”), whether the Company has a variable interest in TRC and the nature and extent of that interest. The Company determined that </w:t>
      </w:r>
      <w:r>
        <w:rPr>
          <w:sz w:val="20"/>
          <w:szCs w:val="20"/>
        </w:rPr>
        <w:t xml:space="preserve">TRC is a VIE. The party with the controlling financial interest, the primary beneficiary, is required to consolidate the entity determined to be a VIE. Therefore, the Company also assessed whether it is the primary beneficiary of TRC based on the power to </w:t>
      </w:r>
      <w:r>
        <w:rPr>
          <w:sz w:val="20"/>
          <w:szCs w:val="20"/>
        </w:rPr>
        <w:t>direct TRC’s activities that most significantly impact TRC’s economic performance and its obligation to absorb TRC’s losses or the right to receive benefits from TRC that could potentially be significant to TRC. Based on the Company’s assessment, the Compa</w:t>
      </w:r>
      <w:r>
        <w:rPr>
          <w:sz w:val="20"/>
          <w:szCs w:val="20"/>
        </w:rPr>
        <w:t>ny determined that it is not the primary beneficiary of TRC, and, as a result, the Company does not consolidate TRC in its condensed consolidated financial statements. TRC is recognized in the Company’s condensed consolidated financial statements under the</w:t>
      </w:r>
      <w:r>
        <w:rPr>
          <w:sz w:val="20"/>
          <w:szCs w:val="20"/>
        </w:rPr>
        <w:t xml:space="preserve"> equity method of accounting.</w:t>
      </w:r>
    </w:p>
    <w:p w:rsidR="00000000" w:rsidRDefault="00E52F77">
      <w:pPr>
        <w:pStyle w:val="a3"/>
        <w:spacing w:before="0" w:beforeAutospacing="0" w:after="0" w:afterAutospacing="0"/>
        <w:divId w:val="1619604292"/>
        <w:rPr>
          <w:sz w:val="20"/>
          <w:szCs w:val="20"/>
        </w:rPr>
      </w:pPr>
      <w:r>
        <w:rPr>
          <w:sz w:val="20"/>
          <w:szCs w:val="20"/>
        </w:rPr>
        <w:t>​</w:t>
      </w:r>
    </w:p>
    <w:p w:rsidR="00000000" w:rsidRDefault="00E52F77">
      <w:pPr>
        <w:pStyle w:val="a3"/>
        <w:spacing w:before="0" w:beforeAutospacing="0" w:after="0" w:afterAutospacing="0"/>
        <w:ind w:firstLine="720"/>
        <w:divId w:val="1619604292"/>
        <w:rPr>
          <w:sz w:val="20"/>
          <w:szCs w:val="20"/>
        </w:rPr>
      </w:pPr>
      <w:r>
        <w:rPr>
          <w:sz w:val="20"/>
          <w:szCs w:val="20"/>
        </w:rPr>
        <w:t>For the three and six months ended June 30, 2021, the Company recognized net royalty income of $21.9 million and $38.5 million, respectively, in the condensed consolidated statements of operations within “Income from investm</w:t>
      </w:r>
      <w:r>
        <w:rPr>
          <w:sz w:val="20"/>
          <w:szCs w:val="20"/>
        </w:rPr>
        <w:t>ent in TRC, LLC”. These amounts were recorded net of the Company’s share of TRC’s expenses of $0.3 million and $3.1 million for the three and six months ended June 30, 2021, respectively. The share of TRC expenses for the three and six months ended June 30</w:t>
      </w:r>
      <w:r>
        <w:rPr>
          <w:sz w:val="20"/>
          <w:szCs w:val="20"/>
        </w:rPr>
        <w:t>, 2021 was primarily comprised of TRC legal and related fees associated with the most recent arbitration between Innoviva, as the manager of TRC, and TRC and the Company (</w:t>
      </w:r>
      <w:r>
        <w:rPr>
          <w:i/>
          <w:iCs/>
          <w:sz w:val="20"/>
          <w:szCs w:val="20"/>
        </w:rPr>
        <w:t>see below for more information regarding the arbitration</w:t>
      </w:r>
      <w:r>
        <w:rPr>
          <w:sz w:val="20"/>
          <w:szCs w:val="20"/>
        </w:rPr>
        <w:t xml:space="preserve">). </w:t>
      </w:r>
    </w:p>
    <w:p w:rsidR="00000000" w:rsidRDefault="00E52F77">
      <w:pPr>
        <w:pStyle w:val="a3"/>
        <w:spacing w:before="0" w:beforeAutospacing="0" w:after="0" w:afterAutospacing="0"/>
        <w:ind w:firstLine="720"/>
        <w:divId w:val="1619604292"/>
        <w:rPr>
          <w:sz w:val="20"/>
          <w:szCs w:val="20"/>
        </w:rPr>
      </w:pPr>
      <w:r>
        <w:rPr>
          <w:sz w:val="20"/>
          <w:szCs w:val="20"/>
        </w:rPr>
        <w:t>​</w:t>
      </w:r>
    </w:p>
    <w:p w:rsidR="00000000" w:rsidRDefault="00E52F77">
      <w:pPr>
        <w:pStyle w:val="a3"/>
        <w:spacing w:before="360" w:beforeAutospacing="0" w:after="0" w:afterAutospacing="0"/>
        <w:jc w:val="center"/>
        <w:divId w:val="1638686141"/>
        <w:rPr>
          <w:sz w:val="20"/>
          <w:szCs w:val="20"/>
        </w:rPr>
      </w:pPr>
      <w:r>
        <w:rPr>
          <w:sz w:val="20"/>
          <w:szCs w:val="20"/>
        </w:rPr>
        <w:t>15</w:t>
      </w:r>
    </w:p>
    <w:p w:rsidR="00000000" w:rsidRDefault="00E52F77">
      <w:pPr>
        <w:pStyle w:val="a3"/>
        <w:spacing w:before="0" w:beforeAutospacing="0" w:after="600" w:afterAutospacing="0"/>
        <w:divId w:val="1704210697"/>
        <w:rPr>
          <w:sz w:val="20"/>
          <w:szCs w:val="20"/>
        </w:rPr>
      </w:pPr>
      <w:hyperlink w:anchor="TOC" w:history="1">
        <w:r>
          <w:rPr>
            <w:rStyle w:val="a4"/>
            <w:sz w:val="20"/>
            <w:szCs w:val="20"/>
          </w:rPr>
          <w:t>Table of Contents</w:t>
        </w:r>
      </w:hyperlink>
    </w:p>
    <w:p w:rsidR="00000000" w:rsidRDefault="00E52F77">
      <w:pPr>
        <w:pStyle w:val="a3"/>
        <w:spacing w:before="0" w:beforeAutospacing="0" w:after="0" w:afterAutospacing="0"/>
        <w:ind w:firstLine="720"/>
        <w:divId w:val="2055426603"/>
        <w:rPr>
          <w:sz w:val="20"/>
          <w:szCs w:val="20"/>
        </w:rPr>
      </w:pPr>
      <w:r>
        <w:rPr>
          <w:sz w:val="20"/>
          <w:szCs w:val="20"/>
        </w:rPr>
        <w:t>For the three and six months ended June 30, 2020, the Company recognized net royalty income of $21.4 million and $34.9 million, respectively. These amounts were recorded net of the Company’s share of TRC’s expenses of $0.4 million a</w:t>
      </w:r>
      <w:r>
        <w:rPr>
          <w:sz w:val="20"/>
          <w:szCs w:val="20"/>
        </w:rPr>
        <w:t>nd $0.6 million for the three and six months ended June 30, 2020, respectively.</w:t>
      </w:r>
    </w:p>
    <w:p w:rsidR="00000000" w:rsidRDefault="00E52F77">
      <w:pPr>
        <w:pStyle w:val="a3"/>
        <w:spacing w:before="0" w:beforeAutospacing="0" w:after="0" w:afterAutospacing="0"/>
        <w:ind w:firstLine="720"/>
        <w:divId w:val="2055426603"/>
        <w:rPr>
          <w:sz w:val="20"/>
          <w:szCs w:val="20"/>
        </w:rPr>
      </w:pPr>
      <w:r>
        <w:rPr>
          <w:sz w:val="20"/>
          <w:szCs w:val="20"/>
        </w:rPr>
        <w:t>​</w:t>
      </w:r>
    </w:p>
    <w:p w:rsidR="00000000" w:rsidRDefault="00E52F77">
      <w:pPr>
        <w:pStyle w:val="a3"/>
        <w:spacing w:before="0" w:beforeAutospacing="0" w:after="0" w:afterAutospacing="0"/>
        <w:ind w:firstLine="720"/>
        <w:divId w:val="2055426603"/>
        <w:rPr>
          <w:sz w:val="20"/>
          <w:szCs w:val="20"/>
        </w:rPr>
      </w:pPr>
      <w:r>
        <w:rPr>
          <w:sz w:val="20"/>
          <w:szCs w:val="20"/>
        </w:rPr>
        <w:t>For the three and six months ended June 30, 2021, the Company also recognized a net unrealized loss of $0.2 million and a net unrealized gain of $0.3 million, respectively, a</w:t>
      </w:r>
      <w:r>
        <w:rPr>
          <w:sz w:val="20"/>
          <w:szCs w:val="20"/>
        </w:rPr>
        <w:t xml:space="preserve">ssociated with the estimated fair market value of certain equity investments made by TRC. </w:t>
      </w:r>
    </w:p>
    <w:p w:rsidR="00000000" w:rsidRDefault="00E52F77">
      <w:pPr>
        <w:pStyle w:val="a3"/>
        <w:spacing w:before="0" w:beforeAutospacing="0" w:after="0" w:afterAutospacing="0"/>
        <w:divId w:val="2055426603"/>
        <w:rPr>
          <w:sz w:val="20"/>
          <w:szCs w:val="20"/>
        </w:rPr>
      </w:pPr>
      <w:r>
        <w:rPr>
          <w:sz w:val="20"/>
          <w:szCs w:val="20"/>
        </w:rPr>
        <w:t>​</w:t>
      </w:r>
    </w:p>
    <w:p w:rsidR="00000000" w:rsidRDefault="00E52F77">
      <w:pPr>
        <w:pStyle w:val="a3"/>
        <w:spacing w:before="0" w:beforeAutospacing="0" w:after="0" w:afterAutospacing="0"/>
        <w:ind w:firstLine="720"/>
        <w:divId w:val="2055426603"/>
        <w:rPr>
          <w:sz w:val="20"/>
          <w:szCs w:val="20"/>
        </w:rPr>
      </w:pPr>
      <w:r>
        <w:rPr>
          <w:sz w:val="20"/>
          <w:szCs w:val="20"/>
        </w:rPr>
        <w:t>As of June 30, 2021, the amounts due from TRC of $27.7 </w:t>
      </w:r>
      <w:r>
        <w:rPr>
          <w:sz w:val="20"/>
          <w:szCs w:val="20"/>
        </w:rPr>
        <w:t>million were recorded as a current asset in the condensed consolidated balance sheets within “Amounts due from TRC, LLC”. In addition, the Company has recorded $35.8 million as a long-term asset within “Equity in net assets of TRC, LLC” in the condensed co</w:t>
      </w:r>
      <w:r>
        <w:rPr>
          <w:sz w:val="20"/>
          <w:szCs w:val="20"/>
        </w:rPr>
        <w:t>nsolidated balance sheets which represented its share of TRC’s net assets including funds withheld by TRC for future investments.</w:t>
      </w:r>
    </w:p>
    <w:p w:rsidR="00000000" w:rsidRDefault="00E52F77">
      <w:pPr>
        <w:pStyle w:val="a3"/>
        <w:spacing w:before="0" w:beforeAutospacing="0" w:after="0" w:afterAutospacing="0"/>
        <w:ind w:firstLine="720"/>
        <w:divId w:val="2055426603"/>
        <w:rPr>
          <w:sz w:val="20"/>
          <w:szCs w:val="20"/>
        </w:rPr>
      </w:pPr>
      <w:r>
        <w:rPr>
          <w:sz w:val="20"/>
          <w:szCs w:val="20"/>
        </w:rPr>
        <w:t>​</w:t>
      </w:r>
    </w:p>
    <w:p w:rsidR="00000000" w:rsidRDefault="00E52F77">
      <w:pPr>
        <w:pStyle w:val="a3"/>
        <w:spacing w:before="0" w:beforeAutospacing="0" w:after="0" w:afterAutospacing="0"/>
        <w:ind w:firstLine="720"/>
        <w:divId w:val="2055426603"/>
        <w:rPr>
          <w:sz w:val="20"/>
          <w:szCs w:val="20"/>
        </w:rPr>
      </w:pPr>
      <w:r>
        <w:rPr>
          <w:sz w:val="20"/>
          <w:szCs w:val="20"/>
        </w:rPr>
        <w:t>TRC’s summarized income statement information is presented below:</w:t>
      </w:r>
    </w:p>
    <w:p w:rsidR="00000000" w:rsidRDefault="00E52F77">
      <w:pPr>
        <w:pStyle w:val="a3"/>
        <w:spacing w:before="0" w:beforeAutospacing="0" w:after="0" w:afterAutospacing="0"/>
        <w:ind w:firstLine="720"/>
        <w:divId w:val="2055426603"/>
        <w:rPr>
          <w:sz w:val="20"/>
          <w:szCs w:val="20"/>
        </w:rPr>
      </w:pPr>
      <w:r>
        <w:rPr>
          <w:sz w:val="20"/>
          <w:szCs w:val="20"/>
        </w:rPr>
        <w:t>​</w:t>
      </w:r>
    </w:p>
    <w:tbl>
      <w:tblPr>
        <w:tblW w:w="4979" w:type="pct"/>
        <w:tblCellMar>
          <w:top w:w="15" w:type="dxa"/>
          <w:left w:w="0" w:type="dxa"/>
          <w:bottom w:w="15" w:type="dxa"/>
          <w:right w:w="0" w:type="dxa"/>
        </w:tblCellMar>
        <w:tblLook w:val="04A0" w:firstRow="1" w:lastRow="0" w:firstColumn="1" w:lastColumn="0" w:noHBand="0" w:noVBand="1"/>
      </w:tblPr>
      <w:tblGrid>
        <w:gridCol w:w="4755"/>
        <w:gridCol w:w="160"/>
        <w:gridCol w:w="110"/>
        <w:gridCol w:w="620"/>
        <w:gridCol w:w="160"/>
        <w:gridCol w:w="111"/>
        <w:gridCol w:w="620"/>
        <w:gridCol w:w="111"/>
        <w:gridCol w:w="112"/>
        <w:gridCol w:w="620"/>
        <w:gridCol w:w="160"/>
        <w:gridCol w:w="112"/>
        <w:gridCol w:w="620"/>
      </w:tblGrid>
      <w:tr w:rsidR="00000000">
        <w:trPr>
          <w:divId w:val="2055426603"/>
          <w:trHeight w:val="20"/>
        </w:trPr>
        <w:tc>
          <w:tcPr>
            <w:tcW w:w="2894" w:type="pct"/>
            <w:tcMar>
              <w:top w:w="0" w:type="dxa"/>
              <w:left w:w="0" w:type="dxa"/>
              <w:bottom w:w="0" w:type="dxa"/>
              <w:right w:w="0" w:type="dxa"/>
            </w:tcMar>
            <w:vAlign w:val="bottom"/>
            <w:hideMark/>
          </w:tcPr>
          <w:p w:rsidR="00000000" w:rsidRDefault="00E52F77">
            <w:pPr>
              <w:pStyle w:val="a3"/>
              <w:spacing w:before="0" w:beforeAutospacing="0" w:after="0" w:afterAutospacing="0"/>
              <w:divId w:val="821233103"/>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003044142"/>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759640941"/>
              <w:rPr>
                <w:sz w:val="20"/>
                <w:szCs w:val="20"/>
              </w:rPr>
            </w:pPr>
            <w:r>
              <w:rPr>
                <w:sz w:val="2"/>
                <w:szCs w:val="2"/>
              </w:rPr>
              <w:t>​</w:t>
            </w:r>
          </w:p>
        </w:tc>
        <w:tc>
          <w:tcPr>
            <w:tcW w:w="359" w:type="pct"/>
            <w:noWrap/>
            <w:tcMar>
              <w:top w:w="0" w:type="dxa"/>
              <w:left w:w="0" w:type="dxa"/>
              <w:bottom w:w="0" w:type="dxa"/>
              <w:right w:w="0" w:type="dxa"/>
            </w:tcMar>
            <w:vAlign w:val="center"/>
            <w:hideMark/>
          </w:tcPr>
          <w:p w:rsidR="00000000" w:rsidRDefault="00E52F77">
            <w:pPr>
              <w:pStyle w:val="a3"/>
              <w:spacing w:before="0" w:beforeAutospacing="0" w:after="0" w:afterAutospacing="0"/>
              <w:divId w:val="1228036530"/>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603686594"/>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708804325"/>
              <w:rPr>
                <w:sz w:val="20"/>
                <w:szCs w:val="20"/>
              </w:rPr>
            </w:pPr>
            <w:r>
              <w:rPr>
                <w:sz w:val="2"/>
                <w:szCs w:val="2"/>
              </w:rPr>
              <w:t>​</w:t>
            </w:r>
          </w:p>
        </w:tc>
        <w:tc>
          <w:tcPr>
            <w:tcW w:w="360" w:type="pct"/>
            <w:noWrap/>
            <w:tcMar>
              <w:top w:w="0" w:type="dxa"/>
              <w:left w:w="0" w:type="dxa"/>
              <w:bottom w:w="0" w:type="dxa"/>
              <w:right w:w="0" w:type="dxa"/>
            </w:tcMar>
            <w:vAlign w:val="center"/>
            <w:hideMark/>
          </w:tcPr>
          <w:p w:rsidR="00000000" w:rsidRDefault="00E52F77">
            <w:pPr>
              <w:pStyle w:val="a3"/>
              <w:spacing w:before="0" w:beforeAutospacing="0" w:after="0" w:afterAutospacing="0"/>
              <w:divId w:val="1918055125"/>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578903544"/>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395158417"/>
              <w:rPr>
                <w:sz w:val="20"/>
                <w:szCs w:val="20"/>
              </w:rPr>
            </w:pPr>
            <w:r>
              <w:rPr>
                <w:sz w:val="2"/>
                <w:szCs w:val="2"/>
              </w:rPr>
              <w:t>​</w:t>
            </w:r>
          </w:p>
        </w:tc>
        <w:tc>
          <w:tcPr>
            <w:tcW w:w="334" w:type="pct"/>
            <w:noWrap/>
            <w:tcMar>
              <w:top w:w="0" w:type="dxa"/>
              <w:left w:w="0" w:type="dxa"/>
              <w:bottom w:w="0" w:type="dxa"/>
              <w:right w:w="0" w:type="dxa"/>
            </w:tcMar>
            <w:vAlign w:val="center"/>
            <w:hideMark/>
          </w:tcPr>
          <w:p w:rsidR="00000000" w:rsidRDefault="00E52F77">
            <w:pPr>
              <w:pStyle w:val="a3"/>
              <w:spacing w:before="0" w:beforeAutospacing="0" w:after="0" w:afterAutospacing="0"/>
              <w:divId w:val="383286988"/>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575357380"/>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580872534"/>
              <w:rPr>
                <w:sz w:val="20"/>
                <w:szCs w:val="20"/>
              </w:rPr>
            </w:pPr>
            <w:r>
              <w:rPr>
                <w:sz w:val="2"/>
                <w:szCs w:val="2"/>
              </w:rPr>
              <w:t>​</w:t>
            </w:r>
          </w:p>
        </w:tc>
        <w:tc>
          <w:tcPr>
            <w:tcW w:w="339" w:type="pct"/>
            <w:noWrap/>
            <w:tcMar>
              <w:top w:w="0" w:type="dxa"/>
              <w:left w:w="0" w:type="dxa"/>
              <w:bottom w:w="0" w:type="dxa"/>
              <w:right w:w="0" w:type="dxa"/>
            </w:tcMar>
            <w:vAlign w:val="center"/>
            <w:hideMark/>
          </w:tcPr>
          <w:p w:rsidR="00000000" w:rsidRDefault="00E52F77">
            <w:pPr>
              <w:pStyle w:val="a3"/>
              <w:spacing w:before="0" w:beforeAutospacing="0" w:after="0" w:afterAutospacing="0"/>
              <w:divId w:val="487677290"/>
              <w:rPr>
                <w:sz w:val="20"/>
                <w:szCs w:val="20"/>
              </w:rPr>
            </w:pPr>
            <w:r>
              <w:rPr>
                <w:sz w:val="2"/>
                <w:szCs w:val="2"/>
              </w:rPr>
              <w:t>​</w:t>
            </w:r>
          </w:p>
        </w:tc>
      </w:tr>
      <w:tr w:rsidR="00000000">
        <w:trPr>
          <w:divId w:val="2055426603"/>
        </w:trPr>
        <w:tc>
          <w:tcPr>
            <w:tcW w:w="2894"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8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986" w:type="pct"/>
            <w:gridSpan w:val="5"/>
            <w:tcBorders>
              <w:bottom w:val="single" w:sz="6" w:space="0" w:color="000000"/>
            </w:tcBorders>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Three Months Ended June 30, </w:t>
            </w:r>
          </w:p>
        </w:tc>
        <w:tc>
          <w:tcPr>
            <w:tcW w:w="8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940" w:type="pct"/>
            <w:gridSpan w:val="5"/>
            <w:tcBorders>
              <w:bottom w:val="single" w:sz="6" w:space="0" w:color="000000"/>
            </w:tcBorders>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Six Months Ended June 30, </w:t>
            </w:r>
          </w:p>
        </w:tc>
      </w:tr>
      <w:tr w:rsidR="00000000">
        <w:trPr>
          <w:divId w:val="2055426603"/>
        </w:trPr>
        <w:tc>
          <w:tcPr>
            <w:tcW w:w="2894" w:type="pct"/>
            <w:tcBorders>
              <w:bottom w:val="single" w:sz="6" w:space="0" w:color="000000"/>
            </w:tcBorders>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(In thousands)</w:t>
            </w:r>
          </w:p>
        </w:tc>
        <w:tc>
          <w:tcPr>
            <w:tcW w:w="8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448"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2021</w:t>
            </w:r>
          </w:p>
        </w:tc>
        <w:tc>
          <w:tcPr>
            <w:tcW w:w="8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449"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2020</w:t>
            </w:r>
          </w:p>
        </w:tc>
        <w:tc>
          <w:tcPr>
            <w:tcW w:w="8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c>
          <w:tcPr>
            <w:tcW w:w="423"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2021</w:t>
            </w:r>
          </w:p>
        </w:tc>
        <w:tc>
          <w:tcPr>
            <w:tcW w:w="8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428"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2020</w:t>
            </w:r>
          </w:p>
        </w:tc>
      </w:tr>
      <w:tr w:rsidR="00000000">
        <w:trPr>
          <w:divId w:val="2055426603"/>
        </w:trPr>
        <w:tc>
          <w:tcPr>
            <w:tcW w:w="2894"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Royalty revenue and gross profit</w:t>
            </w:r>
          </w:p>
        </w:tc>
        <w:tc>
          <w:tcPr>
            <w:tcW w:w="8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59"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26,386</w:t>
            </w:r>
          </w:p>
        </w:tc>
        <w:tc>
          <w:tcPr>
            <w:tcW w:w="8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60"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25,633</w:t>
            </w:r>
          </w:p>
        </w:tc>
        <w:tc>
          <w:tcPr>
            <w:tcW w:w="8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34"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48,470</w:t>
            </w:r>
          </w:p>
        </w:tc>
        <w:tc>
          <w:tcPr>
            <w:tcW w:w="8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39"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41,768</w:t>
            </w:r>
          </w:p>
        </w:tc>
      </w:tr>
      <w:tr w:rsidR="00000000">
        <w:trPr>
          <w:divId w:val="2055426603"/>
        </w:trPr>
        <w:tc>
          <w:tcPr>
            <w:tcW w:w="2894"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Income from continuing operations</w:t>
            </w:r>
          </w:p>
        </w:tc>
        <w:tc>
          <w:tcPr>
            <w:tcW w:w="8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59" w:type="pct"/>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26,050</w:t>
            </w:r>
          </w:p>
        </w:tc>
        <w:tc>
          <w:tcPr>
            <w:tcW w:w="8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60" w:type="pct"/>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25,153</w:t>
            </w:r>
          </w:p>
        </w:tc>
        <w:tc>
          <w:tcPr>
            <w:tcW w:w="8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34" w:type="pct"/>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44,853</w:t>
            </w:r>
          </w:p>
        </w:tc>
        <w:tc>
          <w:tcPr>
            <w:tcW w:w="8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39" w:type="pct"/>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41,017</w:t>
            </w:r>
          </w:p>
        </w:tc>
      </w:tr>
      <w:tr w:rsidR="00000000">
        <w:trPr>
          <w:divId w:val="2055426603"/>
        </w:trPr>
        <w:tc>
          <w:tcPr>
            <w:tcW w:w="2894"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Net income</w:t>
            </w:r>
          </w:p>
        </w:tc>
        <w:tc>
          <w:tcPr>
            <w:tcW w:w="8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59"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25,796</w:t>
            </w:r>
          </w:p>
        </w:tc>
        <w:tc>
          <w:tcPr>
            <w:tcW w:w="8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60"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25,154</w:t>
            </w:r>
          </w:p>
        </w:tc>
        <w:tc>
          <w:tcPr>
            <w:tcW w:w="8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34"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44,116</w:t>
            </w:r>
          </w:p>
        </w:tc>
        <w:tc>
          <w:tcPr>
            <w:tcW w:w="8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39" w:type="pct"/>
            <w:shd w:val="clear" w:color="auto" w:fill="CCEEFF"/>
            <w:noWrap/>
            <w:tcMar>
              <w:top w:w="0" w:type="dxa"/>
              <w:left w:w="0" w:type="dxa"/>
              <w:bottom w:w="0" w:type="dxa"/>
              <w:right w:w="0" w:type="dxa"/>
            </w:tcMar>
            <w:vAlign w:val="center"/>
            <w:hideMark/>
          </w:tcPr>
          <w:p w:rsidR="00000000" w:rsidRDefault="00E52F77">
            <w:pPr>
              <w:pStyle w:val="a3"/>
              <w:spacing w:before="0" w:beforeAutospacing="0" w:after="0" w:afterAutospacing="0"/>
              <w:ind w:right="70"/>
              <w:jc w:val="right"/>
              <w:rPr>
                <w:sz w:val="20"/>
                <w:szCs w:val="20"/>
              </w:rPr>
            </w:pPr>
            <w:r>
              <w:rPr>
                <w:sz w:val="20"/>
                <w:szCs w:val="20"/>
              </w:rPr>
              <w:t>41,054</w:t>
            </w:r>
          </w:p>
        </w:tc>
      </w:tr>
    </w:tbl>
    <w:p w:rsidR="00000000" w:rsidRDefault="00E52F77">
      <w:pPr>
        <w:pStyle w:val="a3"/>
        <w:spacing w:before="0" w:beforeAutospacing="0" w:after="0" w:afterAutospacing="0"/>
        <w:divId w:val="2055426603"/>
        <w:rPr>
          <w:sz w:val="20"/>
          <w:szCs w:val="20"/>
        </w:rPr>
      </w:pPr>
      <w:r>
        <w:rPr>
          <w:sz w:val="20"/>
          <w:szCs w:val="20"/>
        </w:rPr>
        <w:t>​</w:t>
      </w:r>
    </w:p>
    <w:p w:rsidR="00000000" w:rsidRDefault="00E52F77">
      <w:pPr>
        <w:pStyle w:val="a3"/>
        <w:spacing w:before="0" w:beforeAutospacing="0" w:after="0" w:afterAutospacing="0"/>
        <w:ind w:firstLine="720"/>
        <w:divId w:val="2055426603"/>
        <w:rPr>
          <w:sz w:val="20"/>
          <w:szCs w:val="20"/>
        </w:rPr>
      </w:pPr>
      <w:r>
        <w:rPr>
          <w:sz w:val="20"/>
          <w:szCs w:val="20"/>
        </w:rPr>
        <w:t>On June 10, 2020, the Company disclosed in a Form 8-K that it had formally objected to TRC and Innoviva, regarding their proposed plan to use TRELEGY royalties to invest in certain privately-held companies, funds that would otherwise be available for distr</w:t>
      </w:r>
      <w:r>
        <w:rPr>
          <w:sz w:val="20"/>
          <w:szCs w:val="20"/>
        </w:rPr>
        <w:t>ibution to the Company under the terms of the TRC LLC Agreement. In this regard, the Company initiated an arbitration proceeding in October 2020 against Innoviva and TRC, challenging the authority of Innoviva and TRC to pursue such a business plan rather t</w:t>
      </w:r>
      <w:r>
        <w:rPr>
          <w:sz w:val="20"/>
          <w:szCs w:val="20"/>
        </w:rPr>
        <w:t>han distribute such funds to the Company in a manner that it believes is consistent with the TRC LLC Agreement and its 85% economic interest in TRC. The arbitration hearing was held during the week of February 16, 2021, with post-hearing briefing and argum</w:t>
      </w:r>
      <w:r>
        <w:rPr>
          <w:sz w:val="20"/>
          <w:szCs w:val="20"/>
        </w:rPr>
        <w:t>ents taking place over the following few weeks. </w:t>
      </w:r>
    </w:p>
    <w:p w:rsidR="00000000" w:rsidRDefault="00E52F77">
      <w:pPr>
        <w:pStyle w:val="a3"/>
        <w:spacing w:before="0" w:beforeAutospacing="0" w:after="0" w:afterAutospacing="0"/>
        <w:ind w:firstLine="720"/>
        <w:divId w:val="2055426603"/>
        <w:rPr>
          <w:sz w:val="20"/>
          <w:szCs w:val="20"/>
        </w:rPr>
      </w:pPr>
      <w:r>
        <w:rPr>
          <w:sz w:val="20"/>
          <w:szCs w:val="20"/>
        </w:rPr>
        <w:t>​</w:t>
      </w:r>
    </w:p>
    <w:p w:rsidR="00000000" w:rsidRDefault="00E52F77">
      <w:pPr>
        <w:pStyle w:val="a3"/>
        <w:spacing w:before="0" w:beforeAutospacing="0" w:after="0" w:afterAutospacing="0"/>
        <w:ind w:firstLine="720"/>
        <w:divId w:val="2055426603"/>
        <w:rPr>
          <w:sz w:val="20"/>
          <w:szCs w:val="20"/>
        </w:rPr>
      </w:pPr>
      <w:r>
        <w:rPr>
          <w:sz w:val="20"/>
          <w:szCs w:val="20"/>
        </w:rPr>
        <w:t>On March 30, 2021, the arbitrator ruled that, at its current levels of investment, Innoviva and TRC had not breached the TRC LLC Agreement. The arbitrator further ruled that Innoviva and TRC had not breach</w:t>
      </w:r>
      <w:r>
        <w:rPr>
          <w:sz w:val="20"/>
          <w:szCs w:val="20"/>
        </w:rPr>
        <w:t>ed the implied covenant of good faith and fair dealing; or their fiduciary duties. The arbitrator also ruled that (i) Innoviva is entitled to indemnification from TRC for all legal fees and expenses reasonably incurred in the arbitration and (ii) the Compa</w:t>
      </w:r>
      <w:r>
        <w:rPr>
          <w:sz w:val="20"/>
          <w:szCs w:val="20"/>
        </w:rPr>
        <w:t>ny is entitled to indemnification from TRC for legal fees and costs incurred in defending an action Innoviva brought against it in the Delaware Court of Chancery. The arbitrator noted in the ruling that although the Company failed to show that Innoviva’s i</w:t>
      </w:r>
      <w:r>
        <w:rPr>
          <w:sz w:val="20"/>
          <w:szCs w:val="20"/>
        </w:rPr>
        <w:t>nvestment activities, at the current levels of investment, have or will have a material and adverse effect on its economic interest in TRC, this does not mean that any future investments or actions will not require the Company’s consent. The arbitrator not</w:t>
      </w:r>
      <w:r>
        <w:rPr>
          <w:sz w:val="20"/>
          <w:szCs w:val="20"/>
        </w:rPr>
        <w:t>ed in the ruling that the Company may, in the future, have a consent right over the decision to continue this investment strategy or whether to make a particular investment if, for example, Innoviva develops a track record of poor investments, over allocat</w:t>
      </w:r>
      <w:r>
        <w:rPr>
          <w:sz w:val="20"/>
          <w:szCs w:val="20"/>
        </w:rPr>
        <w:t>es royalties to these investment activities, or fails to distribute sufficient investment returns, and such facts cause the strategy or investment to have a material adverse effect on the Company’s economic interest in TRC.</w:t>
      </w:r>
    </w:p>
    <w:p w:rsidR="00000000" w:rsidRDefault="00E52F77">
      <w:pPr>
        <w:pStyle w:val="a3"/>
        <w:spacing w:before="0" w:beforeAutospacing="0" w:after="0" w:afterAutospacing="0"/>
        <w:ind w:firstLine="720"/>
        <w:divId w:val="2055426603"/>
        <w:rPr>
          <w:sz w:val="20"/>
          <w:szCs w:val="20"/>
        </w:rPr>
      </w:pPr>
      <w:r>
        <w:rPr>
          <w:sz w:val="20"/>
          <w:szCs w:val="20"/>
        </w:rPr>
        <w:t>​</w:t>
      </w:r>
    </w:p>
    <w:p w:rsidR="00000000" w:rsidRDefault="00E52F77">
      <w:pPr>
        <w:pStyle w:val="a3"/>
        <w:spacing w:before="0" w:beforeAutospacing="0" w:after="0" w:afterAutospacing="0"/>
        <w:ind w:firstLine="720"/>
        <w:divId w:val="2055426603"/>
        <w:rPr>
          <w:sz w:val="20"/>
          <w:szCs w:val="20"/>
        </w:rPr>
      </w:pPr>
      <w:r>
        <w:rPr>
          <w:sz w:val="20"/>
          <w:szCs w:val="20"/>
        </w:rPr>
        <w:t>Pursuant to the terms of the T</w:t>
      </w:r>
      <w:r>
        <w:rPr>
          <w:sz w:val="20"/>
          <w:szCs w:val="20"/>
        </w:rPr>
        <w:t>RC LLC Agreement, Innoviva is required to deliver to the Company a draft quarterly financial plan 30 days prior to the end of each fiscal quarter covering the next fiscal quarter. As previously disclosed, on June 2, 2021, the Company received from Innoviva</w:t>
      </w:r>
      <w:r>
        <w:rPr>
          <w:sz w:val="20"/>
          <w:szCs w:val="20"/>
        </w:rPr>
        <w:t xml:space="preserve"> the draft TRC quarterly financial plan for the quarter ending September 30, 2021. The draft financial plan noted that Innoviva intends to invest TRC funds into two private companies and incur significant fees and costs associated with these possible inves</w:t>
      </w:r>
      <w:r>
        <w:rPr>
          <w:sz w:val="20"/>
          <w:szCs w:val="20"/>
        </w:rPr>
        <w:t>tments. The Company provided comments to TRC regarding these proposed actions by TRC with Innoviva, and objected to the withholding of funds by TRC for these and similar investments. While the LLC Agreement provides that Innoviva must consider in good fait</w:t>
      </w:r>
      <w:r>
        <w:rPr>
          <w:sz w:val="20"/>
          <w:szCs w:val="20"/>
        </w:rPr>
        <w:t>h any comments the Company provides, the financial plan became effective 30 days after the draft plan was provided to the Company.</w:t>
      </w:r>
      <w:r>
        <w:rPr>
          <w:spacing w:val="4"/>
          <w:sz w:val="20"/>
          <w:szCs w:val="20"/>
        </w:rPr>
        <w:t xml:space="preserve"> </w:t>
      </w:r>
      <w:r>
        <w:rPr>
          <w:sz w:val="20"/>
          <w:szCs w:val="20"/>
        </w:rPr>
        <w:t>If, as reflected in the draft plan, TRC makes these contemplated investments and incurs the associated fees and costs as well</w:t>
      </w:r>
      <w:r>
        <w:rPr>
          <w:sz w:val="20"/>
          <w:szCs w:val="20"/>
        </w:rPr>
        <w:t xml:space="preserve"> as the other costs identified in the plan, distributions by TRC to its members in the third quarter of 2021 will be reduced substantially.</w:t>
      </w:r>
    </w:p>
    <w:p w:rsidR="00000000" w:rsidRDefault="00E52F77">
      <w:pPr>
        <w:pStyle w:val="a3"/>
        <w:spacing w:before="0" w:beforeAutospacing="0" w:after="0" w:afterAutospacing="0"/>
        <w:divId w:val="2055426603"/>
        <w:rPr>
          <w:sz w:val="20"/>
          <w:szCs w:val="20"/>
        </w:rPr>
      </w:pPr>
      <w:r>
        <w:rPr>
          <w:sz w:val="20"/>
          <w:szCs w:val="20"/>
        </w:rPr>
        <w:t>​</w:t>
      </w:r>
    </w:p>
    <w:p w:rsidR="00000000" w:rsidRDefault="00E52F77">
      <w:pPr>
        <w:pStyle w:val="a3"/>
        <w:spacing w:before="360" w:beforeAutospacing="0" w:after="0" w:afterAutospacing="0"/>
        <w:jc w:val="center"/>
        <w:divId w:val="1705599959"/>
        <w:rPr>
          <w:sz w:val="20"/>
          <w:szCs w:val="20"/>
        </w:rPr>
      </w:pPr>
      <w:r>
        <w:rPr>
          <w:sz w:val="20"/>
          <w:szCs w:val="20"/>
        </w:rPr>
        <w:t>16</w:t>
      </w:r>
    </w:p>
    <w:p w:rsidR="00000000" w:rsidRDefault="00E52F77">
      <w:pPr>
        <w:pStyle w:val="a3"/>
        <w:spacing w:before="0" w:beforeAutospacing="0" w:after="600" w:afterAutospacing="0"/>
        <w:divId w:val="1823349872"/>
        <w:rPr>
          <w:sz w:val="20"/>
          <w:szCs w:val="20"/>
        </w:rPr>
      </w:pPr>
      <w:hyperlink w:anchor="TOC" w:history="1">
        <w:r>
          <w:rPr>
            <w:rStyle w:val="a4"/>
            <w:sz w:val="20"/>
            <w:szCs w:val="20"/>
          </w:rPr>
          <w:t>Table of Contents</w:t>
        </w:r>
      </w:hyperlink>
    </w:p>
    <w:p w:rsidR="00000000" w:rsidRDefault="00E52F77">
      <w:pPr>
        <w:pStyle w:val="a3"/>
        <w:spacing w:before="0" w:beforeAutospacing="0" w:after="0" w:afterAutospacing="0"/>
        <w:ind w:firstLine="720"/>
        <w:divId w:val="1950700064"/>
        <w:rPr>
          <w:sz w:val="20"/>
          <w:szCs w:val="20"/>
        </w:rPr>
      </w:pPr>
      <w:r>
        <w:rPr>
          <w:sz w:val="20"/>
          <w:szCs w:val="20"/>
        </w:rPr>
        <w:t>The Company’</w:t>
      </w:r>
      <w:r>
        <w:rPr>
          <w:sz w:val="20"/>
          <w:szCs w:val="20"/>
        </w:rPr>
        <w:t>s objections with regard to the TRC quarterly plan or other actions by TRC could result in additional legal proceedings between the Company, TRC and Innoviva, as was the case when the Company initiated arbitration proceedings against Innoviva and TRC in Ma</w:t>
      </w:r>
      <w:r>
        <w:rPr>
          <w:sz w:val="20"/>
          <w:szCs w:val="20"/>
        </w:rPr>
        <w:t>y 2019 and again in October 2020. Any such legal proceedings could divert the attention of management and cause the Company to incur significant costs, regardless of the outcome, which the Company cannot predict. If such proceedings were pursued, there can</w:t>
      </w:r>
      <w:r>
        <w:rPr>
          <w:sz w:val="20"/>
          <w:szCs w:val="20"/>
        </w:rPr>
        <w:t xml:space="preserve"> be no assurance that they would result in the Company receiving additional distributions from TRC. An adverse result could materially and adversely affect the funds that the Company would otherwise expect to receive from TRC in the future.</w:t>
      </w:r>
    </w:p>
    <w:p w:rsidR="00000000" w:rsidRDefault="00E52F77">
      <w:pPr>
        <w:pStyle w:val="a3"/>
        <w:spacing w:before="0" w:beforeAutospacing="0" w:after="0" w:afterAutospacing="0"/>
        <w:ind w:firstLine="720"/>
        <w:divId w:val="1950700064"/>
        <w:rPr>
          <w:sz w:val="20"/>
          <w:szCs w:val="20"/>
        </w:rPr>
      </w:pPr>
      <w:r>
        <w:rPr>
          <w:color w:val="FF0000"/>
          <w:sz w:val="20"/>
          <w:szCs w:val="20"/>
        </w:rPr>
        <w:t>.</w:t>
      </w:r>
    </w:p>
    <w:p w:rsidR="00000000" w:rsidRDefault="00E52F77">
      <w:pPr>
        <w:pStyle w:val="a3"/>
        <w:spacing w:before="0" w:beforeAutospacing="0" w:after="0" w:afterAutospacing="0"/>
        <w:divId w:val="1950700064"/>
        <w:rPr>
          <w:sz w:val="20"/>
          <w:szCs w:val="20"/>
        </w:rPr>
      </w:pPr>
      <w:r>
        <w:rPr>
          <w:b/>
          <w:bCs/>
          <w:sz w:val="20"/>
          <w:szCs w:val="20"/>
        </w:rPr>
        <w:t>8</w:t>
      </w:r>
      <w:r>
        <w:rPr>
          <w:b/>
          <w:bCs/>
          <w:i/>
          <w:iCs/>
          <w:sz w:val="20"/>
          <w:szCs w:val="20"/>
        </w:rPr>
        <w:t xml:space="preserve">. </w:t>
      </w:r>
      <w:r>
        <w:rPr>
          <w:b/>
          <w:bCs/>
          <w:sz w:val="20"/>
          <w:szCs w:val="20"/>
        </w:rPr>
        <w:t>Share-Base</w:t>
      </w:r>
      <w:r>
        <w:rPr>
          <w:b/>
          <w:bCs/>
          <w:sz w:val="20"/>
          <w:szCs w:val="20"/>
        </w:rPr>
        <w:t>d Compensation</w:t>
      </w:r>
    </w:p>
    <w:p w:rsidR="00000000" w:rsidRDefault="00E52F77">
      <w:pPr>
        <w:pStyle w:val="a3"/>
        <w:spacing w:before="0" w:beforeAutospacing="0" w:after="0" w:afterAutospacing="0"/>
        <w:divId w:val="1950700064"/>
        <w:rPr>
          <w:sz w:val="20"/>
          <w:szCs w:val="20"/>
        </w:rPr>
      </w:pPr>
      <w:r>
        <w:rPr>
          <w:sz w:val="10"/>
          <w:szCs w:val="10"/>
        </w:rPr>
        <w:t>​</w:t>
      </w:r>
    </w:p>
    <w:p w:rsidR="00000000" w:rsidRDefault="00E52F77">
      <w:pPr>
        <w:pStyle w:val="a3"/>
        <w:spacing w:before="0" w:beforeAutospacing="0" w:after="0" w:afterAutospacing="0"/>
        <w:ind w:firstLine="720"/>
        <w:divId w:val="1950700064"/>
        <w:rPr>
          <w:sz w:val="20"/>
          <w:szCs w:val="20"/>
        </w:rPr>
      </w:pPr>
      <w:r>
        <w:rPr>
          <w:sz w:val="20"/>
          <w:szCs w:val="20"/>
        </w:rPr>
        <w:t>The Company periodically grants performance-contingent share-based awards to employees. For the three and six months ended June 30, 2021, the Company recognized $0.1 million and $0.6 million, respectively, of share-based compensation expen</w:t>
      </w:r>
      <w:r>
        <w:rPr>
          <w:sz w:val="20"/>
          <w:szCs w:val="20"/>
        </w:rPr>
        <w:t>se related to these types of awards. As of June 30, 2021, the maximum remaining share-based compensation expense related to outstanding performance-contingent awards was $0.6 million which had performance expiration dates through June 2022. For the three a</w:t>
      </w:r>
      <w:r>
        <w:rPr>
          <w:sz w:val="20"/>
          <w:szCs w:val="20"/>
        </w:rPr>
        <w:t>nd six months ended June 30, 2020, the Company recognized $1.1 million and $2.4 million, respectively, of share-based compensation expense related to performance-contingent share-based awards.</w:t>
      </w:r>
    </w:p>
    <w:p w:rsidR="00000000" w:rsidRDefault="00E52F77">
      <w:pPr>
        <w:pStyle w:val="a3"/>
        <w:spacing w:before="0" w:beforeAutospacing="0" w:after="0" w:afterAutospacing="0"/>
        <w:ind w:firstLine="720"/>
        <w:divId w:val="1950700064"/>
        <w:rPr>
          <w:sz w:val="20"/>
          <w:szCs w:val="20"/>
        </w:rPr>
      </w:pPr>
      <w:r>
        <w:rPr>
          <w:sz w:val="20"/>
          <w:szCs w:val="20"/>
        </w:rPr>
        <w:t>​</w:t>
      </w:r>
    </w:p>
    <w:p w:rsidR="00000000" w:rsidRDefault="00E52F77">
      <w:pPr>
        <w:pStyle w:val="a3"/>
        <w:spacing w:before="0" w:beforeAutospacing="0" w:after="0" w:afterAutospacing="0"/>
        <w:divId w:val="1950700064"/>
        <w:rPr>
          <w:sz w:val="20"/>
          <w:szCs w:val="20"/>
        </w:rPr>
      </w:pPr>
      <w:r>
        <w:rPr>
          <w:b/>
          <w:bCs/>
          <w:sz w:val="20"/>
          <w:szCs w:val="20"/>
        </w:rPr>
        <w:t xml:space="preserve">9. Income Taxes </w:t>
      </w:r>
    </w:p>
    <w:p w:rsidR="00000000" w:rsidRDefault="00E52F77">
      <w:pPr>
        <w:pStyle w:val="a3"/>
        <w:spacing w:before="0" w:beforeAutospacing="0" w:after="0" w:afterAutospacing="0"/>
        <w:divId w:val="1950700064"/>
        <w:rPr>
          <w:sz w:val="20"/>
          <w:szCs w:val="20"/>
        </w:rPr>
      </w:pPr>
      <w:r>
        <w:rPr>
          <w:sz w:val="10"/>
          <w:szCs w:val="10"/>
        </w:rPr>
        <w:t>​</w:t>
      </w:r>
    </w:p>
    <w:p w:rsidR="00000000" w:rsidRDefault="00E52F77">
      <w:pPr>
        <w:pStyle w:val="a3"/>
        <w:spacing w:before="0" w:beforeAutospacing="0" w:after="0" w:afterAutospacing="0"/>
        <w:ind w:firstLine="720"/>
        <w:divId w:val="1950700064"/>
        <w:rPr>
          <w:sz w:val="20"/>
          <w:szCs w:val="20"/>
        </w:rPr>
      </w:pPr>
      <w:r>
        <w:rPr>
          <w:sz w:val="20"/>
          <w:szCs w:val="20"/>
        </w:rPr>
        <w:t xml:space="preserve">For the three months ended June 30, 2021, </w:t>
      </w:r>
      <w:r>
        <w:rPr>
          <w:sz w:val="20"/>
          <w:szCs w:val="20"/>
        </w:rPr>
        <w:t>the Company recognized an income tax benefit of $0.2 million, and for the six months ended June 30, 2021, the Company recognized an income tax expense of $7,000. The income tax provisions for the three and six months ended June 20, 2021 were primarily attr</w:t>
      </w:r>
      <w:r>
        <w:rPr>
          <w:sz w:val="20"/>
          <w:szCs w:val="20"/>
        </w:rPr>
        <w:t>ibuted to recording contingent liabilities for uncertain tax positions taken with respect to transfer pricing and tax credits. No provision for income taxes has been recognized on undistributed earnings of the Company’s foreign subsidiaries because it cons</w:t>
      </w:r>
      <w:r>
        <w:rPr>
          <w:sz w:val="20"/>
          <w:szCs w:val="20"/>
        </w:rPr>
        <w:t xml:space="preserve">iders such earnings to be indefinitely reinvested. </w:t>
      </w:r>
    </w:p>
    <w:p w:rsidR="00000000" w:rsidRDefault="00E52F77">
      <w:pPr>
        <w:pStyle w:val="a3"/>
        <w:spacing w:before="0" w:beforeAutospacing="0" w:after="0" w:afterAutospacing="0"/>
        <w:divId w:val="1950700064"/>
        <w:rPr>
          <w:sz w:val="20"/>
          <w:szCs w:val="20"/>
        </w:rPr>
      </w:pPr>
      <w:r>
        <w:rPr>
          <w:sz w:val="20"/>
          <w:szCs w:val="20"/>
        </w:rPr>
        <w:t>​</w:t>
      </w:r>
    </w:p>
    <w:p w:rsidR="00000000" w:rsidRDefault="00E52F77">
      <w:pPr>
        <w:pStyle w:val="a3"/>
        <w:spacing w:before="0" w:beforeAutospacing="0" w:after="0" w:afterAutospacing="0"/>
        <w:ind w:firstLine="720"/>
        <w:divId w:val="1950700064"/>
        <w:rPr>
          <w:sz w:val="20"/>
          <w:szCs w:val="20"/>
        </w:rPr>
      </w:pPr>
      <w:r>
        <w:rPr>
          <w:sz w:val="20"/>
          <w:szCs w:val="20"/>
        </w:rPr>
        <w:t>The Company follows the accounting guidance related to accounting for income taxes which requires that a company reduce its deferred tax assets by a valuation allowance if, based on the weight of availa</w:t>
      </w:r>
      <w:r>
        <w:rPr>
          <w:sz w:val="20"/>
          <w:szCs w:val="20"/>
        </w:rPr>
        <w:t>ble evidence, it is more likely than not that some portion or all of its deferred tax assets will not be realized. As of June 30, 2021, the Company’s deferred tax assets were offset in full by a valuation allowance.</w:t>
      </w:r>
    </w:p>
    <w:p w:rsidR="00000000" w:rsidRDefault="00E52F77">
      <w:pPr>
        <w:pStyle w:val="a3"/>
        <w:spacing w:before="0" w:beforeAutospacing="0" w:after="0" w:afterAutospacing="0"/>
        <w:ind w:firstLine="720"/>
        <w:divId w:val="1950700064"/>
        <w:rPr>
          <w:sz w:val="20"/>
          <w:szCs w:val="20"/>
        </w:rPr>
      </w:pPr>
      <w:r>
        <w:rPr>
          <w:sz w:val="20"/>
          <w:szCs w:val="20"/>
        </w:rPr>
        <w:t>​</w:t>
      </w:r>
    </w:p>
    <w:p w:rsidR="00000000" w:rsidRDefault="00E52F77">
      <w:pPr>
        <w:pStyle w:val="a3"/>
        <w:spacing w:before="0" w:beforeAutospacing="0" w:after="0" w:afterAutospacing="0"/>
        <w:ind w:firstLine="720"/>
        <w:divId w:val="1950700064"/>
        <w:rPr>
          <w:sz w:val="20"/>
          <w:szCs w:val="20"/>
        </w:rPr>
      </w:pPr>
      <w:r>
        <w:rPr>
          <w:sz w:val="20"/>
          <w:szCs w:val="20"/>
        </w:rPr>
        <w:t>The Company records liabilities relate</w:t>
      </w:r>
      <w:r>
        <w:rPr>
          <w:sz w:val="20"/>
          <w:szCs w:val="20"/>
        </w:rPr>
        <w:t>d to uncertain tax positions in accordance with the income tax guidance which clarifies the accounting for uncertainty in income taxes recognized in an enterprise’s financial statements by prescribing a minimum recognition threshold and measurement attribu</w:t>
      </w:r>
      <w:r>
        <w:rPr>
          <w:sz w:val="20"/>
          <w:szCs w:val="20"/>
        </w:rPr>
        <w:t>te for the financial statement recognition and measurement of a tax position taken or expected to be taken in a tax return. Resolution of one or more of these uncertain tax positions in any period may have a material impact on the results of operations for</w:t>
      </w:r>
      <w:r>
        <w:rPr>
          <w:sz w:val="20"/>
          <w:szCs w:val="20"/>
        </w:rPr>
        <w:t xml:space="preserve"> that period. The Company includes any applicable interest and penalties within the provision for income taxes in the condensed consolidated statements of operations</w:t>
      </w:r>
      <w:r>
        <w:rPr>
          <w:sz w:val="20"/>
          <w:szCs w:val="20"/>
        </w:rPr>
        <w:t>.</w:t>
      </w:r>
    </w:p>
    <w:p w:rsidR="00000000" w:rsidRDefault="00E52F77">
      <w:pPr>
        <w:pStyle w:val="a3"/>
        <w:spacing w:before="0" w:beforeAutospacing="0" w:after="0" w:afterAutospacing="0"/>
        <w:ind w:firstLine="720"/>
        <w:divId w:val="1950700064"/>
        <w:rPr>
          <w:sz w:val="20"/>
          <w:szCs w:val="20"/>
        </w:rPr>
      </w:pPr>
      <w:r>
        <w:rPr>
          <w:sz w:val="20"/>
          <w:szCs w:val="20"/>
        </w:rPr>
        <w:t>​</w:t>
      </w:r>
    </w:p>
    <w:p w:rsidR="00000000" w:rsidRDefault="00E52F77">
      <w:pPr>
        <w:pStyle w:val="a3"/>
        <w:spacing w:before="0" w:beforeAutospacing="0" w:after="0" w:afterAutospacing="0"/>
        <w:ind w:firstLine="720"/>
        <w:divId w:val="1950700064"/>
        <w:rPr>
          <w:sz w:val="20"/>
          <w:szCs w:val="20"/>
        </w:rPr>
      </w:pPr>
      <w:r>
        <w:rPr>
          <w:sz w:val="20"/>
          <w:szCs w:val="20"/>
        </w:rPr>
        <w:t>The Company is currently under Internal Revenue Service (“IRS”) examination for the tax</w:t>
      </w:r>
      <w:r>
        <w:rPr>
          <w:sz w:val="20"/>
          <w:szCs w:val="20"/>
        </w:rPr>
        <w:t xml:space="preserve"> year ended December 31, 2018. The Company believes that an adequate provision has been made for any material adjustments that may result from the tax examination. </w:t>
      </w:r>
    </w:p>
    <w:p w:rsidR="00000000" w:rsidRDefault="00E52F77">
      <w:pPr>
        <w:pStyle w:val="a3"/>
        <w:spacing w:before="0" w:beforeAutospacing="0" w:after="0" w:afterAutospacing="0"/>
        <w:ind w:firstLine="720"/>
        <w:divId w:val="1950700064"/>
        <w:rPr>
          <w:sz w:val="20"/>
          <w:szCs w:val="20"/>
        </w:rPr>
      </w:pPr>
      <w:r>
        <w:rPr>
          <w:sz w:val="20"/>
          <w:szCs w:val="20"/>
        </w:rPr>
        <w:t>​</w:t>
      </w:r>
    </w:p>
    <w:p w:rsidR="00000000" w:rsidRDefault="00E52F77">
      <w:pPr>
        <w:pStyle w:val="a3"/>
        <w:spacing w:before="0" w:beforeAutospacing="0" w:after="0" w:afterAutospacing="0"/>
        <w:ind w:firstLine="720"/>
        <w:divId w:val="1950700064"/>
        <w:rPr>
          <w:sz w:val="20"/>
          <w:szCs w:val="20"/>
        </w:rPr>
      </w:pPr>
      <w:r>
        <w:rPr>
          <w:sz w:val="20"/>
          <w:szCs w:val="20"/>
        </w:rPr>
        <w:t>The US continues to enact legislation in response to the COVID-19 pandemic, including the</w:t>
      </w:r>
      <w:r>
        <w:rPr>
          <w:sz w:val="20"/>
          <w:szCs w:val="20"/>
        </w:rPr>
        <w:t xml:space="preserve"> </w:t>
      </w:r>
      <w:r>
        <w:rPr>
          <w:i/>
          <w:iCs/>
          <w:sz w:val="20"/>
          <w:szCs w:val="20"/>
        </w:rPr>
        <w:t>Consolidated Appropriations Act, 2021</w:t>
      </w:r>
      <w:r>
        <w:rPr>
          <w:sz w:val="20"/>
          <w:szCs w:val="20"/>
        </w:rPr>
        <w:t xml:space="preserve"> and the </w:t>
      </w:r>
      <w:r>
        <w:rPr>
          <w:i/>
          <w:iCs/>
          <w:sz w:val="20"/>
          <w:szCs w:val="20"/>
        </w:rPr>
        <w:t>American Rescue Plan Act of 2021</w:t>
      </w:r>
      <w:r>
        <w:rPr>
          <w:sz w:val="20"/>
          <w:szCs w:val="20"/>
        </w:rPr>
        <w:t>. The Company has considered the corporate income tax provisions included in these two acts and believes that they do not have a material impact on the Company’s provision for i</w:t>
      </w:r>
      <w:r>
        <w:rPr>
          <w:sz w:val="20"/>
          <w:szCs w:val="20"/>
        </w:rPr>
        <w:t>ncome tax expense for the three and six months ended June 30, 2021.</w:t>
      </w:r>
    </w:p>
    <w:p w:rsidR="00000000" w:rsidRDefault="00E52F77">
      <w:pPr>
        <w:pStyle w:val="a3"/>
        <w:spacing w:before="0" w:beforeAutospacing="0" w:after="0" w:afterAutospacing="0"/>
        <w:divId w:val="1950700064"/>
        <w:rPr>
          <w:sz w:val="20"/>
          <w:szCs w:val="20"/>
        </w:rPr>
      </w:pPr>
      <w:r>
        <w:rPr>
          <w:color w:val="FF0000"/>
          <w:sz w:val="20"/>
          <w:szCs w:val="20"/>
        </w:rPr>
        <w:t>​</w:t>
      </w:r>
    </w:p>
    <w:p w:rsidR="00000000" w:rsidRDefault="00E52F77">
      <w:pPr>
        <w:pStyle w:val="a3"/>
        <w:spacing w:before="0" w:beforeAutospacing="0" w:after="0" w:afterAutospacing="0"/>
        <w:ind w:firstLine="720"/>
        <w:divId w:val="1950700064"/>
        <w:rPr>
          <w:sz w:val="20"/>
          <w:szCs w:val="20"/>
        </w:rPr>
      </w:pPr>
      <w:r>
        <w:rPr>
          <w:sz w:val="20"/>
          <w:szCs w:val="20"/>
        </w:rPr>
        <w:t xml:space="preserve">The Company’s future income tax expense may be affected by such factors as changes in tax laws, its business, regulations, tax rates, interpretation of existing laws or regulations, the </w:t>
      </w:r>
      <w:r>
        <w:rPr>
          <w:sz w:val="20"/>
          <w:szCs w:val="20"/>
        </w:rPr>
        <w:t>impact of accounting for share-based compensation, the impact of accounting for business combinations, its international organization, shifts in the amount of income before tax earned in the US as compared with other regions in the world, and changes in ov</w:t>
      </w:r>
      <w:r>
        <w:rPr>
          <w:sz w:val="20"/>
          <w:szCs w:val="20"/>
        </w:rPr>
        <w:t>erall levels of income before tax.</w:t>
      </w:r>
    </w:p>
    <w:p w:rsidR="00000000" w:rsidRDefault="00E52F77">
      <w:pPr>
        <w:pStyle w:val="a3"/>
        <w:spacing w:before="0" w:beforeAutospacing="0" w:after="0" w:afterAutospacing="0"/>
        <w:ind w:firstLine="720"/>
        <w:divId w:val="1950700064"/>
        <w:rPr>
          <w:sz w:val="20"/>
          <w:szCs w:val="20"/>
        </w:rPr>
      </w:pPr>
      <w:r>
        <w:rPr>
          <w:sz w:val="20"/>
          <w:szCs w:val="20"/>
        </w:rPr>
        <w:t>​</w:t>
      </w:r>
    </w:p>
    <w:p w:rsidR="00000000" w:rsidRDefault="00E52F77">
      <w:pPr>
        <w:pStyle w:val="a3"/>
        <w:spacing w:before="0" w:beforeAutospacing="0" w:after="0" w:afterAutospacing="0"/>
        <w:divId w:val="1950700064"/>
        <w:rPr>
          <w:sz w:val="20"/>
          <w:szCs w:val="20"/>
        </w:rPr>
      </w:pPr>
      <w:r>
        <w:rPr>
          <w:b/>
          <w:bCs/>
          <w:sz w:val="20"/>
          <w:szCs w:val="20"/>
        </w:rPr>
        <w:t>10. Public Offering of Ordinary Shares</w:t>
      </w:r>
    </w:p>
    <w:p w:rsidR="00000000" w:rsidRDefault="00E52F77">
      <w:pPr>
        <w:pStyle w:val="a3"/>
        <w:spacing w:before="0" w:beforeAutospacing="0" w:after="0" w:afterAutospacing="0"/>
        <w:divId w:val="1950700064"/>
        <w:rPr>
          <w:sz w:val="20"/>
          <w:szCs w:val="20"/>
        </w:rPr>
      </w:pPr>
      <w:r>
        <w:rPr>
          <w:sz w:val="10"/>
          <w:szCs w:val="10"/>
        </w:rPr>
        <w:t>​</w:t>
      </w:r>
    </w:p>
    <w:p w:rsidR="00000000" w:rsidRDefault="00E52F77">
      <w:pPr>
        <w:pStyle w:val="a3"/>
        <w:spacing w:before="0" w:beforeAutospacing="0" w:after="0" w:afterAutospacing="0"/>
        <w:divId w:val="1950700064"/>
        <w:rPr>
          <w:sz w:val="20"/>
          <w:szCs w:val="20"/>
        </w:rPr>
      </w:pPr>
      <w:r>
        <w:rPr>
          <w:sz w:val="20"/>
          <w:szCs w:val="20"/>
        </w:rPr>
        <w:t xml:space="preserve">On June 29, 2021, the Company sold 6,700,000 ordinary shares at a price to the public of $15.00 per share (the “Shares”). </w:t>
      </w:r>
      <w:r>
        <w:rPr>
          <w:sz w:val="20"/>
          <w:szCs w:val="20"/>
          <w:shd w:val="clear" w:color="auto" w:fill="FFFFFF"/>
        </w:rPr>
        <w:t xml:space="preserve">Under the terms of the underwriting agreement, on June 29, 2021, the underwriters also exercised a 30-day option </w:t>
      </w:r>
    </w:p>
    <w:p w:rsidR="00000000" w:rsidRDefault="00E52F77">
      <w:pPr>
        <w:pStyle w:val="a3"/>
        <w:spacing w:before="360" w:beforeAutospacing="0" w:after="0" w:afterAutospacing="0"/>
        <w:jc w:val="center"/>
        <w:divId w:val="888734098"/>
        <w:rPr>
          <w:sz w:val="20"/>
          <w:szCs w:val="20"/>
        </w:rPr>
      </w:pPr>
      <w:r>
        <w:rPr>
          <w:sz w:val="20"/>
          <w:szCs w:val="20"/>
        </w:rPr>
        <w:t>17</w:t>
      </w:r>
    </w:p>
    <w:p w:rsidR="00000000" w:rsidRDefault="00E52F77">
      <w:pPr>
        <w:pStyle w:val="a3"/>
        <w:spacing w:before="0" w:beforeAutospacing="0" w:after="600" w:afterAutospacing="0"/>
        <w:divId w:val="1072855881"/>
        <w:rPr>
          <w:sz w:val="20"/>
          <w:szCs w:val="20"/>
        </w:rPr>
      </w:pPr>
      <w:hyperlink w:anchor="TOC" w:history="1">
        <w:r>
          <w:rPr>
            <w:rStyle w:val="a4"/>
            <w:sz w:val="20"/>
            <w:szCs w:val="20"/>
          </w:rPr>
          <w:t>Table of Contents</w:t>
        </w:r>
      </w:hyperlink>
    </w:p>
    <w:p w:rsidR="00000000" w:rsidRDefault="00E52F77">
      <w:pPr>
        <w:pStyle w:val="a3"/>
        <w:spacing w:before="0" w:beforeAutospacing="0" w:after="0" w:afterAutospacing="0"/>
        <w:divId w:val="1184781756"/>
        <w:rPr>
          <w:sz w:val="20"/>
          <w:szCs w:val="20"/>
        </w:rPr>
      </w:pPr>
      <w:r>
        <w:rPr>
          <w:sz w:val="20"/>
          <w:szCs w:val="20"/>
          <w:shd w:val="clear" w:color="auto" w:fill="FFFFFF"/>
        </w:rPr>
        <w:t xml:space="preserve">to purchase an additional 1,005,000 </w:t>
      </w:r>
      <w:r>
        <w:rPr>
          <w:sz w:val="20"/>
          <w:szCs w:val="20"/>
          <w:shd w:val="clear" w:color="auto" w:fill="FFFFFF"/>
        </w:rPr>
        <w:t xml:space="preserve">ordinary shares for a total of 7,705,000 ordinary shares sold. </w:t>
      </w:r>
      <w:r>
        <w:rPr>
          <w:sz w:val="20"/>
          <w:szCs w:val="20"/>
        </w:rPr>
        <w:t xml:space="preserve">The total gross proceeds to the Company from the offering were approximately $115.6 million, before deducting underwriting discounts and commissions and estimated offering expenses. The Shares </w:t>
      </w:r>
      <w:r>
        <w:rPr>
          <w:sz w:val="20"/>
          <w:szCs w:val="20"/>
        </w:rPr>
        <w:t>were issued pursuant to the Company’s currently effective shelf registration statement on Form S-3 and an accompanying prospectus (File No. 333-235339) filed with the SEC, which became effective automatically on December 3, 2019, and a prospectus supplemen</w:t>
      </w:r>
      <w:r>
        <w:rPr>
          <w:sz w:val="20"/>
          <w:szCs w:val="20"/>
        </w:rPr>
        <w:t>t filed with the SEC in connection with the offering.</w:t>
      </w:r>
    </w:p>
    <w:p w:rsidR="00000000" w:rsidRDefault="00E52F77">
      <w:pPr>
        <w:pStyle w:val="a3"/>
        <w:spacing w:before="0" w:beforeAutospacing="0" w:after="0" w:afterAutospacing="0"/>
        <w:divId w:val="1184781756"/>
        <w:rPr>
          <w:sz w:val="20"/>
          <w:szCs w:val="20"/>
        </w:rPr>
      </w:pPr>
      <w:r>
        <w:rPr>
          <w:b/>
          <w:bCs/>
          <w:sz w:val="20"/>
          <w:szCs w:val="20"/>
        </w:rPr>
        <w:t>​</w:t>
      </w:r>
    </w:p>
    <w:p w:rsidR="00000000" w:rsidRDefault="00E52F77">
      <w:pPr>
        <w:pStyle w:val="a3"/>
        <w:spacing w:before="0" w:beforeAutospacing="0" w:after="0" w:afterAutospacing="0"/>
        <w:divId w:val="1184781756"/>
        <w:rPr>
          <w:sz w:val="20"/>
          <w:szCs w:val="20"/>
        </w:rPr>
      </w:pPr>
      <w:r>
        <w:rPr>
          <w:sz w:val="20"/>
          <w:szCs w:val="20"/>
        </w:rPr>
        <w:t>​</w:t>
      </w:r>
    </w:p>
    <w:p w:rsidR="00000000" w:rsidRDefault="00E52F77">
      <w:pPr>
        <w:pStyle w:val="a3"/>
        <w:spacing w:before="0" w:beforeAutospacing="0" w:after="0" w:afterAutospacing="0"/>
        <w:ind w:hanging="900"/>
        <w:divId w:val="1184781756"/>
        <w:rPr>
          <w:sz w:val="20"/>
          <w:szCs w:val="20"/>
        </w:rPr>
      </w:pPr>
      <w:r>
        <w:rPr>
          <w:b/>
          <w:bCs/>
          <w:sz w:val="20"/>
          <w:szCs w:val="20"/>
        </w:rPr>
        <w:t>ITEM 2.   MANAGEMENT’S DISCUSSION AND ANALYSIS OF FINANCIAL CONDITION AND RESULTS OF OPERATIONS</w:t>
      </w:r>
    </w:p>
    <w:p w:rsidR="00000000" w:rsidRDefault="00E52F77">
      <w:pPr>
        <w:pStyle w:val="a3"/>
        <w:spacing w:before="0" w:beforeAutospacing="0" w:after="0" w:afterAutospacing="0"/>
        <w:divId w:val="1184781756"/>
        <w:rPr>
          <w:sz w:val="20"/>
          <w:szCs w:val="20"/>
        </w:rPr>
      </w:pPr>
      <w:r>
        <w:rPr>
          <w:b/>
          <w:bCs/>
          <w:sz w:val="20"/>
          <w:szCs w:val="20"/>
        </w:rPr>
        <w:t>​</w:t>
      </w:r>
    </w:p>
    <w:p w:rsidR="00000000" w:rsidRDefault="00E52F77">
      <w:pPr>
        <w:pStyle w:val="a3"/>
        <w:spacing w:before="0" w:beforeAutospacing="0" w:after="0" w:afterAutospacing="0"/>
        <w:divId w:val="1184781756"/>
        <w:rPr>
          <w:sz w:val="20"/>
          <w:szCs w:val="20"/>
        </w:rPr>
      </w:pPr>
      <w:r>
        <w:rPr>
          <w:b/>
          <w:bCs/>
          <w:sz w:val="20"/>
          <w:szCs w:val="20"/>
        </w:rPr>
        <w:t>Forward-Looking Statements</w:t>
      </w:r>
    </w:p>
    <w:p w:rsidR="00000000" w:rsidRDefault="00E52F77">
      <w:pPr>
        <w:pStyle w:val="a3"/>
        <w:spacing w:before="0" w:beforeAutospacing="0" w:after="0" w:afterAutospacing="0"/>
        <w:divId w:val="1184781756"/>
        <w:rPr>
          <w:sz w:val="20"/>
          <w:szCs w:val="20"/>
        </w:rPr>
      </w:pPr>
      <w:r>
        <w:rPr>
          <w:sz w:val="10"/>
          <w:szCs w:val="10"/>
        </w:rPr>
        <w:t>​</w:t>
      </w:r>
    </w:p>
    <w:p w:rsidR="00000000" w:rsidRDefault="00E52F77">
      <w:pPr>
        <w:pStyle w:val="a3"/>
        <w:spacing w:before="0" w:beforeAutospacing="0" w:after="0" w:afterAutospacing="0"/>
        <w:ind w:firstLine="720"/>
        <w:divId w:val="1184781756"/>
        <w:rPr>
          <w:sz w:val="20"/>
          <w:szCs w:val="20"/>
        </w:rPr>
      </w:pPr>
      <w:r>
        <w:rPr>
          <w:i/>
          <w:iCs/>
          <w:sz w:val="20"/>
          <w:szCs w:val="20"/>
        </w:rPr>
        <w:t>You should read the following discussion in conjunction with our conden</w:t>
      </w:r>
      <w:r>
        <w:rPr>
          <w:i/>
          <w:iCs/>
          <w:sz w:val="20"/>
          <w:szCs w:val="20"/>
        </w:rPr>
        <w:t>sed consolidated financial statements (unaudited) and related notes included elsewhere in this report. This report includes “forward-looking statements” within the meaning of Section 27A of the Securities Act of 1933, as amended (the “Securities Act”), and</w:t>
      </w:r>
      <w:r>
        <w:rPr>
          <w:i/>
          <w:iCs/>
          <w:sz w:val="20"/>
          <w:szCs w:val="20"/>
        </w:rPr>
        <w:t xml:space="preserve"> Section 21E of the Securities Exchange Act of 1934, as amended (the “Exchange Act”), that involve risks and uncertainties. All statements in this report, other than statements of historical facts, including statements regarding our strategy, future operat</w:t>
      </w:r>
      <w:r>
        <w:rPr>
          <w:i/>
          <w:iCs/>
          <w:sz w:val="20"/>
          <w:szCs w:val="20"/>
        </w:rPr>
        <w:t>ions, future financial position, future revenues, projected costs, prospects, plans, intentions, expectations and objectives are forward-looking statements. The words “anticipate,” “assume,” “believe,” “contemplate,” “continue,” “could,” “designed,” “devel</w:t>
      </w:r>
      <w:r>
        <w:rPr>
          <w:i/>
          <w:iCs/>
          <w:sz w:val="20"/>
          <w:szCs w:val="20"/>
        </w:rPr>
        <w:t>oped,” “drive,” “estimate,” “expect,” “forecast,” “goal,” “intend,” “may,” “mission,” “opportunities,” “plan,” “potential,” “predict,” “project,” “pursue,” “seek,” “should,” “target,” “will,” “would,” and similar expressions (including the negatives thereo</w:t>
      </w:r>
      <w:r>
        <w:rPr>
          <w:i/>
          <w:iCs/>
          <w:sz w:val="20"/>
          <w:szCs w:val="20"/>
        </w:rPr>
        <w:t xml:space="preserve">f) are intended to identify forward-looking statements, although not all forward-looking statements contain these identifying words. These statements reflect our current views with respect to future events or our future financial performance, are based on </w:t>
      </w:r>
      <w:r>
        <w:rPr>
          <w:i/>
          <w:iCs/>
          <w:sz w:val="20"/>
          <w:szCs w:val="20"/>
        </w:rPr>
        <w:t>assumptions, and involve known and unknown risks, uncertainties and other factors which may cause our actual results, performance or achievements to be materially different from any future results, performance or achievements expressed or implied by the fo</w:t>
      </w:r>
      <w:r>
        <w:rPr>
          <w:i/>
          <w:iCs/>
          <w:sz w:val="20"/>
          <w:szCs w:val="20"/>
        </w:rPr>
        <w:t>rward-looking statements. We may not actually achieve the plans, intentions, expectations or objectives disclosed in our forward-looking statements and the assumptions underlying our forward-looking statements may prove incorrect. Therefore, you should not</w:t>
      </w:r>
      <w:r>
        <w:rPr>
          <w:i/>
          <w:iCs/>
          <w:sz w:val="20"/>
          <w:szCs w:val="20"/>
        </w:rPr>
        <w:t xml:space="preserve"> place undue reliance on our forward-looking statements. Actual results or events could differ materially from the plans, intentions, expectations and objectives disclosed in the forward-looking statements that we make. Factors that we believe could cause </w:t>
      </w:r>
      <w:r>
        <w:rPr>
          <w:i/>
          <w:iCs/>
          <w:sz w:val="20"/>
          <w:szCs w:val="20"/>
        </w:rPr>
        <w:t>actual results or events to differ materially from our forward-looking statements include, but are not limited to, those discussed in “Risk Factors,” “Management’s Discussion and Analysis of Financial Condition and Results of Operations” and elsewhere in t</w:t>
      </w:r>
      <w:r>
        <w:rPr>
          <w:i/>
          <w:iCs/>
          <w:sz w:val="20"/>
          <w:szCs w:val="20"/>
        </w:rPr>
        <w:t>his report and in our Annual Report on Form 10-K for the year ended December 31, 2020. Our forward-looking statements in this report are based on current expectations and we do not assume any obligation to update any forward-looking statements for any reas</w:t>
      </w:r>
      <w:r>
        <w:rPr>
          <w:i/>
          <w:iCs/>
          <w:sz w:val="20"/>
          <w:szCs w:val="20"/>
        </w:rPr>
        <w:t>on, even if new information becomes available in the future. In addition, while we expect the effects of COVID-19, including new variants of COVID-19, to continue to adversely impact our business operations and financial results, the extent of the impact o</w:t>
      </w:r>
      <w:r>
        <w:rPr>
          <w:i/>
          <w:iCs/>
          <w:sz w:val="20"/>
          <w:szCs w:val="20"/>
        </w:rPr>
        <w:t>n our ability to generate revenue from YUPELR</w:t>
      </w:r>
      <w:r>
        <w:rPr>
          <w:i/>
          <w:iCs/>
          <w:sz w:val="20"/>
          <w:szCs w:val="20"/>
        </w:rPr>
        <w:t>I</w:t>
      </w:r>
      <w:r>
        <w:rPr>
          <w:i/>
          <w:iCs/>
          <w:sz w:val="15"/>
          <w:szCs w:val="15"/>
          <w:vertAlign w:val="superscript"/>
        </w:rPr>
        <w:t>®</w:t>
      </w:r>
      <w:r>
        <w:rPr>
          <w:i/>
          <w:iCs/>
          <w:sz w:val="20"/>
          <w:szCs w:val="20"/>
        </w:rPr>
        <w:t xml:space="preserve"> (revefenacin), our clinical development programs (including but not limited to our later-stage clinical programs for izencitinib and ampreloxetine), and the value of and market for our ordinary shares, will d</w:t>
      </w:r>
      <w:r>
        <w:rPr>
          <w:i/>
          <w:iCs/>
          <w:sz w:val="20"/>
          <w:szCs w:val="20"/>
        </w:rPr>
        <w:t>epend on future developments that are highly uncertain and cannot be predicted with confidence at this time. These potential future developments include, but are not limited to, the ultimate duration of the COVID-19 pandemic, travel restrictions, quarantin</w:t>
      </w:r>
      <w:r>
        <w:rPr>
          <w:i/>
          <w:iCs/>
          <w:sz w:val="20"/>
          <w:szCs w:val="20"/>
        </w:rPr>
        <w:t>es, vaccination levels, social distancing and business closure requirements in the United States and in other countries, other measures taken by us and those we work with to help protect individuals from contracting COVID-19, and the effectiveness of actio</w:t>
      </w:r>
      <w:r>
        <w:rPr>
          <w:i/>
          <w:iCs/>
          <w:sz w:val="20"/>
          <w:szCs w:val="20"/>
        </w:rPr>
        <w:t>ns taken globally to contain and treat the disease, including vaccine availability, distribution, acceptance and effectiveness. When used in this report, all references to “Theravance Biopharma”, the “Company”, or “we” and other similar pronouns refer to T</w:t>
      </w:r>
      <w:r>
        <w:rPr>
          <w:i/>
          <w:iCs/>
          <w:sz w:val="20"/>
          <w:szCs w:val="20"/>
        </w:rPr>
        <w:t>heravance Biopharma, Inc. collectively with its subsidiaries.</w:t>
      </w:r>
    </w:p>
    <w:p w:rsidR="00000000" w:rsidRDefault="00E52F77">
      <w:pPr>
        <w:pStyle w:val="a3"/>
        <w:spacing w:before="0" w:beforeAutospacing="0" w:after="0" w:afterAutospacing="0"/>
        <w:divId w:val="1184781756"/>
        <w:rPr>
          <w:sz w:val="20"/>
          <w:szCs w:val="20"/>
        </w:rPr>
      </w:pPr>
      <w:r>
        <w:rPr>
          <w:b/>
          <w:bCs/>
          <w:sz w:val="20"/>
          <w:szCs w:val="20"/>
        </w:rPr>
        <w:t>​</w:t>
      </w:r>
    </w:p>
    <w:p w:rsidR="00000000" w:rsidRDefault="00E52F77">
      <w:pPr>
        <w:pStyle w:val="a3"/>
        <w:spacing w:before="0" w:beforeAutospacing="0" w:after="0" w:afterAutospacing="0"/>
        <w:divId w:val="1184781756"/>
        <w:rPr>
          <w:sz w:val="20"/>
          <w:szCs w:val="20"/>
        </w:rPr>
      </w:pPr>
      <w:r>
        <w:rPr>
          <w:b/>
          <w:bCs/>
          <w:sz w:val="20"/>
          <w:szCs w:val="20"/>
        </w:rPr>
        <w:t>Management Overview</w:t>
      </w:r>
    </w:p>
    <w:p w:rsidR="00000000" w:rsidRDefault="00E52F77">
      <w:pPr>
        <w:pStyle w:val="a3"/>
        <w:spacing w:before="0" w:beforeAutospacing="0" w:after="0" w:afterAutospacing="0"/>
        <w:divId w:val="1184781756"/>
        <w:rPr>
          <w:sz w:val="20"/>
          <w:szCs w:val="20"/>
        </w:rPr>
      </w:pPr>
      <w:r>
        <w:rPr>
          <w:sz w:val="10"/>
          <w:szCs w:val="10"/>
        </w:rPr>
        <w:t>​</w:t>
      </w:r>
    </w:p>
    <w:p w:rsidR="00000000" w:rsidRDefault="00E52F77">
      <w:pPr>
        <w:pStyle w:val="a3"/>
        <w:spacing w:before="0" w:beforeAutospacing="0" w:after="0" w:afterAutospacing="0"/>
        <w:ind w:firstLine="720"/>
        <w:divId w:val="1184781756"/>
        <w:rPr>
          <w:sz w:val="20"/>
          <w:szCs w:val="20"/>
        </w:rPr>
      </w:pPr>
      <w:r>
        <w:rPr>
          <w:sz w:val="20"/>
          <w:szCs w:val="20"/>
        </w:rPr>
        <w:t>Theravance Biopharma, Inc. (“Theravance Biopharma” or the “Company”) is a diversified biopharmaceutical company primarily focused on the discovery, development and commer</w:t>
      </w:r>
      <w:r>
        <w:rPr>
          <w:sz w:val="20"/>
          <w:szCs w:val="20"/>
        </w:rPr>
        <w:t>cialization of organ-selective medicines. Our purpose is to create transformational medicines to improve the lives of patients suffering from serious illnesses. Our research is focused in the areas of inflammation and immunology.</w:t>
      </w:r>
    </w:p>
    <w:p w:rsidR="00000000" w:rsidRDefault="00E52F77">
      <w:pPr>
        <w:pStyle w:val="a3"/>
        <w:spacing w:before="0" w:beforeAutospacing="0" w:after="0" w:afterAutospacing="0"/>
        <w:ind w:firstLine="720"/>
        <w:divId w:val="1184781756"/>
        <w:rPr>
          <w:sz w:val="20"/>
          <w:szCs w:val="20"/>
        </w:rPr>
      </w:pPr>
      <w:r>
        <w:rPr>
          <w:sz w:val="20"/>
          <w:szCs w:val="20"/>
        </w:rPr>
        <w:t>​</w:t>
      </w:r>
    </w:p>
    <w:p w:rsidR="00000000" w:rsidRDefault="00E52F77">
      <w:pPr>
        <w:pStyle w:val="a3"/>
        <w:spacing w:before="360" w:beforeAutospacing="0" w:after="0" w:afterAutospacing="0"/>
        <w:jc w:val="center"/>
        <w:divId w:val="587693931"/>
        <w:rPr>
          <w:sz w:val="20"/>
          <w:szCs w:val="20"/>
        </w:rPr>
      </w:pPr>
      <w:r>
        <w:rPr>
          <w:sz w:val="20"/>
          <w:szCs w:val="20"/>
        </w:rPr>
        <w:t>18</w:t>
      </w:r>
    </w:p>
    <w:p w:rsidR="00000000" w:rsidRDefault="00E52F77">
      <w:pPr>
        <w:pStyle w:val="a3"/>
        <w:spacing w:before="0" w:beforeAutospacing="0" w:after="600" w:afterAutospacing="0"/>
        <w:divId w:val="472798797"/>
        <w:rPr>
          <w:sz w:val="20"/>
          <w:szCs w:val="20"/>
        </w:rPr>
      </w:pPr>
      <w:hyperlink w:anchor="TOC" w:history="1">
        <w:r>
          <w:rPr>
            <w:rStyle w:val="a4"/>
            <w:sz w:val="20"/>
            <w:szCs w:val="20"/>
          </w:rPr>
          <w:t>Table of Contents</w:t>
        </w:r>
      </w:hyperlink>
    </w:p>
    <w:p w:rsidR="00000000" w:rsidRDefault="00E52F77">
      <w:pPr>
        <w:pStyle w:val="a3"/>
        <w:spacing w:before="0" w:beforeAutospacing="0" w:after="0" w:afterAutospacing="0"/>
        <w:ind w:firstLine="720"/>
        <w:divId w:val="1506558706"/>
        <w:rPr>
          <w:sz w:val="20"/>
          <w:szCs w:val="20"/>
        </w:rPr>
      </w:pPr>
      <w:r>
        <w:rPr>
          <w:sz w:val="20"/>
          <w:szCs w:val="20"/>
        </w:rPr>
        <w:t>In pursuit of our purpose, we apply insights and innovation at each stage of our business and utilize our internal capabilities and those of partners around the world. We apply organ-selective expertise to biologically compelling tar</w:t>
      </w:r>
      <w:r>
        <w:rPr>
          <w:sz w:val="20"/>
          <w:szCs w:val="20"/>
        </w:rPr>
        <w:t>gets to discover and develop medicines designed to treat underserved localized diseases and to limit systemic exposure, in order to maximize patient benefit and minimize risk. These efforts leverage years of experience in developing lung-selective medicine</w:t>
      </w:r>
      <w:r>
        <w:rPr>
          <w:sz w:val="20"/>
          <w:szCs w:val="20"/>
        </w:rPr>
        <w:t>s to treat respiratory disease, including the United States (“US”) Food and Drug Administration (the “FDA”) approved YUPELR</w:t>
      </w:r>
      <w:r>
        <w:rPr>
          <w:sz w:val="20"/>
          <w:szCs w:val="20"/>
        </w:rPr>
        <w:t>I</w:t>
      </w:r>
      <w:r>
        <w:rPr>
          <w:sz w:val="15"/>
          <w:szCs w:val="15"/>
          <w:vertAlign w:val="superscript"/>
        </w:rPr>
        <w:t>®</w:t>
      </w:r>
      <w:r>
        <w:rPr>
          <w:sz w:val="20"/>
          <w:szCs w:val="20"/>
        </w:rPr>
        <w:t xml:space="preserve"> (revefenacin) inhalation solution indicated for the maintenance treatment of patients with chronic obstructive pulmonary disease (</w:t>
      </w:r>
      <w:r>
        <w:rPr>
          <w:sz w:val="20"/>
          <w:szCs w:val="20"/>
        </w:rPr>
        <w:t>“COPD”). Our pipeline of internally discovered programs is targeted to address significant patient needs.</w:t>
      </w:r>
    </w:p>
    <w:p w:rsidR="00000000" w:rsidRDefault="00E52F77">
      <w:pPr>
        <w:pStyle w:val="a3"/>
        <w:spacing w:before="0" w:beforeAutospacing="0" w:after="0" w:afterAutospacing="0"/>
        <w:ind w:firstLine="720"/>
        <w:divId w:val="1506558706"/>
        <w:rPr>
          <w:sz w:val="20"/>
          <w:szCs w:val="20"/>
        </w:rPr>
      </w:pPr>
      <w:r>
        <w:rPr>
          <w:sz w:val="20"/>
          <w:szCs w:val="20"/>
        </w:rPr>
        <w:t>​</w:t>
      </w:r>
    </w:p>
    <w:p w:rsidR="00000000" w:rsidRDefault="00E52F77">
      <w:pPr>
        <w:pStyle w:val="a3"/>
        <w:spacing w:before="0" w:beforeAutospacing="0" w:after="0" w:afterAutospacing="0"/>
        <w:divId w:val="1506558706"/>
        <w:rPr>
          <w:sz w:val="20"/>
          <w:szCs w:val="20"/>
        </w:rPr>
      </w:pPr>
      <w:r>
        <w:rPr>
          <w:sz w:val="20"/>
          <w:szCs w:val="20"/>
        </w:rPr>
        <w:t>We have an economic interest in potential future payments from Glaxo Group or one of its affiliates (“GSK”) pursuant to its agreements with Innoviva</w:t>
      </w:r>
      <w:r>
        <w:rPr>
          <w:sz w:val="20"/>
          <w:szCs w:val="20"/>
        </w:rPr>
        <w:t>, Inc. (“Innoviva”) relating to certain programs, including TRELEGY.</w:t>
      </w:r>
    </w:p>
    <w:p w:rsidR="00000000" w:rsidRDefault="00E52F77">
      <w:pPr>
        <w:pStyle w:val="a3"/>
        <w:spacing w:before="0" w:beforeAutospacing="0" w:after="0" w:afterAutospacing="0"/>
        <w:divId w:val="1506558706"/>
        <w:rPr>
          <w:sz w:val="20"/>
          <w:szCs w:val="20"/>
        </w:rPr>
      </w:pPr>
      <w:r>
        <w:rPr>
          <w:sz w:val="20"/>
          <w:szCs w:val="20"/>
        </w:rPr>
        <w:t>​</w:t>
      </w:r>
    </w:p>
    <w:p w:rsidR="00000000" w:rsidRDefault="00E52F77">
      <w:pPr>
        <w:pStyle w:val="a3"/>
        <w:spacing w:before="0" w:beforeAutospacing="0" w:after="0" w:afterAutospacing="0"/>
        <w:divId w:val="1506558706"/>
        <w:rPr>
          <w:sz w:val="20"/>
          <w:szCs w:val="20"/>
        </w:rPr>
      </w:pPr>
      <w:r>
        <w:rPr>
          <w:b/>
          <w:bCs/>
          <w:sz w:val="20"/>
          <w:szCs w:val="20"/>
        </w:rPr>
        <w:t>Impact of COVID-19 Pandemic</w:t>
      </w:r>
    </w:p>
    <w:p w:rsidR="00000000" w:rsidRDefault="00E52F77">
      <w:pPr>
        <w:pStyle w:val="a3"/>
        <w:spacing w:before="0" w:beforeAutospacing="0" w:after="0" w:afterAutospacing="0"/>
        <w:divId w:val="1506558706"/>
        <w:rPr>
          <w:sz w:val="20"/>
          <w:szCs w:val="20"/>
        </w:rPr>
      </w:pPr>
      <w:r>
        <w:rPr>
          <w:b/>
          <w:bCs/>
          <w:color w:val="FF0000"/>
          <w:sz w:val="10"/>
          <w:szCs w:val="10"/>
        </w:rPr>
        <w:t>​</w:t>
      </w:r>
    </w:p>
    <w:p w:rsidR="00000000" w:rsidRDefault="00E52F77">
      <w:pPr>
        <w:pStyle w:val="a3"/>
        <w:spacing w:before="0" w:beforeAutospacing="0" w:after="0" w:afterAutospacing="0"/>
        <w:ind w:firstLine="720"/>
        <w:divId w:val="1506558706"/>
        <w:rPr>
          <w:sz w:val="20"/>
          <w:szCs w:val="20"/>
        </w:rPr>
      </w:pPr>
      <w:r>
        <w:rPr>
          <w:sz w:val="20"/>
          <w:szCs w:val="20"/>
        </w:rPr>
        <w:t xml:space="preserve">The effects of the COVID-19 pandemic and the related actions by governments, companies, and individuals around the world in an attempt to contain the spread of the virus </w:t>
      </w:r>
      <w:r>
        <w:rPr>
          <w:sz w:val="20"/>
          <w:szCs w:val="20"/>
          <w:shd w:val="clear" w:color="auto" w:fill="FFFFFF"/>
        </w:rPr>
        <w:t xml:space="preserve">(including new variants of COVID-19) </w:t>
      </w:r>
      <w:r>
        <w:rPr>
          <w:sz w:val="20"/>
          <w:szCs w:val="20"/>
        </w:rPr>
        <w:t>continue to present a substantial public health a</w:t>
      </w:r>
      <w:r>
        <w:rPr>
          <w:sz w:val="20"/>
          <w:szCs w:val="20"/>
        </w:rPr>
        <w:t>nd economic challenge and are affecting our employees, patients, communities, clinical trial sites, suppliers, business partners and business operations. The full extent to which the COVID-19 pandemic will continue to directly or indirectly impact our busi</w:t>
      </w:r>
      <w:r>
        <w:rPr>
          <w:sz w:val="20"/>
          <w:szCs w:val="20"/>
        </w:rPr>
        <w:t>ness, results of operations and financial condition, including revenue, expenses, clinical trials and research and development costs, will depend on future developments that are highly uncertain and may be impacted by the emergence of new information conce</w:t>
      </w:r>
      <w:r>
        <w:rPr>
          <w:sz w:val="20"/>
          <w:szCs w:val="20"/>
        </w:rPr>
        <w:t>rning the COVID-19 pandemic, ongoing spread of the disease across the US and the globe, and the actions taken to contain or treat the disease, including vaccine availability, distribution, acceptance and effectiveness.</w:t>
      </w:r>
    </w:p>
    <w:p w:rsidR="00000000" w:rsidRDefault="00E52F77">
      <w:pPr>
        <w:pStyle w:val="a3"/>
        <w:spacing w:before="0" w:beforeAutospacing="0" w:after="0" w:afterAutospacing="0"/>
        <w:ind w:firstLine="720"/>
        <w:divId w:val="1506558706"/>
        <w:rPr>
          <w:sz w:val="20"/>
          <w:szCs w:val="20"/>
        </w:rPr>
      </w:pPr>
      <w:r>
        <w:rPr>
          <w:sz w:val="20"/>
          <w:szCs w:val="20"/>
        </w:rPr>
        <w:t>​</w:t>
      </w:r>
    </w:p>
    <w:p w:rsidR="00000000" w:rsidRDefault="00E52F77">
      <w:pPr>
        <w:pStyle w:val="a3"/>
        <w:spacing w:before="0" w:beforeAutospacing="0" w:after="0" w:afterAutospacing="0"/>
        <w:divId w:val="1506558706"/>
        <w:rPr>
          <w:sz w:val="20"/>
          <w:szCs w:val="20"/>
        </w:rPr>
      </w:pPr>
      <w:r>
        <w:rPr>
          <w:b/>
          <w:bCs/>
          <w:i/>
          <w:iCs/>
          <w:sz w:val="20"/>
          <w:szCs w:val="20"/>
        </w:rPr>
        <w:t>YUPELRI (revefenacin) Inhalation So</w:t>
      </w:r>
      <w:r>
        <w:rPr>
          <w:b/>
          <w:bCs/>
          <w:i/>
          <w:iCs/>
          <w:sz w:val="20"/>
          <w:szCs w:val="20"/>
        </w:rPr>
        <w:t xml:space="preserve">lution </w:t>
      </w:r>
    </w:p>
    <w:p w:rsidR="00000000" w:rsidRDefault="00E52F77">
      <w:pPr>
        <w:pStyle w:val="a3"/>
        <w:spacing w:before="0" w:beforeAutospacing="0" w:after="0" w:afterAutospacing="0"/>
        <w:ind w:firstLine="720"/>
        <w:divId w:val="1506558706"/>
        <w:rPr>
          <w:sz w:val="20"/>
          <w:szCs w:val="20"/>
        </w:rPr>
      </w:pPr>
      <w:r>
        <w:rPr>
          <w:sz w:val="10"/>
          <w:szCs w:val="10"/>
        </w:rPr>
        <w:t>​</w:t>
      </w:r>
    </w:p>
    <w:p w:rsidR="00000000" w:rsidRDefault="00E52F77">
      <w:pPr>
        <w:pStyle w:val="a3"/>
        <w:spacing w:before="0" w:beforeAutospacing="0" w:after="0" w:afterAutospacing="0"/>
        <w:ind w:firstLine="720"/>
        <w:divId w:val="1506558706"/>
        <w:rPr>
          <w:sz w:val="20"/>
          <w:szCs w:val="20"/>
        </w:rPr>
      </w:pPr>
      <w:r>
        <w:rPr>
          <w:sz w:val="20"/>
          <w:szCs w:val="20"/>
        </w:rPr>
        <w:t xml:space="preserve">We and our collaboration partner, Viatris Inc. (“Viatris”), continue to supply YUPELRI to our patients and currently do not anticipate any interruptions in supply. The manufacture of YUPELRI continues at or near normal levels. </w:t>
      </w:r>
    </w:p>
    <w:p w:rsidR="00000000" w:rsidRDefault="00E52F77">
      <w:pPr>
        <w:pStyle w:val="a3"/>
        <w:spacing w:before="0" w:beforeAutospacing="0" w:after="0" w:afterAutospacing="0"/>
        <w:divId w:val="1506558706"/>
        <w:rPr>
          <w:sz w:val="20"/>
          <w:szCs w:val="20"/>
        </w:rPr>
      </w:pPr>
      <w:r>
        <w:rPr>
          <w:color w:val="FF0000"/>
          <w:sz w:val="20"/>
          <w:szCs w:val="20"/>
        </w:rPr>
        <w:t>​</w:t>
      </w:r>
    </w:p>
    <w:p w:rsidR="00000000" w:rsidRDefault="00E52F77">
      <w:pPr>
        <w:pStyle w:val="a3"/>
        <w:spacing w:before="0" w:beforeAutospacing="0" w:after="0" w:afterAutospacing="0"/>
        <w:ind w:firstLine="720"/>
        <w:divId w:val="1506558706"/>
        <w:rPr>
          <w:sz w:val="20"/>
          <w:szCs w:val="20"/>
        </w:rPr>
      </w:pPr>
      <w:r>
        <w:rPr>
          <w:sz w:val="20"/>
          <w:szCs w:val="20"/>
        </w:rPr>
        <w:t>In mid-March 202</w:t>
      </w:r>
      <w:r>
        <w:rPr>
          <w:sz w:val="20"/>
          <w:szCs w:val="20"/>
        </w:rPr>
        <w:t>0, we suspended sales and field-based medical science liaison (“MSL”) in-person calls to accounts in response to the COVID-19 pandemic. Additionally, in 2020, we changed our promotional focus and efforts to a hybrid selling model with increased digital, an</w:t>
      </w:r>
      <w:r>
        <w:rPr>
          <w:sz w:val="20"/>
          <w:szCs w:val="20"/>
        </w:rPr>
        <w:t>d non-personal promotional investments. In early August 2020, limited face-to-face in person interactions began on a phased basis in some parts of the country, where we assessed it was safe for our employees, hospital care professionals (“HCPs”), and patie</w:t>
      </w:r>
      <w:r>
        <w:rPr>
          <w:sz w:val="20"/>
          <w:szCs w:val="20"/>
        </w:rPr>
        <w:t>nts to do so. While overall market challenges remain due to the ongoing COVID-19 pandemic, YUPELRI increased its market share and it was profitable on a stand-alone brand basis for the first time beginning in the second half of 2020.</w:t>
      </w:r>
    </w:p>
    <w:p w:rsidR="00000000" w:rsidRDefault="00E52F77">
      <w:pPr>
        <w:pStyle w:val="a3"/>
        <w:spacing w:before="0" w:beforeAutospacing="0" w:after="0" w:afterAutospacing="0"/>
        <w:divId w:val="1506558706"/>
        <w:rPr>
          <w:sz w:val="20"/>
          <w:szCs w:val="20"/>
        </w:rPr>
      </w:pPr>
      <w:r>
        <w:rPr>
          <w:color w:val="FF0000"/>
          <w:sz w:val="20"/>
          <w:szCs w:val="20"/>
        </w:rPr>
        <w:t>​</w:t>
      </w:r>
    </w:p>
    <w:p w:rsidR="00000000" w:rsidRDefault="00E52F77">
      <w:pPr>
        <w:pStyle w:val="a3"/>
        <w:spacing w:before="0" w:beforeAutospacing="0" w:after="0" w:afterAutospacing="0"/>
        <w:ind w:firstLine="720"/>
        <w:divId w:val="1506558706"/>
        <w:rPr>
          <w:sz w:val="20"/>
          <w:szCs w:val="20"/>
        </w:rPr>
      </w:pPr>
      <w:r>
        <w:rPr>
          <w:sz w:val="20"/>
          <w:szCs w:val="20"/>
        </w:rPr>
        <w:t>We continue to monit</w:t>
      </w:r>
      <w:r>
        <w:rPr>
          <w:sz w:val="20"/>
          <w:szCs w:val="20"/>
        </w:rPr>
        <w:t>or the impact of the ongoing COVID-19 pandemic on demand for YUPELRI, including the duration and degree to which we may see declines in customer orders or delays in starting new patients on YUPELRI.</w:t>
      </w:r>
    </w:p>
    <w:p w:rsidR="00000000" w:rsidRDefault="00E52F77">
      <w:pPr>
        <w:pStyle w:val="a3"/>
        <w:spacing w:before="0" w:beforeAutospacing="0" w:after="0" w:afterAutospacing="0"/>
        <w:divId w:val="1506558706"/>
        <w:rPr>
          <w:sz w:val="20"/>
          <w:szCs w:val="20"/>
        </w:rPr>
      </w:pPr>
      <w:r>
        <w:rPr>
          <w:sz w:val="20"/>
          <w:szCs w:val="20"/>
        </w:rPr>
        <w:t>At this time, we are unable to predict with certainty the</w:t>
      </w:r>
      <w:r>
        <w:rPr>
          <w:sz w:val="20"/>
          <w:szCs w:val="20"/>
        </w:rPr>
        <w:t xml:space="preserve"> ultimate disruptive impact of the ongoing COVID-19 pandemic on both YUPELRI and the rest of our business, but it is possible the pandemic may continue to put downward pressure on our sales to the extent that it continues to depress in-person customer inte</w:t>
      </w:r>
      <w:r>
        <w:rPr>
          <w:sz w:val="20"/>
          <w:szCs w:val="20"/>
        </w:rPr>
        <w:t>ractions.</w:t>
      </w:r>
    </w:p>
    <w:p w:rsidR="00000000" w:rsidRDefault="00E52F77">
      <w:pPr>
        <w:pStyle w:val="a3"/>
        <w:spacing w:before="0" w:beforeAutospacing="0" w:after="0" w:afterAutospacing="0"/>
        <w:ind w:firstLine="720"/>
        <w:divId w:val="1506558706"/>
        <w:rPr>
          <w:sz w:val="20"/>
          <w:szCs w:val="20"/>
        </w:rPr>
      </w:pPr>
      <w:r>
        <w:rPr>
          <w:sz w:val="20"/>
          <w:szCs w:val="20"/>
        </w:rPr>
        <w:t>​</w:t>
      </w:r>
    </w:p>
    <w:p w:rsidR="00000000" w:rsidRDefault="00E52F77">
      <w:pPr>
        <w:pStyle w:val="a3"/>
        <w:spacing w:before="0" w:beforeAutospacing="0" w:after="0" w:afterAutospacing="0"/>
        <w:divId w:val="1506558706"/>
        <w:rPr>
          <w:sz w:val="20"/>
          <w:szCs w:val="20"/>
        </w:rPr>
      </w:pPr>
      <w:r>
        <w:rPr>
          <w:b/>
          <w:bCs/>
          <w:i/>
          <w:iCs/>
          <w:sz w:val="20"/>
          <w:szCs w:val="20"/>
        </w:rPr>
        <w:t xml:space="preserve">Clinical Trial Activity </w:t>
      </w:r>
    </w:p>
    <w:p w:rsidR="00000000" w:rsidRDefault="00E52F77">
      <w:pPr>
        <w:pStyle w:val="a3"/>
        <w:spacing w:before="0" w:beforeAutospacing="0" w:after="0" w:afterAutospacing="0"/>
        <w:divId w:val="1506558706"/>
        <w:rPr>
          <w:sz w:val="20"/>
          <w:szCs w:val="20"/>
        </w:rPr>
      </w:pPr>
      <w:r>
        <w:rPr>
          <w:sz w:val="10"/>
          <w:szCs w:val="10"/>
        </w:rPr>
        <w:t>​</w:t>
      </w:r>
    </w:p>
    <w:p w:rsidR="00000000" w:rsidRDefault="00E52F77">
      <w:pPr>
        <w:pStyle w:val="a3"/>
        <w:spacing w:before="0" w:beforeAutospacing="0" w:after="0" w:afterAutospacing="0"/>
        <w:ind w:firstLine="720"/>
        <w:divId w:val="1506558706"/>
        <w:rPr>
          <w:sz w:val="20"/>
          <w:szCs w:val="20"/>
        </w:rPr>
      </w:pPr>
      <w:r>
        <w:rPr>
          <w:sz w:val="20"/>
          <w:szCs w:val="20"/>
        </w:rPr>
        <w:t>As a result of the COVID-19 pandemic, the timelines for late-stage clinical trials were adversely impacted. We have worked closely with regulators, sites, clinical research organizations and data safety monitoring boa</w:t>
      </w:r>
      <w:r>
        <w:rPr>
          <w:sz w:val="20"/>
          <w:szCs w:val="20"/>
        </w:rPr>
        <w:t>rds to work through the challenges imposed by the pandemic. Given the significant strains on the healthcare system across the globe, we made the decision in mid-March 2020 to temporarily suspend the screening of new patients for our clinical trials of izen</w:t>
      </w:r>
      <w:r>
        <w:rPr>
          <w:sz w:val="20"/>
          <w:szCs w:val="20"/>
        </w:rPr>
        <w:t>citinib, a gut-selective oral Janus kinase (“JAK”) inhibitor in development for inflammatory intestinal disease in Crohn’s and ulcerative colitis, and ampreloxetine, a norepinephrine reuptake inhibitor under evaluation for the treatment of symptomatic neur</w:t>
      </w:r>
      <w:r>
        <w:rPr>
          <w:sz w:val="20"/>
          <w:szCs w:val="20"/>
        </w:rPr>
        <w:t xml:space="preserve">ogenic orthostatic hypotension (“nOH”), which are further discussed below. </w:t>
      </w:r>
    </w:p>
    <w:p w:rsidR="00000000" w:rsidRDefault="00E52F77">
      <w:pPr>
        <w:pStyle w:val="a3"/>
        <w:spacing w:before="0" w:beforeAutospacing="0" w:after="0" w:afterAutospacing="0"/>
        <w:ind w:firstLine="720"/>
        <w:divId w:val="1506558706"/>
        <w:rPr>
          <w:sz w:val="20"/>
          <w:szCs w:val="20"/>
        </w:rPr>
      </w:pPr>
      <w:r>
        <w:rPr>
          <w:color w:val="FF0000"/>
          <w:sz w:val="20"/>
          <w:szCs w:val="20"/>
        </w:rPr>
        <w:t>​</w:t>
      </w:r>
    </w:p>
    <w:p w:rsidR="00000000" w:rsidRDefault="00E52F77">
      <w:pPr>
        <w:pStyle w:val="a3"/>
        <w:spacing w:before="0" w:beforeAutospacing="0" w:after="0" w:afterAutospacing="0"/>
        <w:ind w:firstLine="720"/>
        <w:divId w:val="1506558706"/>
        <w:rPr>
          <w:sz w:val="20"/>
          <w:szCs w:val="20"/>
        </w:rPr>
      </w:pPr>
      <w:r>
        <w:rPr>
          <w:sz w:val="20"/>
          <w:szCs w:val="20"/>
        </w:rPr>
        <w:t>Screening of new patients resumed in mid-April 2020 in a controlled and measured fashion as individual sites confirmed their ability to support the study requirements, and new pa</w:t>
      </w:r>
      <w:r>
        <w:rPr>
          <w:sz w:val="20"/>
          <w:szCs w:val="20"/>
        </w:rPr>
        <w:t xml:space="preserve">tients were able to be assessed for their eligibility to participate in the izencitinib and ampreloxetine studies. Study sites and necessary supporting medical infrastructure for our </w:t>
      </w:r>
    </w:p>
    <w:p w:rsidR="00000000" w:rsidRDefault="00E52F77">
      <w:pPr>
        <w:pStyle w:val="a3"/>
        <w:spacing w:before="360" w:beforeAutospacing="0" w:after="0" w:afterAutospacing="0"/>
        <w:jc w:val="center"/>
        <w:divId w:val="1411535404"/>
        <w:rPr>
          <w:sz w:val="20"/>
          <w:szCs w:val="20"/>
        </w:rPr>
      </w:pPr>
      <w:r>
        <w:rPr>
          <w:sz w:val="20"/>
          <w:szCs w:val="20"/>
        </w:rPr>
        <w:t>19</w:t>
      </w:r>
    </w:p>
    <w:p w:rsidR="00000000" w:rsidRDefault="00E52F77">
      <w:pPr>
        <w:pStyle w:val="a3"/>
        <w:spacing w:before="0" w:beforeAutospacing="0" w:after="600" w:afterAutospacing="0"/>
        <w:divId w:val="568537079"/>
        <w:rPr>
          <w:sz w:val="20"/>
          <w:szCs w:val="20"/>
        </w:rPr>
      </w:pPr>
      <w:hyperlink w:anchor="TOC" w:history="1">
        <w:r>
          <w:rPr>
            <w:rStyle w:val="a4"/>
            <w:sz w:val="20"/>
            <w:szCs w:val="20"/>
          </w:rPr>
          <w:t>Table of Contents</w:t>
        </w:r>
      </w:hyperlink>
    </w:p>
    <w:p w:rsidR="00000000" w:rsidRDefault="00E52F77">
      <w:pPr>
        <w:pStyle w:val="a3"/>
        <w:spacing w:before="0" w:beforeAutospacing="0" w:after="0" w:afterAutospacing="0"/>
        <w:divId w:val="1056587701"/>
        <w:rPr>
          <w:sz w:val="20"/>
          <w:szCs w:val="20"/>
        </w:rPr>
      </w:pPr>
      <w:r>
        <w:rPr>
          <w:sz w:val="20"/>
          <w:szCs w:val="20"/>
        </w:rPr>
        <w:t>studies, such as endoscopy suites for our study of izencitinib in ulcerative colitis, have been gradually available for participation in and support of our trials through the past twelve months, increasing as cases dip and deceasing as cases surge. In reco</w:t>
      </w:r>
      <w:r>
        <w:rPr>
          <w:sz w:val="20"/>
          <w:szCs w:val="20"/>
        </w:rPr>
        <w:t>gnition of the increasing range of barriers presented by the ongoing pandemic to the ability of nOH patients to travel to sites and access medicines, we worked with global health authorities to decentralize the Phase 3 studies for the ampreloxetine program</w:t>
      </w:r>
      <w:r>
        <w:rPr>
          <w:sz w:val="20"/>
          <w:szCs w:val="20"/>
        </w:rPr>
        <w:t>. The decentralized approach is now active across the ampreloxetine Phase 3 program globally in an effort to overcome the challenges patients face regarding travel, healthcare access and participation in clinical trials. We currently expect to report Phase</w:t>
      </w:r>
      <w:r>
        <w:rPr>
          <w:sz w:val="20"/>
          <w:szCs w:val="20"/>
        </w:rPr>
        <w:t xml:space="preserve"> 3 results for ampreloxetine for symptomatic nOH and Phase 2b results for izencitinib in ulcerative colitis in the third quarter of 2021 and Phase 2 results for izencitinib in Crohn’s disease in the late fourth quarter of 2021 or the early first quarter of</w:t>
      </w:r>
      <w:r>
        <w:rPr>
          <w:sz w:val="20"/>
          <w:szCs w:val="20"/>
        </w:rPr>
        <w:t xml:space="preserve"> 2022. </w:t>
      </w:r>
    </w:p>
    <w:p w:rsidR="00000000" w:rsidRDefault="00E52F77">
      <w:pPr>
        <w:pStyle w:val="a3"/>
        <w:spacing w:before="0" w:beforeAutospacing="0" w:after="0" w:afterAutospacing="0"/>
        <w:jc w:val="both"/>
        <w:divId w:val="1056587701"/>
        <w:rPr>
          <w:sz w:val="20"/>
          <w:szCs w:val="20"/>
        </w:rPr>
      </w:pPr>
      <w:r>
        <w:rPr>
          <w:sz w:val="20"/>
          <w:szCs w:val="20"/>
        </w:rPr>
        <w:t>​</w:t>
      </w:r>
    </w:p>
    <w:p w:rsidR="00000000" w:rsidRDefault="00E52F77">
      <w:pPr>
        <w:pStyle w:val="a3"/>
        <w:spacing w:before="0" w:beforeAutospacing="0" w:after="0" w:afterAutospacing="0"/>
        <w:divId w:val="1056587701"/>
        <w:rPr>
          <w:sz w:val="20"/>
          <w:szCs w:val="20"/>
        </w:rPr>
      </w:pPr>
      <w:r>
        <w:rPr>
          <w:sz w:val="20"/>
          <w:szCs w:val="20"/>
        </w:rPr>
        <w:t>During the second quarter of 2020, we progressed our preclinical candidate nezulcitinib (formerly known as TD-0903) into the clinic at an accelerated pace in response to the COVID-19 pandemic. We designed nezulcitinib to be a lung-selective nebul</w:t>
      </w:r>
      <w:r>
        <w:rPr>
          <w:sz w:val="20"/>
          <w:szCs w:val="20"/>
        </w:rPr>
        <w:t xml:space="preserve">ized JAK inhibitor with the intent of addressing lung hyperinflammation in both the acute and chronic setting. In June 2020, we completed Phase 1 and entered a two-part Phase 2 study in the United Kingdom (“UK”) to explore the potential of nezulcitinib to </w:t>
      </w:r>
      <w:r>
        <w:rPr>
          <w:sz w:val="20"/>
          <w:szCs w:val="20"/>
        </w:rPr>
        <w:t>treat hospitalized patients with Acute Lung Injury caused by COVID-19 and prevent progression to Acute Respiratory Distress Syndrome and the need for assisted ventilation. To expedite enrollment, we opened additional sites in other regions including Europe</w:t>
      </w:r>
      <w:r>
        <w:rPr>
          <w:sz w:val="20"/>
          <w:szCs w:val="20"/>
        </w:rPr>
        <w:t>, US, and South America. Results from the completed Part 2 of the Phase 2 study are discussed below.</w:t>
      </w:r>
    </w:p>
    <w:p w:rsidR="00000000" w:rsidRDefault="00E52F77">
      <w:pPr>
        <w:pStyle w:val="a3"/>
        <w:spacing w:before="0" w:beforeAutospacing="0" w:after="0" w:afterAutospacing="0"/>
        <w:divId w:val="1056587701"/>
        <w:rPr>
          <w:sz w:val="20"/>
          <w:szCs w:val="20"/>
        </w:rPr>
      </w:pPr>
      <w:r>
        <w:rPr>
          <w:color w:val="FF0000"/>
          <w:sz w:val="20"/>
          <w:szCs w:val="20"/>
        </w:rPr>
        <w:t>​</w:t>
      </w:r>
    </w:p>
    <w:p w:rsidR="00000000" w:rsidRDefault="00E52F77">
      <w:pPr>
        <w:pStyle w:val="a3"/>
        <w:spacing w:before="0" w:beforeAutospacing="0" w:after="0" w:afterAutospacing="0"/>
        <w:divId w:val="1056587701"/>
        <w:rPr>
          <w:sz w:val="20"/>
          <w:szCs w:val="20"/>
        </w:rPr>
      </w:pPr>
      <w:r>
        <w:rPr>
          <w:b/>
          <w:bCs/>
          <w:i/>
          <w:iCs/>
          <w:sz w:val="20"/>
          <w:szCs w:val="20"/>
        </w:rPr>
        <w:t>Business Operations</w:t>
      </w:r>
    </w:p>
    <w:p w:rsidR="00000000" w:rsidRDefault="00E52F77">
      <w:pPr>
        <w:pStyle w:val="a3"/>
        <w:spacing w:before="0" w:beforeAutospacing="0" w:after="0" w:afterAutospacing="0"/>
        <w:divId w:val="1056587701"/>
        <w:rPr>
          <w:sz w:val="20"/>
          <w:szCs w:val="20"/>
        </w:rPr>
      </w:pPr>
      <w:r>
        <w:rPr>
          <w:sz w:val="10"/>
          <w:szCs w:val="10"/>
        </w:rPr>
        <w:t>​</w:t>
      </w:r>
    </w:p>
    <w:p w:rsidR="00000000" w:rsidRDefault="00E52F77">
      <w:pPr>
        <w:pStyle w:val="a3"/>
        <w:spacing w:before="0" w:beforeAutospacing="0" w:after="0" w:afterAutospacing="0"/>
        <w:ind w:firstLine="720"/>
        <w:divId w:val="1056587701"/>
        <w:rPr>
          <w:sz w:val="20"/>
          <w:szCs w:val="20"/>
        </w:rPr>
      </w:pPr>
      <w:r>
        <w:rPr>
          <w:sz w:val="20"/>
          <w:szCs w:val="20"/>
        </w:rPr>
        <w:t>We continue to monitor the ongoing COVID-19 pandemic </w:t>
      </w:r>
      <w:r>
        <w:rPr>
          <w:sz w:val="20"/>
          <w:szCs w:val="20"/>
        </w:rPr>
        <w:t xml:space="preserve">and have taken steps to identify and attempt to mitigate the adverse impacts on, and risks to, our business posed by its spread and actions taken by governmental and health authorities to address the COVID-19 pandemic. The threat of COVID-19 has caused us </w:t>
      </w:r>
      <w:r>
        <w:rPr>
          <w:sz w:val="20"/>
          <w:szCs w:val="20"/>
        </w:rPr>
        <w:t xml:space="preserve">to modify our business practices, including implementing a work from home policy for all employees, with the exception of key operations and lab personnel, since early March 2020. We have restricted non-essential business travel, and we expect to continue </w:t>
      </w:r>
      <w:r>
        <w:rPr>
          <w:sz w:val="20"/>
          <w:szCs w:val="20"/>
        </w:rPr>
        <w:t>to implement measures as may be required or recommended by government authorities or as we determine are in the best interests of our employees, clinical trial sites and participants, the patients we serve, and other stakeholders in light of COVID-19.</w:t>
      </w:r>
    </w:p>
    <w:p w:rsidR="00000000" w:rsidRDefault="00E52F77">
      <w:pPr>
        <w:pStyle w:val="a3"/>
        <w:spacing w:before="0" w:beforeAutospacing="0" w:after="0" w:afterAutospacing="0"/>
        <w:divId w:val="1056587701"/>
        <w:rPr>
          <w:sz w:val="20"/>
          <w:szCs w:val="20"/>
        </w:rPr>
      </w:pPr>
      <w:r>
        <w:rPr>
          <w:sz w:val="20"/>
          <w:szCs w:val="20"/>
        </w:rPr>
        <w:t>​</w:t>
      </w:r>
    </w:p>
    <w:p w:rsidR="00000000" w:rsidRDefault="00E52F77">
      <w:pPr>
        <w:pStyle w:val="a3"/>
        <w:spacing w:before="0" w:beforeAutospacing="0" w:after="0" w:afterAutospacing="0"/>
        <w:divId w:val="1056587701"/>
        <w:rPr>
          <w:sz w:val="20"/>
          <w:szCs w:val="20"/>
        </w:rPr>
      </w:pPr>
      <w:r>
        <w:rPr>
          <w:b/>
          <w:bCs/>
          <w:sz w:val="20"/>
          <w:szCs w:val="20"/>
        </w:rPr>
        <w:t>Pr</w:t>
      </w:r>
      <w:r>
        <w:rPr>
          <w:b/>
          <w:bCs/>
          <w:sz w:val="20"/>
          <w:szCs w:val="20"/>
        </w:rPr>
        <w:t xml:space="preserve">ogram Highlights </w:t>
      </w:r>
    </w:p>
    <w:p w:rsidR="00000000" w:rsidRDefault="00E52F77">
      <w:pPr>
        <w:pStyle w:val="a3"/>
        <w:spacing w:before="0" w:beforeAutospacing="0" w:after="0" w:afterAutospacing="0"/>
        <w:ind w:hanging="200"/>
        <w:divId w:val="1056587701"/>
        <w:rPr>
          <w:sz w:val="20"/>
          <w:szCs w:val="20"/>
        </w:rPr>
      </w:pPr>
      <w:r>
        <w:rPr>
          <w:b/>
          <w:bCs/>
          <w:i/>
          <w:iCs/>
          <w:sz w:val="20"/>
          <w:szCs w:val="20"/>
        </w:rPr>
        <w:t>​</w:t>
      </w:r>
    </w:p>
    <w:p w:rsidR="00000000" w:rsidRDefault="00E52F77">
      <w:pPr>
        <w:pStyle w:val="a3"/>
        <w:spacing w:before="0" w:beforeAutospacing="0" w:after="0" w:afterAutospacing="0"/>
        <w:ind w:hanging="200"/>
        <w:divId w:val="1056587701"/>
        <w:rPr>
          <w:sz w:val="20"/>
          <w:szCs w:val="20"/>
        </w:rPr>
      </w:pPr>
      <w:r>
        <w:rPr>
          <w:b/>
          <w:bCs/>
          <w:i/>
          <w:iCs/>
          <w:sz w:val="20"/>
          <w:szCs w:val="20"/>
        </w:rPr>
        <w:t>YUPELR</w:t>
      </w:r>
      <w:r>
        <w:rPr>
          <w:b/>
          <w:bCs/>
          <w:i/>
          <w:iCs/>
          <w:sz w:val="20"/>
          <w:szCs w:val="20"/>
        </w:rPr>
        <w:t>I</w:t>
      </w:r>
      <w:r>
        <w:rPr>
          <w:b/>
          <w:bCs/>
          <w:i/>
          <w:iCs/>
          <w:sz w:val="15"/>
          <w:szCs w:val="15"/>
          <w:vertAlign w:val="superscript"/>
        </w:rPr>
        <w:t xml:space="preserve"> </w:t>
      </w:r>
      <w:r>
        <w:rPr>
          <w:b/>
          <w:bCs/>
          <w:i/>
          <w:iCs/>
          <w:sz w:val="20"/>
          <w:szCs w:val="20"/>
        </w:rPr>
        <w:t>(revefenacin) Inhalation Solution</w:t>
      </w:r>
    </w:p>
    <w:p w:rsidR="00000000" w:rsidRDefault="00E52F77">
      <w:pPr>
        <w:pStyle w:val="a3"/>
        <w:spacing w:before="0" w:beforeAutospacing="0" w:after="0" w:afterAutospacing="0"/>
        <w:divId w:val="1056587701"/>
        <w:rPr>
          <w:sz w:val="20"/>
          <w:szCs w:val="20"/>
        </w:rPr>
      </w:pPr>
      <w:r>
        <w:rPr>
          <w:sz w:val="10"/>
          <w:szCs w:val="10"/>
        </w:rPr>
        <w:t>​</w:t>
      </w:r>
    </w:p>
    <w:p w:rsidR="00000000" w:rsidRDefault="00E52F77">
      <w:pPr>
        <w:pStyle w:val="a3"/>
        <w:spacing w:before="0" w:beforeAutospacing="0" w:after="0" w:afterAutospacing="0"/>
        <w:ind w:firstLine="720"/>
        <w:divId w:val="1056587701"/>
        <w:rPr>
          <w:sz w:val="20"/>
          <w:szCs w:val="20"/>
        </w:rPr>
      </w:pPr>
      <w:r>
        <w:rPr>
          <w:sz w:val="20"/>
          <w:szCs w:val="20"/>
        </w:rPr>
        <w:t>YUPELRI (revefenacin) inhalation solution is a once-daily, nebulized long-acting muscarinic antagonist (“LAMA”) approved for the maintenance treatment of COPD in the US. LAMAs are recognized b</w:t>
      </w:r>
      <w:r>
        <w:rPr>
          <w:sz w:val="20"/>
          <w:szCs w:val="20"/>
        </w:rPr>
        <w:t>y international COPD treatment guidelines as a cornerstone of maintenance therapy for COPD, regardless of severity of disease. Our market research indicates there is an enduring population of COPD patients in the US that either need or prefer nebulized del</w:t>
      </w:r>
      <w:r>
        <w:rPr>
          <w:sz w:val="20"/>
          <w:szCs w:val="20"/>
        </w:rPr>
        <w:t xml:space="preserve">ivery for maintenance therapy. The stability of revefenacin in both metered dose inhaler and dry powder inhaler (“MDI/DPI”) formulations suggests that revefenacin could also serve as a foundation for novel handheld combination products. </w:t>
      </w:r>
    </w:p>
    <w:p w:rsidR="00000000" w:rsidRDefault="00E52F77">
      <w:pPr>
        <w:pStyle w:val="a3"/>
        <w:spacing w:before="0" w:beforeAutospacing="0" w:after="0" w:afterAutospacing="0"/>
        <w:ind w:firstLine="720"/>
        <w:divId w:val="1056587701"/>
        <w:rPr>
          <w:sz w:val="20"/>
          <w:szCs w:val="20"/>
        </w:rPr>
      </w:pPr>
      <w:r>
        <w:rPr>
          <w:sz w:val="20"/>
          <w:szCs w:val="20"/>
        </w:rPr>
        <w:t>​</w:t>
      </w:r>
    </w:p>
    <w:p w:rsidR="00000000" w:rsidRDefault="00E52F77">
      <w:pPr>
        <w:pStyle w:val="a3"/>
        <w:spacing w:before="0" w:beforeAutospacing="0" w:after="0" w:afterAutospacing="0"/>
        <w:ind w:firstLine="720"/>
        <w:divId w:val="1056587701"/>
        <w:rPr>
          <w:sz w:val="20"/>
          <w:szCs w:val="20"/>
        </w:rPr>
      </w:pPr>
      <w:r>
        <w:rPr>
          <w:sz w:val="20"/>
          <w:szCs w:val="20"/>
        </w:rPr>
        <w:t>In November 2018</w:t>
      </w:r>
      <w:r>
        <w:rPr>
          <w:sz w:val="20"/>
          <w:szCs w:val="20"/>
        </w:rPr>
        <w:t xml:space="preserve">, YUPELRI was approved by the FDA for the maintenance treatment of patients with COPD. Following shipments into commercial channel in late 2018, we and Viatris formally launched our sales and marketing efforts in early 2019. As described above and in </w:t>
      </w:r>
      <w:r>
        <w:rPr>
          <w:i/>
          <w:iCs/>
          <w:sz w:val="20"/>
          <w:szCs w:val="20"/>
        </w:rPr>
        <w:t xml:space="preserve">Item </w:t>
      </w:r>
      <w:r>
        <w:rPr>
          <w:i/>
          <w:iCs/>
          <w:sz w:val="20"/>
          <w:szCs w:val="20"/>
        </w:rPr>
        <w:t>1A.</w:t>
      </w:r>
      <w:r>
        <w:rPr>
          <w:sz w:val="20"/>
          <w:szCs w:val="20"/>
        </w:rPr>
        <w:t xml:space="preserve"> </w:t>
      </w:r>
      <w:r>
        <w:rPr>
          <w:i/>
          <w:iCs/>
          <w:sz w:val="20"/>
          <w:szCs w:val="20"/>
        </w:rPr>
        <w:t>Risk Factor</w:t>
      </w:r>
      <w:r>
        <w:rPr>
          <w:sz w:val="20"/>
          <w:szCs w:val="20"/>
        </w:rPr>
        <w:t xml:space="preserve"> </w:t>
      </w:r>
      <w:r>
        <w:rPr>
          <w:i/>
          <w:iCs/>
          <w:sz w:val="20"/>
          <w:szCs w:val="20"/>
        </w:rPr>
        <w:t>entitled</w:t>
      </w:r>
      <w:r>
        <w:rPr>
          <w:sz w:val="20"/>
          <w:szCs w:val="20"/>
        </w:rPr>
        <w:t xml:space="preserve"> </w:t>
      </w:r>
      <w:r>
        <w:rPr>
          <w:i/>
          <w:iCs/>
          <w:sz w:val="20"/>
          <w:szCs w:val="20"/>
        </w:rPr>
        <w:t>“We face risks related to health epidemics, including the recent COVID-19 pandemic, which could have a material adverse effect on our business and results of operations,”</w:t>
      </w:r>
      <w:r>
        <w:rPr>
          <w:sz w:val="20"/>
          <w:szCs w:val="20"/>
        </w:rPr>
        <w:t xml:space="preserve"> although YUPELRI net sales growth continued in 2020 compared</w:t>
      </w:r>
      <w:r>
        <w:rPr>
          <w:sz w:val="20"/>
          <w:szCs w:val="20"/>
        </w:rPr>
        <w:t xml:space="preserve"> to 2019, the trajectory was impacted by COVID-19, and we continue to observe increased volatility in YUPELRI sales through mid-2021. The observed volatility may continue for the remainder of 2021 and into 2022. However, YUPELRI has maintained profitabilit</w:t>
      </w:r>
      <w:r>
        <w:rPr>
          <w:sz w:val="20"/>
          <w:szCs w:val="20"/>
        </w:rPr>
        <w:t xml:space="preserve">y on a brand basis since the second half of 2020. In addition, we are tracking several key performance metrics to gauge success in building market acceptance, including formulary success and market access. </w:t>
      </w:r>
    </w:p>
    <w:p w:rsidR="00000000" w:rsidRDefault="00E52F77">
      <w:pPr>
        <w:pStyle w:val="a3"/>
        <w:spacing w:before="0" w:beforeAutospacing="0" w:after="0" w:afterAutospacing="0"/>
        <w:ind w:firstLine="720"/>
        <w:divId w:val="1056587701"/>
        <w:rPr>
          <w:sz w:val="20"/>
          <w:szCs w:val="20"/>
        </w:rPr>
      </w:pPr>
      <w:r>
        <w:rPr>
          <w:sz w:val="20"/>
          <w:szCs w:val="20"/>
        </w:rPr>
        <w:t>​</w:t>
      </w:r>
    </w:p>
    <w:p w:rsidR="00000000" w:rsidRDefault="00E52F77">
      <w:pPr>
        <w:pStyle w:val="a3"/>
        <w:spacing w:before="0" w:beforeAutospacing="0" w:after="0" w:afterAutospacing="0"/>
        <w:ind w:firstLine="720"/>
        <w:divId w:val="1056587701"/>
        <w:rPr>
          <w:sz w:val="20"/>
          <w:szCs w:val="20"/>
        </w:rPr>
      </w:pPr>
      <w:r>
        <w:rPr>
          <w:sz w:val="20"/>
          <w:szCs w:val="20"/>
        </w:rPr>
        <w:t>Additionally, we recently announced that in col</w:t>
      </w:r>
      <w:r>
        <w:rPr>
          <w:sz w:val="20"/>
          <w:szCs w:val="20"/>
        </w:rPr>
        <w:t>laboration with our partner Viatris, we are initiating a Phase 4 study comparing improvements in lung function in adults with severe to very severe COPD and suboptimal inspiratory flow rate following once-daily treatment with either YUPELRI delivered via s</w:t>
      </w:r>
      <w:r>
        <w:rPr>
          <w:sz w:val="20"/>
          <w:szCs w:val="20"/>
        </w:rPr>
        <w:t>tandard jet nebulizer or tiotropium delivered via a dry powder inhaler (Spiriv</w:t>
      </w:r>
      <w:r>
        <w:rPr>
          <w:sz w:val="20"/>
          <w:szCs w:val="20"/>
        </w:rPr>
        <w:t>a</w:t>
      </w:r>
      <w:r>
        <w:rPr>
          <w:sz w:val="15"/>
          <w:szCs w:val="15"/>
          <w:vertAlign w:val="superscript"/>
        </w:rPr>
        <w:t>®</w:t>
      </w:r>
      <w:r>
        <w:rPr>
          <w:sz w:val="20"/>
          <w:szCs w:val="20"/>
        </w:rPr>
        <w:t xml:space="preserve"> HandiHale</w:t>
      </w:r>
      <w:r>
        <w:rPr>
          <w:sz w:val="20"/>
          <w:szCs w:val="20"/>
        </w:rPr>
        <w:t>r</w:t>
      </w:r>
      <w:r>
        <w:rPr>
          <w:sz w:val="15"/>
          <w:szCs w:val="15"/>
          <w:vertAlign w:val="superscript"/>
        </w:rPr>
        <w:t>®</w:t>
      </w:r>
      <w:r>
        <w:rPr>
          <w:sz w:val="20"/>
          <w:szCs w:val="20"/>
        </w:rPr>
        <w:t xml:space="preserve">). This study is aimed at helping to better inform decisions when physicians are designing a personalized COPD treatment plan with patients. We expect the study to </w:t>
      </w:r>
      <w:r>
        <w:rPr>
          <w:sz w:val="20"/>
          <w:szCs w:val="20"/>
        </w:rPr>
        <w:t>begin later this year.</w:t>
      </w:r>
    </w:p>
    <w:p w:rsidR="00000000" w:rsidRDefault="00E52F77">
      <w:pPr>
        <w:pStyle w:val="a3"/>
        <w:spacing w:before="360" w:beforeAutospacing="0" w:after="0" w:afterAutospacing="0"/>
        <w:jc w:val="center"/>
        <w:divId w:val="360669786"/>
        <w:rPr>
          <w:sz w:val="20"/>
          <w:szCs w:val="20"/>
        </w:rPr>
      </w:pPr>
      <w:r>
        <w:rPr>
          <w:sz w:val="20"/>
          <w:szCs w:val="20"/>
        </w:rPr>
        <w:t>20</w:t>
      </w:r>
    </w:p>
    <w:p w:rsidR="00000000" w:rsidRDefault="00E52F77">
      <w:pPr>
        <w:pStyle w:val="a3"/>
        <w:spacing w:before="0" w:beforeAutospacing="0" w:after="600" w:afterAutospacing="0"/>
        <w:divId w:val="932856037"/>
        <w:rPr>
          <w:sz w:val="20"/>
          <w:szCs w:val="20"/>
        </w:rPr>
      </w:pPr>
      <w:hyperlink w:anchor="TOC" w:history="1">
        <w:r>
          <w:rPr>
            <w:rStyle w:val="a4"/>
            <w:sz w:val="20"/>
            <w:szCs w:val="20"/>
          </w:rPr>
          <w:t>Table of Contents</w:t>
        </w:r>
      </w:hyperlink>
    </w:p>
    <w:p w:rsidR="00000000" w:rsidRDefault="00E52F77">
      <w:pPr>
        <w:pStyle w:val="a3"/>
        <w:spacing w:before="0" w:beforeAutospacing="0" w:after="0" w:afterAutospacing="0"/>
        <w:ind w:firstLine="720"/>
        <w:divId w:val="743576488"/>
        <w:rPr>
          <w:sz w:val="20"/>
          <w:szCs w:val="20"/>
        </w:rPr>
      </w:pPr>
      <w:r>
        <w:rPr>
          <w:sz w:val="20"/>
          <w:szCs w:val="20"/>
        </w:rPr>
        <w:t>​</w:t>
      </w:r>
    </w:p>
    <w:p w:rsidR="00000000" w:rsidRDefault="00E52F77">
      <w:pPr>
        <w:pStyle w:val="a3"/>
        <w:spacing w:before="0" w:beforeAutospacing="0" w:after="0" w:afterAutospacing="0"/>
        <w:divId w:val="743576488"/>
        <w:rPr>
          <w:sz w:val="20"/>
          <w:szCs w:val="20"/>
        </w:rPr>
      </w:pPr>
      <w:r>
        <w:rPr>
          <w:i/>
          <w:iCs/>
          <w:sz w:val="20"/>
          <w:szCs w:val="20"/>
        </w:rPr>
        <w:t>Viatris Collaboration</w:t>
      </w:r>
    </w:p>
    <w:p w:rsidR="00000000" w:rsidRDefault="00E52F77">
      <w:pPr>
        <w:pStyle w:val="a3"/>
        <w:spacing w:before="0" w:beforeAutospacing="0" w:after="0" w:afterAutospacing="0"/>
        <w:divId w:val="743576488"/>
        <w:rPr>
          <w:sz w:val="20"/>
          <w:szCs w:val="20"/>
        </w:rPr>
      </w:pPr>
      <w:r>
        <w:rPr>
          <w:sz w:val="10"/>
          <w:szCs w:val="10"/>
        </w:rPr>
        <w:t>​</w:t>
      </w:r>
    </w:p>
    <w:p w:rsidR="00000000" w:rsidRDefault="00E52F77">
      <w:pPr>
        <w:pStyle w:val="a3"/>
        <w:spacing w:before="0" w:beforeAutospacing="0" w:after="0" w:afterAutospacing="0"/>
        <w:ind w:firstLine="720"/>
        <w:divId w:val="743576488"/>
        <w:rPr>
          <w:sz w:val="20"/>
          <w:szCs w:val="20"/>
        </w:rPr>
      </w:pPr>
      <w:r>
        <w:rPr>
          <w:sz w:val="20"/>
          <w:szCs w:val="20"/>
        </w:rPr>
        <w:t>In January 2015, we and Viatris established a strategic collaboration for the development and commercialization of revefenacin. Partnering with a leader in nebu</w:t>
      </w:r>
      <w:r>
        <w:rPr>
          <w:sz w:val="20"/>
          <w:szCs w:val="20"/>
        </w:rPr>
        <w:t xml:space="preserve">lized respiratory therapies enables us to expand the breadth of our revefenacin development program and extend our commercial reach beyond the acute care setting. Viatris funded the Phase 3 development program of YUPELRI, enabling us to advance other high </w:t>
      </w:r>
      <w:r>
        <w:rPr>
          <w:sz w:val="20"/>
          <w:szCs w:val="20"/>
        </w:rPr>
        <w:t>value pipeline assets alongside YUPELRI.</w:t>
      </w:r>
    </w:p>
    <w:p w:rsidR="00000000" w:rsidRDefault="00E52F77">
      <w:pPr>
        <w:pStyle w:val="a3"/>
        <w:spacing w:before="0" w:beforeAutospacing="0" w:after="0" w:afterAutospacing="0"/>
        <w:divId w:val="743576488"/>
        <w:rPr>
          <w:sz w:val="20"/>
          <w:szCs w:val="20"/>
        </w:rPr>
      </w:pPr>
      <w:r>
        <w:rPr>
          <w:sz w:val="20"/>
          <w:szCs w:val="20"/>
        </w:rPr>
        <w:t>​</w:t>
      </w:r>
    </w:p>
    <w:p w:rsidR="00000000" w:rsidRDefault="00E52F77">
      <w:pPr>
        <w:pStyle w:val="a3"/>
        <w:spacing w:before="0" w:beforeAutospacing="0" w:after="0" w:afterAutospacing="0"/>
        <w:ind w:firstLine="720"/>
        <w:divId w:val="743576488"/>
        <w:rPr>
          <w:sz w:val="20"/>
          <w:szCs w:val="20"/>
        </w:rPr>
      </w:pPr>
      <w:r>
        <w:rPr>
          <w:sz w:val="20"/>
          <w:szCs w:val="20"/>
        </w:rPr>
        <w:t xml:space="preserve">Under the terms of the Viatris Development and Commercialization Agreement (the “Viatris Agreement”), Viatris and Theravance Biopharma co-develop revefenacin for COPD and other respiratory diseases. We led the US </w:t>
      </w:r>
      <w:r>
        <w:rPr>
          <w:sz w:val="20"/>
          <w:szCs w:val="20"/>
        </w:rPr>
        <w:t>Phase 3 development program for YUPELRI in COPD, and Viatris was responsible for reimbursement of our costs related to the registrational program up until the approval of the first new drug application (“NDA”), after which costs are shared. With YUPELRI ap</w:t>
      </w:r>
      <w:r>
        <w:rPr>
          <w:sz w:val="20"/>
          <w:szCs w:val="20"/>
        </w:rPr>
        <w:t>proved in the US, Viatris is leading commercialization, and we co-promote the product in the US under a profit and loss sharing arrangement (65% to Viatris; 35% to Theravance Biopharma). Outside the US, Viatris is responsible for development and commercial</w:t>
      </w:r>
      <w:r>
        <w:rPr>
          <w:sz w:val="20"/>
          <w:szCs w:val="20"/>
        </w:rPr>
        <w:t xml:space="preserve">ization and will pay us a tiered royalty on net sales at percentage royalty rates ranging from low double-digits to mid-teens. </w:t>
      </w:r>
    </w:p>
    <w:p w:rsidR="00000000" w:rsidRDefault="00E52F77">
      <w:pPr>
        <w:pStyle w:val="a3"/>
        <w:spacing w:before="0" w:beforeAutospacing="0" w:after="0" w:afterAutospacing="0"/>
        <w:divId w:val="743576488"/>
        <w:rPr>
          <w:sz w:val="20"/>
          <w:szCs w:val="20"/>
        </w:rPr>
      </w:pPr>
      <w:r>
        <w:rPr>
          <w:sz w:val="20"/>
          <w:szCs w:val="20"/>
        </w:rPr>
        <w:t>​</w:t>
      </w:r>
    </w:p>
    <w:p w:rsidR="00000000" w:rsidRDefault="00E52F77">
      <w:pPr>
        <w:pStyle w:val="a3"/>
        <w:spacing w:before="0" w:beforeAutospacing="0" w:after="0" w:afterAutospacing="0"/>
        <w:ind w:firstLine="720"/>
        <w:divId w:val="743576488"/>
        <w:rPr>
          <w:sz w:val="20"/>
          <w:szCs w:val="20"/>
        </w:rPr>
      </w:pPr>
      <w:r>
        <w:rPr>
          <w:sz w:val="20"/>
          <w:szCs w:val="20"/>
        </w:rPr>
        <w:t xml:space="preserve">In </w:t>
      </w:r>
      <w:r>
        <w:rPr>
          <w:sz w:val="20"/>
          <w:szCs w:val="20"/>
          <w:shd w:val="clear" w:color="auto" w:fill="FFFFFF"/>
        </w:rPr>
        <w:t>June 2019, we announced the expansion of the Viatris Agreement to grant Viatris exclusive development and commercialization</w:t>
      </w:r>
      <w:r>
        <w:rPr>
          <w:sz w:val="20"/>
          <w:szCs w:val="20"/>
          <w:shd w:val="clear" w:color="auto" w:fill="FFFFFF"/>
        </w:rPr>
        <w:t xml:space="preserve"> rights to nebulized revefenacin in China and adjacent territories, which include Hong Kong SAR, the Macau SAR, and Taiwan. In exchange, we received an upfront payment of $18.5 million (before a required tax withholding) and will be eligible to receive add</w:t>
      </w:r>
      <w:r>
        <w:rPr>
          <w:sz w:val="20"/>
          <w:szCs w:val="20"/>
          <w:shd w:val="clear" w:color="auto" w:fill="FFFFFF"/>
        </w:rPr>
        <w:t>itional potential development and sales milestones totaling $54.0 million and low double-digit tiered royalties on net sales of nebulized revefenacin, if approved. In March 2020, we earned a $1.5 million development milestone for the acceptance of a clinic</w:t>
      </w:r>
      <w:r>
        <w:rPr>
          <w:sz w:val="20"/>
          <w:szCs w:val="20"/>
          <w:shd w:val="clear" w:color="auto" w:fill="FFFFFF"/>
        </w:rPr>
        <w:t xml:space="preserve">al trial application associated with the use of </w:t>
      </w:r>
      <w:r>
        <w:rPr>
          <w:sz w:val="20"/>
          <w:szCs w:val="20"/>
        </w:rPr>
        <w:t xml:space="preserve">revefenacin </w:t>
      </w:r>
      <w:r>
        <w:rPr>
          <w:sz w:val="20"/>
          <w:szCs w:val="20"/>
          <w:shd w:val="clear" w:color="auto" w:fill="FFFFFF"/>
        </w:rPr>
        <w:t>monotherapy in China and adjacent territories. Viatris is responsible for all aspects of development and commercialization in the partnered regions, including pre- and post-launch activities and p</w:t>
      </w:r>
      <w:r>
        <w:rPr>
          <w:sz w:val="20"/>
          <w:szCs w:val="20"/>
          <w:shd w:val="clear" w:color="auto" w:fill="FFFFFF"/>
        </w:rPr>
        <w:t xml:space="preserve">roduct registration and all associated costs. </w:t>
      </w:r>
      <w:r>
        <w:rPr>
          <w:sz w:val="20"/>
          <w:szCs w:val="20"/>
        </w:rPr>
        <w:t>We retain worldwide rights to revefenacin delivered through other dosage forms, such as a MDI/DPI.</w:t>
      </w:r>
    </w:p>
    <w:p w:rsidR="00000000" w:rsidRDefault="00E52F77">
      <w:pPr>
        <w:pStyle w:val="a3"/>
        <w:spacing w:before="0" w:beforeAutospacing="0" w:after="0" w:afterAutospacing="0"/>
        <w:divId w:val="743576488"/>
        <w:rPr>
          <w:sz w:val="20"/>
          <w:szCs w:val="20"/>
        </w:rPr>
      </w:pPr>
      <w:r>
        <w:rPr>
          <w:sz w:val="20"/>
          <w:szCs w:val="20"/>
        </w:rPr>
        <w:t>​</w:t>
      </w:r>
    </w:p>
    <w:p w:rsidR="00000000" w:rsidRDefault="00E52F77">
      <w:pPr>
        <w:pStyle w:val="a3"/>
        <w:spacing w:before="0" w:beforeAutospacing="0" w:after="0" w:afterAutospacing="0"/>
        <w:ind w:firstLine="720"/>
        <w:divId w:val="743576488"/>
        <w:rPr>
          <w:sz w:val="20"/>
          <w:szCs w:val="20"/>
        </w:rPr>
      </w:pPr>
      <w:r>
        <w:rPr>
          <w:sz w:val="20"/>
          <w:szCs w:val="20"/>
        </w:rPr>
        <w:t>Under the Viatris Agreement, as of June 30, 2021, we are eligible to receive from Viatris potential global development, regulatory and sales milestone payments totaling up to $257.5 million in the aggregate with $205.0 million associated with YUPELRI monot</w:t>
      </w:r>
      <w:r>
        <w:rPr>
          <w:sz w:val="20"/>
          <w:szCs w:val="20"/>
        </w:rPr>
        <w:t>herapy and $52.5 million associated with future potential combination products. Of the $205.0 million associated with monotherapy, $187.5 million relates to sales milestones based on achieving certain levels of net sales and $17.5 million relates to global</w:t>
      </w:r>
      <w:r>
        <w:rPr>
          <w:sz w:val="20"/>
          <w:szCs w:val="20"/>
        </w:rPr>
        <w:t xml:space="preserve"> development and regulatory actions. The $52.5 million associated with future potential combination products relates solely to global development and regulatory actions. </w:t>
      </w:r>
    </w:p>
    <w:p w:rsidR="00000000" w:rsidRDefault="00E52F77">
      <w:pPr>
        <w:pStyle w:val="a3"/>
        <w:spacing w:before="0" w:beforeAutospacing="0" w:after="0" w:afterAutospacing="0"/>
        <w:ind w:firstLine="720"/>
        <w:divId w:val="743576488"/>
        <w:rPr>
          <w:sz w:val="20"/>
          <w:szCs w:val="20"/>
        </w:rPr>
      </w:pPr>
      <w:r>
        <w:rPr>
          <w:sz w:val="20"/>
          <w:szCs w:val="20"/>
        </w:rPr>
        <w:t>​</w:t>
      </w:r>
    </w:p>
    <w:p w:rsidR="00000000" w:rsidRDefault="00E52F77">
      <w:pPr>
        <w:pStyle w:val="a3"/>
        <w:spacing w:before="0" w:beforeAutospacing="0" w:after="0" w:afterAutospacing="0"/>
        <w:divId w:val="743576488"/>
        <w:rPr>
          <w:sz w:val="20"/>
          <w:szCs w:val="20"/>
        </w:rPr>
      </w:pPr>
      <w:r>
        <w:rPr>
          <w:b/>
          <w:bCs/>
          <w:i/>
          <w:iCs/>
          <w:sz w:val="20"/>
          <w:szCs w:val="20"/>
        </w:rPr>
        <w:t>Lung-selective, Nebulized Pan-Janus Kinase (JAK) Inhibitor (Nezulcitinib)</w:t>
      </w:r>
    </w:p>
    <w:p w:rsidR="00000000" w:rsidRDefault="00E52F77">
      <w:pPr>
        <w:pStyle w:val="a3"/>
        <w:spacing w:before="0" w:beforeAutospacing="0" w:after="0" w:afterAutospacing="0"/>
        <w:ind w:firstLine="720"/>
        <w:divId w:val="743576488"/>
        <w:rPr>
          <w:sz w:val="20"/>
          <w:szCs w:val="20"/>
        </w:rPr>
      </w:pPr>
      <w:r>
        <w:rPr>
          <w:sz w:val="10"/>
          <w:szCs w:val="10"/>
        </w:rPr>
        <w:t>​</w:t>
      </w:r>
    </w:p>
    <w:p w:rsidR="00000000" w:rsidRDefault="00E52F77">
      <w:pPr>
        <w:pStyle w:val="a3"/>
        <w:spacing w:before="0" w:beforeAutospacing="0" w:after="0" w:afterAutospacing="0"/>
        <w:ind w:firstLine="720"/>
        <w:divId w:val="743576488"/>
        <w:rPr>
          <w:sz w:val="20"/>
          <w:szCs w:val="20"/>
        </w:rPr>
      </w:pPr>
      <w:r>
        <w:rPr>
          <w:sz w:val="20"/>
          <w:szCs w:val="20"/>
        </w:rPr>
        <w:t>Nezulci</w:t>
      </w:r>
      <w:r>
        <w:rPr>
          <w:sz w:val="20"/>
          <w:szCs w:val="20"/>
        </w:rPr>
        <w:t>tinib (formerly known as TD-0903) is a lung-selective, nebulized JAK inhibitor, in clinical development for the potential treatment of hospitalized patients with Acute Lung Injury (“ALI”) caused by COVID-19. We discovered nezulcitinib, and it has been show</w:t>
      </w:r>
      <w:r>
        <w:rPr>
          <w:sz w:val="20"/>
          <w:szCs w:val="20"/>
        </w:rPr>
        <w:t>n in experimental murine models to have potent, broad inhibition of JAK-STAT signaling in the airways following challenges with multiple cytokines. Preclinical studies suggest that nezulcitinib has a very high lung to plasma ratio and rapid metabolic clear</w:t>
      </w:r>
      <w:r>
        <w:rPr>
          <w:sz w:val="20"/>
          <w:szCs w:val="20"/>
        </w:rPr>
        <w:t>ance resulting in low systemic exposure, compatible with its lung selectivity. Nezulcitinib is administered via nebulized inhalation solution, which further enhances its lung selectivity. Preclinical pharmacodynamic studies indicate that nezulcitinib has a</w:t>
      </w:r>
      <w:r>
        <w:rPr>
          <w:sz w:val="20"/>
          <w:szCs w:val="20"/>
        </w:rPr>
        <w:t>n extended duration of action that should enable once daily dosing in humans.</w:t>
      </w:r>
      <w:r>
        <w:rPr>
          <w:sz w:val="20"/>
          <w:szCs w:val="20"/>
        </w:rPr>
        <w:t xml:space="preserve"> </w:t>
      </w:r>
    </w:p>
    <w:p w:rsidR="00000000" w:rsidRDefault="00E52F77">
      <w:pPr>
        <w:pStyle w:val="a3"/>
        <w:spacing w:before="0" w:beforeAutospacing="0" w:after="0" w:afterAutospacing="0"/>
        <w:ind w:firstLine="720"/>
        <w:divId w:val="743576488"/>
        <w:rPr>
          <w:sz w:val="20"/>
          <w:szCs w:val="20"/>
        </w:rPr>
      </w:pPr>
      <w:r>
        <w:rPr>
          <w:sz w:val="20"/>
          <w:szCs w:val="20"/>
        </w:rPr>
        <w:t>​</w:t>
      </w:r>
    </w:p>
    <w:p w:rsidR="00000000" w:rsidRDefault="00E52F77">
      <w:pPr>
        <w:pStyle w:val="a3"/>
        <w:spacing w:before="0" w:beforeAutospacing="0" w:after="0" w:afterAutospacing="0"/>
        <w:ind w:firstLine="720"/>
        <w:divId w:val="743576488"/>
        <w:rPr>
          <w:sz w:val="20"/>
          <w:szCs w:val="20"/>
        </w:rPr>
      </w:pPr>
      <w:r>
        <w:rPr>
          <w:sz w:val="20"/>
          <w:szCs w:val="20"/>
        </w:rPr>
        <w:t xml:space="preserve">We believe nezulcitinib has the potential to inhibit the cytokine storm associated with ALI and prevent progression to Acute Respiratory Distress Syndrome (“ARDS”). The first </w:t>
      </w:r>
      <w:r>
        <w:rPr>
          <w:sz w:val="20"/>
          <w:szCs w:val="20"/>
        </w:rPr>
        <w:t>healthy volunteer was dosed in a Phase 1 study of nezulcitinib in April 2020, and in June 2020, we completed Phase 1 and entered a two-part Phase 2 study. Phase 2 is designed to evaluate the efficacy, safety, and tolerability of nezulcitinib in subjects wi</w:t>
      </w:r>
      <w:r>
        <w:rPr>
          <w:sz w:val="20"/>
          <w:szCs w:val="20"/>
        </w:rPr>
        <w:t xml:space="preserve">th confirmed symptomatic COVID-19 hospitalized for symptomatic respiratory insufficiency. This study will also evaluate the PK of nezulcitinib in these subjects. To expedite enrollment, we opened additional sites in other regions including Europe, the US, </w:t>
      </w:r>
      <w:r>
        <w:rPr>
          <w:sz w:val="20"/>
          <w:szCs w:val="20"/>
        </w:rPr>
        <w:t xml:space="preserve">and South America. </w:t>
      </w:r>
    </w:p>
    <w:p w:rsidR="00000000" w:rsidRDefault="00E52F77">
      <w:pPr>
        <w:pStyle w:val="a3"/>
        <w:spacing w:before="0" w:beforeAutospacing="0" w:after="0" w:afterAutospacing="0"/>
        <w:ind w:firstLine="720"/>
        <w:divId w:val="743576488"/>
        <w:rPr>
          <w:sz w:val="20"/>
          <w:szCs w:val="20"/>
        </w:rPr>
      </w:pPr>
      <w:r>
        <w:rPr>
          <w:sz w:val="20"/>
          <w:szCs w:val="20"/>
        </w:rPr>
        <w:t>​</w:t>
      </w:r>
    </w:p>
    <w:p w:rsidR="00000000" w:rsidRDefault="00E52F77">
      <w:pPr>
        <w:pStyle w:val="a3"/>
        <w:spacing w:before="0" w:beforeAutospacing="0" w:after="0" w:afterAutospacing="0"/>
        <w:ind w:firstLine="720"/>
        <w:divId w:val="743576488"/>
        <w:rPr>
          <w:sz w:val="20"/>
          <w:szCs w:val="20"/>
        </w:rPr>
      </w:pPr>
      <w:r>
        <w:rPr>
          <w:sz w:val="20"/>
          <w:szCs w:val="20"/>
        </w:rPr>
        <w:t>We completed Phase 2, Part 1 a small sub-study of 25 patients intended to assess safety, PK and exploratory clinical measures of three doses of nezulcitinib versus placebo. Data showed that inhaled administration of nebulized nezulcit</w:t>
      </w:r>
      <w:r>
        <w:rPr>
          <w:sz w:val="20"/>
          <w:szCs w:val="20"/>
        </w:rPr>
        <w:t xml:space="preserve">inib, once daily over seven days, was generally well-tolerated and showed a numerical trend towards improved clinical status, </w:t>
      </w:r>
    </w:p>
    <w:p w:rsidR="00000000" w:rsidRDefault="00E52F77">
      <w:pPr>
        <w:pStyle w:val="a3"/>
        <w:spacing w:before="360" w:beforeAutospacing="0" w:after="0" w:afterAutospacing="0"/>
        <w:jc w:val="center"/>
        <w:divId w:val="745953637"/>
        <w:rPr>
          <w:sz w:val="20"/>
          <w:szCs w:val="20"/>
        </w:rPr>
      </w:pPr>
      <w:r>
        <w:rPr>
          <w:sz w:val="20"/>
          <w:szCs w:val="20"/>
        </w:rPr>
        <w:t>21</w:t>
      </w:r>
    </w:p>
    <w:p w:rsidR="00000000" w:rsidRDefault="00E52F77">
      <w:pPr>
        <w:pStyle w:val="a3"/>
        <w:spacing w:before="0" w:beforeAutospacing="0" w:after="600" w:afterAutospacing="0"/>
        <w:divId w:val="125318443"/>
        <w:rPr>
          <w:sz w:val="20"/>
          <w:szCs w:val="20"/>
        </w:rPr>
      </w:pPr>
      <w:hyperlink w:anchor="TOC" w:history="1">
        <w:r>
          <w:rPr>
            <w:rStyle w:val="a4"/>
            <w:sz w:val="20"/>
            <w:szCs w:val="20"/>
          </w:rPr>
          <w:t>Table of Contents</w:t>
        </w:r>
      </w:hyperlink>
    </w:p>
    <w:p w:rsidR="00000000" w:rsidRDefault="00E52F77">
      <w:pPr>
        <w:pStyle w:val="a3"/>
        <w:spacing w:before="0" w:beforeAutospacing="0" w:after="0" w:afterAutospacing="0"/>
        <w:divId w:val="1560433468"/>
        <w:rPr>
          <w:sz w:val="20"/>
          <w:szCs w:val="20"/>
        </w:rPr>
      </w:pPr>
      <w:r>
        <w:rPr>
          <w:sz w:val="20"/>
          <w:szCs w:val="20"/>
        </w:rPr>
        <w:t>reduced hospital stay and resulted in fewer deaths compared to placebo during a 28</w:t>
      </w:r>
      <w:r>
        <w:rPr>
          <w:sz w:val="20"/>
          <w:szCs w:val="20"/>
        </w:rPr>
        <w:t>-day observation period. Nezulcitinib also demonstrated evidence of improvements in several relevant inflammatory biomarkers and low systemic exposure at all doses. This demonstrates the lung-selective design features of the molecule.</w:t>
      </w:r>
    </w:p>
    <w:p w:rsidR="00000000" w:rsidRDefault="00E52F77">
      <w:pPr>
        <w:pStyle w:val="a3"/>
        <w:spacing w:before="0" w:beforeAutospacing="0" w:after="0" w:afterAutospacing="0"/>
        <w:ind w:firstLine="720"/>
        <w:divId w:val="1560433468"/>
        <w:rPr>
          <w:sz w:val="20"/>
          <w:szCs w:val="20"/>
        </w:rPr>
      </w:pPr>
      <w:r>
        <w:rPr>
          <w:sz w:val="20"/>
          <w:szCs w:val="20"/>
        </w:rPr>
        <w:t>​</w:t>
      </w:r>
    </w:p>
    <w:p w:rsidR="00000000" w:rsidRDefault="00E52F77">
      <w:pPr>
        <w:pStyle w:val="a3"/>
        <w:spacing w:before="0" w:beforeAutospacing="0" w:after="0" w:afterAutospacing="0"/>
        <w:ind w:firstLine="720"/>
        <w:divId w:val="1560433468"/>
        <w:rPr>
          <w:sz w:val="20"/>
          <w:szCs w:val="20"/>
        </w:rPr>
      </w:pPr>
      <w:r>
        <w:rPr>
          <w:sz w:val="20"/>
          <w:szCs w:val="20"/>
        </w:rPr>
        <w:t>Phase 2 Part 2 is a</w:t>
      </w:r>
      <w:r>
        <w:rPr>
          <w:sz w:val="20"/>
          <w:szCs w:val="20"/>
        </w:rPr>
        <w:t xml:space="preserve"> randomized, double-blind, parallel-group study evaluating efficacy and safety of one dose (3 mg) </w:t>
      </w:r>
    </w:p>
    <w:p w:rsidR="00000000" w:rsidRDefault="00E52F77">
      <w:pPr>
        <w:pStyle w:val="a3"/>
        <w:spacing w:before="0" w:beforeAutospacing="0" w:after="0" w:afterAutospacing="0"/>
        <w:divId w:val="1560433468"/>
        <w:rPr>
          <w:sz w:val="20"/>
          <w:szCs w:val="20"/>
        </w:rPr>
      </w:pPr>
      <w:r>
        <w:rPr>
          <w:sz w:val="20"/>
          <w:szCs w:val="20"/>
        </w:rPr>
        <w:t>of nezulcitinib (selected based on the data from Part 1) as compared with placebo in 200 patients. In June 2021, we announced</w:t>
      </w:r>
    </w:p>
    <w:p w:rsidR="00000000" w:rsidRDefault="00E52F77">
      <w:pPr>
        <w:pStyle w:val="a3"/>
        <w:spacing w:before="0" w:beforeAutospacing="0" w:after="0" w:afterAutospacing="0"/>
        <w:divId w:val="1560433468"/>
        <w:rPr>
          <w:sz w:val="20"/>
          <w:szCs w:val="20"/>
        </w:rPr>
      </w:pPr>
      <w:r>
        <w:rPr>
          <w:sz w:val="20"/>
          <w:szCs w:val="20"/>
        </w:rPr>
        <w:t>top-line results from our Phase</w:t>
      </w:r>
      <w:r>
        <w:rPr>
          <w:sz w:val="20"/>
          <w:szCs w:val="20"/>
        </w:rPr>
        <w:t xml:space="preserve"> 2 study of 3 mg once-daily nezulcitinib compared to placebo, each in combination with </w:t>
      </w:r>
    </w:p>
    <w:p w:rsidR="00000000" w:rsidRDefault="00E52F77">
      <w:pPr>
        <w:pStyle w:val="a3"/>
        <w:spacing w:before="0" w:beforeAutospacing="0" w:after="0" w:afterAutospacing="0"/>
        <w:divId w:val="1560433468"/>
        <w:rPr>
          <w:sz w:val="20"/>
          <w:szCs w:val="20"/>
        </w:rPr>
      </w:pPr>
      <w:r>
        <w:rPr>
          <w:sz w:val="20"/>
          <w:szCs w:val="20"/>
        </w:rPr>
        <w:t xml:space="preserve">standard of care, which generally included steroids. Nezulcitinib is an investigational, inhaled, lung-selective, pan-Janus </w:t>
      </w:r>
    </w:p>
    <w:p w:rsidR="00000000" w:rsidRDefault="00E52F77">
      <w:pPr>
        <w:pStyle w:val="a3"/>
        <w:spacing w:before="0" w:beforeAutospacing="0" w:after="0" w:afterAutospacing="0"/>
        <w:divId w:val="1560433468"/>
        <w:rPr>
          <w:sz w:val="20"/>
          <w:szCs w:val="20"/>
        </w:rPr>
      </w:pPr>
      <w:r>
        <w:rPr>
          <w:sz w:val="20"/>
          <w:szCs w:val="20"/>
        </w:rPr>
        <w:t>kinase inhibitor in development for hospita</w:t>
      </w:r>
      <w:r>
        <w:rPr>
          <w:sz w:val="20"/>
          <w:szCs w:val="20"/>
        </w:rPr>
        <w:t xml:space="preserve">lized patients with confirmed COVID-19 associated acute lung injury and </w:t>
      </w:r>
    </w:p>
    <w:p w:rsidR="00000000" w:rsidRDefault="00E52F77">
      <w:pPr>
        <w:pStyle w:val="a3"/>
        <w:spacing w:before="0" w:beforeAutospacing="0" w:after="0" w:afterAutospacing="0"/>
        <w:divId w:val="1560433468"/>
        <w:rPr>
          <w:sz w:val="20"/>
          <w:szCs w:val="20"/>
        </w:rPr>
      </w:pPr>
      <w:r>
        <w:rPr>
          <w:sz w:val="20"/>
          <w:szCs w:val="20"/>
        </w:rPr>
        <w:t>impaired oxygenation. The study did not meet the primary endpoint of number of Respiratory Failure-Free Days from randomization through Day 28 in the intent-to-treat population. The s</w:t>
      </w:r>
      <w:r>
        <w:rPr>
          <w:sz w:val="20"/>
          <w:szCs w:val="20"/>
        </w:rPr>
        <w:t>tudy also did not meet secondary endpoints, with no difference shown in change from baseline at Day 7 in SaO</w:t>
      </w:r>
      <w:r>
        <w:rPr>
          <w:sz w:val="15"/>
          <w:szCs w:val="15"/>
          <w:vertAlign w:val="subscript"/>
        </w:rPr>
        <w:t>2</w:t>
      </w:r>
      <w:r>
        <w:rPr>
          <w:sz w:val="20"/>
          <w:szCs w:val="20"/>
        </w:rPr>
        <w:t>/FiO</w:t>
      </w:r>
      <w:r>
        <w:rPr>
          <w:sz w:val="15"/>
          <w:szCs w:val="15"/>
          <w:vertAlign w:val="subscript"/>
        </w:rPr>
        <w:t>2</w:t>
      </w:r>
      <w:r>
        <w:rPr>
          <w:sz w:val="20"/>
          <w:szCs w:val="20"/>
        </w:rPr>
        <w:t xml:space="preserve"> ratio, proportion of patients in each category of the </w:t>
      </w:r>
    </w:p>
    <w:p w:rsidR="00000000" w:rsidRDefault="00E52F77">
      <w:pPr>
        <w:pStyle w:val="a3"/>
        <w:spacing w:before="0" w:beforeAutospacing="0" w:after="0" w:afterAutospacing="0"/>
        <w:divId w:val="1560433468"/>
        <w:rPr>
          <w:sz w:val="20"/>
          <w:szCs w:val="20"/>
        </w:rPr>
      </w:pPr>
      <w:r>
        <w:rPr>
          <w:sz w:val="20"/>
          <w:szCs w:val="20"/>
        </w:rPr>
        <w:t>eight-point Clinical Status scale, or proportion of patients alive and respiratory fai</w:t>
      </w:r>
      <w:r>
        <w:rPr>
          <w:sz w:val="20"/>
          <w:szCs w:val="20"/>
        </w:rPr>
        <w:t xml:space="preserve">lure-free at Day 28. However, nezulcitinib demonstrated a favorable trend in improvement when compared to placebo for 28-day all-cause mortality. In addition, in a </w:t>
      </w:r>
    </w:p>
    <w:p w:rsidR="00000000" w:rsidRDefault="00E52F77">
      <w:pPr>
        <w:pStyle w:val="a3"/>
        <w:spacing w:before="0" w:beforeAutospacing="0" w:after="0" w:afterAutospacing="0"/>
        <w:divId w:val="1560433468"/>
        <w:rPr>
          <w:sz w:val="20"/>
          <w:szCs w:val="20"/>
        </w:rPr>
      </w:pPr>
      <w:r>
        <w:rPr>
          <w:sz w:val="20"/>
          <w:szCs w:val="20"/>
        </w:rPr>
        <w:t>post-hoc analysis of patients with C-reactive protein (“CRP”) &lt;150 mg/L, there was an impro</w:t>
      </w:r>
      <w:r>
        <w:rPr>
          <w:sz w:val="20"/>
          <w:szCs w:val="20"/>
        </w:rPr>
        <w:t>vement in those treated with nezulcitinib when compared to placebo in 28-day all-cause mortality and in time to recovery while there was no difference in these outcomes in patients with CRP &gt;150 mg/L. Nezulcitinib was generally well-tolerated.</w:t>
      </w:r>
    </w:p>
    <w:p w:rsidR="00000000" w:rsidRDefault="00E52F77">
      <w:pPr>
        <w:pStyle w:val="a3"/>
        <w:spacing w:before="0" w:beforeAutospacing="0" w:after="0" w:afterAutospacing="0"/>
        <w:ind w:firstLine="720"/>
        <w:divId w:val="1560433468"/>
        <w:rPr>
          <w:sz w:val="20"/>
          <w:szCs w:val="20"/>
        </w:rPr>
      </w:pPr>
      <w:r>
        <w:rPr>
          <w:b/>
          <w:bCs/>
          <w:i/>
          <w:iCs/>
          <w:sz w:val="20"/>
          <w:szCs w:val="20"/>
        </w:rPr>
        <w:t>​</w:t>
      </w:r>
    </w:p>
    <w:p w:rsidR="00000000" w:rsidRDefault="00E52F77">
      <w:pPr>
        <w:pStyle w:val="a3"/>
        <w:spacing w:before="0" w:beforeAutospacing="0" w:after="0" w:afterAutospacing="0"/>
        <w:divId w:val="1560433468"/>
        <w:rPr>
          <w:sz w:val="20"/>
          <w:szCs w:val="20"/>
        </w:rPr>
      </w:pPr>
      <w:r>
        <w:rPr>
          <w:b/>
          <w:bCs/>
          <w:i/>
          <w:iCs/>
          <w:sz w:val="20"/>
          <w:szCs w:val="20"/>
        </w:rPr>
        <w:t>Ampreloxet</w:t>
      </w:r>
      <w:r>
        <w:rPr>
          <w:b/>
          <w:bCs/>
          <w:i/>
          <w:iCs/>
          <w:sz w:val="20"/>
          <w:szCs w:val="20"/>
        </w:rPr>
        <w:t>ine (TD-9855)</w:t>
      </w:r>
    </w:p>
    <w:p w:rsidR="00000000" w:rsidRDefault="00E52F77">
      <w:pPr>
        <w:pStyle w:val="a3"/>
        <w:spacing w:before="0" w:beforeAutospacing="0" w:after="0" w:afterAutospacing="0"/>
        <w:divId w:val="1560433468"/>
        <w:rPr>
          <w:sz w:val="20"/>
          <w:szCs w:val="20"/>
        </w:rPr>
      </w:pPr>
      <w:r>
        <w:rPr>
          <w:b/>
          <w:bCs/>
          <w:sz w:val="10"/>
          <w:szCs w:val="10"/>
        </w:rPr>
        <w:t>​</w:t>
      </w:r>
    </w:p>
    <w:p w:rsidR="00000000" w:rsidRDefault="00E52F77">
      <w:pPr>
        <w:pStyle w:val="a3"/>
        <w:spacing w:before="0" w:beforeAutospacing="0" w:after="0" w:afterAutospacing="0"/>
        <w:ind w:firstLine="720"/>
        <w:divId w:val="1560433468"/>
        <w:rPr>
          <w:sz w:val="20"/>
          <w:szCs w:val="20"/>
        </w:rPr>
      </w:pPr>
      <w:r>
        <w:rPr>
          <w:sz w:val="20"/>
          <w:szCs w:val="20"/>
        </w:rPr>
        <w:t>Ampreloxetine is an investigational, once-daily norepinephrine reuptake inhibitor (“NRI”</w:t>
      </w:r>
      <w:r>
        <w:rPr>
          <w:sz w:val="20"/>
          <w:szCs w:val="20"/>
        </w:rPr>
        <w:t>) being developed for the treatment of patients with symptomatic neurogenic orthostatic hypotension (“nOH”). nOH is caused by primary autonomic failure conditions, including multiple system atrophy, Parkinson’s disease and pure autonomic failure. The compo</w:t>
      </w:r>
      <w:r>
        <w:rPr>
          <w:sz w:val="20"/>
          <w:szCs w:val="20"/>
        </w:rPr>
        <w:t>und has high affinity for binding to norepinephrine transporters. By blocking the action of these transporters, ampreloxetine causes an increase in extracellular concentrations of norepinephrine. Ampreloxetine is wholly owned by Theravance Biopharma.</w:t>
      </w:r>
    </w:p>
    <w:p w:rsidR="00000000" w:rsidRDefault="00E52F77">
      <w:pPr>
        <w:pStyle w:val="a3"/>
        <w:spacing w:before="0" w:beforeAutospacing="0" w:after="0" w:afterAutospacing="0"/>
        <w:divId w:val="1560433468"/>
        <w:rPr>
          <w:sz w:val="20"/>
          <w:szCs w:val="20"/>
        </w:rPr>
      </w:pPr>
      <w:r>
        <w:rPr>
          <w:sz w:val="20"/>
          <w:szCs w:val="20"/>
        </w:rPr>
        <w:t>​</w:t>
      </w:r>
    </w:p>
    <w:p w:rsidR="00000000" w:rsidRDefault="00E52F77">
      <w:pPr>
        <w:pStyle w:val="a3"/>
        <w:spacing w:before="0" w:beforeAutospacing="0" w:after="0" w:afterAutospacing="0"/>
        <w:ind w:firstLine="720"/>
        <w:divId w:val="1560433468"/>
        <w:rPr>
          <w:sz w:val="20"/>
          <w:szCs w:val="20"/>
        </w:rPr>
      </w:pPr>
      <w:r>
        <w:rPr>
          <w:sz w:val="20"/>
          <w:szCs w:val="20"/>
        </w:rPr>
        <w:t>Bas</w:t>
      </w:r>
      <w:r>
        <w:rPr>
          <w:sz w:val="20"/>
          <w:szCs w:val="20"/>
        </w:rPr>
        <w:t>ed on positive top-line four-week results from a small exploratory Phase 2 study in nOH and discussions with the FDA, we advanced ampreloxetine into a Phase 3 program. The Phase 3 program includes two pivotal studies and one non-pivotal study. The first pi</w:t>
      </w:r>
      <w:r>
        <w:rPr>
          <w:sz w:val="20"/>
          <w:szCs w:val="20"/>
        </w:rPr>
        <w:t>votal study (SEQUOIA) is a four-week, randomized double-blind, placebo-controlled study designed to evaluate the efficacy and safety of ampreloxetine in patients with symptomatic nOH. The second pivotal study (REDWOOD) is a four-month open label study foll</w:t>
      </w:r>
      <w:r>
        <w:rPr>
          <w:sz w:val="20"/>
          <w:szCs w:val="20"/>
        </w:rPr>
        <w:t>owed by a six-week randomized withdrawal phase to evaluate the durability of patient response of ampreloxetine. We announced the initiation of patient dosing in each Phase 3 pivotal study in early 2019. The third, non-pivotal study (OAK), allows patients w</w:t>
      </w:r>
      <w:r>
        <w:rPr>
          <w:sz w:val="20"/>
          <w:szCs w:val="20"/>
        </w:rPr>
        <w:t xml:space="preserve">ho completed REDWOOD to have continued access to ampreloxetine for up to three and half years and enables the Company to collect safety and tolerability data throughout treatment. As described above and in </w:t>
      </w:r>
      <w:r>
        <w:rPr>
          <w:i/>
          <w:iCs/>
          <w:sz w:val="20"/>
          <w:szCs w:val="20"/>
        </w:rPr>
        <w:t>Item 1A. Risk Factors</w:t>
      </w:r>
      <w:r>
        <w:rPr>
          <w:sz w:val="20"/>
          <w:szCs w:val="20"/>
        </w:rPr>
        <w:t>, the COVID-19 pandemic has i</w:t>
      </w:r>
      <w:r>
        <w:rPr>
          <w:sz w:val="20"/>
          <w:szCs w:val="20"/>
        </w:rPr>
        <w:t xml:space="preserve">mpacted the timeline for our clinical trials. In recognition of the increasing range of barriers presented by the ongoing pandemic to the ability of patients to travel to sites and access medicines, we worked with global health authorities to decentralize </w:t>
      </w:r>
      <w:r>
        <w:rPr>
          <w:sz w:val="20"/>
          <w:szCs w:val="20"/>
        </w:rPr>
        <w:t>the Phase 3 studies in the ampreloxetine program. The decentralized approach is now active across the ampreloxetine Phase 3 program globally in an effort to overcome the challenges patients face regarding travel, healthcare access and participation in clin</w:t>
      </w:r>
      <w:r>
        <w:rPr>
          <w:sz w:val="20"/>
          <w:szCs w:val="20"/>
        </w:rPr>
        <w:t>ical trials. We expect to report results from the SEQUOIA study</w:t>
      </w:r>
      <w:r>
        <w:rPr>
          <w:color w:val="FF0000"/>
          <w:sz w:val="20"/>
          <w:szCs w:val="20"/>
        </w:rPr>
        <w:t xml:space="preserve"> </w:t>
      </w:r>
      <w:r>
        <w:rPr>
          <w:sz w:val="20"/>
          <w:szCs w:val="20"/>
        </w:rPr>
        <w:t>in the third quarter of 2021.</w:t>
      </w:r>
    </w:p>
    <w:p w:rsidR="00000000" w:rsidRDefault="00E52F77">
      <w:pPr>
        <w:pStyle w:val="a3"/>
        <w:spacing w:before="0" w:beforeAutospacing="0" w:after="0" w:afterAutospacing="0"/>
        <w:ind w:firstLine="720"/>
        <w:divId w:val="1560433468"/>
        <w:rPr>
          <w:sz w:val="20"/>
          <w:szCs w:val="20"/>
        </w:rPr>
      </w:pPr>
      <w:r>
        <w:rPr>
          <w:sz w:val="20"/>
          <w:szCs w:val="20"/>
        </w:rPr>
        <w:t>​</w:t>
      </w:r>
    </w:p>
    <w:p w:rsidR="00000000" w:rsidRDefault="00E52F77">
      <w:pPr>
        <w:pStyle w:val="a3"/>
        <w:spacing w:before="0" w:beforeAutospacing="0" w:after="0" w:afterAutospacing="0"/>
        <w:divId w:val="1560433468"/>
        <w:rPr>
          <w:sz w:val="20"/>
          <w:szCs w:val="20"/>
        </w:rPr>
      </w:pPr>
      <w:r>
        <w:rPr>
          <w:b/>
          <w:bCs/>
          <w:i/>
          <w:iCs/>
          <w:sz w:val="20"/>
          <w:szCs w:val="20"/>
        </w:rPr>
        <w:t xml:space="preserve">Gut-selective Pan-JAK Inhibitor Program (Izencitinib) </w:t>
      </w:r>
    </w:p>
    <w:p w:rsidR="00000000" w:rsidRDefault="00E52F77">
      <w:pPr>
        <w:pStyle w:val="a3"/>
        <w:spacing w:before="0" w:beforeAutospacing="0" w:after="0" w:afterAutospacing="0"/>
        <w:divId w:val="1560433468"/>
        <w:rPr>
          <w:sz w:val="20"/>
          <w:szCs w:val="20"/>
        </w:rPr>
      </w:pPr>
      <w:r>
        <w:rPr>
          <w:b/>
          <w:bCs/>
          <w:sz w:val="10"/>
          <w:szCs w:val="10"/>
        </w:rPr>
        <w:t>​</w:t>
      </w:r>
    </w:p>
    <w:p w:rsidR="00000000" w:rsidRDefault="00E52F77">
      <w:pPr>
        <w:pStyle w:val="a3"/>
        <w:spacing w:before="0" w:beforeAutospacing="0" w:after="0" w:afterAutospacing="0"/>
        <w:ind w:firstLine="720"/>
        <w:divId w:val="1560433468"/>
        <w:rPr>
          <w:sz w:val="20"/>
          <w:szCs w:val="20"/>
        </w:rPr>
      </w:pPr>
      <w:r>
        <w:rPr>
          <w:sz w:val="20"/>
          <w:szCs w:val="20"/>
        </w:rPr>
        <w:t>JAK inhibitors function by inhibiting the activity of one or more of the Janus kinase family of enzymes</w:t>
      </w:r>
      <w:r>
        <w:rPr>
          <w:sz w:val="20"/>
          <w:szCs w:val="20"/>
        </w:rPr>
        <w:t xml:space="preserve"> (JAK1, JAK2, JAK3, TYK2) that play a key role in cytokine signaling. Inhibiting these JAK enzymes interferes with the JAK/STAT signaling pathway and, in turn, modulates the activity of a wide range of pro-inflammatory cytokines. JAK inhibitors are current</w:t>
      </w:r>
      <w:r>
        <w:rPr>
          <w:sz w:val="20"/>
          <w:szCs w:val="20"/>
        </w:rPr>
        <w:t>ly approved for the treatment of rheumatoid arthritis, myelofibrosis, and ulcerative colitis and have demonstrated therapeutic benefit for patients with Crohn’s disease. However, these products are known to have side effects based on their systemic exposur</w:t>
      </w:r>
      <w:r>
        <w:rPr>
          <w:sz w:val="20"/>
          <w:szCs w:val="20"/>
        </w:rPr>
        <w:t>e. With izencitinib, our goal is to develop an orally administered, gut-selective pan-JAK inhibitor specifically designed to distribute adequately and predominantly to the tissues of the intestinal tract, treating inflammation in those tissues while minimi</w:t>
      </w:r>
      <w:r>
        <w:rPr>
          <w:sz w:val="20"/>
          <w:szCs w:val="20"/>
        </w:rPr>
        <w:t xml:space="preserve">zing systemic exposure. We believe izencitinib could be a potential treatment for a range of inflammatory intestinal diseases, and it is currently in development for the treatment of ulcerative colitis and Crohn’s disease. </w:t>
      </w:r>
    </w:p>
    <w:p w:rsidR="00000000" w:rsidRDefault="00E52F77">
      <w:pPr>
        <w:pStyle w:val="a3"/>
        <w:spacing w:before="0" w:beforeAutospacing="0" w:after="0" w:afterAutospacing="0"/>
        <w:ind w:firstLine="720"/>
        <w:divId w:val="1560433468"/>
        <w:rPr>
          <w:sz w:val="20"/>
          <w:szCs w:val="20"/>
        </w:rPr>
      </w:pPr>
      <w:r>
        <w:rPr>
          <w:sz w:val="20"/>
          <w:szCs w:val="20"/>
        </w:rPr>
        <w:t>​</w:t>
      </w:r>
    </w:p>
    <w:p w:rsidR="00000000" w:rsidRDefault="00E52F77">
      <w:pPr>
        <w:pStyle w:val="a3"/>
        <w:spacing w:before="0" w:beforeAutospacing="0" w:after="0" w:afterAutospacing="0"/>
        <w:ind w:firstLine="720"/>
        <w:divId w:val="1560433468"/>
        <w:rPr>
          <w:sz w:val="20"/>
          <w:szCs w:val="20"/>
        </w:rPr>
      </w:pPr>
      <w:r>
        <w:rPr>
          <w:sz w:val="20"/>
          <w:szCs w:val="20"/>
        </w:rPr>
        <w:t>Based on positive results from</w:t>
      </w:r>
      <w:r>
        <w:rPr>
          <w:sz w:val="20"/>
          <w:szCs w:val="20"/>
        </w:rPr>
        <w:t xml:space="preserve"> a Phase 1b exploratory study in ulcerative colitis and following dialogues with the FDA and European Medicines Agency (“EMA”) regarding study design, we advanced izencitinib into two clinical studies in </w:t>
      </w:r>
    </w:p>
    <w:p w:rsidR="00000000" w:rsidRDefault="00E52F77">
      <w:pPr>
        <w:pStyle w:val="a3"/>
        <w:spacing w:before="360" w:beforeAutospacing="0" w:after="0" w:afterAutospacing="0"/>
        <w:jc w:val="center"/>
        <w:divId w:val="1026100865"/>
        <w:rPr>
          <w:sz w:val="20"/>
          <w:szCs w:val="20"/>
        </w:rPr>
      </w:pPr>
      <w:r>
        <w:rPr>
          <w:sz w:val="20"/>
          <w:szCs w:val="20"/>
        </w:rPr>
        <w:t>22</w:t>
      </w:r>
    </w:p>
    <w:p w:rsidR="00000000" w:rsidRDefault="00E52F77">
      <w:pPr>
        <w:pStyle w:val="a3"/>
        <w:spacing w:before="0" w:beforeAutospacing="0" w:after="600" w:afterAutospacing="0"/>
        <w:divId w:val="1793477736"/>
        <w:rPr>
          <w:sz w:val="20"/>
          <w:szCs w:val="20"/>
        </w:rPr>
      </w:pPr>
      <w:hyperlink w:anchor="TOC" w:history="1">
        <w:r>
          <w:rPr>
            <w:rStyle w:val="a4"/>
            <w:sz w:val="20"/>
            <w:szCs w:val="20"/>
          </w:rPr>
          <w:t>Table of Contents</w:t>
        </w:r>
      </w:hyperlink>
    </w:p>
    <w:p w:rsidR="00000000" w:rsidRDefault="00E52F77">
      <w:pPr>
        <w:pStyle w:val="a3"/>
        <w:spacing w:before="0" w:beforeAutospacing="0" w:after="0" w:afterAutospacing="0"/>
        <w:divId w:val="1454515561"/>
        <w:rPr>
          <w:sz w:val="20"/>
          <w:szCs w:val="20"/>
        </w:rPr>
      </w:pPr>
      <w:r>
        <w:rPr>
          <w:sz w:val="20"/>
          <w:szCs w:val="20"/>
        </w:rPr>
        <w:t>infl</w:t>
      </w:r>
      <w:r>
        <w:rPr>
          <w:sz w:val="20"/>
          <w:szCs w:val="20"/>
        </w:rPr>
        <w:t>ammatory intestinal diseases. The Phase 2 (DIONE) study is a twelve-week randomized, double-blind, placebo-controlled study designed to evaluate the efficacy and safety of patients with Crohn’s disease, which began dosing patients in late 2018. The Phase 2</w:t>
      </w:r>
      <w:r>
        <w:rPr>
          <w:sz w:val="20"/>
          <w:szCs w:val="20"/>
        </w:rPr>
        <w:t>b/3 (RHEA) study is a randomized, double-blind, placebo-controlled study to evaluate the efficacy and safety of eight weeks induction and 44 weeks maintenance therapy in patients with ulcerative colitis, which began dosing patients in early 2019. As descri</w:t>
      </w:r>
      <w:r>
        <w:rPr>
          <w:sz w:val="20"/>
          <w:szCs w:val="20"/>
        </w:rPr>
        <w:t xml:space="preserve">bed above and in </w:t>
      </w:r>
      <w:r>
        <w:rPr>
          <w:i/>
          <w:iCs/>
          <w:sz w:val="20"/>
          <w:szCs w:val="20"/>
        </w:rPr>
        <w:t>Item 1A. Risk Factors,</w:t>
      </w:r>
      <w:r>
        <w:rPr>
          <w:sz w:val="20"/>
          <w:szCs w:val="20"/>
        </w:rPr>
        <w:t xml:space="preserve"> the COVID-19 pandemic has impacted the timeline for our clinical trials. In addition, we have experienced recruitment challenges in the Phase 2 Crohn’s disease study. We expect to report results from the Phase 2b por</w:t>
      </w:r>
      <w:r>
        <w:rPr>
          <w:sz w:val="20"/>
          <w:szCs w:val="20"/>
        </w:rPr>
        <w:t>tion of the ulcerative colitis study in the third quarter of 2021 and from the Phase 2 Crohn’s disease study in the late fourth quarter of 2021 or the early first quarter of 2022.</w:t>
      </w:r>
    </w:p>
    <w:p w:rsidR="00000000" w:rsidRDefault="00E52F77">
      <w:pPr>
        <w:pStyle w:val="a3"/>
        <w:spacing w:before="0" w:beforeAutospacing="0" w:after="0" w:afterAutospacing="0"/>
        <w:ind w:firstLine="720"/>
        <w:divId w:val="1454515561"/>
        <w:rPr>
          <w:sz w:val="20"/>
          <w:szCs w:val="20"/>
        </w:rPr>
      </w:pPr>
      <w:r>
        <w:rPr>
          <w:sz w:val="20"/>
          <w:szCs w:val="20"/>
        </w:rPr>
        <w:t>​</w:t>
      </w:r>
    </w:p>
    <w:p w:rsidR="00000000" w:rsidRDefault="00E52F77">
      <w:pPr>
        <w:pStyle w:val="a3"/>
        <w:spacing w:before="0" w:beforeAutospacing="0" w:after="0" w:afterAutospacing="0"/>
        <w:divId w:val="1454515561"/>
        <w:rPr>
          <w:sz w:val="20"/>
          <w:szCs w:val="20"/>
        </w:rPr>
      </w:pPr>
      <w:r>
        <w:rPr>
          <w:b/>
          <w:bCs/>
          <w:i/>
          <w:iCs/>
          <w:sz w:val="20"/>
          <w:szCs w:val="20"/>
        </w:rPr>
        <w:t>Irreversible JAK3 Inhibitor (TD-5202)</w:t>
      </w:r>
    </w:p>
    <w:p w:rsidR="00000000" w:rsidRDefault="00E52F77">
      <w:pPr>
        <w:pStyle w:val="a3"/>
        <w:spacing w:before="0" w:beforeAutospacing="0" w:after="0" w:afterAutospacing="0"/>
        <w:divId w:val="1454515561"/>
        <w:rPr>
          <w:sz w:val="20"/>
          <w:szCs w:val="20"/>
        </w:rPr>
      </w:pPr>
      <w:r>
        <w:rPr>
          <w:b/>
          <w:bCs/>
          <w:i/>
          <w:iCs/>
          <w:sz w:val="10"/>
          <w:szCs w:val="10"/>
        </w:rPr>
        <w:t>​</w:t>
      </w:r>
    </w:p>
    <w:p w:rsidR="00000000" w:rsidRDefault="00E52F77">
      <w:pPr>
        <w:pStyle w:val="a3"/>
        <w:spacing w:before="0" w:beforeAutospacing="0" w:after="0" w:afterAutospacing="0"/>
        <w:divId w:val="1454515561"/>
        <w:rPr>
          <w:sz w:val="20"/>
          <w:szCs w:val="20"/>
        </w:rPr>
      </w:pPr>
      <w:r>
        <w:rPr>
          <w:sz w:val="20"/>
          <w:szCs w:val="20"/>
        </w:rPr>
        <w:t>TD-5202 is an investigational, ora</w:t>
      </w:r>
      <w:r>
        <w:rPr>
          <w:sz w:val="20"/>
          <w:szCs w:val="20"/>
        </w:rPr>
        <w:t>lly administered, gut-selective, irreversible JAK3 inhibitor that has demonstrated a high affinity for the JAK3 enzyme. Through the selective inhibition of JAK3, TD-5202 interferes with the JAK/STAT signaling pathway and, in turn, modulates the activity of</w:t>
      </w:r>
      <w:r>
        <w:rPr>
          <w:sz w:val="20"/>
          <w:szCs w:val="20"/>
        </w:rPr>
        <w:t xml:space="preserve"> select pro-inflammatory cytokines, including IL-2, IL-15, and IL-21 which play a central role in the pathogenesis of T-cell mediated disease, including inflammatory intestinal disease, such as celiac disease. Importantly, TD-5202 is specifically designed </w:t>
      </w:r>
      <w:r>
        <w:rPr>
          <w:sz w:val="20"/>
          <w:szCs w:val="20"/>
        </w:rPr>
        <w:t>to act locally within the intestinal wall thereby limiting systemic exposure.</w:t>
      </w:r>
      <w:r>
        <w:rPr>
          <w:sz w:val="20"/>
          <w:szCs w:val="20"/>
        </w:rPr>
        <w:t xml:space="preserve"> </w:t>
      </w:r>
    </w:p>
    <w:p w:rsidR="00000000" w:rsidRDefault="00E52F77">
      <w:pPr>
        <w:pStyle w:val="a3"/>
        <w:spacing w:before="0" w:beforeAutospacing="0" w:after="0" w:afterAutospacing="0"/>
        <w:divId w:val="1454515561"/>
        <w:rPr>
          <w:sz w:val="20"/>
          <w:szCs w:val="20"/>
        </w:rPr>
      </w:pPr>
      <w:r>
        <w:rPr>
          <w:sz w:val="20"/>
          <w:szCs w:val="20"/>
        </w:rPr>
        <w:t>​</w:t>
      </w:r>
    </w:p>
    <w:p w:rsidR="00000000" w:rsidRDefault="00E52F77">
      <w:pPr>
        <w:pStyle w:val="a3"/>
        <w:spacing w:before="0" w:beforeAutospacing="0" w:after="0" w:afterAutospacing="0"/>
        <w:divId w:val="1454515561"/>
        <w:rPr>
          <w:sz w:val="20"/>
          <w:szCs w:val="20"/>
        </w:rPr>
      </w:pPr>
      <w:r>
        <w:rPr>
          <w:sz w:val="20"/>
          <w:szCs w:val="20"/>
        </w:rPr>
        <w:t>In September 2019, we announced the initiation of a Phase 1 single ascending dose and multiple ascending dose trial designed to evaluate the safety and tolerability of TD-5202</w:t>
      </w:r>
      <w:r>
        <w:rPr>
          <w:sz w:val="20"/>
          <w:szCs w:val="20"/>
        </w:rPr>
        <w:t xml:space="preserve"> in healthy participants, plus assess plasma pharmacokinetics of TD-5202 to confirm circulating levels are low, consistent with a gut-selective approach. In February 2020, we announced that data from the Phase 1 study indicated that TD-5202 was generally w</w:t>
      </w:r>
      <w:r>
        <w:rPr>
          <w:sz w:val="20"/>
          <w:szCs w:val="20"/>
        </w:rPr>
        <w:t xml:space="preserve">ell tolerated as a single oral dose up to 2000 milligrams and as a twice-daily oral dose up 2000 milligrams total per day given for ten consecutive days in healthy participants. </w:t>
      </w:r>
    </w:p>
    <w:p w:rsidR="00000000" w:rsidRDefault="00E52F77">
      <w:pPr>
        <w:pStyle w:val="a3"/>
        <w:spacing w:before="0" w:beforeAutospacing="0" w:after="0" w:afterAutospacing="0"/>
        <w:divId w:val="1454515561"/>
        <w:rPr>
          <w:sz w:val="20"/>
          <w:szCs w:val="20"/>
        </w:rPr>
      </w:pPr>
      <w:r>
        <w:rPr>
          <w:sz w:val="20"/>
          <w:szCs w:val="20"/>
        </w:rPr>
        <w:t>​</w:t>
      </w:r>
    </w:p>
    <w:p w:rsidR="00000000" w:rsidRDefault="00E52F77">
      <w:pPr>
        <w:pStyle w:val="a3"/>
        <w:spacing w:before="0" w:beforeAutospacing="0" w:after="0" w:afterAutospacing="0"/>
        <w:divId w:val="1454515561"/>
        <w:rPr>
          <w:sz w:val="20"/>
          <w:szCs w:val="20"/>
        </w:rPr>
      </w:pPr>
      <w:r>
        <w:rPr>
          <w:sz w:val="20"/>
          <w:szCs w:val="20"/>
        </w:rPr>
        <w:t xml:space="preserve">We are developing izencitinib and TD-5202 in collaboration with Janssen as </w:t>
      </w:r>
      <w:r>
        <w:rPr>
          <w:sz w:val="20"/>
          <w:szCs w:val="20"/>
        </w:rPr>
        <w:t xml:space="preserve">part of the companies’ global co-development and commercialization agreement for novel, gut-selective JAK inhibitors. </w:t>
      </w:r>
    </w:p>
    <w:p w:rsidR="00000000" w:rsidRDefault="00E52F77">
      <w:pPr>
        <w:pStyle w:val="a3"/>
        <w:spacing w:before="0" w:beforeAutospacing="0" w:after="0" w:afterAutospacing="0"/>
        <w:divId w:val="1454515561"/>
        <w:rPr>
          <w:sz w:val="20"/>
          <w:szCs w:val="20"/>
        </w:rPr>
      </w:pPr>
      <w:r>
        <w:rPr>
          <w:sz w:val="20"/>
          <w:szCs w:val="20"/>
        </w:rPr>
        <w:t>​</w:t>
      </w:r>
    </w:p>
    <w:p w:rsidR="00000000" w:rsidRDefault="00E52F77">
      <w:pPr>
        <w:pStyle w:val="a3"/>
        <w:spacing w:before="0" w:beforeAutospacing="0" w:after="0" w:afterAutospacing="0"/>
        <w:divId w:val="1454515561"/>
        <w:rPr>
          <w:sz w:val="20"/>
          <w:szCs w:val="20"/>
        </w:rPr>
      </w:pPr>
      <w:r>
        <w:rPr>
          <w:i/>
          <w:iCs/>
          <w:sz w:val="20"/>
          <w:szCs w:val="20"/>
        </w:rPr>
        <w:t>Janssen Biotech Collaboration</w:t>
      </w:r>
    </w:p>
    <w:p w:rsidR="00000000" w:rsidRDefault="00E52F77">
      <w:pPr>
        <w:pStyle w:val="a3"/>
        <w:spacing w:before="0" w:beforeAutospacing="0" w:after="0" w:afterAutospacing="0"/>
        <w:divId w:val="1454515561"/>
        <w:rPr>
          <w:sz w:val="20"/>
          <w:szCs w:val="20"/>
        </w:rPr>
      </w:pPr>
      <w:r>
        <w:rPr>
          <w:i/>
          <w:iCs/>
          <w:sz w:val="10"/>
          <w:szCs w:val="10"/>
        </w:rPr>
        <w:t>​</w:t>
      </w:r>
    </w:p>
    <w:p w:rsidR="00000000" w:rsidRDefault="00E52F77">
      <w:pPr>
        <w:pStyle w:val="a3"/>
        <w:spacing w:before="0" w:beforeAutospacing="0" w:after="0" w:afterAutospacing="0"/>
        <w:ind w:firstLine="720"/>
        <w:divId w:val="1454515561"/>
        <w:rPr>
          <w:sz w:val="20"/>
          <w:szCs w:val="20"/>
        </w:rPr>
      </w:pPr>
      <w:r>
        <w:rPr>
          <w:sz w:val="20"/>
          <w:szCs w:val="20"/>
        </w:rPr>
        <w:t>In February 2018, we announced a global co-development and commercialization agreement with Janssen for</w:t>
      </w:r>
      <w:r>
        <w:rPr>
          <w:sz w:val="20"/>
          <w:szCs w:val="20"/>
        </w:rPr>
        <w:t xml:space="preserve"> izencitinib and related back-up compounds for inflammatory intestinal diseases, including ulcerative colitis and Crohn's disease. Under the terms of the agreement, we received an upfront payment of $100.0 million and will be eligible to receive up to an a</w:t>
      </w:r>
      <w:r>
        <w:rPr>
          <w:sz w:val="20"/>
          <w:szCs w:val="20"/>
        </w:rPr>
        <w:t xml:space="preserve">dditional $900.0 million in potential payments, inclusive of a potential opt-in payment following completion of the Phase 2 Crohn’s disease study and the Phase 2b induction portion of the ulcerative colitis study. At that time, Janssen can elect to obtain </w:t>
      </w:r>
      <w:r>
        <w:rPr>
          <w:sz w:val="20"/>
          <w:szCs w:val="20"/>
        </w:rPr>
        <w:t>an exclusive license to develop and commercialize izencitinib and certain related compounds by paying us a fee of $200.0 million. Upon such election, we and Janssen will jointly develop and commercialize izencitinib in inflammatory intestinal diseases, and</w:t>
      </w:r>
      <w:r>
        <w:rPr>
          <w:sz w:val="20"/>
          <w:szCs w:val="20"/>
        </w:rPr>
        <w:t xml:space="preserve"> we and Janssen will share profits and losses in the US and expenses related to a potential Phase 3 program (67% to Janssen; 33% to Theravance Biopharma). In addition, we would receive royalties on ex-US sales at double-digit tiered percentage royalty rate</w:t>
      </w:r>
      <w:r>
        <w:rPr>
          <w:sz w:val="20"/>
          <w:szCs w:val="20"/>
        </w:rPr>
        <w:t>s.</w:t>
      </w:r>
    </w:p>
    <w:p w:rsidR="00000000" w:rsidRDefault="00E52F77">
      <w:pPr>
        <w:pStyle w:val="a3"/>
        <w:spacing w:before="0" w:beforeAutospacing="0" w:after="0" w:afterAutospacing="0"/>
        <w:ind w:firstLine="720"/>
        <w:divId w:val="1454515561"/>
        <w:rPr>
          <w:sz w:val="20"/>
          <w:szCs w:val="20"/>
        </w:rPr>
      </w:pPr>
      <w:r>
        <w:rPr>
          <w:sz w:val="20"/>
          <w:szCs w:val="20"/>
        </w:rPr>
        <w:t>​</w:t>
      </w:r>
    </w:p>
    <w:p w:rsidR="00000000" w:rsidRDefault="00E52F77">
      <w:pPr>
        <w:pStyle w:val="a3"/>
        <w:spacing w:before="0" w:beforeAutospacing="0" w:after="0" w:afterAutospacing="0"/>
        <w:ind w:firstLine="720"/>
        <w:divId w:val="1454515561"/>
        <w:rPr>
          <w:sz w:val="20"/>
          <w:szCs w:val="20"/>
        </w:rPr>
      </w:pPr>
      <w:r>
        <w:rPr>
          <w:sz w:val="20"/>
          <w:szCs w:val="20"/>
        </w:rPr>
        <w:t xml:space="preserve">The closing of the opt-in portion of the transaction is subject to clearance under the Hart-Scott-Rodino Antitrust Improvements Act (“HSR Act”). After Phase 2, Janssen would lead subsequent development of izencitinib in Crohn’s disease if it makes such an </w:t>
      </w:r>
      <w:r>
        <w:rPr>
          <w:sz w:val="20"/>
          <w:szCs w:val="20"/>
        </w:rPr>
        <w:t>election. We will lead development of izencitinib in ulcerative colitis through completion of the Phase 2b/3 study. If izencitinib is commercialized, we have the option to co-commercialize in the US, and Janssen would have sole commercialization responsibi</w:t>
      </w:r>
      <w:r>
        <w:rPr>
          <w:sz w:val="20"/>
          <w:szCs w:val="20"/>
        </w:rPr>
        <w:t>lities outside the US. </w:t>
      </w:r>
    </w:p>
    <w:p w:rsidR="00000000" w:rsidRDefault="00E52F77">
      <w:pPr>
        <w:pStyle w:val="a3"/>
        <w:spacing w:before="0" w:beforeAutospacing="0" w:after="0" w:afterAutospacing="0"/>
        <w:divId w:val="1454515561"/>
        <w:rPr>
          <w:sz w:val="20"/>
          <w:szCs w:val="20"/>
        </w:rPr>
      </w:pPr>
      <w:r>
        <w:rPr>
          <w:sz w:val="20"/>
          <w:szCs w:val="20"/>
        </w:rPr>
        <w:t>​</w:t>
      </w:r>
    </w:p>
    <w:p w:rsidR="00000000" w:rsidRDefault="00E52F77">
      <w:pPr>
        <w:pStyle w:val="a3"/>
        <w:spacing w:before="0" w:beforeAutospacing="0" w:after="0" w:afterAutospacing="0"/>
        <w:divId w:val="1454515561"/>
        <w:rPr>
          <w:sz w:val="20"/>
          <w:szCs w:val="20"/>
        </w:rPr>
      </w:pPr>
      <w:r>
        <w:rPr>
          <w:b/>
          <w:bCs/>
          <w:i/>
          <w:iCs/>
          <w:sz w:val="20"/>
          <w:szCs w:val="20"/>
        </w:rPr>
        <w:t>Lung-selective Pan-JAK Inhibitor Program (TD-8236)</w:t>
      </w:r>
    </w:p>
    <w:p w:rsidR="00000000" w:rsidRDefault="00E52F77">
      <w:pPr>
        <w:pStyle w:val="a3"/>
        <w:spacing w:before="0" w:beforeAutospacing="0" w:after="0" w:afterAutospacing="0"/>
        <w:divId w:val="1454515561"/>
        <w:rPr>
          <w:sz w:val="20"/>
          <w:szCs w:val="20"/>
        </w:rPr>
      </w:pPr>
      <w:r>
        <w:rPr>
          <w:b/>
          <w:bCs/>
          <w:i/>
          <w:iCs/>
          <w:sz w:val="10"/>
          <w:szCs w:val="10"/>
        </w:rPr>
        <w:t>​</w:t>
      </w:r>
    </w:p>
    <w:p w:rsidR="00000000" w:rsidRDefault="00E52F77">
      <w:pPr>
        <w:pStyle w:val="a3"/>
        <w:spacing w:before="0" w:beforeAutospacing="0" w:after="0" w:afterAutospacing="0"/>
        <w:ind w:firstLine="720"/>
        <w:divId w:val="1454515561"/>
        <w:rPr>
          <w:sz w:val="20"/>
          <w:szCs w:val="20"/>
        </w:rPr>
      </w:pPr>
      <w:r>
        <w:rPr>
          <w:sz w:val="20"/>
          <w:szCs w:val="20"/>
        </w:rPr>
        <w:t>TD-8236 is an investigational, inhaled lung-selective pan-JAK inhibitor that has demonstrated a high affinity for each of the JAK family of enzymes (JAK1, JAK2, JAK3 and TYK2) t</w:t>
      </w:r>
      <w:r>
        <w:rPr>
          <w:sz w:val="20"/>
          <w:szCs w:val="20"/>
        </w:rPr>
        <w:t>hat play a key role in cytokine signaling. Inhibiting these JAK enzymes interferes with the JAK/STAT signaling pathway and, in turn, modulates the activity of a wide range of pro-inflammatory cytokines. While orally-administered JAK inhibitors are currentl</w:t>
      </w:r>
      <w:r>
        <w:rPr>
          <w:sz w:val="20"/>
          <w:szCs w:val="20"/>
        </w:rPr>
        <w:t>y approved for the treatment of a range of inflammatory diseases, no inhaled JAK inhibitor is approved for the treatment of airway disease, including asthma. The pan-JAK activity of TD-8236 suggests that it may impact a broad range of cytokines that have b</w:t>
      </w:r>
      <w:r>
        <w:rPr>
          <w:sz w:val="20"/>
          <w:szCs w:val="20"/>
        </w:rPr>
        <w:t xml:space="preserve">een associated both T2-high and T2-low asthma. Many moderate to severe asthma patients comprising both T2 phenotypes remain symptomatic despite being compliant on high doses of inhaled steroids. Importantly, TD-8236 is designed to distribute and exert its </w:t>
      </w:r>
      <w:r>
        <w:rPr>
          <w:sz w:val="20"/>
          <w:szCs w:val="20"/>
        </w:rPr>
        <w:t xml:space="preserve">anti-inflammatory </w:t>
      </w:r>
    </w:p>
    <w:p w:rsidR="00000000" w:rsidRDefault="00E52F77">
      <w:pPr>
        <w:pStyle w:val="a3"/>
        <w:spacing w:before="360" w:beforeAutospacing="0" w:after="0" w:afterAutospacing="0"/>
        <w:jc w:val="center"/>
        <w:divId w:val="1242526534"/>
        <w:rPr>
          <w:sz w:val="20"/>
          <w:szCs w:val="20"/>
        </w:rPr>
      </w:pPr>
      <w:r>
        <w:rPr>
          <w:sz w:val="20"/>
          <w:szCs w:val="20"/>
        </w:rPr>
        <w:t>23</w:t>
      </w:r>
    </w:p>
    <w:p w:rsidR="00000000" w:rsidRDefault="00E52F77">
      <w:pPr>
        <w:pStyle w:val="a3"/>
        <w:spacing w:before="0" w:beforeAutospacing="0" w:after="600" w:afterAutospacing="0"/>
        <w:divId w:val="750082496"/>
        <w:rPr>
          <w:sz w:val="20"/>
          <w:szCs w:val="20"/>
        </w:rPr>
      </w:pPr>
      <w:hyperlink w:anchor="TOC" w:history="1">
        <w:r>
          <w:rPr>
            <w:rStyle w:val="a4"/>
            <w:sz w:val="20"/>
            <w:szCs w:val="20"/>
          </w:rPr>
          <w:t>Table of Contents</w:t>
        </w:r>
      </w:hyperlink>
    </w:p>
    <w:p w:rsidR="00000000" w:rsidRDefault="00E52F77">
      <w:pPr>
        <w:pStyle w:val="a3"/>
        <w:spacing w:before="0" w:beforeAutospacing="0" w:after="0" w:afterAutospacing="0"/>
        <w:divId w:val="986782735"/>
        <w:rPr>
          <w:sz w:val="20"/>
          <w:szCs w:val="20"/>
        </w:rPr>
      </w:pPr>
      <w:r>
        <w:rPr>
          <w:sz w:val="20"/>
          <w:szCs w:val="20"/>
        </w:rPr>
        <w:t>effect within the lungs following dry powder inhalation, with the potential to treat inflammation within that organ while minimizing systemic exposure. In preclinical assessments, TD-8236 ha</w:t>
      </w:r>
      <w:r>
        <w:rPr>
          <w:sz w:val="20"/>
          <w:szCs w:val="20"/>
        </w:rPr>
        <w:t xml:space="preserve">s shown to potently inhibit targeted mediators of T2-high and T2-low asthma in human cells. </w:t>
      </w:r>
    </w:p>
    <w:p w:rsidR="00000000" w:rsidRDefault="00E52F77">
      <w:pPr>
        <w:pStyle w:val="a3"/>
        <w:spacing w:before="0" w:beforeAutospacing="0" w:after="0" w:afterAutospacing="0"/>
        <w:ind w:firstLine="720"/>
        <w:divId w:val="986782735"/>
        <w:rPr>
          <w:sz w:val="20"/>
          <w:szCs w:val="20"/>
        </w:rPr>
      </w:pPr>
      <w:r>
        <w:rPr>
          <w:sz w:val="20"/>
          <w:szCs w:val="20"/>
        </w:rPr>
        <w:t>​</w:t>
      </w:r>
    </w:p>
    <w:p w:rsidR="00000000" w:rsidRDefault="00E52F77">
      <w:pPr>
        <w:pStyle w:val="a3"/>
        <w:spacing w:before="0" w:beforeAutospacing="0" w:after="0" w:afterAutospacing="0"/>
        <w:ind w:firstLine="720"/>
        <w:divId w:val="986782735"/>
        <w:rPr>
          <w:sz w:val="20"/>
          <w:szCs w:val="20"/>
        </w:rPr>
      </w:pPr>
      <w:r>
        <w:rPr>
          <w:sz w:val="20"/>
          <w:szCs w:val="20"/>
        </w:rPr>
        <w:t>In September 2019, we announced positive results from a Phase 1 single-ascending dose and multiple-ascending dose clinical trial of TD-8236. The Part C extension</w:t>
      </w:r>
      <w:r>
        <w:rPr>
          <w:sz w:val="20"/>
          <w:szCs w:val="20"/>
        </w:rPr>
        <w:t xml:space="preserve"> portion of the Phase 1 trial, assessing additional biomarkers in patients with moderate to severe asthma, demonstrated that biomarkers of JAK target engagement (including exhaled nitric oxide and pSTAT1 and pSTAT6 in cellular fractions of bronchoalveolar </w:t>
      </w:r>
      <w:r>
        <w:rPr>
          <w:sz w:val="20"/>
          <w:szCs w:val="20"/>
        </w:rPr>
        <w:t>lavage fluid) were reduced after 7 days of once-daily dosing at a dose level of 1500 µg. In December 2019, we announced the initiation of a Phase 2 allergen challenge study of TD-8236 in mild allergic asthma patients, and we reported results of the Phase 1</w:t>
      </w:r>
      <w:r>
        <w:rPr>
          <w:sz w:val="20"/>
          <w:szCs w:val="20"/>
        </w:rPr>
        <w:t>C study in the third quarter of 2020. TD-8236 is the first JAK inhibitor to be studied in a Phase 2a Lung Allergen Challenge (“LAC”) study, but inconsistent with our expectations, it had no impact on decrease in lung function (FEV1) following allergen inha</w:t>
      </w:r>
      <w:r>
        <w:rPr>
          <w:sz w:val="20"/>
          <w:szCs w:val="20"/>
        </w:rPr>
        <w:t>lation after 14 days of once-daily dosing at dose levels of 150 µg and 1500 µg compared to placebo and did not meet the primary study objective. The collective data set (preclinical, Phase 1, Phase 2a) demonstrates TD-8236 engages the JAK mechanism at a do</w:t>
      </w:r>
      <w:r>
        <w:rPr>
          <w:sz w:val="20"/>
          <w:szCs w:val="20"/>
        </w:rPr>
        <w:t xml:space="preserve">se of 1500 µg as evidenced by the reduction in FeNO and reductions in pSTAT, but does not protect against the lung function decline seen after allergen inhalation. </w:t>
      </w:r>
    </w:p>
    <w:p w:rsidR="00000000" w:rsidRDefault="00E52F77">
      <w:pPr>
        <w:pStyle w:val="a3"/>
        <w:spacing w:before="0" w:beforeAutospacing="0" w:after="0" w:afterAutospacing="0"/>
        <w:ind w:firstLine="720"/>
        <w:divId w:val="986782735"/>
        <w:rPr>
          <w:sz w:val="20"/>
          <w:szCs w:val="20"/>
        </w:rPr>
      </w:pPr>
      <w:r>
        <w:rPr>
          <w:sz w:val="20"/>
          <w:szCs w:val="20"/>
        </w:rPr>
        <w:t>​</w:t>
      </w:r>
    </w:p>
    <w:p w:rsidR="00000000" w:rsidRDefault="00E52F77">
      <w:pPr>
        <w:pStyle w:val="a3"/>
        <w:spacing w:before="0" w:beforeAutospacing="0" w:after="0" w:afterAutospacing="0"/>
        <w:ind w:firstLine="720"/>
        <w:divId w:val="986782735"/>
        <w:rPr>
          <w:sz w:val="20"/>
          <w:szCs w:val="20"/>
        </w:rPr>
      </w:pPr>
      <w:r>
        <w:rPr>
          <w:sz w:val="20"/>
          <w:szCs w:val="20"/>
        </w:rPr>
        <w:t>After completing additional analysis on TD-8236 gene signature and biomarker data from th</w:t>
      </w:r>
      <w:r>
        <w:rPr>
          <w:sz w:val="20"/>
          <w:szCs w:val="20"/>
        </w:rPr>
        <w:t xml:space="preserve">e Phase 1C study, we found that the data are consistent with target engagement in the lung. However, based on our current understanding of TD-8236, we have decided to pause the clinical program for this compound in its current form and apply our learnings </w:t>
      </w:r>
      <w:r>
        <w:rPr>
          <w:sz w:val="20"/>
          <w:szCs w:val="20"/>
        </w:rPr>
        <w:t>to refining and expanding molecules in our portfolio of inhaled JAK inhibitors. The robust body of scientific evidence from TD-8236 and nezulcitinib programs provide confidence for us to continue the lung-selective inhaled JAK inhibitor program for asthma.</w:t>
      </w:r>
      <w:r>
        <w:rPr>
          <w:sz w:val="20"/>
          <w:szCs w:val="20"/>
        </w:rPr>
        <w:t xml:space="preserve"> The full data set for TD-8236 will be presented at future scientific meetings.</w:t>
      </w:r>
    </w:p>
    <w:p w:rsidR="00000000" w:rsidRDefault="00E52F77">
      <w:pPr>
        <w:pStyle w:val="a3"/>
        <w:spacing w:before="0" w:beforeAutospacing="0" w:after="0" w:afterAutospacing="0"/>
        <w:divId w:val="986782735"/>
        <w:rPr>
          <w:sz w:val="20"/>
          <w:szCs w:val="20"/>
        </w:rPr>
      </w:pPr>
      <w:r>
        <w:rPr>
          <w:b/>
          <w:bCs/>
          <w:sz w:val="20"/>
          <w:szCs w:val="20"/>
        </w:rPr>
        <w:t>​</w:t>
      </w:r>
    </w:p>
    <w:p w:rsidR="00000000" w:rsidRDefault="00E52F77">
      <w:pPr>
        <w:pStyle w:val="a3"/>
        <w:spacing w:before="0" w:beforeAutospacing="0" w:after="120" w:afterAutospacing="0"/>
        <w:divId w:val="986782735"/>
        <w:rPr>
          <w:sz w:val="20"/>
          <w:szCs w:val="20"/>
        </w:rPr>
      </w:pPr>
      <w:r>
        <w:rPr>
          <w:b/>
          <w:bCs/>
          <w:sz w:val="20"/>
          <w:szCs w:val="20"/>
        </w:rPr>
        <w:t>Economic Interest in GSK-Partnered Respiratory Programs</w:t>
      </w:r>
    </w:p>
    <w:p w:rsidR="00000000" w:rsidRDefault="00E52F77">
      <w:pPr>
        <w:pStyle w:val="a3"/>
        <w:spacing w:before="0" w:beforeAutospacing="0" w:after="0" w:afterAutospacing="0"/>
        <w:ind w:firstLine="720"/>
        <w:divId w:val="986782735"/>
        <w:rPr>
          <w:sz w:val="20"/>
          <w:szCs w:val="20"/>
        </w:rPr>
      </w:pPr>
      <w:r>
        <w:rPr>
          <w:sz w:val="20"/>
          <w:szCs w:val="20"/>
        </w:rPr>
        <w:t>We hold an 85% economic interest in any future payments that may be made by GSK to Theravance Respiratory Company, LLC</w:t>
      </w:r>
      <w:r>
        <w:rPr>
          <w:sz w:val="20"/>
          <w:szCs w:val="20"/>
        </w:rPr>
        <w:t xml:space="preserve"> (“TRC”) pursuant to its agreements with Innoviva (net of TRC expenses paid and the amount of cash, if any, expected to be used by TRC pursuant to the TRC LLC Agreement over the next four fiscal quarters) relating to the GSK-Partnered Respiratory Programs,</w:t>
      </w:r>
      <w:r>
        <w:rPr>
          <w:sz w:val="20"/>
          <w:szCs w:val="20"/>
        </w:rPr>
        <w:t xml:space="preserve"> which Innoviva partnered with GSK and assigned to TRC in connection with Innoviva’s separation of its biopharmaceutical operations into its then wholly-owned subsidiary Theravance Biopharma in June 2014. The GSK-Partnered Respiratory Programs consist prim</w:t>
      </w:r>
      <w:r>
        <w:rPr>
          <w:sz w:val="20"/>
          <w:szCs w:val="20"/>
        </w:rPr>
        <w:t>arily of the TRELEGY program, which is described in more detail below. We are entitled to this economic interest through our equity ownership in TRC. Our economic interest does not include any payments associated with RELVAR ELLIPTA/BREO ELLIPTA, ANORO ELL</w:t>
      </w:r>
      <w:r>
        <w:rPr>
          <w:sz w:val="20"/>
          <w:szCs w:val="20"/>
        </w:rPr>
        <w:t xml:space="preserve">IPTA or vilanterol monotherapy. </w:t>
      </w:r>
    </w:p>
    <w:p w:rsidR="00000000" w:rsidRDefault="00E52F77">
      <w:pPr>
        <w:pStyle w:val="a3"/>
        <w:spacing w:before="0" w:beforeAutospacing="0" w:after="0" w:afterAutospacing="0"/>
        <w:divId w:val="986782735"/>
        <w:rPr>
          <w:sz w:val="20"/>
          <w:szCs w:val="20"/>
        </w:rPr>
      </w:pPr>
      <w:r>
        <w:rPr>
          <w:sz w:val="20"/>
          <w:szCs w:val="20"/>
        </w:rPr>
        <w:t>​</w:t>
      </w:r>
    </w:p>
    <w:p w:rsidR="00000000" w:rsidRDefault="00E52F77">
      <w:pPr>
        <w:pStyle w:val="a3"/>
        <w:spacing w:before="0" w:beforeAutospacing="0" w:after="0" w:afterAutospacing="0"/>
        <w:ind w:firstLine="720"/>
        <w:divId w:val="986782735"/>
        <w:rPr>
          <w:sz w:val="20"/>
          <w:szCs w:val="20"/>
        </w:rPr>
      </w:pPr>
      <w:r>
        <w:rPr>
          <w:sz w:val="20"/>
          <w:szCs w:val="20"/>
        </w:rPr>
        <w:t>The following information regarding the TRELEGY program is based solely upon publicly available information and may not reflect the most recent developments under the programs.</w:t>
      </w:r>
    </w:p>
    <w:p w:rsidR="00000000" w:rsidRDefault="00E52F77">
      <w:pPr>
        <w:pStyle w:val="a3"/>
        <w:spacing w:before="0" w:beforeAutospacing="0" w:after="0" w:afterAutospacing="0"/>
        <w:ind w:firstLine="720"/>
        <w:divId w:val="986782735"/>
        <w:rPr>
          <w:sz w:val="20"/>
          <w:szCs w:val="20"/>
        </w:rPr>
      </w:pPr>
      <w:r>
        <w:rPr>
          <w:sz w:val="20"/>
          <w:szCs w:val="20"/>
        </w:rPr>
        <w:t>​</w:t>
      </w:r>
    </w:p>
    <w:p w:rsidR="00000000" w:rsidRDefault="00E52F77">
      <w:pPr>
        <w:pStyle w:val="a3"/>
        <w:spacing w:before="0" w:beforeAutospacing="0" w:after="120" w:afterAutospacing="0"/>
        <w:divId w:val="986782735"/>
        <w:rPr>
          <w:sz w:val="20"/>
          <w:szCs w:val="20"/>
        </w:rPr>
      </w:pPr>
      <w:r>
        <w:rPr>
          <w:b/>
          <w:bCs/>
          <w:i/>
          <w:iCs/>
          <w:sz w:val="20"/>
          <w:szCs w:val="20"/>
        </w:rPr>
        <w:t>TRELEGY (the combination of fluticasone fu</w:t>
      </w:r>
      <w:r>
        <w:rPr>
          <w:b/>
          <w:bCs/>
          <w:i/>
          <w:iCs/>
          <w:sz w:val="20"/>
          <w:szCs w:val="20"/>
        </w:rPr>
        <w:t>roate/umeclidinium bromide/vilanterol)</w:t>
      </w:r>
    </w:p>
    <w:p w:rsidR="00000000" w:rsidRDefault="00E52F77">
      <w:pPr>
        <w:pStyle w:val="a3"/>
        <w:spacing w:before="0" w:beforeAutospacing="0" w:after="0" w:afterAutospacing="0"/>
        <w:ind w:firstLine="720"/>
        <w:divId w:val="986782735"/>
        <w:rPr>
          <w:sz w:val="20"/>
          <w:szCs w:val="20"/>
        </w:rPr>
      </w:pPr>
      <w:r>
        <w:rPr>
          <w:sz w:val="20"/>
          <w:szCs w:val="20"/>
        </w:rPr>
        <w:t>TRELEGY provides the activity of an inhaled corticosteroid (FF) plus two bronchodilators (UMEC, a LAMA, and VI, a long-acting beta2 agonist, or LABA) in a single delivery device administered once-daily. TRELEGY is app</w:t>
      </w:r>
      <w:r>
        <w:rPr>
          <w:sz w:val="20"/>
          <w:szCs w:val="20"/>
        </w:rPr>
        <w:t>roved for use in the US and European Union (“EU”) for the long-term, once-daily, maintenance treatment of patients with COPD. We hold an 85% economic interest in the royalties payable by GSK to TRC on worldwide net sales (net of TRC expenses paid and the a</w:t>
      </w:r>
      <w:r>
        <w:rPr>
          <w:sz w:val="20"/>
          <w:szCs w:val="20"/>
        </w:rPr>
        <w:t>mount of cash, if any, expected to be used by TRC pursuant to the TRC LLC Agreement over the next four fiscal quarters) through our interest in TRC. Those royalties are upward-tiering from 6.5% to 10%, resulting in cash flows to us of approximately 5.5% to</w:t>
      </w:r>
      <w:r>
        <w:rPr>
          <w:sz w:val="20"/>
          <w:szCs w:val="20"/>
        </w:rPr>
        <w:t xml:space="preserve"> 8.5% of worldwide net sales of TRELEGY (net of TRC expenses paid and the amount of cash, if any, expected to be used by TRC pursuant to the TRC LLC Agreement over the next four fiscal quarters). Theravance Biopharma is not responsible for any of GSK’s cos</w:t>
      </w:r>
      <w:r>
        <w:rPr>
          <w:sz w:val="20"/>
          <w:szCs w:val="20"/>
        </w:rPr>
        <w:t>ts related to the development or commercialization of TRELEGY.</w:t>
      </w:r>
    </w:p>
    <w:p w:rsidR="00000000" w:rsidRDefault="00E52F77">
      <w:pPr>
        <w:pStyle w:val="a3"/>
        <w:spacing w:before="0" w:beforeAutospacing="0" w:after="0" w:afterAutospacing="0"/>
        <w:ind w:firstLine="720"/>
        <w:divId w:val="986782735"/>
        <w:rPr>
          <w:sz w:val="20"/>
          <w:szCs w:val="20"/>
        </w:rPr>
      </w:pPr>
      <w:r>
        <w:rPr>
          <w:sz w:val="20"/>
          <w:szCs w:val="20"/>
        </w:rPr>
        <w:t>​</w:t>
      </w:r>
    </w:p>
    <w:p w:rsidR="00000000" w:rsidRDefault="00E52F77">
      <w:pPr>
        <w:pStyle w:val="a3"/>
        <w:spacing w:before="0" w:beforeAutospacing="0" w:after="0" w:afterAutospacing="0"/>
        <w:ind w:firstLine="720"/>
        <w:divId w:val="986782735"/>
        <w:rPr>
          <w:sz w:val="20"/>
          <w:szCs w:val="20"/>
        </w:rPr>
      </w:pPr>
      <w:r>
        <w:rPr>
          <w:sz w:val="20"/>
          <w:szCs w:val="20"/>
        </w:rPr>
        <w:t>GSK and Innoviva conducted two global pivotal Phase 3 studies of TRELEGY in COPD, the IMPACT study and the FULFIL study. In September 2017, GSK and Innoviva announced that the FDA approved TR</w:t>
      </w:r>
      <w:r>
        <w:rPr>
          <w:sz w:val="20"/>
          <w:szCs w:val="20"/>
        </w:rPr>
        <w:t>ELEGY for the long-term, once-daily, maintenance treatment of appropriate patients with COPD. In August 2019, GSK announced that it had filed a supplemental new drug application (“sNDA”) to the FDA supporting revised labelling for TRELEGY on reduction in r</w:t>
      </w:r>
      <w:r>
        <w:rPr>
          <w:sz w:val="20"/>
          <w:szCs w:val="20"/>
        </w:rPr>
        <w:t xml:space="preserve">isk of all-cause mortality compared with ANORO ELLIPTA in patients with COPD. The FDA postponed an Advisory Committee </w:t>
      </w:r>
    </w:p>
    <w:p w:rsidR="00000000" w:rsidRDefault="00E52F77">
      <w:pPr>
        <w:pStyle w:val="a3"/>
        <w:spacing w:before="360" w:beforeAutospacing="0" w:after="0" w:afterAutospacing="0"/>
        <w:jc w:val="center"/>
        <w:divId w:val="1855224183"/>
        <w:rPr>
          <w:sz w:val="20"/>
          <w:szCs w:val="20"/>
        </w:rPr>
      </w:pPr>
      <w:r>
        <w:rPr>
          <w:sz w:val="20"/>
          <w:szCs w:val="20"/>
        </w:rPr>
        <w:t>24</w:t>
      </w:r>
    </w:p>
    <w:p w:rsidR="00000000" w:rsidRDefault="00E52F77">
      <w:pPr>
        <w:pStyle w:val="a3"/>
        <w:spacing w:before="0" w:beforeAutospacing="0" w:after="600" w:afterAutospacing="0"/>
        <w:divId w:val="1185169203"/>
        <w:rPr>
          <w:sz w:val="20"/>
          <w:szCs w:val="20"/>
        </w:rPr>
      </w:pPr>
      <w:hyperlink w:anchor="TOC" w:history="1">
        <w:r>
          <w:rPr>
            <w:rStyle w:val="a4"/>
            <w:sz w:val="20"/>
            <w:szCs w:val="20"/>
          </w:rPr>
          <w:t>Table of Contents</w:t>
        </w:r>
      </w:hyperlink>
    </w:p>
    <w:p w:rsidR="00000000" w:rsidRDefault="00E52F77">
      <w:pPr>
        <w:pStyle w:val="a3"/>
        <w:spacing w:before="0" w:beforeAutospacing="0" w:after="0" w:afterAutospacing="0"/>
        <w:divId w:val="529531710"/>
        <w:rPr>
          <w:sz w:val="20"/>
          <w:szCs w:val="20"/>
        </w:rPr>
      </w:pPr>
      <w:r>
        <w:rPr>
          <w:sz w:val="20"/>
          <w:szCs w:val="20"/>
        </w:rPr>
        <w:t>meeting that was previously scheduled for April 21, 2020 related to this sNDA which was subsequently rescheduled for August 31, 2020. During the FDA’s Advisory Committee, the panel voted against the proposed all-cause mortality labeling claim. GSK announce</w:t>
      </w:r>
      <w:r>
        <w:rPr>
          <w:sz w:val="20"/>
          <w:szCs w:val="20"/>
        </w:rPr>
        <w:t>d during their third-quarter conference call on October 28, 2020 that the company received a Complete Response Letter from the FDA for the label update.</w:t>
      </w:r>
    </w:p>
    <w:p w:rsidR="00000000" w:rsidRDefault="00E52F77">
      <w:pPr>
        <w:pStyle w:val="a3"/>
        <w:spacing w:before="0" w:beforeAutospacing="0" w:after="0" w:afterAutospacing="0"/>
        <w:ind w:firstLine="720"/>
        <w:divId w:val="529531710"/>
        <w:rPr>
          <w:sz w:val="20"/>
          <w:szCs w:val="20"/>
        </w:rPr>
      </w:pPr>
      <w:r>
        <w:rPr>
          <w:sz w:val="20"/>
          <w:szCs w:val="20"/>
        </w:rPr>
        <w:t>​</w:t>
      </w:r>
    </w:p>
    <w:p w:rsidR="00000000" w:rsidRDefault="00E52F77">
      <w:pPr>
        <w:pStyle w:val="a3"/>
        <w:spacing w:before="0" w:beforeAutospacing="0" w:after="0" w:afterAutospacing="0"/>
        <w:ind w:firstLine="720"/>
        <w:divId w:val="529531710"/>
        <w:rPr>
          <w:sz w:val="20"/>
          <w:szCs w:val="20"/>
        </w:rPr>
      </w:pPr>
      <w:r>
        <w:rPr>
          <w:sz w:val="20"/>
          <w:szCs w:val="20"/>
        </w:rPr>
        <w:t>Additionally, GSK and Innoviva conducted a Phase 3 (CAPTAIN) study of TRELEGY in patients with asthma</w:t>
      </w:r>
      <w:r>
        <w:rPr>
          <w:sz w:val="20"/>
          <w:szCs w:val="20"/>
        </w:rPr>
        <w:t>. In May 2019, GSK and Innoviva announced that the study had met its primary endpoint, and in October 2019, GSK announced it had filed a sNDA with the FDA seeking an additional indication for the use of once-daily, single-inhaler triple therapy, TRELEGY, f</w:t>
      </w:r>
      <w:r>
        <w:rPr>
          <w:sz w:val="20"/>
          <w:szCs w:val="20"/>
        </w:rPr>
        <w:t>or the treatment of asthma in adults. The FDA approved the asthma sNDA in September 2020 making TRELEGY the first once-daily single inhaler triple therapy for the treatment of both asthma and COPD in the US.</w:t>
      </w:r>
    </w:p>
    <w:p w:rsidR="00000000" w:rsidRDefault="00E52F77">
      <w:pPr>
        <w:pStyle w:val="a3"/>
        <w:spacing w:before="0" w:beforeAutospacing="0" w:after="0" w:afterAutospacing="0"/>
        <w:divId w:val="529531710"/>
        <w:rPr>
          <w:sz w:val="20"/>
          <w:szCs w:val="20"/>
        </w:rPr>
      </w:pPr>
      <w:r>
        <w:rPr>
          <w:i/>
          <w:iCs/>
          <w:sz w:val="20"/>
          <w:szCs w:val="20"/>
        </w:rPr>
        <w:t>​</w:t>
      </w:r>
    </w:p>
    <w:p w:rsidR="00000000" w:rsidRDefault="00E52F77">
      <w:pPr>
        <w:pStyle w:val="a3"/>
        <w:spacing w:before="0" w:beforeAutospacing="0" w:after="120" w:afterAutospacing="0"/>
        <w:divId w:val="529531710"/>
        <w:rPr>
          <w:sz w:val="20"/>
          <w:szCs w:val="20"/>
        </w:rPr>
      </w:pPr>
      <w:r>
        <w:rPr>
          <w:b/>
          <w:bCs/>
          <w:i/>
          <w:iCs/>
          <w:sz w:val="20"/>
          <w:szCs w:val="20"/>
        </w:rPr>
        <w:t>Theravance Respiratory Company, LLC</w:t>
      </w:r>
    </w:p>
    <w:p w:rsidR="00000000" w:rsidRDefault="00E52F77">
      <w:pPr>
        <w:pStyle w:val="a3"/>
        <w:spacing w:before="0" w:beforeAutospacing="0" w:after="0" w:afterAutospacing="0"/>
        <w:ind w:firstLine="720"/>
        <w:divId w:val="529531710"/>
        <w:rPr>
          <w:sz w:val="20"/>
          <w:szCs w:val="20"/>
        </w:rPr>
      </w:pPr>
      <w:r>
        <w:rPr>
          <w:sz w:val="20"/>
          <w:szCs w:val="20"/>
        </w:rPr>
        <w:t>Prior to t</w:t>
      </w:r>
      <w:r>
        <w:rPr>
          <w:sz w:val="20"/>
          <w:szCs w:val="20"/>
        </w:rPr>
        <w:t>he June 2014 spin-off from Innoviva, our former parent company, Innoviva assigned to Theravance Respiratory Company, LLC (“TRC”), a Delaware limited liability company formed by Innoviva, its strategic alliance agreement with GSK and all of its rights and o</w:t>
      </w:r>
      <w:r>
        <w:rPr>
          <w:sz w:val="20"/>
          <w:szCs w:val="20"/>
        </w:rPr>
        <w:t xml:space="preserve">bligations under its collaboration agreement with GSK, other than with respect to RELVAR ELLIPTA/BREO ELLIPTA, ANORO ELLIPTA and vilanterol monotherapy. </w:t>
      </w:r>
    </w:p>
    <w:p w:rsidR="00000000" w:rsidRDefault="00E52F77">
      <w:pPr>
        <w:pStyle w:val="a3"/>
        <w:spacing w:before="0" w:beforeAutospacing="0" w:after="0" w:afterAutospacing="0"/>
        <w:ind w:firstLine="720"/>
        <w:divId w:val="529531710"/>
        <w:rPr>
          <w:sz w:val="20"/>
          <w:szCs w:val="20"/>
        </w:rPr>
      </w:pPr>
      <w:r>
        <w:rPr>
          <w:sz w:val="20"/>
          <w:szCs w:val="20"/>
        </w:rPr>
        <w:t>​</w:t>
      </w:r>
    </w:p>
    <w:p w:rsidR="00000000" w:rsidRDefault="00E52F77">
      <w:pPr>
        <w:pStyle w:val="a3"/>
        <w:spacing w:before="0" w:beforeAutospacing="0" w:after="0" w:afterAutospacing="0"/>
        <w:ind w:firstLine="720"/>
        <w:divId w:val="529531710"/>
        <w:rPr>
          <w:sz w:val="20"/>
          <w:szCs w:val="20"/>
        </w:rPr>
      </w:pPr>
      <w:r>
        <w:rPr>
          <w:sz w:val="20"/>
          <w:szCs w:val="20"/>
        </w:rPr>
        <w:t>Our equity interest in TRC is the mechanism by which we are entitled to the 85% economic interest in</w:t>
      </w:r>
      <w:r>
        <w:rPr>
          <w:sz w:val="20"/>
          <w:szCs w:val="20"/>
        </w:rPr>
        <w:t xml:space="preserve"> any future payments made by GSK under the strategic alliance agreement and under the portion of the collaboration agreement assigned to TRC by Innoviva (net of TRC expenses paid and the amount of cash, if any, expected to be used by TRC pursuant to the TR</w:t>
      </w:r>
      <w:r>
        <w:rPr>
          <w:sz w:val="20"/>
          <w:szCs w:val="20"/>
        </w:rPr>
        <w:t xml:space="preserve">C LLC Agreement over the next four fiscal quarters). TRELEGY is currently the only commercial product arising out of the GSK agreements assigned by Innoviva to TRC. Royalty payments from GSK to TRC arising from the net sales of </w:t>
      </w:r>
      <w:r>
        <w:rPr>
          <w:caps/>
          <w:sz w:val="20"/>
          <w:szCs w:val="20"/>
        </w:rPr>
        <w:t xml:space="preserve">Trelegy </w:t>
      </w:r>
      <w:r>
        <w:rPr>
          <w:sz w:val="20"/>
          <w:szCs w:val="20"/>
        </w:rPr>
        <w:t>are presented in our</w:t>
      </w:r>
      <w:r>
        <w:rPr>
          <w:sz w:val="20"/>
          <w:szCs w:val="20"/>
        </w:rPr>
        <w:t xml:space="preserve"> condensed consolidated statements of operations within “Income from investment in TRC, LLC” and is classified as non-operating income. In June 2020, we also recorded $8.5 million within “Income from investment in TRC, LLC” representing our share of a </w:t>
      </w:r>
      <w:r>
        <w:rPr>
          <w:color w:val="212529"/>
          <w:sz w:val="20"/>
          <w:szCs w:val="20"/>
          <w:shd w:val="clear" w:color="auto" w:fill="FFFFFF"/>
        </w:rPr>
        <w:t>$10.</w:t>
      </w:r>
      <w:r>
        <w:rPr>
          <w:color w:val="212529"/>
          <w:sz w:val="20"/>
          <w:szCs w:val="20"/>
          <w:shd w:val="clear" w:color="auto" w:fill="FFFFFF"/>
        </w:rPr>
        <w:t xml:space="preserve">0 million fee that GSK agreed to pay TRC upon termination of the </w:t>
      </w:r>
      <w:r>
        <w:rPr>
          <w:sz w:val="20"/>
          <w:szCs w:val="20"/>
        </w:rPr>
        <w:t xml:space="preserve">inhaled Bifunctional Muscarinic Antagonist-Beta2 Agonist </w:t>
      </w:r>
      <w:r>
        <w:rPr>
          <w:color w:val="212529"/>
          <w:sz w:val="20"/>
          <w:szCs w:val="20"/>
          <w:shd w:val="clear" w:color="auto" w:fill="FFFFFF"/>
        </w:rPr>
        <w:t xml:space="preserve">(“MABA”) program. </w:t>
      </w:r>
      <w:r>
        <w:rPr>
          <w:sz w:val="20"/>
          <w:szCs w:val="20"/>
        </w:rPr>
        <w:t>Seventy-five percent of the “Income from investment in TRC, LLC,” as evidenced by the Issuer II Class C Units (defin</w:t>
      </w:r>
      <w:r>
        <w:rPr>
          <w:sz w:val="20"/>
          <w:szCs w:val="20"/>
        </w:rPr>
        <w:t>ed below), is available only for payment of the $400.0 million original aggregate amount of 9.5% fixed rate non-recourse term notes due 2035 (the “Non-Recourse 2035 Notes”) and is not available to pay our other obligations or the claims of our other credit</w:t>
      </w:r>
      <w:r>
        <w:rPr>
          <w:sz w:val="20"/>
          <w:szCs w:val="20"/>
        </w:rPr>
        <w:t xml:space="preserve">ors. </w:t>
      </w:r>
    </w:p>
    <w:p w:rsidR="00000000" w:rsidRDefault="00E52F77">
      <w:pPr>
        <w:pStyle w:val="a3"/>
        <w:spacing w:before="0" w:beforeAutospacing="0" w:after="0" w:afterAutospacing="0"/>
        <w:ind w:firstLine="720"/>
        <w:divId w:val="529531710"/>
        <w:rPr>
          <w:sz w:val="20"/>
          <w:szCs w:val="20"/>
        </w:rPr>
      </w:pPr>
      <w:r>
        <w:rPr>
          <w:sz w:val="20"/>
          <w:szCs w:val="20"/>
        </w:rPr>
        <w:t>​</w:t>
      </w:r>
    </w:p>
    <w:p w:rsidR="00000000" w:rsidRDefault="00E52F77">
      <w:pPr>
        <w:pStyle w:val="a3"/>
        <w:spacing w:before="0" w:beforeAutospacing="0" w:after="0" w:afterAutospacing="0"/>
        <w:ind w:firstLine="720"/>
        <w:divId w:val="529531710"/>
        <w:rPr>
          <w:sz w:val="20"/>
          <w:szCs w:val="20"/>
        </w:rPr>
      </w:pPr>
      <w:r>
        <w:rPr>
          <w:sz w:val="20"/>
          <w:szCs w:val="20"/>
        </w:rPr>
        <w:t>Our special purpose subsidiary Triple Royalty Sub II LLC (the “Issuer II”) issued the Non-Recourse 2035 Notes in February 2020, the proceeds of which were used in part to repay the outstanding balance of our 9.0% non-recourse notes, due on or befor</w:t>
      </w:r>
      <w:r>
        <w:rPr>
          <w:sz w:val="20"/>
          <w:szCs w:val="20"/>
        </w:rPr>
        <w:t>e 2033 (the “Non-Recourse 2033 Notes”) that were issued in November 2018. The Non-Recourse 2035 Notes are secured by all of the Issuer II’s rights, title and interest as a holder of certain membership interests (the “Issuer II Class C Units”) in TRC. The I</w:t>
      </w:r>
      <w:r>
        <w:rPr>
          <w:sz w:val="20"/>
          <w:szCs w:val="20"/>
        </w:rPr>
        <w:t xml:space="preserve">ssuer II Class C Units entitle the Issuer II to receive 63.75% of the economic interest that TRC receives in any future payments made by GSK under the agreements described above, or 75% of the income from our 85% ownership interest in TRC. </w:t>
      </w:r>
    </w:p>
    <w:p w:rsidR="00000000" w:rsidRDefault="00E52F77">
      <w:pPr>
        <w:pStyle w:val="a3"/>
        <w:spacing w:before="0" w:beforeAutospacing="0" w:after="0" w:afterAutospacing="0"/>
        <w:ind w:firstLine="720"/>
        <w:divId w:val="529531710"/>
        <w:rPr>
          <w:sz w:val="20"/>
          <w:szCs w:val="20"/>
        </w:rPr>
      </w:pPr>
      <w:r>
        <w:rPr>
          <w:sz w:val="20"/>
          <w:szCs w:val="20"/>
        </w:rPr>
        <w:t>​</w:t>
      </w:r>
    </w:p>
    <w:p w:rsidR="00000000" w:rsidRDefault="00E52F77">
      <w:pPr>
        <w:pStyle w:val="a3"/>
        <w:spacing w:before="0" w:beforeAutospacing="0" w:after="0" w:afterAutospacing="0"/>
        <w:ind w:firstLine="720"/>
        <w:divId w:val="529531710"/>
        <w:rPr>
          <w:sz w:val="20"/>
          <w:szCs w:val="20"/>
        </w:rPr>
      </w:pPr>
      <w:r>
        <w:rPr>
          <w:sz w:val="20"/>
          <w:szCs w:val="20"/>
        </w:rPr>
        <w:t>On June 10, 2</w:t>
      </w:r>
      <w:r>
        <w:rPr>
          <w:sz w:val="20"/>
          <w:szCs w:val="20"/>
        </w:rPr>
        <w:t>020, we disclosed in a Form 8-K that we had formally objected to TRC and Innoviva, as the manager of TRC, regarding their proposed plan to use TRELEGY royalties to invest in certain privately-held companies, funds that would otherwise be available for dist</w:t>
      </w:r>
      <w:r>
        <w:rPr>
          <w:sz w:val="20"/>
          <w:szCs w:val="20"/>
        </w:rPr>
        <w:t>ribution to us under the terms of the TRC LLC Agreement. In this regard, we initiated an arbitration proceeding in October 2020 against Innoviva and TRC, challenging the authority of Innoviva and TRC to pursue such a business plan rather than distribute su</w:t>
      </w:r>
      <w:r>
        <w:rPr>
          <w:sz w:val="20"/>
          <w:szCs w:val="20"/>
        </w:rPr>
        <w:t xml:space="preserve">ch funds to us in a manner that we believe is consistent with the TRC LLC Agreement and our 85% economic interest in TRC. The arbitration hearing was held during the week of February 16, 2021, with post-hearing briefing and arguments taking place over the </w:t>
      </w:r>
      <w:r>
        <w:rPr>
          <w:sz w:val="20"/>
          <w:szCs w:val="20"/>
        </w:rPr>
        <w:t xml:space="preserve">following few weeks.  </w:t>
      </w:r>
    </w:p>
    <w:p w:rsidR="00000000" w:rsidRDefault="00E52F77">
      <w:pPr>
        <w:pStyle w:val="a3"/>
        <w:spacing w:before="0" w:beforeAutospacing="0" w:after="0" w:afterAutospacing="0"/>
        <w:ind w:firstLine="720"/>
        <w:divId w:val="529531710"/>
        <w:rPr>
          <w:sz w:val="20"/>
          <w:szCs w:val="20"/>
        </w:rPr>
      </w:pPr>
      <w:r>
        <w:rPr>
          <w:sz w:val="20"/>
          <w:szCs w:val="20"/>
        </w:rPr>
        <w:t>​</w:t>
      </w:r>
    </w:p>
    <w:p w:rsidR="00000000" w:rsidRDefault="00E52F77">
      <w:pPr>
        <w:pStyle w:val="a3"/>
        <w:spacing w:before="0" w:beforeAutospacing="0" w:after="0" w:afterAutospacing="0"/>
        <w:ind w:firstLine="720"/>
        <w:divId w:val="529531710"/>
        <w:rPr>
          <w:sz w:val="20"/>
          <w:szCs w:val="20"/>
        </w:rPr>
      </w:pPr>
      <w:r>
        <w:rPr>
          <w:sz w:val="20"/>
          <w:szCs w:val="20"/>
        </w:rPr>
        <w:t>On March 30, 2021, the arbitrator ruled that, at its current levels of investment, Innoviva and TRC had not breached the LLC Agreement. The arbitrator further ruled that Innoviva and TRC had not breached the implied covenant of goo</w:t>
      </w:r>
      <w:r>
        <w:rPr>
          <w:sz w:val="20"/>
          <w:szCs w:val="20"/>
        </w:rPr>
        <w:t>d faith and fair dealing; or their fiduciary duties. The arbitrator also ruled that (i) Innoviva is entitled to indemnification from TRC for all legal fees and expenses reasonably incurred in the arbitration and (ii) we are entitled to indemnification from</w:t>
      </w:r>
      <w:r>
        <w:rPr>
          <w:sz w:val="20"/>
          <w:szCs w:val="20"/>
        </w:rPr>
        <w:t xml:space="preserve"> TRC for legal fees and costs incurred in defending an action Innoviva brought against us in the Delaware Court of Chancery. The arbitrator noted in the ruling that although we failed to show that Innoviva’s investment activities, at the current levels of </w:t>
      </w:r>
      <w:r>
        <w:rPr>
          <w:sz w:val="20"/>
          <w:szCs w:val="20"/>
        </w:rPr>
        <w:t xml:space="preserve">investment, have or will have a material and adverse effect on our economic interest in TRC, this does not mean that any future investments or actions will not require our consent. The arbitrator noted in the ruling that we may, in the future, have a </w:t>
      </w:r>
    </w:p>
    <w:p w:rsidR="00000000" w:rsidRDefault="00E52F77">
      <w:pPr>
        <w:pStyle w:val="a3"/>
        <w:spacing w:before="360" w:beforeAutospacing="0" w:after="0" w:afterAutospacing="0"/>
        <w:jc w:val="center"/>
        <w:divId w:val="1894852192"/>
        <w:rPr>
          <w:sz w:val="20"/>
          <w:szCs w:val="20"/>
        </w:rPr>
      </w:pPr>
      <w:r>
        <w:rPr>
          <w:sz w:val="20"/>
          <w:szCs w:val="20"/>
        </w:rPr>
        <w:t>25</w:t>
      </w:r>
    </w:p>
    <w:p w:rsidR="00000000" w:rsidRDefault="00E52F77">
      <w:pPr>
        <w:pStyle w:val="a3"/>
        <w:spacing w:before="0" w:beforeAutospacing="0" w:after="600" w:afterAutospacing="0"/>
        <w:divId w:val="154494502"/>
        <w:rPr>
          <w:sz w:val="20"/>
          <w:szCs w:val="20"/>
        </w:rPr>
      </w:pPr>
      <w:hyperlink w:anchor="TOC" w:history="1">
        <w:r>
          <w:rPr>
            <w:rStyle w:val="a4"/>
            <w:sz w:val="20"/>
            <w:szCs w:val="20"/>
          </w:rPr>
          <w:t>Table of Contents</w:t>
        </w:r>
      </w:hyperlink>
    </w:p>
    <w:p w:rsidR="00000000" w:rsidRDefault="00E52F77">
      <w:pPr>
        <w:pStyle w:val="a3"/>
        <w:spacing w:before="0" w:beforeAutospacing="0" w:after="0" w:afterAutospacing="0"/>
        <w:divId w:val="1628273808"/>
        <w:rPr>
          <w:sz w:val="20"/>
          <w:szCs w:val="20"/>
        </w:rPr>
      </w:pPr>
      <w:r>
        <w:rPr>
          <w:sz w:val="20"/>
          <w:szCs w:val="20"/>
        </w:rPr>
        <w:t>consent right over the decision to continue this investment strategy or whether to make a particular investment if, for example, Innoviva develops a track record of poor investments, over allocates royalties to these investment activities, or fails to dist</w:t>
      </w:r>
      <w:r>
        <w:rPr>
          <w:sz w:val="20"/>
          <w:szCs w:val="20"/>
        </w:rPr>
        <w:t xml:space="preserve">ribute sufficient investment returns, and such facts cause the strategy or investment to have a material adverse effect on our economic interest in TRC. </w:t>
      </w:r>
    </w:p>
    <w:p w:rsidR="00000000" w:rsidRDefault="00E52F77">
      <w:pPr>
        <w:pStyle w:val="a3"/>
        <w:spacing w:before="0" w:beforeAutospacing="0" w:after="0" w:afterAutospacing="0"/>
        <w:ind w:firstLine="720"/>
        <w:divId w:val="1628273808"/>
        <w:rPr>
          <w:sz w:val="20"/>
          <w:szCs w:val="20"/>
        </w:rPr>
      </w:pPr>
      <w:r>
        <w:rPr>
          <w:sz w:val="20"/>
          <w:szCs w:val="20"/>
        </w:rPr>
        <w:t>​</w:t>
      </w:r>
    </w:p>
    <w:p w:rsidR="00000000" w:rsidRDefault="00E52F77">
      <w:pPr>
        <w:pStyle w:val="a3"/>
        <w:spacing w:before="0" w:beforeAutospacing="0" w:after="0" w:afterAutospacing="0"/>
        <w:ind w:firstLine="720"/>
        <w:divId w:val="1628273808"/>
        <w:rPr>
          <w:sz w:val="20"/>
          <w:szCs w:val="20"/>
        </w:rPr>
      </w:pPr>
      <w:r>
        <w:rPr>
          <w:sz w:val="20"/>
          <w:szCs w:val="20"/>
        </w:rPr>
        <w:t xml:space="preserve">Pursuant to the terms of the LLC Agreement, Innoviva is required to deliver to us a draft quarterly </w:t>
      </w:r>
      <w:r>
        <w:rPr>
          <w:sz w:val="20"/>
          <w:szCs w:val="20"/>
        </w:rPr>
        <w:t>financial plan 30 days prior to the end of each fiscal quarter covering the next fiscal quarter. As previously disclosed, on June 2, 2021, we received from Innoviva the draft TRC quarterly financial plan for the quarter ending September 30, 2021. The draft</w:t>
      </w:r>
      <w:r>
        <w:rPr>
          <w:sz w:val="20"/>
          <w:szCs w:val="20"/>
        </w:rPr>
        <w:t xml:space="preserve"> financial plan noted that Innoviva intends to invest TRC funds into two private companies and incur significant fees and costs associated with these possible investments. We provided comments to TRC regarding these proposed actions by TRC with Innoviva, a</w:t>
      </w:r>
      <w:r>
        <w:rPr>
          <w:sz w:val="20"/>
          <w:szCs w:val="20"/>
        </w:rPr>
        <w:t>nd we objected to the withholding of funds by TRC for these and similar investments. While the LLC Agreement provides that Innoviva must consider in good faith any comments we provide, the financial plan became effective 30 days after the draft plan was pr</w:t>
      </w:r>
      <w:r>
        <w:rPr>
          <w:sz w:val="20"/>
          <w:szCs w:val="20"/>
        </w:rPr>
        <w:t xml:space="preserve">ovided to us. If, as reflected in the draft plan, TRC makes these contemplated investments and incurs the associated fees and costs as well as the other costs identified in the plan, distributions by TRC to its members in the third quarter of 2021 will be </w:t>
      </w:r>
      <w:r>
        <w:rPr>
          <w:sz w:val="20"/>
          <w:szCs w:val="20"/>
        </w:rPr>
        <w:t>reduced substantially.</w:t>
      </w:r>
    </w:p>
    <w:p w:rsidR="00000000" w:rsidRDefault="00E52F77">
      <w:pPr>
        <w:pStyle w:val="a3"/>
        <w:spacing w:before="0" w:beforeAutospacing="0" w:after="0" w:afterAutospacing="0"/>
        <w:divId w:val="1628273808"/>
        <w:rPr>
          <w:sz w:val="20"/>
          <w:szCs w:val="20"/>
        </w:rPr>
      </w:pPr>
      <w:r>
        <w:rPr>
          <w:sz w:val="20"/>
          <w:szCs w:val="20"/>
        </w:rPr>
        <w:t>​</w:t>
      </w:r>
    </w:p>
    <w:p w:rsidR="00000000" w:rsidRDefault="00E52F77">
      <w:pPr>
        <w:pStyle w:val="a3"/>
        <w:spacing w:before="0" w:beforeAutospacing="0" w:after="0" w:afterAutospacing="0"/>
        <w:ind w:firstLine="720"/>
        <w:divId w:val="1628273808"/>
        <w:rPr>
          <w:sz w:val="20"/>
          <w:szCs w:val="20"/>
        </w:rPr>
      </w:pPr>
      <w:r>
        <w:rPr>
          <w:sz w:val="20"/>
          <w:szCs w:val="20"/>
        </w:rPr>
        <w:t>Our objections with regard to this draft TRC quarterly plan or other actions by TRC could result in additional legal proceedings between us, TRC and Innoviva, as was the case when we initiated arbitration proceedings against Innovi</w:t>
      </w:r>
      <w:r>
        <w:rPr>
          <w:sz w:val="20"/>
          <w:szCs w:val="20"/>
        </w:rPr>
        <w:t>va and TRC in May 2019 and again in October 2020. Any such legal proceedings could divert the attention of management and cause us to incur significant costs, regardless of the outcome, which we cannot predict. If such proceedings were pursued, there can b</w:t>
      </w:r>
      <w:r>
        <w:rPr>
          <w:sz w:val="20"/>
          <w:szCs w:val="20"/>
        </w:rPr>
        <w:t xml:space="preserve">e no assurance that they would result in us receiving additional distributions from TRC. An adverse result could materially and adversely affect the funds that our affiliates would otherwise expect to receive from TRC in the future. See </w:t>
      </w:r>
      <w:r>
        <w:rPr>
          <w:i/>
          <w:iCs/>
          <w:sz w:val="20"/>
          <w:szCs w:val="20"/>
        </w:rPr>
        <w:t>“Risk Factors—We do</w:t>
      </w:r>
      <w:r>
        <w:rPr>
          <w:i/>
          <w:iCs/>
          <w:sz w:val="20"/>
          <w:szCs w:val="20"/>
        </w:rPr>
        <w:t xml:space="preserve"> not control the commercialization of TRELEGY and we do not control TRC; accordingly the amount of royalties we receive will depend on, among other factors, GSK’s ability to further commercialize TRELEGY and TRC’s decisions concerning use of cash in accord</w:t>
      </w:r>
      <w:r>
        <w:rPr>
          <w:i/>
          <w:iCs/>
          <w:sz w:val="20"/>
          <w:szCs w:val="20"/>
        </w:rPr>
        <w:t xml:space="preserve">ance with the TRC LLC Agreement” </w:t>
      </w:r>
      <w:r>
        <w:rPr>
          <w:sz w:val="20"/>
          <w:szCs w:val="20"/>
        </w:rPr>
        <w:t>for additional information.</w:t>
      </w:r>
    </w:p>
    <w:p w:rsidR="00000000" w:rsidRDefault="00E52F77">
      <w:pPr>
        <w:pStyle w:val="a3"/>
        <w:spacing w:before="0" w:beforeAutospacing="0" w:after="0" w:afterAutospacing="0"/>
        <w:ind w:firstLine="720"/>
        <w:divId w:val="1628273808"/>
        <w:rPr>
          <w:sz w:val="20"/>
          <w:szCs w:val="20"/>
        </w:rPr>
      </w:pPr>
      <w:r>
        <w:rPr>
          <w:sz w:val="20"/>
          <w:szCs w:val="20"/>
        </w:rPr>
        <w:t>​</w:t>
      </w:r>
    </w:p>
    <w:p w:rsidR="00000000" w:rsidRDefault="00E52F77">
      <w:pPr>
        <w:pStyle w:val="a3"/>
        <w:spacing w:before="0" w:beforeAutospacing="0" w:after="120" w:afterAutospacing="0"/>
        <w:divId w:val="1628273808"/>
        <w:rPr>
          <w:sz w:val="20"/>
          <w:szCs w:val="20"/>
        </w:rPr>
      </w:pPr>
      <w:r>
        <w:rPr>
          <w:b/>
          <w:bCs/>
          <w:sz w:val="20"/>
          <w:szCs w:val="20"/>
        </w:rPr>
        <w:t>Other Economic Interests</w:t>
      </w:r>
    </w:p>
    <w:p w:rsidR="00000000" w:rsidRDefault="00E52F77">
      <w:pPr>
        <w:pStyle w:val="a3"/>
        <w:spacing w:before="0" w:beforeAutospacing="0" w:after="0" w:afterAutospacing="0"/>
        <w:divId w:val="1628273808"/>
        <w:rPr>
          <w:sz w:val="20"/>
          <w:szCs w:val="20"/>
        </w:rPr>
      </w:pPr>
      <w:r>
        <w:rPr>
          <w:b/>
          <w:bCs/>
          <w:i/>
          <w:iCs/>
          <w:sz w:val="20"/>
          <w:szCs w:val="20"/>
        </w:rPr>
        <w:t>Selective 5-HT4 Agonist (TD-8954)</w:t>
      </w:r>
    </w:p>
    <w:p w:rsidR="00000000" w:rsidRDefault="00E52F77">
      <w:pPr>
        <w:pStyle w:val="a3"/>
        <w:spacing w:before="0" w:beforeAutospacing="0" w:after="0" w:afterAutospacing="0"/>
        <w:divId w:val="1628273808"/>
        <w:rPr>
          <w:sz w:val="20"/>
          <w:szCs w:val="20"/>
        </w:rPr>
      </w:pPr>
      <w:r>
        <w:rPr>
          <w:sz w:val="10"/>
          <w:szCs w:val="10"/>
        </w:rPr>
        <w:t>​</w:t>
      </w:r>
    </w:p>
    <w:p w:rsidR="00000000" w:rsidRDefault="00E52F77">
      <w:pPr>
        <w:pStyle w:val="a3"/>
        <w:spacing w:before="0" w:beforeAutospacing="0" w:after="0" w:afterAutospacing="0"/>
        <w:ind w:firstLine="720"/>
        <w:divId w:val="1628273808"/>
        <w:rPr>
          <w:sz w:val="20"/>
          <w:szCs w:val="20"/>
        </w:rPr>
      </w:pPr>
      <w:r>
        <w:rPr>
          <w:sz w:val="20"/>
          <w:szCs w:val="20"/>
        </w:rPr>
        <w:t>TD-8954 is a selective 5-HT4 receptor agonist being developed for potential use in the treatment of gastrointestinal motility disorders.</w:t>
      </w:r>
      <w:r>
        <w:rPr>
          <w:color w:val="FF0000"/>
          <w:sz w:val="20"/>
          <w:szCs w:val="20"/>
        </w:rPr>
        <w:t xml:space="preserve"> </w:t>
      </w:r>
    </w:p>
    <w:p w:rsidR="00000000" w:rsidRDefault="00E52F77">
      <w:pPr>
        <w:pStyle w:val="a3"/>
        <w:spacing w:before="0" w:beforeAutospacing="0" w:after="0" w:afterAutospacing="0"/>
        <w:divId w:val="1628273808"/>
        <w:rPr>
          <w:sz w:val="20"/>
          <w:szCs w:val="20"/>
        </w:rPr>
      </w:pPr>
      <w:r>
        <w:rPr>
          <w:sz w:val="20"/>
          <w:szCs w:val="20"/>
        </w:rPr>
        <w:t>​</w:t>
      </w:r>
    </w:p>
    <w:p w:rsidR="00000000" w:rsidRDefault="00E52F77">
      <w:pPr>
        <w:pStyle w:val="a3"/>
        <w:spacing w:before="0" w:beforeAutospacing="0" w:after="0" w:afterAutospacing="0"/>
        <w:divId w:val="1628273808"/>
        <w:rPr>
          <w:sz w:val="20"/>
          <w:szCs w:val="20"/>
        </w:rPr>
      </w:pPr>
      <w:r>
        <w:rPr>
          <w:i/>
          <w:iCs/>
          <w:sz w:val="20"/>
          <w:szCs w:val="20"/>
        </w:rPr>
        <w:t>Takeda Collaborative Arrangement</w:t>
      </w:r>
    </w:p>
    <w:p w:rsidR="00000000" w:rsidRDefault="00E52F77">
      <w:pPr>
        <w:pStyle w:val="a3"/>
        <w:spacing w:before="0" w:beforeAutospacing="0" w:after="0" w:afterAutospacing="0"/>
        <w:divId w:val="1628273808"/>
        <w:rPr>
          <w:sz w:val="20"/>
          <w:szCs w:val="20"/>
        </w:rPr>
      </w:pPr>
      <w:r>
        <w:rPr>
          <w:sz w:val="10"/>
          <w:szCs w:val="10"/>
        </w:rPr>
        <w:t>​</w:t>
      </w:r>
    </w:p>
    <w:p w:rsidR="00000000" w:rsidRDefault="00E52F77">
      <w:pPr>
        <w:pStyle w:val="a3"/>
        <w:spacing w:before="0" w:beforeAutospacing="0" w:after="0" w:afterAutospacing="0"/>
        <w:ind w:firstLine="720"/>
        <w:divId w:val="1628273808"/>
        <w:rPr>
          <w:sz w:val="20"/>
          <w:szCs w:val="20"/>
        </w:rPr>
      </w:pPr>
      <w:r>
        <w:rPr>
          <w:sz w:val="20"/>
          <w:szCs w:val="20"/>
        </w:rPr>
        <w:t xml:space="preserve">In June 2016, we entered into a License and Collaboration Agreement (the “Takeda </w:t>
      </w:r>
      <w:r>
        <w:rPr>
          <w:sz w:val="20"/>
          <w:szCs w:val="20"/>
        </w:rPr>
        <w:t>Agreement”) with Millennium Pharmaceuticals, Inc. (“Millennium”), in order to establish a collaboration for the development and commercialization of TD-8954 (TAK-954). Millennium is an indirect wholly-owned subsidiary of Takeda Pharmaceutical Company Limit</w:t>
      </w:r>
      <w:r>
        <w:rPr>
          <w:sz w:val="20"/>
          <w:szCs w:val="20"/>
        </w:rPr>
        <w:t>ed (“Takeda”). TD-8954 is currently in a Phase 2 study as a potential treatment for post-operative gastrointestinal dysfunction. Under the terms of the Takeda Agreement, Takeda is responsible for worldwide development and commercialization of TD-8954. We r</w:t>
      </w:r>
      <w:r>
        <w:rPr>
          <w:sz w:val="20"/>
          <w:szCs w:val="20"/>
        </w:rPr>
        <w:t>eceived an upfront cash payment of $15.0 million and will be eligible to receive success-based development, regulatory and sales milestone payments from Takeda. We will also be eligible to receive a tiered royalty on worldwide net sales by Takeda at percen</w:t>
      </w:r>
      <w:r>
        <w:rPr>
          <w:sz w:val="20"/>
          <w:szCs w:val="20"/>
        </w:rPr>
        <w:t>tage royalty rates ranging from low double-digits to mid-teens.</w:t>
      </w:r>
    </w:p>
    <w:p w:rsidR="00000000" w:rsidRDefault="00E52F77">
      <w:pPr>
        <w:pStyle w:val="a3"/>
        <w:spacing w:before="0" w:beforeAutospacing="0" w:after="0" w:afterAutospacing="0"/>
        <w:divId w:val="1628273808"/>
        <w:rPr>
          <w:sz w:val="20"/>
          <w:szCs w:val="20"/>
        </w:rPr>
      </w:pPr>
      <w:r>
        <w:rPr>
          <w:b/>
          <w:bCs/>
          <w:sz w:val="20"/>
          <w:szCs w:val="20"/>
        </w:rPr>
        <w:t>​</w:t>
      </w:r>
    </w:p>
    <w:p w:rsidR="00000000" w:rsidRDefault="00E52F77">
      <w:pPr>
        <w:pStyle w:val="a3"/>
        <w:spacing w:before="0" w:beforeAutospacing="0" w:after="120" w:afterAutospacing="0"/>
        <w:divId w:val="1628273808"/>
        <w:rPr>
          <w:sz w:val="20"/>
          <w:szCs w:val="20"/>
        </w:rPr>
      </w:pPr>
      <w:r>
        <w:rPr>
          <w:b/>
          <w:bCs/>
          <w:i/>
          <w:iCs/>
          <w:sz w:val="20"/>
          <w:szCs w:val="20"/>
        </w:rPr>
        <w:t xml:space="preserve">Skin-selective Pan-JAK inhibitor program </w:t>
      </w:r>
    </w:p>
    <w:p w:rsidR="00000000" w:rsidRDefault="00E52F77">
      <w:pPr>
        <w:pStyle w:val="a3"/>
        <w:spacing w:before="0" w:beforeAutospacing="0" w:after="0" w:afterAutospacing="0"/>
        <w:divId w:val="1628273808"/>
        <w:rPr>
          <w:sz w:val="20"/>
          <w:szCs w:val="20"/>
        </w:rPr>
      </w:pPr>
      <w:r>
        <w:rPr>
          <w:sz w:val="20"/>
          <w:szCs w:val="20"/>
        </w:rPr>
        <w:t xml:space="preserve">In December 2019, we entered into a global license agreement with Pfizer Inc. (“Pfizer”) for our preclinical skin-selective, locally-acting pan-JAK </w:t>
      </w:r>
      <w:r>
        <w:rPr>
          <w:sz w:val="20"/>
          <w:szCs w:val="20"/>
        </w:rPr>
        <w:t>inhibitor program (the “Pfizer Agreement”). The compounds in this program are designed to target validated pro-inflammatory pathways and are specifically designed to possess skin-selective activity with minimal systemic exposure.</w:t>
      </w:r>
    </w:p>
    <w:p w:rsidR="00000000" w:rsidRDefault="00E52F77">
      <w:pPr>
        <w:pStyle w:val="a3"/>
        <w:spacing w:before="0" w:beforeAutospacing="0" w:after="0" w:afterAutospacing="0"/>
        <w:divId w:val="1628273808"/>
        <w:rPr>
          <w:sz w:val="20"/>
          <w:szCs w:val="20"/>
        </w:rPr>
      </w:pPr>
      <w:r>
        <w:rPr>
          <w:sz w:val="20"/>
          <w:szCs w:val="20"/>
        </w:rPr>
        <w:t>​</w:t>
      </w:r>
    </w:p>
    <w:p w:rsidR="00000000" w:rsidRDefault="00E52F77">
      <w:pPr>
        <w:pStyle w:val="a3"/>
        <w:spacing w:before="0" w:beforeAutospacing="0" w:after="0" w:afterAutospacing="0"/>
        <w:ind w:firstLine="720"/>
        <w:divId w:val="1628273808"/>
        <w:rPr>
          <w:sz w:val="20"/>
          <w:szCs w:val="20"/>
        </w:rPr>
      </w:pPr>
      <w:r>
        <w:rPr>
          <w:sz w:val="20"/>
          <w:szCs w:val="20"/>
        </w:rPr>
        <w:t>Under the Pfizer Agreeme</w:t>
      </w:r>
      <w:r>
        <w:rPr>
          <w:sz w:val="20"/>
          <w:szCs w:val="20"/>
        </w:rPr>
        <w:t>nt, Pfizer has an exclusive license to develop, manufacture and commercialize certain compounds for all uses other than gastrointestinal, ophthalmic and respiratory applications. We received an upfront cash payment of $10.0 million and are eligible to rece</w:t>
      </w:r>
      <w:r>
        <w:rPr>
          <w:sz w:val="20"/>
          <w:szCs w:val="20"/>
        </w:rPr>
        <w:t xml:space="preserve">ive up to an additional $240.0 million in development and sales milestone payments from Pfizer. In addition, we are eligible to receive a tiered royalty on worldwide net sales of any potential products under the license at percentage royalty rates ranging </w:t>
      </w:r>
      <w:r>
        <w:rPr>
          <w:sz w:val="20"/>
          <w:szCs w:val="20"/>
        </w:rPr>
        <w:t>from middle single-digits to low double-digits.</w:t>
      </w:r>
    </w:p>
    <w:p w:rsidR="00000000" w:rsidRDefault="00E52F77">
      <w:pPr>
        <w:pStyle w:val="a3"/>
        <w:spacing w:before="360" w:beforeAutospacing="0" w:after="0" w:afterAutospacing="0"/>
        <w:jc w:val="center"/>
        <w:divId w:val="1603564785"/>
        <w:rPr>
          <w:sz w:val="20"/>
          <w:szCs w:val="20"/>
        </w:rPr>
      </w:pPr>
      <w:r>
        <w:rPr>
          <w:sz w:val="20"/>
          <w:szCs w:val="20"/>
        </w:rPr>
        <w:t>26</w:t>
      </w:r>
    </w:p>
    <w:p w:rsidR="00000000" w:rsidRDefault="00E52F77">
      <w:pPr>
        <w:pStyle w:val="a3"/>
        <w:spacing w:before="0" w:beforeAutospacing="0" w:after="600" w:afterAutospacing="0"/>
        <w:divId w:val="318924907"/>
        <w:rPr>
          <w:sz w:val="20"/>
          <w:szCs w:val="20"/>
        </w:rPr>
      </w:pPr>
      <w:hyperlink w:anchor="TOC" w:history="1">
        <w:r>
          <w:rPr>
            <w:rStyle w:val="a4"/>
            <w:sz w:val="20"/>
            <w:szCs w:val="20"/>
          </w:rPr>
          <w:t>Table of Contents</w:t>
        </w:r>
      </w:hyperlink>
    </w:p>
    <w:p w:rsidR="00000000" w:rsidRDefault="00E52F77">
      <w:pPr>
        <w:pStyle w:val="a3"/>
        <w:spacing w:before="0" w:beforeAutospacing="0" w:after="0" w:afterAutospacing="0"/>
        <w:divId w:val="1738698187"/>
        <w:rPr>
          <w:sz w:val="20"/>
          <w:szCs w:val="20"/>
        </w:rPr>
      </w:pPr>
      <w:r>
        <w:rPr>
          <w:b/>
          <w:bCs/>
          <w:sz w:val="20"/>
          <w:szCs w:val="20"/>
        </w:rPr>
        <w:t>​</w:t>
      </w:r>
    </w:p>
    <w:p w:rsidR="00000000" w:rsidRDefault="00E52F77">
      <w:pPr>
        <w:pStyle w:val="a3"/>
        <w:spacing w:before="0" w:beforeAutospacing="0" w:after="120" w:afterAutospacing="0"/>
        <w:divId w:val="1738698187"/>
        <w:rPr>
          <w:sz w:val="20"/>
          <w:szCs w:val="20"/>
        </w:rPr>
      </w:pPr>
      <w:r>
        <w:rPr>
          <w:b/>
          <w:bCs/>
          <w:sz w:val="20"/>
          <w:szCs w:val="20"/>
        </w:rPr>
        <w:t>Research Projects</w:t>
      </w:r>
    </w:p>
    <w:p w:rsidR="00000000" w:rsidRDefault="00E52F77">
      <w:pPr>
        <w:pStyle w:val="a3"/>
        <w:spacing w:before="0" w:beforeAutospacing="0" w:after="0" w:afterAutospacing="0"/>
        <w:ind w:firstLine="720"/>
        <w:divId w:val="1738698187"/>
        <w:rPr>
          <w:sz w:val="20"/>
          <w:szCs w:val="20"/>
        </w:rPr>
      </w:pPr>
      <w:r>
        <w:rPr>
          <w:sz w:val="20"/>
          <w:szCs w:val="20"/>
        </w:rPr>
        <w:t>Our research goal is to design organ-selective medicines that target diseased tissues, without systemic exposure, in order to maximize patien</w:t>
      </w:r>
      <w:r>
        <w:rPr>
          <w:sz w:val="20"/>
          <w:szCs w:val="20"/>
        </w:rPr>
        <w:t>t benefit and minimize risk. The intention is to expand the therapeutic index of our potential medicines compared to conventional systemic therapies. Our efforts leverage years of experience in developing lung-selective medicines, such as YUPELRI, to treat</w:t>
      </w:r>
      <w:r>
        <w:rPr>
          <w:sz w:val="20"/>
          <w:szCs w:val="20"/>
        </w:rPr>
        <w:t xml:space="preserve"> respiratory diseases, and have led to the discovery of the gut-selective pan-JAK inhibitor izencitinib and irreversible JAK3 inhibitor TD-5202 for inflammatory intestinal diseases and the lung-selective inhaled JAK inhibitor TD-8236 and nebulized pan JAK </w:t>
      </w:r>
      <w:r>
        <w:rPr>
          <w:sz w:val="20"/>
          <w:szCs w:val="20"/>
        </w:rPr>
        <w:t>inhibitor nezulcitinib in serious respiratory disease. We plan to advance towards the clinic other research projects with various mechanisms of action, each specifically tailored for the organ of interest, as we identify and validate potentially appropriat</w:t>
      </w:r>
      <w:r>
        <w:rPr>
          <w:sz w:val="20"/>
          <w:szCs w:val="20"/>
        </w:rPr>
        <w:t xml:space="preserve">e compounds. Our research is focused in the areas of inflammation and immunology, and our pipeline of internally discovered programs is targeted to address significant patient needs. </w:t>
      </w:r>
    </w:p>
    <w:p w:rsidR="00000000" w:rsidRDefault="00E52F77">
      <w:pPr>
        <w:pStyle w:val="a3"/>
        <w:spacing w:before="0" w:beforeAutospacing="0" w:after="0" w:afterAutospacing="0"/>
        <w:divId w:val="1738698187"/>
        <w:rPr>
          <w:sz w:val="20"/>
          <w:szCs w:val="20"/>
        </w:rPr>
      </w:pPr>
      <w:r>
        <w:rPr>
          <w:sz w:val="20"/>
          <w:szCs w:val="20"/>
        </w:rPr>
        <w:t>​</w:t>
      </w:r>
    </w:p>
    <w:p w:rsidR="00000000" w:rsidRDefault="00E52F77">
      <w:pPr>
        <w:pStyle w:val="a3"/>
        <w:spacing w:before="0" w:beforeAutospacing="0" w:after="0" w:afterAutospacing="0"/>
        <w:divId w:val="1738698187"/>
        <w:rPr>
          <w:sz w:val="20"/>
          <w:szCs w:val="20"/>
        </w:rPr>
      </w:pPr>
      <w:r>
        <w:rPr>
          <w:b/>
          <w:bCs/>
          <w:sz w:val="20"/>
          <w:szCs w:val="20"/>
        </w:rPr>
        <w:t>Critical Accounting Policies and Estimates</w:t>
      </w:r>
    </w:p>
    <w:p w:rsidR="00000000" w:rsidRDefault="00E52F77">
      <w:pPr>
        <w:pStyle w:val="a3"/>
        <w:spacing w:before="0" w:beforeAutospacing="0" w:after="0" w:afterAutospacing="0"/>
        <w:divId w:val="1738698187"/>
        <w:rPr>
          <w:sz w:val="20"/>
          <w:szCs w:val="20"/>
        </w:rPr>
      </w:pPr>
      <w:r>
        <w:rPr>
          <w:sz w:val="10"/>
          <w:szCs w:val="10"/>
        </w:rPr>
        <w:t>​</w:t>
      </w:r>
    </w:p>
    <w:p w:rsidR="00000000" w:rsidRDefault="00E52F77">
      <w:pPr>
        <w:pStyle w:val="a3"/>
        <w:spacing w:before="0" w:beforeAutospacing="0" w:after="0" w:afterAutospacing="0"/>
        <w:ind w:firstLine="720"/>
        <w:divId w:val="1738698187"/>
        <w:rPr>
          <w:sz w:val="20"/>
          <w:szCs w:val="20"/>
        </w:rPr>
      </w:pPr>
      <w:r>
        <w:rPr>
          <w:sz w:val="20"/>
          <w:szCs w:val="20"/>
        </w:rPr>
        <w:t>Our management’s discussi</w:t>
      </w:r>
      <w:r>
        <w:rPr>
          <w:sz w:val="20"/>
          <w:szCs w:val="20"/>
        </w:rPr>
        <w:t>on and analysis of our financial condition and results of operations is based on our consolidated financial statements, which have been prepared in accordance with US generally accepted accounting principles (“GAAP”). The preparation of these financial sta</w:t>
      </w:r>
      <w:r>
        <w:rPr>
          <w:sz w:val="20"/>
          <w:szCs w:val="20"/>
        </w:rPr>
        <w:t xml:space="preserve">tements requires us to make estimates and assumptions that affect the reported amounts of assets and liabilities and the disclosure of contingent assets and liabilities at the date of the financial statements, as well as the reported revenue generated and </w:t>
      </w:r>
      <w:r>
        <w:rPr>
          <w:sz w:val="20"/>
          <w:szCs w:val="20"/>
        </w:rPr>
        <w:t>expenses incurred during the reporting periods. Our estimates are based on our historical experience and on various other factors that we believe are reasonable under the circumstances, the results of which form the basis for making judgments about the car</w:t>
      </w:r>
      <w:r>
        <w:rPr>
          <w:sz w:val="20"/>
          <w:szCs w:val="20"/>
        </w:rPr>
        <w:t>rying value of assets and liabilities, revenue recognition and clinical trial expenses that are not readily apparent from other sources. The full extent to which the COVID-19 pandemic will directly or indirectly impact our business, results of operations a</w:t>
      </w:r>
      <w:r>
        <w:rPr>
          <w:sz w:val="20"/>
          <w:szCs w:val="20"/>
        </w:rPr>
        <w:t>nd financial condition, including these estimates, will depend on future developments that are highly uncertain and may be impacted by the emergence of new information concerning the COVID-19 pandemic, ongoing spread of the disease across the US and the gl</w:t>
      </w:r>
      <w:r>
        <w:rPr>
          <w:sz w:val="20"/>
          <w:szCs w:val="20"/>
        </w:rPr>
        <w:t xml:space="preserve">obe, and the actions taken to contain or treat the disease, including vaccine availability, distribution, acceptance and effectiveness. There have been no material changes to the critical accounting policies and estimates discussed in our Annual Report on </w:t>
      </w:r>
      <w:r>
        <w:rPr>
          <w:sz w:val="20"/>
          <w:szCs w:val="20"/>
        </w:rPr>
        <w:t>Form 10-K for the year ended December 31, 2020.</w:t>
      </w:r>
    </w:p>
    <w:p w:rsidR="00000000" w:rsidRDefault="00E52F77">
      <w:pPr>
        <w:pStyle w:val="a3"/>
        <w:spacing w:before="0" w:beforeAutospacing="0" w:after="0" w:afterAutospacing="0"/>
        <w:divId w:val="1738698187"/>
        <w:rPr>
          <w:sz w:val="20"/>
          <w:szCs w:val="20"/>
        </w:rPr>
      </w:pPr>
      <w:r>
        <w:rPr>
          <w:sz w:val="20"/>
          <w:szCs w:val="20"/>
        </w:rPr>
        <w:t>​</w:t>
      </w:r>
    </w:p>
    <w:p w:rsidR="00000000" w:rsidRDefault="00E52F77">
      <w:pPr>
        <w:pStyle w:val="a3"/>
        <w:spacing w:before="0" w:beforeAutospacing="0" w:after="0" w:afterAutospacing="0"/>
        <w:divId w:val="1738698187"/>
        <w:rPr>
          <w:sz w:val="20"/>
          <w:szCs w:val="20"/>
        </w:rPr>
      </w:pPr>
      <w:r>
        <w:rPr>
          <w:b/>
          <w:bCs/>
          <w:sz w:val="20"/>
          <w:szCs w:val="20"/>
        </w:rPr>
        <w:t xml:space="preserve">Results of Operations </w:t>
      </w:r>
    </w:p>
    <w:p w:rsidR="00000000" w:rsidRDefault="00E52F77">
      <w:pPr>
        <w:pStyle w:val="a3"/>
        <w:spacing w:before="0" w:beforeAutospacing="0" w:after="0" w:afterAutospacing="0"/>
        <w:divId w:val="1738698187"/>
        <w:rPr>
          <w:sz w:val="20"/>
          <w:szCs w:val="20"/>
        </w:rPr>
      </w:pPr>
      <w:r>
        <w:rPr>
          <w:b/>
          <w:bCs/>
          <w:sz w:val="10"/>
          <w:szCs w:val="10"/>
        </w:rPr>
        <w:t>​</w:t>
      </w:r>
    </w:p>
    <w:p w:rsidR="00000000" w:rsidRDefault="00E52F77">
      <w:pPr>
        <w:pStyle w:val="a3"/>
        <w:spacing w:before="0" w:beforeAutospacing="0" w:after="0" w:afterAutospacing="0"/>
        <w:divId w:val="1738698187"/>
        <w:rPr>
          <w:sz w:val="20"/>
          <w:szCs w:val="20"/>
        </w:rPr>
      </w:pPr>
      <w:r>
        <w:rPr>
          <w:b/>
          <w:bCs/>
          <w:i/>
          <w:iCs/>
          <w:sz w:val="20"/>
          <w:szCs w:val="20"/>
        </w:rPr>
        <w:t>Revenue</w:t>
      </w:r>
    </w:p>
    <w:p w:rsidR="00000000" w:rsidRDefault="00E52F77">
      <w:pPr>
        <w:pStyle w:val="a3"/>
        <w:spacing w:before="0" w:beforeAutospacing="0" w:after="0" w:afterAutospacing="0"/>
        <w:divId w:val="1738698187"/>
        <w:rPr>
          <w:sz w:val="20"/>
          <w:szCs w:val="20"/>
        </w:rPr>
      </w:pPr>
      <w:r>
        <w:rPr>
          <w:b/>
          <w:bCs/>
          <w:sz w:val="10"/>
          <w:szCs w:val="10"/>
        </w:rPr>
        <w:t>​</w:t>
      </w:r>
    </w:p>
    <w:p w:rsidR="00000000" w:rsidRDefault="00E52F77">
      <w:pPr>
        <w:pStyle w:val="a3"/>
        <w:spacing w:before="0" w:beforeAutospacing="0" w:after="0" w:afterAutospacing="0"/>
        <w:ind w:firstLine="720"/>
        <w:divId w:val="1738698187"/>
        <w:rPr>
          <w:sz w:val="20"/>
          <w:szCs w:val="20"/>
        </w:rPr>
      </w:pPr>
      <w:r>
        <w:rPr>
          <w:sz w:val="20"/>
          <w:szCs w:val="20"/>
        </w:rPr>
        <w:t>Revenue, as compared to the comparable periods in the prior year, was as follows:</w:t>
      </w:r>
    </w:p>
    <w:p w:rsidR="00000000" w:rsidRDefault="00E52F77">
      <w:pPr>
        <w:pStyle w:val="a3"/>
        <w:spacing w:before="0" w:beforeAutospacing="0" w:after="0" w:afterAutospacing="0"/>
        <w:ind w:firstLine="720"/>
        <w:divId w:val="1738698187"/>
        <w:rPr>
          <w:sz w:val="20"/>
          <w:szCs w:val="20"/>
        </w:rPr>
      </w:pPr>
      <w:r>
        <w:rPr>
          <w:sz w:val="20"/>
          <w:szCs w:val="20"/>
        </w:rPr>
        <w:t>​</w:t>
      </w:r>
    </w:p>
    <w:tbl>
      <w:tblPr>
        <w:tblW w:w="5003" w:type="pct"/>
        <w:tblCellMar>
          <w:top w:w="15" w:type="dxa"/>
          <w:left w:w="0" w:type="dxa"/>
          <w:bottom w:w="15" w:type="dxa"/>
          <w:right w:w="0" w:type="dxa"/>
        </w:tblCellMar>
        <w:tblLook w:val="04A0" w:firstRow="1" w:lastRow="0" w:firstColumn="1" w:lastColumn="0" w:noHBand="0" w:noVBand="1"/>
      </w:tblPr>
      <w:tblGrid>
        <w:gridCol w:w="1293"/>
        <w:gridCol w:w="80"/>
        <w:gridCol w:w="120"/>
        <w:gridCol w:w="876"/>
        <w:gridCol w:w="117"/>
        <w:gridCol w:w="117"/>
        <w:gridCol w:w="877"/>
        <w:gridCol w:w="80"/>
        <w:gridCol w:w="100"/>
        <w:gridCol w:w="584"/>
        <w:gridCol w:w="80"/>
        <w:gridCol w:w="334"/>
        <w:gridCol w:w="267"/>
        <w:gridCol w:w="80"/>
        <w:gridCol w:w="110"/>
        <w:gridCol w:w="793"/>
        <w:gridCol w:w="107"/>
        <w:gridCol w:w="107"/>
        <w:gridCol w:w="795"/>
        <w:gridCol w:w="80"/>
        <w:gridCol w:w="100"/>
        <w:gridCol w:w="584"/>
        <w:gridCol w:w="80"/>
        <w:gridCol w:w="383"/>
        <w:gridCol w:w="167"/>
      </w:tblGrid>
      <w:tr w:rsidR="00000000">
        <w:trPr>
          <w:divId w:val="1738698187"/>
          <w:trHeight w:val="20"/>
        </w:trPr>
        <w:tc>
          <w:tcPr>
            <w:tcW w:w="1446" w:type="pct"/>
            <w:tcMar>
              <w:top w:w="0" w:type="dxa"/>
              <w:left w:w="0" w:type="dxa"/>
              <w:bottom w:w="0" w:type="dxa"/>
              <w:right w:w="0" w:type="dxa"/>
            </w:tcMar>
            <w:vAlign w:val="bottom"/>
            <w:hideMark/>
          </w:tcPr>
          <w:p w:rsidR="00000000" w:rsidRDefault="00E52F77">
            <w:pPr>
              <w:pStyle w:val="a3"/>
              <w:spacing w:before="0" w:beforeAutospacing="0" w:after="0" w:afterAutospacing="0"/>
              <w:divId w:val="180977461"/>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476874591"/>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64245196"/>
              <w:rPr>
                <w:sz w:val="20"/>
                <w:szCs w:val="20"/>
              </w:rPr>
            </w:pPr>
            <w:r>
              <w:rPr>
                <w:sz w:val="2"/>
                <w:szCs w:val="2"/>
              </w:rPr>
              <w:t>​</w:t>
            </w:r>
          </w:p>
        </w:tc>
        <w:tc>
          <w:tcPr>
            <w:tcW w:w="43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799565494"/>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27359974"/>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420758936"/>
              <w:rPr>
                <w:sz w:val="20"/>
                <w:szCs w:val="20"/>
              </w:rPr>
            </w:pPr>
            <w:r>
              <w:rPr>
                <w:sz w:val="2"/>
                <w:szCs w:val="2"/>
              </w:rPr>
              <w:t>​</w:t>
            </w:r>
          </w:p>
        </w:tc>
        <w:tc>
          <w:tcPr>
            <w:tcW w:w="43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65760813"/>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886405211"/>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702708952"/>
              <w:rPr>
                <w:sz w:val="20"/>
                <w:szCs w:val="20"/>
              </w:rPr>
            </w:pPr>
            <w:r>
              <w:rPr>
                <w:sz w:val="2"/>
                <w:szCs w:val="2"/>
              </w:rPr>
              <w:t>​</w:t>
            </w:r>
          </w:p>
        </w:tc>
        <w:tc>
          <w:tcPr>
            <w:tcW w:w="314"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889849372"/>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657802012"/>
              <w:rPr>
                <w:sz w:val="20"/>
                <w:szCs w:val="20"/>
              </w:rPr>
            </w:pPr>
            <w:r>
              <w:rPr>
                <w:sz w:val="2"/>
                <w:szCs w:val="2"/>
              </w:rPr>
              <w:t>​</w:t>
            </w:r>
          </w:p>
        </w:tc>
        <w:tc>
          <w:tcPr>
            <w:tcW w:w="190"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886285921"/>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652368770"/>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539775838"/>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562983806"/>
              <w:rPr>
                <w:sz w:val="20"/>
                <w:szCs w:val="20"/>
              </w:rPr>
            </w:pPr>
            <w:r>
              <w:rPr>
                <w:sz w:val="2"/>
                <w:szCs w:val="2"/>
              </w:rPr>
              <w:t>​</w:t>
            </w:r>
          </w:p>
        </w:tc>
        <w:tc>
          <w:tcPr>
            <w:tcW w:w="39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378169596"/>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55789458"/>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30157765"/>
              <w:rPr>
                <w:sz w:val="20"/>
                <w:szCs w:val="20"/>
              </w:rPr>
            </w:pPr>
            <w:r>
              <w:rPr>
                <w:sz w:val="2"/>
                <w:szCs w:val="2"/>
              </w:rPr>
              <w:t>​</w:t>
            </w:r>
          </w:p>
        </w:tc>
        <w:tc>
          <w:tcPr>
            <w:tcW w:w="39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383560344"/>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619605368"/>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956832100"/>
              <w:rPr>
                <w:sz w:val="20"/>
                <w:szCs w:val="20"/>
              </w:rPr>
            </w:pPr>
            <w:r>
              <w:rPr>
                <w:sz w:val="2"/>
                <w:szCs w:val="2"/>
              </w:rPr>
              <w:t>​</w:t>
            </w:r>
          </w:p>
        </w:tc>
        <w:tc>
          <w:tcPr>
            <w:tcW w:w="314"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170101094"/>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985470879"/>
              <w:rPr>
                <w:sz w:val="20"/>
                <w:szCs w:val="20"/>
              </w:rPr>
            </w:pPr>
            <w:r>
              <w:rPr>
                <w:sz w:val="2"/>
                <w:szCs w:val="2"/>
              </w:rPr>
              <w:t>​</w:t>
            </w:r>
          </w:p>
        </w:tc>
        <w:tc>
          <w:tcPr>
            <w:tcW w:w="190"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05901138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527133038"/>
              <w:rPr>
                <w:sz w:val="20"/>
                <w:szCs w:val="20"/>
              </w:rPr>
            </w:pPr>
            <w:r>
              <w:rPr>
                <w:sz w:val="2"/>
                <w:szCs w:val="2"/>
              </w:rPr>
              <w:t>​</w:t>
            </w:r>
          </w:p>
        </w:tc>
      </w:tr>
      <w:tr w:rsidR="00000000">
        <w:trPr>
          <w:divId w:val="1738698187"/>
        </w:trPr>
        <w:tc>
          <w:tcPr>
            <w:tcW w:w="1446"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1044" w:type="pct"/>
            <w:gridSpan w:val="5"/>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Three Months Ended June 30, </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593" w:type="pct"/>
            <w:gridSpan w:val="4"/>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Change</w:t>
            </w:r>
          </w:p>
        </w:tc>
        <w:tc>
          <w:tcPr>
            <w:tcW w:w="132"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947" w:type="pct"/>
            <w:gridSpan w:val="5"/>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Six Months Ended June 30, </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593" w:type="pct"/>
            <w:gridSpan w:val="4"/>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Change</w:t>
            </w:r>
          </w:p>
        </w:tc>
        <w:tc>
          <w:tcPr>
            <w:tcW w:w="82"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r>
      <w:tr w:rsidR="00000000">
        <w:trPr>
          <w:divId w:val="1738698187"/>
        </w:trPr>
        <w:tc>
          <w:tcPr>
            <w:tcW w:w="1446" w:type="pct"/>
            <w:tcBorders>
              <w:bottom w:val="single" w:sz="6" w:space="0" w:color="000000"/>
            </w:tcBorders>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(In thousands)</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493"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2021</w:t>
            </w:r>
          </w:p>
        </w:tc>
        <w:tc>
          <w:tcPr>
            <w:tcW w:w="58"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2020</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363"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190"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w:t>
            </w:r>
          </w:p>
        </w:tc>
        <w:tc>
          <w:tcPr>
            <w:tcW w:w="132"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2021</w:t>
            </w:r>
          </w:p>
        </w:tc>
        <w:tc>
          <w:tcPr>
            <w:tcW w:w="53"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2020</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363"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190"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w:t>
            </w:r>
          </w:p>
        </w:tc>
        <w:tc>
          <w:tcPr>
            <w:tcW w:w="82"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16"/>
                <w:szCs w:val="16"/>
              </w:rPr>
              <w:t>​</w:t>
            </w:r>
          </w:p>
        </w:tc>
      </w:tr>
      <w:tr w:rsidR="00000000">
        <w:trPr>
          <w:divId w:val="1738698187"/>
        </w:trPr>
        <w:tc>
          <w:tcPr>
            <w:tcW w:w="1446"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Collaboration revenue</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3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1,98</w:t>
            </w:r>
            <w:r>
              <w:rPr>
                <w:sz w:val="20"/>
                <w:szCs w:val="20"/>
              </w:rPr>
              <w:t>0</w:t>
            </w:r>
          </w:p>
        </w:tc>
        <w:tc>
          <w:tcPr>
            <w:tcW w:w="5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3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5,48</w:t>
            </w:r>
            <w:r>
              <w:rPr>
                <w:sz w:val="20"/>
                <w:szCs w:val="20"/>
              </w:rPr>
              <w:t>8</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(3,508</w:t>
            </w: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19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(64</w:t>
            </w:r>
            <w:r>
              <w:rPr>
                <w:sz w:val="20"/>
                <w:szCs w:val="20"/>
              </w:rPr>
              <w:t>)</w:t>
            </w:r>
          </w:p>
        </w:tc>
        <w:tc>
          <w:tcPr>
            <w:tcW w:w="13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  </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9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5,85</w:t>
            </w:r>
            <w:r>
              <w:rPr>
                <w:sz w:val="20"/>
                <w:szCs w:val="20"/>
              </w:rPr>
              <w:t>2</w:t>
            </w:r>
          </w:p>
        </w:tc>
        <w:tc>
          <w:tcPr>
            <w:tcW w:w="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9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12,12</w:t>
            </w:r>
            <w:r>
              <w:rPr>
                <w:sz w:val="20"/>
                <w:szCs w:val="20"/>
              </w:rPr>
              <w:t>0</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(6,268</w:t>
            </w: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19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(52</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r>
      <w:tr w:rsidR="00000000">
        <w:trPr>
          <w:divId w:val="1738698187"/>
        </w:trPr>
        <w:tc>
          <w:tcPr>
            <w:tcW w:w="1446"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Licensing revenue</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33"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33"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14"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190"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w:t>
            </w:r>
          </w:p>
        </w:tc>
        <w:tc>
          <w:tcPr>
            <w:tcW w:w="132"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93"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93"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1,50</w:t>
            </w:r>
            <w:r>
              <w:rPr>
                <w:sz w:val="20"/>
                <w:szCs w:val="20"/>
              </w:rPr>
              <w:t>0</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14"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(1,500</w:t>
            </w:r>
            <w:r>
              <w:rPr>
                <w:sz w:val="20"/>
                <w:szCs w:val="20"/>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190"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NM</w:t>
            </w:r>
          </w:p>
        </w:tc>
        <w:tc>
          <w:tcPr>
            <w:tcW w:w="82"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r>
      <w:tr w:rsidR="00000000">
        <w:trPr>
          <w:divId w:val="1738698187"/>
        </w:trPr>
        <w:tc>
          <w:tcPr>
            <w:tcW w:w="1446"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Viatris collaboration agreement</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 </w:t>
            </w:r>
          </w:p>
        </w:tc>
        <w:tc>
          <w:tcPr>
            <w:tcW w:w="43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10,93</w:t>
            </w:r>
            <w:r>
              <w:rPr>
                <w:sz w:val="20"/>
                <w:szCs w:val="20"/>
              </w:rPr>
              <w:t>4</w:t>
            </w:r>
          </w:p>
        </w:tc>
        <w:tc>
          <w:tcPr>
            <w:tcW w:w="5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 </w:t>
            </w:r>
          </w:p>
        </w:tc>
        <w:tc>
          <w:tcPr>
            <w:tcW w:w="43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9,52</w:t>
            </w:r>
            <w:r>
              <w:rPr>
                <w:sz w:val="20"/>
                <w:szCs w:val="20"/>
              </w:rPr>
              <w:t>0</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1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1,41</w:t>
            </w:r>
            <w:r>
              <w:rPr>
                <w:sz w:val="20"/>
                <w:szCs w:val="20"/>
              </w:rPr>
              <w:t>4</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1</w:t>
            </w:r>
            <w:r>
              <w:rPr>
                <w:sz w:val="20"/>
                <w:szCs w:val="20"/>
              </w:rPr>
              <w:t>5</w:t>
            </w:r>
          </w:p>
        </w:tc>
        <w:tc>
          <w:tcPr>
            <w:tcW w:w="13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 </w:t>
            </w:r>
          </w:p>
        </w:tc>
        <w:tc>
          <w:tcPr>
            <w:tcW w:w="3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21,31</w:t>
            </w:r>
            <w:r>
              <w:rPr>
                <w:sz w:val="20"/>
                <w:szCs w:val="20"/>
              </w:rPr>
              <w:t>9</w:t>
            </w:r>
          </w:p>
        </w:tc>
        <w:tc>
          <w:tcPr>
            <w:tcW w:w="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 </w:t>
            </w:r>
          </w:p>
        </w:tc>
        <w:tc>
          <w:tcPr>
            <w:tcW w:w="3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21,25</w:t>
            </w:r>
            <w:r>
              <w:rPr>
                <w:sz w:val="20"/>
                <w:szCs w:val="20"/>
              </w:rPr>
              <w:t>0</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1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6</w:t>
            </w:r>
            <w:r>
              <w:rPr>
                <w:sz w:val="20"/>
                <w:szCs w:val="20"/>
              </w:rPr>
              <w:t>9</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0</w:t>
            </w:r>
          </w:p>
        </w:tc>
        <w:tc>
          <w:tcPr>
            <w:tcW w:w="8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r>
      <w:tr w:rsidR="00000000">
        <w:trPr>
          <w:divId w:val="1738698187"/>
        </w:trPr>
        <w:tc>
          <w:tcPr>
            <w:tcW w:w="1446" w:type="pct"/>
            <w:tcMar>
              <w:top w:w="0" w:type="dxa"/>
              <w:left w:w="0" w:type="dxa"/>
              <w:bottom w:w="0" w:type="dxa"/>
              <w:right w:w="0" w:type="dxa"/>
            </w:tcMar>
            <w:vAlign w:val="bottom"/>
            <w:hideMark/>
          </w:tcPr>
          <w:p w:rsidR="00000000" w:rsidRDefault="00E52F77">
            <w:pPr>
              <w:pStyle w:val="a3"/>
              <w:spacing w:before="0" w:beforeAutospacing="0" w:after="0" w:afterAutospacing="0"/>
              <w:ind w:left="120"/>
              <w:rPr>
                <w:sz w:val="20"/>
                <w:szCs w:val="20"/>
              </w:rPr>
            </w:pPr>
            <w:r>
              <w:rPr>
                <w:sz w:val="20"/>
                <w:szCs w:val="20"/>
              </w:rPr>
              <w:t>Total revenue</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59"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33"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12,91</w:t>
            </w:r>
            <w:r>
              <w:rPr>
                <w:sz w:val="20"/>
                <w:szCs w:val="20"/>
              </w:rPr>
              <w:t>4</w:t>
            </w:r>
          </w:p>
        </w:tc>
        <w:tc>
          <w:tcPr>
            <w:tcW w:w="5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58"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33"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15,00</w:t>
            </w:r>
            <w:r>
              <w:rPr>
                <w:sz w:val="20"/>
                <w:szCs w:val="20"/>
              </w:rPr>
              <w:t>8</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14"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(2,094</w:t>
            </w:r>
            <w:r>
              <w:rPr>
                <w:sz w:val="20"/>
                <w:szCs w:val="20"/>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190"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(14</w:t>
            </w:r>
            <w:r>
              <w:rPr>
                <w:sz w:val="20"/>
                <w:szCs w:val="20"/>
              </w:rPr>
              <w:t>)</w:t>
            </w:r>
          </w:p>
        </w:tc>
        <w:tc>
          <w:tcPr>
            <w:tcW w:w="132"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  </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54"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93"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27,17</w:t>
            </w:r>
            <w:r>
              <w:rPr>
                <w:sz w:val="20"/>
                <w:szCs w:val="20"/>
              </w:rPr>
              <w:t>1</w:t>
            </w:r>
          </w:p>
        </w:tc>
        <w:tc>
          <w:tcPr>
            <w:tcW w:w="53"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53"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93"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34,87</w:t>
            </w:r>
            <w:r>
              <w:rPr>
                <w:sz w:val="20"/>
                <w:szCs w:val="20"/>
              </w:rPr>
              <w:t>0</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14"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(7,699</w:t>
            </w:r>
            <w:r>
              <w:rPr>
                <w:sz w:val="20"/>
                <w:szCs w:val="20"/>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190" w:type="pct"/>
            <w:tcBorders>
              <w:bottom w:val="doub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(22</w:t>
            </w:r>
            <w:r>
              <w:rPr>
                <w:sz w:val="20"/>
                <w:szCs w:val="20"/>
              </w:rPr>
              <w:t>)</w:t>
            </w:r>
          </w:p>
        </w:tc>
        <w:tc>
          <w:tcPr>
            <w:tcW w:w="82"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r>
    </w:tbl>
    <w:p w:rsidR="00000000" w:rsidRDefault="00E52F77">
      <w:pPr>
        <w:pStyle w:val="a3"/>
        <w:spacing w:before="0" w:beforeAutospacing="0" w:after="0" w:afterAutospacing="0"/>
        <w:divId w:val="1738698187"/>
        <w:rPr>
          <w:sz w:val="20"/>
          <w:szCs w:val="20"/>
        </w:rPr>
      </w:pPr>
      <w:r>
        <w:rPr>
          <w:sz w:val="20"/>
          <w:szCs w:val="20"/>
        </w:rPr>
        <w:t>NM: Not Meaningful</w:t>
      </w:r>
    </w:p>
    <w:p w:rsidR="00000000" w:rsidRDefault="00E52F77">
      <w:pPr>
        <w:pStyle w:val="a3"/>
        <w:spacing w:before="0" w:beforeAutospacing="0" w:after="0" w:afterAutospacing="0"/>
        <w:divId w:val="1738698187"/>
        <w:rPr>
          <w:sz w:val="20"/>
          <w:szCs w:val="20"/>
        </w:rPr>
      </w:pPr>
      <w:r>
        <w:rPr>
          <w:sz w:val="20"/>
          <w:szCs w:val="20"/>
        </w:rPr>
        <w:t>​</w:t>
      </w:r>
    </w:p>
    <w:p w:rsidR="00000000" w:rsidRDefault="00E52F77">
      <w:pPr>
        <w:pStyle w:val="a3"/>
        <w:spacing w:before="0" w:beforeAutospacing="0" w:after="0" w:afterAutospacing="0"/>
        <w:ind w:firstLine="720"/>
        <w:divId w:val="1738698187"/>
        <w:rPr>
          <w:sz w:val="20"/>
          <w:szCs w:val="20"/>
        </w:rPr>
      </w:pPr>
      <w:r>
        <w:rPr>
          <w:sz w:val="20"/>
          <w:szCs w:val="20"/>
        </w:rPr>
        <w:t>Collaboration revenue decreased by $3.5 million and $6.3 million for the three and six months ended June 30, 2021 compared to the same periods in 2020. Collaboration revenue was primarily comprised of revenue recognized related to the $100.0 million upfron</w:t>
      </w:r>
      <w:r>
        <w:rPr>
          <w:sz w:val="20"/>
          <w:szCs w:val="20"/>
        </w:rPr>
        <w:t>t payment received in 2018 pursuant to the Janssen collaboration agreement that was entered into in February 2018. Janssen collaboration revenue is recognized for the research and development services we performed during the period based on a measure of ou</w:t>
      </w:r>
      <w:r>
        <w:rPr>
          <w:sz w:val="20"/>
          <w:szCs w:val="20"/>
        </w:rPr>
        <w:t>r efforts toward satisfying the performance obligation relative to the total expected efforts or inputs to satisfy the performance obligation (e.g., costs incurred compared to total budgeted costs). The $3.5 million and $6.3 million decreases in collaborat</w:t>
      </w:r>
      <w:r>
        <w:rPr>
          <w:sz w:val="20"/>
          <w:szCs w:val="20"/>
        </w:rPr>
        <w:t>ion revenue compared to the prior year periods reflect the reduction of costs incurred to satisfy the remaining performance obligation as we progress towards the completion of Phase 2 study enrollment and subsequent expected data read outs in the third qua</w:t>
      </w:r>
      <w:r>
        <w:rPr>
          <w:sz w:val="20"/>
          <w:szCs w:val="20"/>
        </w:rPr>
        <w:t>rter of 2021 for ulcerative colitis and in late fourth quarter of 2021 or early first quarter of 2022 for Crohn’s disease.</w:t>
      </w:r>
    </w:p>
    <w:p w:rsidR="00000000" w:rsidRDefault="00E52F77">
      <w:pPr>
        <w:pStyle w:val="a3"/>
        <w:spacing w:before="360" w:beforeAutospacing="0" w:after="0" w:afterAutospacing="0"/>
        <w:jc w:val="center"/>
        <w:divId w:val="460271615"/>
        <w:rPr>
          <w:sz w:val="20"/>
          <w:szCs w:val="20"/>
        </w:rPr>
      </w:pPr>
      <w:r>
        <w:rPr>
          <w:sz w:val="20"/>
          <w:szCs w:val="20"/>
        </w:rPr>
        <w:t>27</w:t>
      </w:r>
    </w:p>
    <w:p w:rsidR="00000000" w:rsidRDefault="00E52F77">
      <w:pPr>
        <w:pStyle w:val="a3"/>
        <w:spacing w:before="0" w:beforeAutospacing="0" w:after="600" w:afterAutospacing="0"/>
        <w:divId w:val="2127500785"/>
        <w:rPr>
          <w:sz w:val="20"/>
          <w:szCs w:val="20"/>
        </w:rPr>
      </w:pPr>
      <w:hyperlink w:anchor="TOC" w:history="1">
        <w:r>
          <w:rPr>
            <w:rStyle w:val="a4"/>
            <w:sz w:val="20"/>
            <w:szCs w:val="20"/>
          </w:rPr>
          <w:t>Table of Contents</w:t>
        </w:r>
      </w:hyperlink>
    </w:p>
    <w:p w:rsidR="00000000" w:rsidRDefault="00E52F77">
      <w:pPr>
        <w:pStyle w:val="a3"/>
        <w:spacing w:before="0" w:beforeAutospacing="0" w:after="0" w:afterAutospacing="0"/>
        <w:ind w:firstLine="720"/>
        <w:divId w:val="1016033886"/>
        <w:rPr>
          <w:sz w:val="20"/>
          <w:szCs w:val="20"/>
        </w:rPr>
      </w:pPr>
      <w:r>
        <w:rPr>
          <w:sz w:val="20"/>
          <w:szCs w:val="20"/>
        </w:rPr>
        <w:t>​</w:t>
      </w:r>
    </w:p>
    <w:p w:rsidR="00000000" w:rsidRDefault="00E52F77">
      <w:pPr>
        <w:pStyle w:val="a3"/>
        <w:spacing w:before="0" w:beforeAutospacing="0" w:after="0" w:afterAutospacing="0"/>
        <w:ind w:firstLine="720"/>
        <w:divId w:val="1016033886"/>
        <w:rPr>
          <w:sz w:val="20"/>
          <w:szCs w:val="20"/>
        </w:rPr>
      </w:pPr>
      <w:r>
        <w:rPr>
          <w:sz w:val="20"/>
          <w:szCs w:val="20"/>
        </w:rPr>
        <w:t>Licensing revenue decreased by $1.5 million for the six months ended June 30, 2021 c</w:t>
      </w:r>
      <w:r>
        <w:rPr>
          <w:sz w:val="20"/>
          <w:szCs w:val="20"/>
        </w:rPr>
        <w:t xml:space="preserve">ompared to the same period in 2020. The $1.5 million recognized in the prior year period represented the achievement of a </w:t>
      </w:r>
      <w:r>
        <w:rPr>
          <w:sz w:val="20"/>
          <w:szCs w:val="20"/>
          <w:shd w:val="clear" w:color="auto" w:fill="FFFFFF"/>
        </w:rPr>
        <w:t xml:space="preserve">milestone related to the acceptance of a clinical trial application </w:t>
      </w:r>
      <w:r>
        <w:rPr>
          <w:sz w:val="20"/>
          <w:szCs w:val="20"/>
        </w:rPr>
        <w:t>associated with our Viatris agreement for the commercialization an</w:t>
      </w:r>
      <w:r>
        <w:rPr>
          <w:sz w:val="20"/>
          <w:szCs w:val="20"/>
        </w:rPr>
        <w:t>d development r</w:t>
      </w:r>
      <w:r>
        <w:rPr>
          <w:sz w:val="20"/>
          <w:szCs w:val="20"/>
          <w:shd w:val="clear" w:color="auto" w:fill="FFFFFF"/>
        </w:rPr>
        <w:t xml:space="preserve">ights of nebulized revefenacin </w:t>
      </w:r>
      <w:r>
        <w:rPr>
          <w:sz w:val="20"/>
          <w:szCs w:val="20"/>
        </w:rPr>
        <w:t xml:space="preserve">in China </w:t>
      </w:r>
      <w:r>
        <w:rPr>
          <w:sz w:val="20"/>
          <w:szCs w:val="20"/>
          <w:shd w:val="clear" w:color="auto" w:fill="FFFFFF"/>
        </w:rPr>
        <w:t>and the adjacent territories</w:t>
      </w:r>
      <w:r>
        <w:rPr>
          <w:sz w:val="20"/>
          <w:szCs w:val="20"/>
        </w:rPr>
        <w:t>.</w:t>
      </w:r>
    </w:p>
    <w:p w:rsidR="00000000" w:rsidRDefault="00E52F77">
      <w:pPr>
        <w:pStyle w:val="a3"/>
        <w:spacing w:before="0" w:beforeAutospacing="0" w:after="0" w:afterAutospacing="0"/>
        <w:divId w:val="1016033886"/>
        <w:rPr>
          <w:sz w:val="20"/>
          <w:szCs w:val="20"/>
        </w:rPr>
      </w:pPr>
      <w:r>
        <w:rPr>
          <w:sz w:val="20"/>
          <w:szCs w:val="20"/>
        </w:rPr>
        <w:t>​</w:t>
      </w:r>
    </w:p>
    <w:p w:rsidR="00000000" w:rsidRDefault="00E52F77">
      <w:pPr>
        <w:pStyle w:val="a3"/>
        <w:spacing w:before="0" w:beforeAutospacing="0" w:after="0" w:afterAutospacing="0"/>
        <w:ind w:firstLine="720"/>
        <w:divId w:val="1016033886"/>
        <w:rPr>
          <w:sz w:val="20"/>
          <w:szCs w:val="20"/>
        </w:rPr>
      </w:pPr>
      <w:r>
        <w:rPr>
          <w:sz w:val="20"/>
          <w:szCs w:val="20"/>
        </w:rPr>
        <w:t xml:space="preserve">We are entitled to a share of US profits and losses (65% to Viatris; 35% to Theravance Biopharma) received in connection with commercialization of YUPELRI. </w:t>
      </w:r>
      <w:r>
        <w:rPr>
          <w:sz w:val="20"/>
          <w:szCs w:val="20"/>
          <w:shd w:val="clear" w:color="auto" w:fill="FFFFFF"/>
        </w:rPr>
        <w:t>In accordance</w:t>
      </w:r>
      <w:r>
        <w:rPr>
          <w:sz w:val="20"/>
          <w:szCs w:val="20"/>
          <w:shd w:val="clear" w:color="auto" w:fill="FFFFFF"/>
        </w:rPr>
        <w:t xml:space="preserve"> with the applicable accounting guidance, amounts receivable</w:t>
      </w:r>
      <w:r>
        <w:rPr>
          <w:sz w:val="20"/>
          <w:szCs w:val="20"/>
        </w:rPr>
        <w:t xml:space="preserve"> from Viatris in connection with the commercialization of YUPELRI are recorded within the condensed consolidated statements of operations as revenue from “Viatris collaboration agreement” irrespec</w:t>
      </w:r>
      <w:r>
        <w:rPr>
          <w:sz w:val="20"/>
          <w:szCs w:val="20"/>
        </w:rPr>
        <w:t>tive of whether the overall collaboration is profitable. A</w:t>
      </w:r>
      <w:r>
        <w:rPr>
          <w:sz w:val="20"/>
          <w:szCs w:val="20"/>
          <w:shd w:val="clear" w:color="auto" w:fill="FFFFFF"/>
        </w:rPr>
        <w:t>mounts payable to Viatris in connection with the commercialization of YUPELRI, if any, are recorded within the condensed consolidated statements of operations as a collaboration loss within selling,</w:t>
      </w:r>
      <w:r>
        <w:rPr>
          <w:sz w:val="20"/>
          <w:szCs w:val="20"/>
          <w:shd w:val="clear" w:color="auto" w:fill="FFFFFF"/>
        </w:rPr>
        <w:t xml:space="preserve"> general and administrative expenses. Any reimbursement from Viatris attributed to the 65% cost-sharing of our research and development (“R&amp;D”) expenses is characterized as a reduction of R&amp;D expense, as we do not consider performing research and developme</w:t>
      </w:r>
      <w:r>
        <w:rPr>
          <w:sz w:val="20"/>
          <w:szCs w:val="20"/>
          <w:shd w:val="clear" w:color="auto" w:fill="FFFFFF"/>
        </w:rPr>
        <w:t>nt services for reimbursement to be a part of our ordinary operations.</w:t>
      </w:r>
    </w:p>
    <w:p w:rsidR="00000000" w:rsidRDefault="00E52F77">
      <w:pPr>
        <w:pStyle w:val="a3"/>
        <w:spacing w:before="0" w:beforeAutospacing="0" w:after="0" w:afterAutospacing="0"/>
        <w:divId w:val="1016033886"/>
        <w:rPr>
          <w:sz w:val="20"/>
          <w:szCs w:val="20"/>
        </w:rPr>
      </w:pPr>
      <w:r>
        <w:rPr>
          <w:sz w:val="20"/>
          <w:szCs w:val="20"/>
          <w:shd w:val="clear" w:color="auto" w:fill="FFFFFF"/>
        </w:rPr>
        <w:t>​</w:t>
      </w:r>
    </w:p>
    <w:p w:rsidR="00000000" w:rsidRDefault="00E52F77">
      <w:pPr>
        <w:pStyle w:val="a3"/>
        <w:spacing w:before="0" w:beforeAutospacing="0" w:after="0" w:afterAutospacing="0"/>
        <w:ind w:firstLine="720"/>
        <w:divId w:val="1016033886"/>
        <w:rPr>
          <w:sz w:val="20"/>
          <w:szCs w:val="20"/>
        </w:rPr>
      </w:pPr>
      <w:r>
        <w:rPr>
          <w:sz w:val="20"/>
          <w:szCs w:val="20"/>
          <w:shd w:val="clear" w:color="auto" w:fill="FFFFFF"/>
        </w:rPr>
        <w:t xml:space="preserve">For the three and six months ended June 30, 2021, we </w:t>
      </w:r>
      <w:r>
        <w:rPr>
          <w:sz w:val="20"/>
          <w:szCs w:val="20"/>
        </w:rPr>
        <w:t>recognized $10.9 million and $21.3 million, respectively, in revenue from the Viatris collaboration agreement for YUPELRI which re</w:t>
      </w:r>
      <w:r>
        <w:rPr>
          <w:sz w:val="20"/>
          <w:szCs w:val="20"/>
        </w:rPr>
        <w:t>presented the receivables due from Viatris during the periods.</w:t>
      </w:r>
      <w:r>
        <w:rPr>
          <w:b/>
          <w:bCs/>
          <w:color w:val="FF0000"/>
          <w:sz w:val="20"/>
          <w:szCs w:val="20"/>
        </w:rPr>
        <w:t xml:space="preserve"> </w:t>
      </w:r>
      <w:r>
        <w:rPr>
          <w:sz w:val="20"/>
          <w:szCs w:val="20"/>
        </w:rPr>
        <w:t>The $1.4 million increase in revenue during the three months ended June 30, 2021 compared to the same period in 2020 was primarily due to an increase in net sales while the revenue for the comp</w:t>
      </w:r>
      <w:r>
        <w:rPr>
          <w:sz w:val="20"/>
          <w:szCs w:val="20"/>
        </w:rPr>
        <w:t>arable six month periods was materially unchanged. While Viatris records the total net sales of YUPELRI within its financial statements, Viatris collaboration agreement revenue includes our implied 35% share of net sales of YUPELRI for the three and six mo</w:t>
      </w:r>
      <w:r>
        <w:rPr>
          <w:sz w:val="20"/>
          <w:szCs w:val="20"/>
        </w:rPr>
        <w:t>nths ended June 30, 2021 of $14.6 million and $27.5 million, respectively. Our implied 35% share of net sales of YUPELRI for the three and six months ended June 30, 2020 was $10.6 million and $23.5 million, respectively.</w:t>
      </w:r>
    </w:p>
    <w:p w:rsidR="00000000" w:rsidRDefault="00E52F77">
      <w:pPr>
        <w:pStyle w:val="a3"/>
        <w:spacing w:before="0" w:beforeAutospacing="0" w:after="0" w:afterAutospacing="0"/>
        <w:divId w:val="1016033886"/>
        <w:rPr>
          <w:sz w:val="20"/>
          <w:szCs w:val="20"/>
        </w:rPr>
      </w:pPr>
      <w:r>
        <w:rPr>
          <w:sz w:val="20"/>
          <w:szCs w:val="20"/>
          <w:shd w:val="clear" w:color="auto" w:fill="FFFFFF"/>
        </w:rPr>
        <w:t>​</w:t>
      </w:r>
    </w:p>
    <w:p w:rsidR="00000000" w:rsidRDefault="00E52F77">
      <w:pPr>
        <w:pStyle w:val="a3"/>
        <w:spacing w:before="0" w:beforeAutospacing="0" w:after="0" w:afterAutospacing="0"/>
        <w:divId w:val="1016033886"/>
        <w:rPr>
          <w:sz w:val="20"/>
          <w:szCs w:val="20"/>
        </w:rPr>
      </w:pPr>
      <w:r>
        <w:rPr>
          <w:b/>
          <w:bCs/>
          <w:i/>
          <w:iCs/>
          <w:sz w:val="20"/>
          <w:szCs w:val="20"/>
        </w:rPr>
        <w:t>Research and Development</w:t>
      </w:r>
    </w:p>
    <w:p w:rsidR="00000000" w:rsidRDefault="00E52F77">
      <w:pPr>
        <w:pStyle w:val="a3"/>
        <w:spacing w:before="0" w:beforeAutospacing="0" w:after="0" w:afterAutospacing="0"/>
        <w:divId w:val="1016033886"/>
        <w:rPr>
          <w:sz w:val="20"/>
          <w:szCs w:val="20"/>
        </w:rPr>
      </w:pPr>
      <w:r>
        <w:rPr>
          <w:sz w:val="10"/>
          <w:szCs w:val="10"/>
        </w:rPr>
        <w:t>​</w:t>
      </w:r>
    </w:p>
    <w:p w:rsidR="00000000" w:rsidRDefault="00E52F77">
      <w:pPr>
        <w:pStyle w:val="a3"/>
        <w:spacing w:before="0" w:beforeAutospacing="0" w:after="0" w:afterAutospacing="0"/>
        <w:ind w:firstLine="720"/>
        <w:divId w:val="1016033886"/>
        <w:rPr>
          <w:sz w:val="20"/>
          <w:szCs w:val="20"/>
        </w:rPr>
      </w:pPr>
      <w:r>
        <w:rPr>
          <w:sz w:val="20"/>
          <w:szCs w:val="20"/>
        </w:rPr>
        <w:t>Our R&amp;</w:t>
      </w:r>
      <w:r>
        <w:rPr>
          <w:sz w:val="20"/>
          <w:szCs w:val="20"/>
        </w:rPr>
        <w:t>D expenses consist primarily of employee-related costs, external costs, and various allocable expenses. We budget total R&amp;D expenses on an internal department level basis, and we manage and report our R&amp;D activities across the following four cost categorie</w:t>
      </w:r>
      <w:r>
        <w:rPr>
          <w:sz w:val="20"/>
          <w:szCs w:val="20"/>
        </w:rPr>
        <w:t>s:</w:t>
      </w:r>
    </w:p>
    <w:p w:rsidR="00000000" w:rsidRDefault="00E52F77">
      <w:pPr>
        <w:pStyle w:val="a3"/>
        <w:spacing w:before="0" w:beforeAutospacing="0" w:after="0" w:afterAutospacing="0"/>
        <w:divId w:val="101603388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16033886"/>
        </w:trPr>
        <w:tc>
          <w:tcPr>
            <w:tcW w:w="720" w:type="dxa"/>
            <w:vAlign w:val="center"/>
            <w:hideMark/>
          </w:tcPr>
          <w:p w:rsidR="00000000" w:rsidRDefault="00E52F77">
            <w:pPr>
              <w:rPr>
                <w:sz w:val="20"/>
                <w:szCs w:val="20"/>
              </w:rPr>
            </w:pPr>
          </w:p>
        </w:tc>
        <w:tc>
          <w:tcPr>
            <w:tcW w:w="360" w:type="dxa"/>
            <w:noWrap/>
            <w:tcMar>
              <w:top w:w="0" w:type="dxa"/>
              <w:left w:w="0" w:type="dxa"/>
              <w:bottom w:w="0" w:type="dxa"/>
              <w:right w:w="0" w:type="dxa"/>
            </w:tcMar>
            <w:hideMark/>
          </w:tcPr>
          <w:p w:rsidR="00000000" w:rsidRDefault="00E52F77">
            <w:pPr>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E52F77">
            <w:pPr>
              <w:rPr>
                <w:rFonts w:eastAsia="Times New Roman"/>
                <w:sz w:val="20"/>
                <w:szCs w:val="20"/>
              </w:rPr>
            </w:pPr>
            <w:r>
              <w:rPr>
                <w:rFonts w:eastAsia="Times New Roman"/>
                <w:sz w:val="20"/>
                <w:szCs w:val="20"/>
              </w:rPr>
              <w:t>Employee-related costs, which include salaries, wages and benefits;</w:t>
            </w:r>
          </w:p>
        </w:tc>
      </w:tr>
    </w:tbl>
    <w:p w:rsidR="00000000" w:rsidRDefault="00E52F77">
      <w:pPr>
        <w:pStyle w:val="a3"/>
        <w:spacing w:before="0" w:beforeAutospacing="0" w:after="0" w:afterAutospacing="0"/>
        <w:ind w:left="720" w:hanging="360"/>
        <w:divId w:val="101603388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16033886"/>
        </w:trPr>
        <w:tc>
          <w:tcPr>
            <w:tcW w:w="720" w:type="dxa"/>
            <w:vAlign w:val="center"/>
            <w:hideMark/>
          </w:tcPr>
          <w:p w:rsidR="00000000" w:rsidRDefault="00E52F77">
            <w:pPr>
              <w:rPr>
                <w:sz w:val="20"/>
                <w:szCs w:val="20"/>
              </w:rPr>
            </w:pPr>
          </w:p>
        </w:tc>
        <w:tc>
          <w:tcPr>
            <w:tcW w:w="360" w:type="dxa"/>
            <w:noWrap/>
            <w:tcMar>
              <w:top w:w="0" w:type="dxa"/>
              <w:left w:w="0" w:type="dxa"/>
              <w:bottom w:w="0" w:type="dxa"/>
              <w:right w:w="0" w:type="dxa"/>
            </w:tcMar>
            <w:hideMark/>
          </w:tcPr>
          <w:p w:rsidR="00000000" w:rsidRDefault="00E52F77">
            <w:pPr>
              <w:rPr>
                <w:rFonts w:eastAsia="Times New Roman"/>
                <w:sz w:val="20"/>
                <w:szCs w:val="20"/>
              </w:rPr>
            </w:pPr>
            <w:r>
              <w:rPr>
                <w:rFonts w:eastAsia="Times New Roman"/>
                <w:sz w:val="20"/>
                <w:szCs w:val="20"/>
              </w:rPr>
              <w:t>2)</w:t>
            </w:r>
          </w:p>
        </w:tc>
        <w:tc>
          <w:tcPr>
            <w:tcW w:w="0" w:type="auto"/>
            <w:tcMar>
              <w:top w:w="0" w:type="dxa"/>
              <w:left w:w="0" w:type="dxa"/>
              <w:bottom w:w="0" w:type="dxa"/>
              <w:right w:w="0" w:type="dxa"/>
            </w:tcMar>
            <w:vAlign w:val="center"/>
            <w:hideMark/>
          </w:tcPr>
          <w:p w:rsidR="00000000" w:rsidRDefault="00E52F77">
            <w:pPr>
              <w:rPr>
                <w:rFonts w:eastAsia="Times New Roman"/>
                <w:sz w:val="20"/>
                <w:szCs w:val="20"/>
              </w:rPr>
            </w:pPr>
            <w:r>
              <w:rPr>
                <w:rFonts w:eastAsia="Times New Roman"/>
                <w:sz w:val="20"/>
                <w:szCs w:val="20"/>
              </w:rPr>
              <w:t>Share-based compensation, which includes expenses associated with our equity plans;</w:t>
            </w:r>
          </w:p>
        </w:tc>
      </w:tr>
    </w:tbl>
    <w:p w:rsidR="00000000" w:rsidRDefault="00E52F77">
      <w:pPr>
        <w:pStyle w:val="a3"/>
        <w:spacing w:before="0" w:beforeAutospacing="0" w:after="0" w:afterAutospacing="0"/>
        <w:ind w:left="720" w:hanging="360"/>
        <w:divId w:val="101603388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16033886"/>
        </w:trPr>
        <w:tc>
          <w:tcPr>
            <w:tcW w:w="720" w:type="dxa"/>
            <w:vAlign w:val="center"/>
            <w:hideMark/>
          </w:tcPr>
          <w:p w:rsidR="00000000" w:rsidRDefault="00E52F77">
            <w:pPr>
              <w:rPr>
                <w:sz w:val="20"/>
                <w:szCs w:val="20"/>
              </w:rPr>
            </w:pPr>
          </w:p>
        </w:tc>
        <w:tc>
          <w:tcPr>
            <w:tcW w:w="360" w:type="dxa"/>
            <w:noWrap/>
            <w:tcMar>
              <w:top w:w="0" w:type="dxa"/>
              <w:left w:w="0" w:type="dxa"/>
              <w:bottom w:w="0" w:type="dxa"/>
              <w:right w:w="0" w:type="dxa"/>
            </w:tcMar>
            <w:hideMark/>
          </w:tcPr>
          <w:p w:rsidR="00000000" w:rsidRDefault="00E52F77">
            <w:pPr>
              <w:rPr>
                <w:rFonts w:eastAsia="Times New Roman"/>
                <w:sz w:val="20"/>
                <w:szCs w:val="20"/>
              </w:rPr>
            </w:pPr>
            <w:r>
              <w:rPr>
                <w:rFonts w:eastAsia="Times New Roman"/>
                <w:sz w:val="20"/>
                <w:szCs w:val="20"/>
              </w:rPr>
              <w:t>3)</w:t>
            </w:r>
          </w:p>
        </w:tc>
        <w:tc>
          <w:tcPr>
            <w:tcW w:w="0" w:type="auto"/>
            <w:tcMar>
              <w:top w:w="0" w:type="dxa"/>
              <w:left w:w="0" w:type="dxa"/>
              <w:bottom w:w="0" w:type="dxa"/>
              <w:right w:w="0" w:type="dxa"/>
            </w:tcMar>
            <w:vAlign w:val="center"/>
            <w:hideMark/>
          </w:tcPr>
          <w:p w:rsidR="00000000" w:rsidRDefault="00E52F77">
            <w:pPr>
              <w:rPr>
                <w:rFonts w:eastAsia="Times New Roman"/>
                <w:sz w:val="20"/>
                <w:szCs w:val="20"/>
              </w:rPr>
            </w:pPr>
            <w:r>
              <w:rPr>
                <w:rFonts w:eastAsia="Times New Roman"/>
                <w:sz w:val="20"/>
                <w:szCs w:val="20"/>
              </w:rPr>
              <w:t>External-related costs, which include clinical trial related expenses, other contract research fees, consulting fees, and contract manufacturing fees; and</w:t>
            </w:r>
          </w:p>
        </w:tc>
      </w:tr>
    </w:tbl>
    <w:p w:rsidR="00000000" w:rsidRDefault="00E52F77">
      <w:pPr>
        <w:pStyle w:val="a3"/>
        <w:spacing w:before="0" w:beforeAutospacing="0" w:after="0" w:afterAutospacing="0"/>
        <w:ind w:left="720" w:hanging="360"/>
        <w:divId w:val="101603388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16033886"/>
        </w:trPr>
        <w:tc>
          <w:tcPr>
            <w:tcW w:w="720" w:type="dxa"/>
            <w:vAlign w:val="center"/>
            <w:hideMark/>
          </w:tcPr>
          <w:p w:rsidR="00000000" w:rsidRDefault="00E52F77">
            <w:pPr>
              <w:rPr>
                <w:sz w:val="20"/>
                <w:szCs w:val="20"/>
              </w:rPr>
            </w:pPr>
          </w:p>
        </w:tc>
        <w:tc>
          <w:tcPr>
            <w:tcW w:w="360" w:type="dxa"/>
            <w:noWrap/>
            <w:tcMar>
              <w:top w:w="0" w:type="dxa"/>
              <w:left w:w="0" w:type="dxa"/>
              <w:bottom w:w="0" w:type="dxa"/>
              <w:right w:w="0" w:type="dxa"/>
            </w:tcMar>
            <w:hideMark/>
          </w:tcPr>
          <w:p w:rsidR="00000000" w:rsidRDefault="00E52F77">
            <w:pPr>
              <w:rPr>
                <w:rFonts w:eastAsia="Times New Roman"/>
                <w:sz w:val="20"/>
                <w:szCs w:val="20"/>
              </w:rPr>
            </w:pPr>
            <w:r>
              <w:rPr>
                <w:rFonts w:eastAsia="Times New Roman"/>
                <w:sz w:val="20"/>
                <w:szCs w:val="20"/>
              </w:rPr>
              <w:t>4)</w:t>
            </w:r>
          </w:p>
        </w:tc>
        <w:tc>
          <w:tcPr>
            <w:tcW w:w="0" w:type="auto"/>
            <w:tcMar>
              <w:top w:w="0" w:type="dxa"/>
              <w:left w:w="0" w:type="dxa"/>
              <w:bottom w:w="0" w:type="dxa"/>
              <w:right w:w="0" w:type="dxa"/>
            </w:tcMar>
            <w:vAlign w:val="center"/>
            <w:hideMark/>
          </w:tcPr>
          <w:p w:rsidR="00000000" w:rsidRDefault="00E52F77">
            <w:pPr>
              <w:rPr>
                <w:rFonts w:eastAsia="Times New Roman"/>
                <w:sz w:val="20"/>
                <w:szCs w:val="20"/>
              </w:rPr>
            </w:pPr>
            <w:r>
              <w:rPr>
                <w:rFonts w:eastAsia="Times New Roman"/>
                <w:sz w:val="20"/>
                <w:szCs w:val="20"/>
              </w:rPr>
              <w:t>Facilities and other, which include laboratory and office supplies, depreciation and other all</w:t>
            </w:r>
            <w:r>
              <w:rPr>
                <w:rFonts w:eastAsia="Times New Roman"/>
                <w:sz w:val="20"/>
                <w:szCs w:val="20"/>
              </w:rPr>
              <w:t>ocated expenses, which include general and administrative support functions, insurance and general supplies.</w:t>
            </w:r>
          </w:p>
        </w:tc>
      </w:tr>
    </w:tbl>
    <w:p w:rsidR="00000000" w:rsidRDefault="00E52F77">
      <w:pPr>
        <w:pStyle w:val="a3"/>
        <w:spacing w:before="0" w:beforeAutospacing="0" w:after="0" w:afterAutospacing="0"/>
        <w:divId w:val="1016033886"/>
        <w:rPr>
          <w:sz w:val="20"/>
          <w:szCs w:val="20"/>
        </w:rPr>
      </w:pPr>
      <w:r>
        <w:rPr>
          <w:sz w:val="20"/>
          <w:szCs w:val="20"/>
        </w:rPr>
        <w:t>​</w:t>
      </w:r>
    </w:p>
    <w:p w:rsidR="00000000" w:rsidRDefault="00E52F77">
      <w:pPr>
        <w:pStyle w:val="a3"/>
        <w:spacing w:before="0" w:beforeAutospacing="0" w:after="0" w:afterAutospacing="0"/>
        <w:ind w:firstLine="720"/>
        <w:divId w:val="1016033886"/>
        <w:rPr>
          <w:sz w:val="20"/>
          <w:szCs w:val="20"/>
        </w:rPr>
      </w:pPr>
      <w:r>
        <w:rPr>
          <w:sz w:val="20"/>
          <w:szCs w:val="20"/>
        </w:rPr>
        <w:t>The following table summarizes our R&amp;D expenses incurred, net of any reimbursements from collaboration partners, as compared to the prior year c</w:t>
      </w:r>
      <w:r>
        <w:rPr>
          <w:sz w:val="20"/>
          <w:szCs w:val="20"/>
        </w:rPr>
        <w:t>omparable periods:</w:t>
      </w:r>
    </w:p>
    <w:p w:rsidR="00000000" w:rsidRDefault="00E52F77">
      <w:pPr>
        <w:pStyle w:val="a3"/>
        <w:spacing w:before="0" w:beforeAutospacing="0" w:after="0" w:afterAutospacing="0"/>
        <w:divId w:val="1016033886"/>
        <w:rPr>
          <w:sz w:val="20"/>
          <w:szCs w:val="20"/>
        </w:rPr>
      </w:pPr>
      <w:r>
        <w:rPr>
          <w:sz w:val="20"/>
          <w:szCs w:val="20"/>
        </w:rPr>
        <w:t>​</w:t>
      </w:r>
    </w:p>
    <w:tbl>
      <w:tblPr>
        <w:tblW w:w="5001" w:type="pct"/>
        <w:tblCellMar>
          <w:top w:w="15" w:type="dxa"/>
          <w:left w:w="0" w:type="dxa"/>
          <w:bottom w:w="15" w:type="dxa"/>
          <w:right w:w="0" w:type="dxa"/>
        </w:tblCellMar>
        <w:tblLook w:val="04A0" w:firstRow="1" w:lastRow="0" w:firstColumn="1" w:lastColumn="0" w:noHBand="0" w:noVBand="1"/>
      </w:tblPr>
      <w:tblGrid>
        <w:gridCol w:w="1154"/>
        <w:gridCol w:w="80"/>
        <w:gridCol w:w="120"/>
        <w:gridCol w:w="876"/>
        <w:gridCol w:w="119"/>
        <w:gridCol w:w="119"/>
        <w:gridCol w:w="873"/>
        <w:gridCol w:w="80"/>
        <w:gridCol w:w="100"/>
        <w:gridCol w:w="684"/>
        <w:gridCol w:w="80"/>
        <w:gridCol w:w="334"/>
        <w:gridCol w:w="267"/>
        <w:gridCol w:w="80"/>
        <w:gridCol w:w="109"/>
        <w:gridCol w:w="793"/>
        <w:gridCol w:w="107"/>
        <w:gridCol w:w="107"/>
        <w:gridCol w:w="796"/>
        <w:gridCol w:w="80"/>
        <w:gridCol w:w="100"/>
        <w:gridCol w:w="684"/>
        <w:gridCol w:w="80"/>
        <w:gridCol w:w="334"/>
        <w:gridCol w:w="267"/>
      </w:tblGrid>
      <w:tr w:rsidR="00000000">
        <w:trPr>
          <w:divId w:val="1016033886"/>
          <w:trHeight w:val="20"/>
        </w:trPr>
        <w:tc>
          <w:tcPr>
            <w:tcW w:w="1296" w:type="pct"/>
            <w:tcMar>
              <w:top w:w="0" w:type="dxa"/>
              <w:left w:w="0" w:type="dxa"/>
              <w:bottom w:w="0" w:type="dxa"/>
              <w:right w:w="0" w:type="dxa"/>
            </w:tcMar>
            <w:vAlign w:val="bottom"/>
            <w:hideMark/>
          </w:tcPr>
          <w:p w:rsidR="00000000" w:rsidRDefault="00E52F77">
            <w:pPr>
              <w:pStyle w:val="a3"/>
              <w:spacing w:before="0" w:beforeAutospacing="0" w:after="0" w:afterAutospacing="0"/>
              <w:divId w:val="1868831481"/>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290087951"/>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964894932"/>
              <w:rPr>
                <w:sz w:val="20"/>
                <w:szCs w:val="20"/>
              </w:rPr>
            </w:pPr>
            <w:r>
              <w:rPr>
                <w:sz w:val="2"/>
                <w:szCs w:val="2"/>
              </w:rPr>
              <w:t>​</w:t>
            </w:r>
          </w:p>
        </w:tc>
        <w:tc>
          <w:tcPr>
            <w:tcW w:w="43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725765649"/>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357730266"/>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492450288"/>
              <w:rPr>
                <w:sz w:val="20"/>
                <w:szCs w:val="20"/>
              </w:rPr>
            </w:pPr>
            <w:r>
              <w:rPr>
                <w:sz w:val="2"/>
                <w:szCs w:val="2"/>
              </w:rPr>
              <w:t>​</w:t>
            </w:r>
          </w:p>
        </w:tc>
        <w:tc>
          <w:tcPr>
            <w:tcW w:w="43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654288884"/>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947128464"/>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713770959"/>
              <w:rPr>
                <w:sz w:val="20"/>
                <w:szCs w:val="20"/>
              </w:rPr>
            </w:pPr>
            <w:r>
              <w:rPr>
                <w:sz w:val="2"/>
                <w:szCs w:val="2"/>
              </w:rPr>
              <w:t>​</w:t>
            </w:r>
          </w:p>
        </w:tc>
        <w:tc>
          <w:tcPr>
            <w:tcW w:w="36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965192208"/>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555747844"/>
              <w:rPr>
                <w:sz w:val="20"/>
                <w:szCs w:val="20"/>
              </w:rPr>
            </w:pPr>
            <w:r>
              <w:rPr>
                <w:sz w:val="2"/>
                <w:szCs w:val="2"/>
              </w:rPr>
              <w:t>​</w:t>
            </w:r>
          </w:p>
        </w:tc>
        <w:tc>
          <w:tcPr>
            <w:tcW w:w="190"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961916850"/>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005014733"/>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972710142"/>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060245654"/>
              <w:rPr>
                <w:sz w:val="20"/>
                <w:szCs w:val="20"/>
              </w:rPr>
            </w:pPr>
            <w:r>
              <w:rPr>
                <w:sz w:val="2"/>
                <w:szCs w:val="2"/>
              </w:rPr>
              <w:t>​</w:t>
            </w:r>
          </w:p>
        </w:tc>
        <w:tc>
          <w:tcPr>
            <w:tcW w:w="39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977027904"/>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269313963"/>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747023390"/>
              <w:rPr>
                <w:sz w:val="20"/>
                <w:szCs w:val="20"/>
              </w:rPr>
            </w:pPr>
            <w:r>
              <w:rPr>
                <w:sz w:val="2"/>
                <w:szCs w:val="2"/>
              </w:rPr>
              <w:t>​</w:t>
            </w:r>
          </w:p>
        </w:tc>
        <w:tc>
          <w:tcPr>
            <w:tcW w:w="39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439881384"/>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540319718"/>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35147846"/>
              <w:rPr>
                <w:sz w:val="20"/>
                <w:szCs w:val="20"/>
              </w:rPr>
            </w:pPr>
            <w:r>
              <w:rPr>
                <w:sz w:val="2"/>
                <w:szCs w:val="2"/>
              </w:rPr>
              <w:t>​</w:t>
            </w:r>
          </w:p>
        </w:tc>
        <w:tc>
          <w:tcPr>
            <w:tcW w:w="36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836185967"/>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299457611"/>
              <w:rPr>
                <w:sz w:val="20"/>
                <w:szCs w:val="20"/>
              </w:rPr>
            </w:pPr>
            <w:r>
              <w:rPr>
                <w:sz w:val="2"/>
                <w:szCs w:val="2"/>
              </w:rPr>
              <w:t>​</w:t>
            </w:r>
          </w:p>
        </w:tc>
        <w:tc>
          <w:tcPr>
            <w:tcW w:w="190"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731583358"/>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649094918"/>
              <w:rPr>
                <w:sz w:val="20"/>
                <w:szCs w:val="20"/>
              </w:rPr>
            </w:pPr>
            <w:r>
              <w:rPr>
                <w:sz w:val="2"/>
                <w:szCs w:val="2"/>
              </w:rPr>
              <w:t>​</w:t>
            </w:r>
          </w:p>
        </w:tc>
      </w:tr>
      <w:tr w:rsidR="00000000">
        <w:trPr>
          <w:divId w:val="1016033886"/>
        </w:trPr>
        <w:tc>
          <w:tcPr>
            <w:tcW w:w="1296"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1044" w:type="pct"/>
            <w:gridSpan w:val="5"/>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Three Months Ended June 30, </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643" w:type="pct"/>
            <w:gridSpan w:val="4"/>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Change</w:t>
            </w:r>
          </w:p>
        </w:tc>
        <w:tc>
          <w:tcPr>
            <w:tcW w:w="132"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948" w:type="pct"/>
            <w:gridSpan w:val="5"/>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Six Months Ended June 30, </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643" w:type="pct"/>
            <w:gridSpan w:val="4"/>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Change</w:t>
            </w:r>
          </w:p>
        </w:tc>
        <w:tc>
          <w:tcPr>
            <w:tcW w:w="132"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r>
      <w:tr w:rsidR="00000000">
        <w:trPr>
          <w:divId w:val="1016033886"/>
        </w:trPr>
        <w:tc>
          <w:tcPr>
            <w:tcW w:w="1296" w:type="pct"/>
            <w:tcBorders>
              <w:bottom w:val="single" w:sz="6" w:space="0" w:color="000000"/>
            </w:tcBorders>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(In thousands)</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493"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2021</w:t>
            </w:r>
          </w:p>
        </w:tc>
        <w:tc>
          <w:tcPr>
            <w:tcW w:w="5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2020</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413"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190"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w:t>
            </w:r>
          </w:p>
        </w:tc>
        <w:tc>
          <w:tcPr>
            <w:tcW w:w="132"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2021</w:t>
            </w:r>
          </w:p>
        </w:tc>
        <w:tc>
          <w:tcPr>
            <w:tcW w:w="53"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2020</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413"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190"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w:t>
            </w:r>
          </w:p>
        </w:tc>
        <w:tc>
          <w:tcPr>
            <w:tcW w:w="132"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r>
      <w:tr w:rsidR="00000000">
        <w:trPr>
          <w:divId w:val="1016033886"/>
        </w:trPr>
        <w:tc>
          <w:tcPr>
            <w:tcW w:w="1296"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Employee-related</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3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14,43</w:t>
            </w:r>
            <w:r>
              <w:rPr>
                <w:sz w:val="20"/>
                <w:szCs w:val="20"/>
              </w:rPr>
              <w:t>8</w:t>
            </w:r>
          </w:p>
        </w:tc>
        <w:tc>
          <w:tcPr>
            <w:tcW w:w="5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3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13,10</w:t>
            </w:r>
            <w:r>
              <w:rPr>
                <w:sz w:val="20"/>
                <w:szCs w:val="20"/>
              </w:rPr>
              <w:t>4</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6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1,33</w:t>
            </w:r>
            <w:r>
              <w:rPr>
                <w:sz w:val="20"/>
                <w:szCs w:val="20"/>
              </w:rPr>
              <w:t>4</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19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1</w:t>
            </w:r>
            <w:r>
              <w:rPr>
                <w:sz w:val="20"/>
                <w:szCs w:val="20"/>
              </w:rPr>
              <w:t>0</w:t>
            </w:r>
          </w:p>
        </w:tc>
        <w:tc>
          <w:tcPr>
            <w:tcW w:w="13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  </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9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32,01</w:t>
            </w:r>
            <w:r>
              <w:rPr>
                <w:sz w:val="20"/>
                <w:szCs w:val="20"/>
              </w:rPr>
              <w:t>5</w:t>
            </w:r>
          </w:p>
        </w:tc>
        <w:tc>
          <w:tcPr>
            <w:tcW w:w="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9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29,30</w:t>
            </w:r>
            <w:r>
              <w:rPr>
                <w:sz w:val="20"/>
                <w:szCs w:val="20"/>
              </w:rPr>
              <w:t>5</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6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2,71</w:t>
            </w:r>
            <w:r>
              <w:rPr>
                <w:sz w:val="20"/>
                <w:szCs w:val="20"/>
              </w:rPr>
              <w:t>0</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19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9</w:t>
            </w:r>
          </w:p>
        </w:tc>
        <w:tc>
          <w:tcPr>
            <w:tcW w:w="13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  </w:t>
            </w:r>
          </w:p>
        </w:tc>
      </w:tr>
      <w:tr w:rsidR="00000000">
        <w:trPr>
          <w:divId w:val="1016033886"/>
        </w:trPr>
        <w:tc>
          <w:tcPr>
            <w:tcW w:w="1296"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Share-based compensation</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 </w:t>
            </w:r>
          </w:p>
        </w:tc>
        <w:tc>
          <w:tcPr>
            <w:tcW w:w="433"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7,31</w:t>
            </w:r>
            <w:r>
              <w:rPr>
                <w:sz w:val="20"/>
                <w:szCs w:val="20"/>
              </w:rPr>
              <w:t>5</w:t>
            </w:r>
          </w:p>
        </w:tc>
        <w:tc>
          <w:tcPr>
            <w:tcW w:w="5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 </w:t>
            </w:r>
          </w:p>
        </w:tc>
        <w:tc>
          <w:tcPr>
            <w:tcW w:w="433"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8,09</w:t>
            </w:r>
            <w:r>
              <w:rPr>
                <w:sz w:val="20"/>
                <w:szCs w:val="20"/>
              </w:rPr>
              <w:t>8</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4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 </w:t>
            </w:r>
          </w:p>
        </w:tc>
        <w:tc>
          <w:tcPr>
            <w:tcW w:w="363"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(783</w:t>
            </w:r>
            <w:r>
              <w:rPr>
                <w:sz w:val="20"/>
                <w:szCs w:val="20"/>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190"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(10</w:t>
            </w:r>
            <w:r>
              <w:rPr>
                <w:sz w:val="20"/>
                <w:szCs w:val="20"/>
              </w:rPr>
              <w:t>)</w:t>
            </w:r>
          </w:p>
        </w:tc>
        <w:tc>
          <w:tcPr>
            <w:tcW w:w="132"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 </w:t>
            </w:r>
          </w:p>
        </w:tc>
        <w:tc>
          <w:tcPr>
            <w:tcW w:w="393"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15,23</w:t>
            </w:r>
            <w:r>
              <w:rPr>
                <w:sz w:val="20"/>
                <w:szCs w:val="20"/>
              </w:rPr>
              <w:t>6</w:t>
            </w:r>
          </w:p>
        </w:tc>
        <w:tc>
          <w:tcPr>
            <w:tcW w:w="53"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 </w:t>
            </w:r>
          </w:p>
        </w:tc>
        <w:tc>
          <w:tcPr>
            <w:tcW w:w="393"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15,96</w:t>
            </w:r>
            <w:r>
              <w:rPr>
                <w:sz w:val="20"/>
                <w:szCs w:val="20"/>
              </w:rPr>
              <w:t>3</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363"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(727</w:t>
            </w:r>
            <w:r>
              <w:rPr>
                <w:sz w:val="20"/>
                <w:szCs w:val="20"/>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190"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(5</w:t>
            </w:r>
            <w:r>
              <w:rPr>
                <w:sz w:val="20"/>
                <w:szCs w:val="20"/>
              </w:rPr>
              <w:t>)</w:t>
            </w:r>
          </w:p>
        </w:tc>
        <w:tc>
          <w:tcPr>
            <w:tcW w:w="132"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r>
      <w:tr w:rsidR="00000000">
        <w:trPr>
          <w:divId w:val="1016033886"/>
        </w:trPr>
        <w:tc>
          <w:tcPr>
            <w:tcW w:w="1296"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External-related</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 </w:t>
            </w:r>
          </w:p>
        </w:tc>
        <w:tc>
          <w:tcPr>
            <w:tcW w:w="43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21,32</w:t>
            </w:r>
            <w:r>
              <w:rPr>
                <w:sz w:val="20"/>
                <w:szCs w:val="20"/>
              </w:rPr>
              <w:t>6</w:t>
            </w:r>
          </w:p>
        </w:tc>
        <w:tc>
          <w:tcPr>
            <w:tcW w:w="5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 </w:t>
            </w:r>
          </w:p>
        </w:tc>
        <w:tc>
          <w:tcPr>
            <w:tcW w:w="43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32,69</w:t>
            </w:r>
            <w:r>
              <w:rPr>
                <w:sz w:val="20"/>
                <w:szCs w:val="20"/>
              </w:rPr>
              <w:t>4</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 </w:t>
            </w:r>
          </w:p>
        </w:tc>
        <w:tc>
          <w:tcPr>
            <w:tcW w:w="36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(11,368</w:t>
            </w: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19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(35</w:t>
            </w:r>
            <w:r>
              <w:rPr>
                <w:sz w:val="20"/>
                <w:szCs w:val="20"/>
              </w:rPr>
              <w:t>)</w:t>
            </w:r>
          </w:p>
        </w:tc>
        <w:tc>
          <w:tcPr>
            <w:tcW w:w="13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 </w:t>
            </w:r>
          </w:p>
        </w:tc>
        <w:tc>
          <w:tcPr>
            <w:tcW w:w="39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54,85</w:t>
            </w:r>
            <w:r>
              <w:rPr>
                <w:sz w:val="20"/>
                <w:szCs w:val="20"/>
              </w:rPr>
              <w:t>7</w:t>
            </w:r>
          </w:p>
        </w:tc>
        <w:tc>
          <w:tcPr>
            <w:tcW w:w="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 </w:t>
            </w:r>
          </w:p>
        </w:tc>
        <w:tc>
          <w:tcPr>
            <w:tcW w:w="39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65,79</w:t>
            </w:r>
            <w:r>
              <w:rPr>
                <w:sz w:val="20"/>
                <w:szCs w:val="20"/>
              </w:rPr>
              <w:t>8</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6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(10,941</w:t>
            </w: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19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(17</w:t>
            </w:r>
            <w:r>
              <w:rPr>
                <w:sz w:val="20"/>
                <w:szCs w:val="20"/>
              </w:rPr>
              <w:t>)</w:t>
            </w:r>
          </w:p>
        </w:tc>
        <w:tc>
          <w:tcPr>
            <w:tcW w:w="13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r>
      <w:tr w:rsidR="00000000">
        <w:trPr>
          <w:divId w:val="1016033886"/>
        </w:trPr>
        <w:tc>
          <w:tcPr>
            <w:tcW w:w="1296" w:type="pct"/>
            <w:tcMar>
              <w:top w:w="0" w:type="dxa"/>
              <w:left w:w="0" w:type="dxa"/>
              <w:bottom w:w="0" w:type="dxa"/>
              <w:right w:w="0" w:type="dxa"/>
            </w:tcMar>
            <w:vAlign w:val="bottom"/>
            <w:hideMark/>
          </w:tcPr>
          <w:p w:rsidR="00000000" w:rsidRDefault="00E52F77">
            <w:pPr>
              <w:pStyle w:val="a3"/>
              <w:spacing w:before="0" w:beforeAutospacing="0" w:after="0" w:afterAutospacing="0"/>
              <w:ind w:hanging="180"/>
              <w:rPr>
                <w:sz w:val="20"/>
                <w:szCs w:val="20"/>
              </w:rPr>
            </w:pPr>
            <w:r>
              <w:rPr>
                <w:sz w:val="20"/>
                <w:szCs w:val="20"/>
              </w:rPr>
              <w:t>Facilities, depreciation and other allocated expenses</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 </w:t>
            </w:r>
          </w:p>
        </w:tc>
        <w:tc>
          <w:tcPr>
            <w:tcW w:w="433"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8,01</w:t>
            </w:r>
            <w:r>
              <w:rPr>
                <w:sz w:val="20"/>
                <w:szCs w:val="20"/>
              </w:rPr>
              <w:t>4</w:t>
            </w:r>
          </w:p>
        </w:tc>
        <w:tc>
          <w:tcPr>
            <w:tcW w:w="5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 </w:t>
            </w:r>
          </w:p>
        </w:tc>
        <w:tc>
          <w:tcPr>
            <w:tcW w:w="433"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8,50</w:t>
            </w:r>
            <w:r>
              <w:rPr>
                <w:sz w:val="20"/>
                <w:szCs w:val="20"/>
              </w:rPr>
              <w:t>8</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 </w:t>
            </w:r>
          </w:p>
        </w:tc>
        <w:tc>
          <w:tcPr>
            <w:tcW w:w="363"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(494</w:t>
            </w:r>
            <w:r>
              <w:rPr>
                <w:sz w:val="20"/>
                <w:szCs w:val="20"/>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190"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(6</w:t>
            </w:r>
            <w:r>
              <w:rPr>
                <w:sz w:val="20"/>
                <w:szCs w:val="20"/>
              </w:rPr>
              <w:t>)</w:t>
            </w:r>
          </w:p>
        </w:tc>
        <w:tc>
          <w:tcPr>
            <w:tcW w:w="132"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54"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 </w:t>
            </w:r>
          </w:p>
        </w:tc>
        <w:tc>
          <w:tcPr>
            <w:tcW w:w="393"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16,58</w:t>
            </w:r>
            <w:r>
              <w:rPr>
                <w:sz w:val="20"/>
                <w:szCs w:val="20"/>
              </w:rPr>
              <w:t>4</w:t>
            </w:r>
          </w:p>
        </w:tc>
        <w:tc>
          <w:tcPr>
            <w:tcW w:w="53"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 </w:t>
            </w:r>
          </w:p>
        </w:tc>
        <w:tc>
          <w:tcPr>
            <w:tcW w:w="393"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17,35</w:t>
            </w:r>
            <w:r>
              <w:rPr>
                <w:sz w:val="20"/>
                <w:szCs w:val="20"/>
              </w:rPr>
              <w:t>1</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63"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(767</w:t>
            </w:r>
            <w:r>
              <w:rPr>
                <w:sz w:val="20"/>
                <w:szCs w:val="20"/>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190"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(4</w:t>
            </w:r>
            <w:r>
              <w:rPr>
                <w:sz w:val="20"/>
                <w:szCs w:val="20"/>
              </w:rPr>
              <w:t>)</w:t>
            </w:r>
          </w:p>
        </w:tc>
        <w:tc>
          <w:tcPr>
            <w:tcW w:w="132"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r>
      <w:tr w:rsidR="00000000">
        <w:trPr>
          <w:divId w:val="1016033886"/>
        </w:trPr>
        <w:tc>
          <w:tcPr>
            <w:tcW w:w="1296"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left="120"/>
              <w:rPr>
                <w:sz w:val="20"/>
                <w:szCs w:val="20"/>
              </w:rPr>
            </w:pPr>
            <w:r>
              <w:rPr>
                <w:sz w:val="20"/>
                <w:szCs w:val="20"/>
              </w:rPr>
              <w:t>Total research &amp; development</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3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51,09</w:t>
            </w:r>
            <w:r>
              <w:rPr>
                <w:sz w:val="20"/>
                <w:szCs w:val="20"/>
              </w:rPr>
              <w:t>3</w:t>
            </w:r>
          </w:p>
        </w:tc>
        <w:tc>
          <w:tcPr>
            <w:tcW w:w="5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3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62,40</w:t>
            </w:r>
            <w:r>
              <w:rPr>
                <w:sz w:val="20"/>
                <w:szCs w:val="20"/>
              </w:rPr>
              <w:t>4</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(11,311</w:t>
            </w: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1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(18</w:t>
            </w:r>
            <w:r>
              <w:rPr>
                <w:sz w:val="20"/>
                <w:szCs w:val="20"/>
              </w:rPr>
              <w:t>)</w:t>
            </w:r>
          </w:p>
        </w:tc>
        <w:tc>
          <w:tcPr>
            <w:tcW w:w="13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  </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118,69</w:t>
            </w:r>
            <w:r>
              <w:rPr>
                <w:sz w:val="20"/>
                <w:szCs w:val="20"/>
              </w:rPr>
              <w:t>2</w:t>
            </w:r>
          </w:p>
        </w:tc>
        <w:tc>
          <w:tcPr>
            <w:tcW w:w="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128,41</w:t>
            </w:r>
            <w:r>
              <w:rPr>
                <w:sz w:val="20"/>
                <w:szCs w:val="20"/>
              </w:rPr>
              <w:t>7</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(9,725</w:t>
            </w: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1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(8</w:t>
            </w:r>
            <w:r>
              <w:rPr>
                <w:sz w:val="20"/>
                <w:szCs w:val="20"/>
              </w:rPr>
              <w:t>)</w:t>
            </w:r>
          </w:p>
        </w:tc>
        <w:tc>
          <w:tcPr>
            <w:tcW w:w="13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  </w:t>
            </w:r>
          </w:p>
        </w:tc>
      </w:tr>
    </w:tbl>
    <w:p w:rsidR="00000000" w:rsidRDefault="00E52F77">
      <w:pPr>
        <w:pStyle w:val="a3"/>
        <w:spacing w:before="0" w:beforeAutospacing="0" w:after="0" w:afterAutospacing="0"/>
        <w:divId w:val="1016033886"/>
        <w:rPr>
          <w:sz w:val="20"/>
          <w:szCs w:val="20"/>
        </w:rPr>
      </w:pPr>
      <w:r>
        <w:rPr>
          <w:sz w:val="20"/>
          <w:szCs w:val="20"/>
        </w:rPr>
        <w:t>​</w:t>
      </w:r>
    </w:p>
    <w:p w:rsidR="00000000" w:rsidRDefault="00E52F77">
      <w:pPr>
        <w:pStyle w:val="a3"/>
        <w:spacing w:before="0" w:beforeAutospacing="0" w:after="0" w:afterAutospacing="0"/>
        <w:ind w:firstLine="720"/>
        <w:divId w:val="1016033886"/>
        <w:rPr>
          <w:sz w:val="20"/>
          <w:szCs w:val="20"/>
        </w:rPr>
      </w:pPr>
      <w:r>
        <w:rPr>
          <w:sz w:val="20"/>
          <w:szCs w:val="20"/>
        </w:rPr>
        <w:t>R&amp;</w:t>
      </w:r>
      <w:r>
        <w:rPr>
          <w:sz w:val="20"/>
          <w:szCs w:val="20"/>
        </w:rPr>
        <w:t xml:space="preserve">D expenses decreased by $11.3 million and $9.7 million for the three and six months ended June 30, 2021, respectively, compared to same periods in 2020. The decreases were primarily attributed to respective $11.4 million and </w:t>
      </w:r>
    </w:p>
    <w:p w:rsidR="00000000" w:rsidRDefault="00E52F77">
      <w:pPr>
        <w:pStyle w:val="a3"/>
        <w:spacing w:before="360" w:beforeAutospacing="0" w:after="0" w:afterAutospacing="0"/>
        <w:jc w:val="center"/>
        <w:divId w:val="777526423"/>
        <w:rPr>
          <w:sz w:val="20"/>
          <w:szCs w:val="20"/>
        </w:rPr>
      </w:pPr>
      <w:r>
        <w:rPr>
          <w:sz w:val="20"/>
          <w:szCs w:val="20"/>
        </w:rPr>
        <w:t>28</w:t>
      </w:r>
    </w:p>
    <w:p w:rsidR="00000000" w:rsidRDefault="00E52F77">
      <w:pPr>
        <w:pStyle w:val="a3"/>
        <w:spacing w:before="0" w:beforeAutospacing="0" w:after="600" w:afterAutospacing="0"/>
        <w:divId w:val="1574965920"/>
        <w:rPr>
          <w:sz w:val="20"/>
          <w:szCs w:val="20"/>
        </w:rPr>
      </w:pPr>
      <w:hyperlink w:anchor="TOC" w:history="1">
        <w:r>
          <w:rPr>
            <w:rStyle w:val="a4"/>
            <w:sz w:val="20"/>
            <w:szCs w:val="20"/>
          </w:rPr>
          <w:t>T</w:t>
        </w:r>
        <w:r>
          <w:rPr>
            <w:rStyle w:val="a4"/>
            <w:sz w:val="20"/>
            <w:szCs w:val="20"/>
          </w:rPr>
          <w:t>able of Contents</w:t>
        </w:r>
      </w:hyperlink>
    </w:p>
    <w:p w:rsidR="00000000" w:rsidRDefault="00E52F77">
      <w:pPr>
        <w:pStyle w:val="a3"/>
        <w:spacing w:before="0" w:beforeAutospacing="0" w:after="0" w:afterAutospacing="0"/>
        <w:divId w:val="1342702556"/>
        <w:rPr>
          <w:sz w:val="20"/>
          <w:szCs w:val="20"/>
        </w:rPr>
      </w:pPr>
      <w:r>
        <w:rPr>
          <w:sz w:val="20"/>
          <w:szCs w:val="20"/>
        </w:rPr>
        <w:t>$10.9 million decreases in external-related expenses which were partially offset by respective $1.3 million and $2.7 million increases in employee-related expenses. The decreases in external-related expenses were primarily due to the compl</w:t>
      </w:r>
      <w:r>
        <w:rPr>
          <w:sz w:val="20"/>
          <w:szCs w:val="20"/>
        </w:rPr>
        <w:t xml:space="preserve">etion, or-near completion, of expenses related to our priority programs. The increases in employee-related expenses were primarily due to increases in compensation-related expenses, such as annual merit increases. </w:t>
      </w:r>
    </w:p>
    <w:p w:rsidR="00000000" w:rsidRDefault="00E52F77">
      <w:pPr>
        <w:pStyle w:val="a3"/>
        <w:spacing w:before="0" w:beforeAutospacing="0" w:after="0" w:afterAutospacing="0"/>
        <w:ind w:firstLine="720"/>
        <w:divId w:val="1342702556"/>
        <w:rPr>
          <w:sz w:val="20"/>
          <w:szCs w:val="20"/>
        </w:rPr>
      </w:pPr>
      <w:r>
        <w:rPr>
          <w:sz w:val="20"/>
          <w:szCs w:val="20"/>
        </w:rPr>
        <w:t>​</w:t>
      </w:r>
    </w:p>
    <w:p w:rsidR="00000000" w:rsidRDefault="00E52F77">
      <w:pPr>
        <w:pStyle w:val="a3"/>
        <w:spacing w:before="0" w:beforeAutospacing="0" w:after="0" w:afterAutospacing="0"/>
        <w:ind w:firstLine="720"/>
        <w:divId w:val="1342702556"/>
        <w:rPr>
          <w:sz w:val="20"/>
          <w:szCs w:val="20"/>
        </w:rPr>
      </w:pPr>
      <w:r>
        <w:rPr>
          <w:sz w:val="20"/>
          <w:szCs w:val="20"/>
        </w:rPr>
        <w:t>Under certain of our collaborative arra</w:t>
      </w:r>
      <w:r>
        <w:rPr>
          <w:sz w:val="20"/>
          <w:szCs w:val="20"/>
        </w:rPr>
        <w:t xml:space="preserve">ngements, we receive partial reimbursement of employee-related costs and external costs, which have been reflected as a reduction of R&amp;D expenses of $1.3 million and $2.7 million for three and six months ended June 30, 2021, respectively, and $1.9 million </w:t>
      </w:r>
      <w:r>
        <w:rPr>
          <w:sz w:val="20"/>
          <w:szCs w:val="20"/>
        </w:rPr>
        <w:t>and $4.4 million for the three and six months ended June 30, 2020, respectively.</w:t>
      </w:r>
    </w:p>
    <w:p w:rsidR="00000000" w:rsidRDefault="00E52F77">
      <w:pPr>
        <w:pStyle w:val="a3"/>
        <w:spacing w:before="0" w:beforeAutospacing="0" w:after="0" w:afterAutospacing="0"/>
        <w:ind w:firstLine="720"/>
        <w:divId w:val="1342702556"/>
        <w:rPr>
          <w:sz w:val="20"/>
          <w:szCs w:val="20"/>
        </w:rPr>
      </w:pPr>
      <w:r>
        <w:rPr>
          <w:sz w:val="20"/>
          <w:szCs w:val="20"/>
        </w:rPr>
        <w:t>​</w:t>
      </w:r>
    </w:p>
    <w:p w:rsidR="00000000" w:rsidRDefault="00E52F77">
      <w:pPr>
        <w:pStyle w:val="a3"/>
        <w:spacing w:before="0" w:beforeAutospacing="0" w:after="0" w:afterAutospacing="0"/>
        <w:ind w:firstLine="720"/>
        <w:divId w:val="1342702556"/>
        <w:rPr>
          <w:sz w:val="20"/>
          <w:szCs w:val="20"/>
        </w:rPr>
      </w:pPr>
      <w:r>
        <w:rPr>
          <w:sz w:val="20"/>
          <w:szCs w:val="20"/>
        </w:rPr>
        <w:t>Compared to 2020, we expect our R&amp;D expenses to generally decrease over the remainder of the year due to the completion of the Phase 2 nezulcitinib study in the second quart</w:t>
      </w:r>
      <w:r>
        <w:rPr>
          <w:sz w:val="20"/>
          <w:szCs w:val="20"/>
        </w:rPr>
        <w:t xml:space="preserve">er of 2021 and the expected completion of the ampreloxetine and izencitinib ulcerative colitis studies in the third quarter of 2021. </w:t>
      </w:r>
    </w:p>
    <w:p w:rsidR="00000000" w:rsidRDefault="00E52F77">
      <w:pPr>
        <w:pStyle w:val="a3"/>
        <w:spacing w:before="0" w:beforeAutospacing="0" w:after="0" w:afterAutospacing="0"/>
        <w:divId w:val="1342702556"/>
        <w:rPr>
          <w:sz w:val="20"/>
          <w:szCs w:val="20"/>
        </w:rPr>
      </w:pPr>
      <w:r>
        <w:rPr>
          <w:sz w:val="20"/>
          <w:szCs w:val="20"/>
        </w:rPr>
        <w:t>​</w:t>
      </w:r>
    </w:p>
    <w:p w:rsidR="00000000" w:rsidRDefault="00E52F77">
      <w:pPr>
        <w:pStyle w:val="a3"/>
        <w:spacing w:before="0" w:beforeAutospacing="0" w:after="0" w:afterAutospacing="0"/>
        <w:divId w:val="1342702556"/>
        <w:rPr>
          <w:sz w:val="20"/>
          <w:szCs w:val="20"/>
        </w:rPr>
      </w:pPr>
      <w:r>
        <w:rPr>
          <w:b/>
          <w:bCs/>
          <w:i/>
          <w:iCs/>
          <w:sz w:val="20"/>
          <w:szCs w:val="20"/>
        </w:rPr>
        <w:t>Selling, General and Administrative</w:t>
      </w:r>
    </w:p>
    <w:p w:rsidR="00000000" w:rsidRDefault="00E52F77">
      <w:pPr>
        <w:pStyle w:val="a3"/>
        <w:spacing w:before="0" w:beforeAutospacing="0" w:after="0" w:afterAutospacing="0"/>
        <w:divId w:val="1342702556"/>
        <w:rPr>
          <w:sz w:val="20"/>
          <w:szCs w:val="20"/>
        </w:rPr>
      </w:pPr>
      <w:r>
        <w:rPr>
          <w:sz w:val="10"/>
          <w:szCs w:val="10"/>
        </w:rPr>
        <w:t>​</w:t>
      </w:r>
    </w:p>
    <w:p w:rsidR="00000000" w:rsidRDefault="00E52F77">
      <w:pPr>
        <w:pStyle w:val="a3"/>
        <w:spacing w:before="0" w:beforeAutospacing="0" w:after="0" w:afterAutospacing="0"/>
        <w:ind w:firstLine="720"/>
        <w:divId w:val="1342702556"/>
        <w:rPr>
          <w:sz w:val="20"/>
          <w:szCs w:val="20"/>
        </w:rPr>
      </w:pPr>
      <w:r>
        <w:rPr>
          <w:sz w:val="20"/>
          <w:szCs w:val="20"/>
        </w:rPr>
        <w:t>Selling, general and administrative expenses, as compared to the comparable period</w:t>
      </w:r>
      <w:r>
        <w:rPr>
          <w:sz w:val="20"/>
          <w:szCs w:val="20"/>
        </w:rPr>
        <w:t>s in the prior year, were as follows:</w:t>
      </w:r>
    </w:p>
    <w:p w:rsidR="00000000" w:rsidRDefault="00E52F77">
      <w:pPr>
        <w:pStyle w:val="a3"/>
        <w:spacing w:before="0" w:beforeAutospacing="0" w:after="0" w:afterAutospacing="0"/>
        <w:ind w:firstLine="720"/>
        <w:divId w:val="134270255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633"/>
        <w:gridCol w:w="80"/>
        <w:gridCol w:w="119"/>
        <w:gridCol w:w="876"/>
        <w:gridCol w:w="119"/>
        <w:gridCol w:w="118"/>
        <w:gridCol w:w="875"/>
        <w:gridCol w:w="80"/>
        <w:gridCol w:w="100"/>
        <w:gridCol w:w="510"/>
        <w:gridCol w:w="80"/>
        <w:gridCol w:w="160"/>
        <w:gridCol w:w="267"/>
        <w:gridCol w:w="80"/>
        <w:gridCol w:w="109"/>
        <w:gridCol w:w="793"/>
        <w:gridCol w:w="107"/>
        <w:gridCol w:w="107"/>
        <w:gridCol w:w="796"/>
        <w:gridCol w:w="80"/>
        <w:gridCol w:w="100"/>
        <w:gridCol w:w="510"/>
        <w:gridCol w:w="80"/>
        <w:gridCol w:w="260"/>
        <w:gridCol w:w="267"/>
      </w:tblGrid>
      <w:tr w:rsidR="00000000">
        <w:trPr>
          <w:divId w:val="1342702556"/>
          <w:trHeight w:val="20"/>
        </w:trPr>
        <w:tc>
          <w:tcPr>
            <w:tcW w:w="1590" w:type="pct"/>
            <w:tcMar>
              <w:top w:w="0" w:type="dxa"/>
              <w:left w:w="0" w:type="dxa"/>
              <w:bottom w:w="0" w:type="dxa"/>
              <w:right w:w="0" w:type="dxa"/>
            </w:tcMar>
            <w:vAlign w:val="bottom"/>
            <w:hideMark/>
          </w:tcPr>
          <w:p w:rsidR="00000000" w:rsidRDefault="00E52F77">
            <w:pPr>
              <w:pStyle w:val="a3"/>
              <w:spacing w:before="0" w:beforeAutospacing="0" w:after="0" w:afterAutospacing="0"/>
              <w:divId w:val="271937122"/>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821967705"/>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97008954"/>
              <w:rPr>
                <w:sz w:val="20"/>
                <w:szCs w:val="20"/>
              </w:rPr>
            </w:pPr>
            <w:r>
              <w:rPr>
                <w:sz w:val="2"/>
                <w:szCs w:val="2"/>
              </w:rPr>
              <w:t>​</w:t>
            </w:r>
          </w:p>
        </w:tc>
        <w:tc>
          <w:tcPr>
            <w:tcW w:w="434"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164127049"/>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209875794"/>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55248906"/>
              <w:rPr>
                <w:sz w:val="20"/>
                <w:szCs w:val="20"/>
              </w:rPr>
            </w:pPr>
            <w:r>
              <w:rPr>
                <w:sz w:val="2"/>
                <w:szCs w:val="2"/>
              </w:rPr>
              <w:t>​</w:t>
            </w:r>
          </w:p>
        </w:tc>
        <w:tc>
          <w:tcPr>
            <w:tcW w:w="43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746993947"/>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673338217"/>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355623685"/>
              <w:rPr>
                <w:sz w:val="20"/>
                <w:szCs w:val="20"/>
              </w:rPr>
            </w:pPr>
            <w:r>
              <w:rPr>
                <w:sz w:val="2"/>
                <w:szCs w:val="2"/>
              </w:rPr>
              <w:t>​</w:t>
            </w:r>
          </w:p>
        </w:tc>
        <w:tc>
          <w:tcPr>
            <w:tcW w:w="277"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81920073"/>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452484515"/>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329136801"/>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355229114"/>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114325873"/>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29839993"/>
              <w:rPr>
                <w:sz w:val="20"/>
                <w:szCs w:val="20"/>
              </w:rPr>
            </w:pPr>
            <w:r>
              <w:rPr>
                <w:sz w:val="2"/>
                <w:szCs w:val="2"/>
              </w:rPr>
              <w:t>​</w:t>
            </w:r>
          </w:p>
        </w:tc>
        <w:tc>
          <w:tcPr>
            <w:tcW w:w="39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59737764"/>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236671507"/>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709447427"/>
              <w:rPr>
                <w:sz w:val="20"/>
                <w:szCs w:val="20"/>
              </w:rPr>
            </w:pPr>
            <w:r>
              <w:rPr>
                <w:sz w:val="2"/>
                <w:szCs w:val="2"/>
              </w:rPr>
              <w:t>​</w:t>
            </w:r>
          </w:p>
        </w:tc>
        <w:tc>
          <w:tcPr>
            <w:tcW w:w="39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343366088"/>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771310767"/>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885755170"/>
              <w:rPr>
                <w:sz w:val="20"/>
                <w:szCs w:val="20"/>
              </w:rPr>
            </w:pPr>
            <w:r>
              <w:rPr>
                <w:sz w:val="2"/>
                <w:szCs w:val="2"/>
              </w:rPr>
              <w:t>​</w:t>
            </w:r>
          </w:p>
        </w:tc>
        <w:tc>
          <w:tcPr>
            <w:tcW w:w="277"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226301774"/>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2136941624"/>
              <w:rPr>
                <w:sz w:val="20"/>
                <w:szCs w:val="20"/>
              </w:rPr>
            </w:pPr>
            <w:r>
              <w:rPr>
                <w:sz w:val="2"/>
                <w:szCs w:val="2"/>
              </w:rPr>
              <w:t>​</w:t>
            </w:r>
          </w:p>
        </w:tc>
        <w:tc>
          <w:tcPr>
            <w:tcW w:w="15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966276002"/>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875850272"/>
              <w:rPr>
                <w:sz w:val="20"/>
                <w:szCs w:val="20"/>
              </w:rPr>
            </w:pPr>
            <w:r>
              <w:rPr>
                <w:sz w:val="2"/>
                <w:szCs w:val="2"/>
              </w:rPr>
              <w:t>​</w:t>
            </w:r>
          </w:p>
        </w:tc>
      </w:tr>
      <w:tr w:rsidR="00000000">
        <w:trPr>
          <w:divId w:val="1342702556"/>
        </w:trPr>
        <w:tc>
          <w:tcPr>
            <w:tcW w:w="1590"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1045" w:type="pct"/>
            <w:gridSpan w:val="5"/>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Three Months Ended June 30, </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471" w:type="pct"/>
            <w:gridSpan w:val="4"/>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Change</w:t>
            </w:r>
          </w:p>
        </w:tc>
        <w:tc>
          <w:tcPr>
            <w:tcW w:w="132"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948" w:type="pct"/>
            <w:gridSpan w:val="5"/>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Six Months Ended June 30, </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520" w:type="pct"/>
            <w:gridSpan w:val="4"/>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Change</w:t>
            </w:r>
          </w:p>
        </w:tc>
        <w:tc>
          <w:tcPr>
            <w:tcW w:w="132"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r>
      <w:tr w:rsidR="00000000">
        <w:trPr>
          <w:divId w:val="1342702556"/>
        </w:trPr>
        <w:tc>
          <w:tcPr>
            <w:tcW w:w="1590" w:type="pct"/>
            <w:tcBorders>
              <w:bottom w:val="single" w:sz="6" w:space="0" w:color="000000"/>
            </w:tcBorders>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(In thousands)</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493"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2021</w:t>
            </w:r>
          </w:p>
        </w:tc>
        <w:tc>
          <w:tcPr>
            <w:tcW w:w="5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2020</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327"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104"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w:t>
            </w:r>
          </w:p>
        </w:tc>
        <w:tc>
          <w:tcPr>
            <w:tcW w:w="132"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2021</w:t>
            </w:r>
          </w:p>
        </w:tc>
        <w:tc>
          <w:tcPr>
            <w:tcW w:w="53"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2020</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327"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153"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w:t>
            </w:r>
          </w:p>
        </w:tc>
        <w:tc>
          <w:tcPr>
            <w:tcW w:w="132"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r>
      <w:tr w:rsidR="00000000">
        <w:trPr>
          <w:divId w:val="1342702556"/>
        </w:trPr>
        <w:tc>
          <w:tcPr>
            <w:tcW w:w="1590"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Selling, general and administrative</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3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25,93</w:t>
            </w:r>
            <w:r>
              <w:rPr>
                <w:sz w:val="20"/>
                <w:szCs w:val="20"/>
              </w:rPr>
              <w:t>1</w:t>
            </w:r>
          </w:p>
        </w:tc>
        <w:tc>
          <w:tcPr>
            <w:tcW w:w="5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3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24,78</w:t>
            </w:r>
            <w:r>
              <w:rPr>
                <w:sz w:val="20"/>
                <w:szCs w:val="20"/>
              </w:rPr>
              <w:t>0</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27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1,15</w:t>
            </w:r>
            <w:r>
              <w:rPr>
                <w:sz w:val="20"/>
                <w:szCs w:val="20"/>
              </w:rPr>
              <w:t>1</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5</w:t>
            </w:r>
          </w:p>
        </w:tc>
        <w:tc>
          <w:tcPr>
            <w:tcW w:w="13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  </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9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56,48</w:t>
            </w:r>
            <w:r>
              <w:rPr>
                <w:sz w:val="20"/>
                <w:szCs w:val="20"/>
              </w:rPr>
              <w:t>1</w:t>
            </w:r>
          </w:p>
        </w:tc>
        <w:tc>
          <w:tcPr>
            <w:tcW w:w="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9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51,10</w:t>
            </w:r>
            <w:r>
              <w:rPr>
                <w:sz w:val="20"/>
                <w:szCs w:val="20"/>
              </w:rPr>
              <w:t>5</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27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5,37</w:t>
            </w:r>
            <w:r>
              <w:rPr>
                <w:sz w:val="20"/>
                <w:szCs w:val="20"/>
              </w:rPr>
              <w:t>6</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1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1</w:t>
            </w:r>
            <w:r>
              <w:rPr>
                <w:sz w:val="20"/>
                <w:szCs w:val="20"/>
              </w:rPr>
              <w:t>1</w:t>
            </w:r>
          </w:p>
        </w:tc>
        <w:tc>
          <w:tcPr>
            <w:tcW w:w="13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  </w:t>
            </w:r>
          </w:p>
        </w:tc>
      </w:tr>
    </w:tbl>
    <w:p w:rsidR="00000000" w:rsidRDefault="00E52F77">
      <w:pPr>
        <w:pStyle w:val="a3"/>
        <w:spacing w:before="0" w:beforeAutospacing="0" w:after="0" w:afterAutospacing="0"/>
        <w:ind w:firstLine="720"/>
        <w:divId w:val="1342702556"/>
        <w:rPr>
          <w:sz w:val="20"/>
          <w:szCs w:val="20"/>
        </w:rPr>
      </w:pPr>
      <w:r>
        <w:rPr>
          <w:sz w:val="20"/>
          <w:szCs w:val="20"/>
        </w:rPr>
        <w:t>​</w:t>
      </w:r>
    </w:p>
    <w:p w:rsidR="00000000" w:rsidRDefault="00E52F77">
      <w:pPr>
        <w:pStyle w:val="a3"/>
        <w:spacing w:before="0" w:beforeAutospacing="0" w:after="0" w:afterAutospacing="0"/>
        <w:ind w:firstLine="720"/>
        <w:divId w:val="1342702556"/>
        <w:rPr>
          <w:sz w:val="20"/>
          <w:szCs w:val="20"/>
        </w:rPr>
      </w:pPr>
      <w:r>
        <w:rPr>
          <w:sz w:val="20"/>
          <w:szCs w:val="20"/>
        </w:rPr>
        <w:t>Selling, general and administrative expenses increased by $1.2 million and $5.4 million for the three months and six months ended June 30, 2021, respectively, compared to the same periods in 2020. The increases for both periods were primarily attributed to</w:t>
      </w:r>
      <w:r>
        <w:rPr>
          <w:sz w:val="20"/>
          <w:szCs w:val="20"/>
        </w:rPr>
        <w:t xml:space="preserve"> $1.2 million and $4.1 million increases, respectively, in external-related expenses. The increases in external-related expenses were primarily due to an increase in legal costs related to the TRC arbitration.</w:t>
      </w:r>
    </w:p>
    <w:p w:rsidR="00000000" w:rsidRDefault="00E52F77">
      <w:pPr>
        <w:pStyle w:val="a3"/>
        <w:spacing w:before="0" w:beforeAutospacing="0" w:after="0" w:afterAutospacing="0"/>
        <w:divId w:val="1342702556"/>
        <w:rPr>
          <w:sz w:val="20"/>
          <w:szCs w:val="20"/>
        </w:rPr>
      </w:pPr>
      <w:r>
        <w:rPr>
          <w:sz w:val="20"/>
          <w:szCs w:val="20"/>
        </w:rPr>
        <w:t>​</w:t>
      </w:r>
    </w:p>
    <w:p w:rsidR="00000000" w:rsidRDefault="00E52F77">
      <w:pPr>
        <w:pStyle w:val="a3"/>
        <w:spacing w:before="0" w:beforeAutospacing="0" w:after="0" w:afterAutospacing="0"/>
        <w:ind w:firstLine="720"/>
        <w:divId w:val="1342702556"/>
        <w:rPr>
          <w:sz w:val="20"/>
          <w:szCs w:val="20"/>
        </w:rPr>
      </w:pPr>
      <w:r>
        <w:rPr>
          <w:sz w:val="20"/>
          <w:szCs w:val="20"/>
          <w:shd w:val="clear" w:color="auto" w:fill="FFFFFF"/>
        </w:rPr>
        <w:t xml:space="preserve">Share-based compensation expense related to </w:t>
      </w:r>
      <w:r>
        <w:rPr>
          <w:sz w:val="20"/>
          <w:szCs w:val="20"/>
          <w:shd w:val="clear" w:color="auto" w:fill="FFFFFF"/>
        </w:rPr>
        <w:t>selling, general and administrative expenses was $7.6 million and $15.5 million for the three and six months ended June 30, 2021, respectively, and $8.5 million and $15.9 million for the three and six months ended June 30, 2020, respectively.</w:t>
      </w:r>
    </w:p>
    <w:p w:rsidR="00000000" w:rsidRDefault="00E52F77">
      <w:pPr>
        <w:pStyle w:val="a3"/>
        <w:spacing w:before="0" w:beforeAutospacing="0" w:after="0" w:afterAutospacing="0"/>
        <w:divId w:val="1342702556"/>
        <w:rPr>
          <w:sz w:val="20"/>
          <w:szCs w:val="20"/>
        </w:rPr>
      </w:pPr>
      <w:r>
        <w:rPr>
          <w:sz w:val="20"/>
          <w:szCs w:val="20"/>
        </w:rPr>
        <w:t>​</w:t>
      </w:r>
    </w:p>
    <w:p w:rsidR="00000000" w:rsidRDefault="00E52F77">
      <w:pPr>
        <w:pStyle w:val="a3"/>
        <w:spacing w:before="0" w:beforeAutospacing="0" w:after="0" w:afterAutospacing="0"/>
        <w:divId w:val="1342702556"/>
        <w:rPr>
          <w:sz w:val="20"/>
          <w:szCs w:val="20"/>
        </w:rPr>
      </w:pPr>
      <w:r>
        <w:rPr>
          <w:b/>
          <w:bCs/>
          <w:i/>
          <w:iCs/>
          <w:sz w:val="20"/>
          <w:szCs w:val="20"/>
        </w:rPr>
        <w:t>Income from Investment in TRC, LLC</w:t>
      </w:r>
    </w:p>
    <w:p w:rsidR="00000000" w:rsidRDefault="00E52F77">
      <w:pPr>
        <w:pStyle w:val="a3"/>
        <w:spacing w:before="0" w:beforeAutospacing="0" w:after="0" w:afterAutospacing="0"/>
        <w:divId w:val="1342702556"/>
        <w:rPr>
          <w:sz w:val="20"/>
          <w:szCs w:val="20"/>
        </w:rPr>
      </w:pPr>
      <w:r>
        <w:rPr>
          <w:sz w:val="12"/>
          <w:szCs w:val="12"/>
        </w:rPr>
        <w:t>​</w:t>
      </w:r>
    </w:p>
    <w:p w:rsidR="00000000" w:rsidRDefault="00E52F77">
      <w:pPr>
        <w:pStyle w:val="a3"/>
        <w:spacing w:before="0" w:beforeAutospacing="0" w:after="0" w:afterAutospacing="0"/>
        <w:ind w:firstLine="720"/>
        <w:divId w:val="1342702556"/>
        <w:rPr>
          <w:sz w:val="20"/>
          <w:szCs w:val="20"/>
        </w:rPr>
      </w:pPr>
      <w:r>
        <w:rPr>
          <w:sz w:val="20"/>
          <w:szCs w:val="20"/>
        </w:rPr>
        <w:t>Income from investment in TRC, as compared to the comparable periods in the prior year, was as follows:</w:t>
      </w:r>
    </w:p>
    <w:p w:rsidR="00000000" w:rsidRDefault="00E52F77">
      <w:pPr>
        <w:pStyle w:val="a3"/>
        <w:spacing w:before="0" w:beforeAutospacing="0" w:after="0" w:afterAutospacing="0"/>
        <w:ind w:firstLine="720"/>
        <w:divId w:val="134270255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823"/>
        <w:gridCol w:w="80"/>
        <w:gridCol w:w="119"/>
        <w:gridCol w:w="876"/>
        <w:gridCol w:w="119"/>
        <w:gridCol w:w="118"/>
        <w:gridCol w:w="875"/>
        <w:gridCol w:w="80"/>
        <w:gridCol w:w="100"/>
        <w:gridCol w:w="360"/>
        <w:gridCol w:w="80"/>
        <w:gridCol w:w="160"/>
        <w:gridCol w:w="227"/>
        <w:gridCol w:w="80"/>
        <w:gridCol w:w="109"/>
        <w:gridCol w:w="793"/>
        <w:gridCol w:w="107"/>
        <w:gridCol w:w="107"/>
        <w:gridCol w:w="796"/>
        <w:gridCol w:w="80"/>
        <w:gridCol w:w="100"/>
        <w:gridCol w:w="510"/>
        <w:gridCol w:w="80"/>
        <w:gridCol w:w="260"/>
        <w:gridCol w:w="267"/>
      </w:tblGrid>
      <w:tr w:rsidR="00000000">
        <w:trPr>
          <w:divId w:val="1342702556"/>
          <w:trHeight w:val="20"/>
        </w:trPr>
        <w:tc>
          <w:tcPr>
            <w:tcW w:w="1709" w:type="pct"/>
            <w:tcMar>
              <w:top w:w="0" w:type="dxa"/>
              <w:left w:w="0" w:type="dxa"/>
              <w:bottom w:w="0" w:type="dxa"/>
              <w:right w:w="0" w:type="dxa"/>
            </w:tcMar>
            <w:vAlign w:val="bottom"/>
            <w:hideMark/>
          </w:tcPr>
          <w:p w:rsidR="00000000" w:rsidRDefault="00E52F77">
            <w:pPr>
              <w:pStyle w:val="a3"/>
              <w:spacing w:before="0" w:beforeAutospacing="0" w:after="0" w:afterAutospacing="0"/>
              <w:divId w:val="561138758"/>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311716931"/>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005397448"/>
              <w:rPr>
                <w:sz w:val="20"/>
                <w:szCs w:val="20"/>
              </w:rPr>
            </w:pPr>
            <w:r>
              <w:rPr>
                <w:sz w:val="2"/>
                <w:szCs w:val="2"/>
              </w:rPr>
              <w:t>​</w:t>
            </w:r>
          </w:p>
        </w:tc>
        <w:tc>
          <w:tcPr>
            <w:tcW w:w="434"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588928125"/>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021391805"/>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980016"/>
              <w:rPr>
                <w:sz w:val="20"/>
                <w:szCs w:val="20"/>
              </w:rPr>
            </w:pPr>
            <w:r>
              <w:rPr>
                <w:sz w:val="2"/>
                <w:szCs w:val="2"/>
              </w:rPr>
              <w:t>​</w:t>
            </w:r>
          </w:p>
        </w:tc>
        <w:tc>
          <w:tcPr>
            <w:tcW w:w="43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25440520"/>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638101416"/>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499656161"/>
              <w:rPr>
                <w:sz w:val="20"/>
                <w:szCs w:val="20"/>
              </w:rPr>
            </w:pPr>
            <w:r>
              <w:rPr>
                <w:sz w:val="2"/>
                <w:szCs w:val="2"/>
              </w:rPr>
              <w:t>​</w:t>
            </w:r>
          </w:p>
        </w:tc>
        <w:tc>
          <w:tcPr>
            <w:tcW w:w="20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209732372"/>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228224394"/>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305091384"/>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2105803758"/>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447391230"/>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596941227"/>
              <w:rPr>
                <w:sz w:val="20"/>
                <w:szCs w:val="20"/>
              </w:rPr>
            </w:pPr>
            <w:r>
              <w:rPr>
                <w:sz w:val="2"/>
                <w:szCs w:val="2"/>
              </w:rPr>
              <w:t>​</w:t>
            </w:r>
          </w:p>
        </w:tc>
        <w:tc>
          <w:tcPr>
            <w:tcW w:w="39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960724406"/>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128745360"/>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332099731"/>
              <w:rPr>
                <w:sz w:val="20"/>
                <w:szCs w:val="20"/>
              </w:rPr>
            </w:pPr>
            <w:r>
              <w:rPr>
                <w:sz w:val="2"/>
                <w:szCs w:val="2"/>
              </w:rPr>
              <w:t>​</w:t>
            </w:r>
          </w:p>
        </w:tc>
        <w:tc>
          <w:tcPr>
            <w:tcW w:w="39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386954671"/>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838956339"/>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674603766"/>
              <w:rPr>
                <w:sz w:val="20"/>
                <w:szCs w:val="20"/>
              </w:rPr>
            </w:pPr>
            <w:r>
              <w:rPr>
                <w:sz w:val="2"/>
                <w:szCs w:val="2"/>
              </w:rPr>
              <w:t>​</w:t>
            </w:r>
          </w:p>
        </w:tc>
        <w:tc>
          <w:tcPr>
            <w:tcW w:w="277"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528829650"/>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45567015"/>
              <w:rPr>
                <w:sz w:val="20"/>
                <w:szCs w:val="20"/>
              </w:rPr>
            </w:pPr>
            <w:r>
              <w:rPr>
                <w:sz w:val="2"/>
                <w:szCs w:val="2"/>
              </w:rPr>
              <w:t>​</w:t>
            </w:r>
          </w:p>
        </w:tc>
        <w:tc>
          <w:tcPr>
            <w:tcW w:w="15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379670407"/>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893804025"/>
              <w:rPr>
                <w:sz w:val="20"/>
                <w:szCs w:val="20"/>
              </w:rPr>
            </w:pPr>
            <w:r>
              <w:rPr>
                <w:sz w:val="2"/>
                <w:szCs w:val="2"/>
              </w:rPr>
              <w:t>​</w:t>
            </w:r>
          </w:p>
        </w:tc>
      </w:tr>
      <w:tr w:rsidR="00000000">
        <w:trPr>
          <w:divId w:val="1342702556"/>
        </w:trPr>
        <w:tc>
          <w:tcPr>
            <w:tcW w:w="1709"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1045" w:type="pct"/>
            <w:gridSpan w:val="5"/>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Three Months Ended June 30, </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372" w:type="pct"/>
            <w:gridSpan w:val="4"/>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Change</w:t>
            </w:r>
          </w:p>
        </w:tc>
        <w:tc>
          <w:tcPr>
            <w:tcW w:w="112"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948" w:type="pct"/>
            <w:gridSpan w:val="5"/>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Six Months Ended June 30, </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520" w:type="pct"/>
            <w:gridSpan w:val="4"/>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Change</w:t>
            </w:r>
          </w:p>
        </w:tc>
        <w:tc>
          <w:tcPr>
            <w:tcW w:w="132"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r>
      <w:tr w:rsidR="00000000">
        <w:trPr>
          <w:divId w:val="1342702556"/>
        </w:trPr>
        <w:tc>
          <w:tcPr>
            <w:tcW w:w="1709" w:type="pct"/>
            <w:tcBorders>
              <w:bottom w:val="single" w:sz="6" w:space="0" w:color="000000"/>
            </w:tcBorders>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(In thousands)</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493"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2021</w:t>
            </w:r>
          </w:p>
        </w:tc>
        <w:tc>
          <w:tcPr>
            <w:tcW w:w="5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2020</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252"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79"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w:t>
            </w:r>
          </w:p>
        </w:tc>
        <w:tc>
          <w:tcPr>
            <w:tcW w:w="112"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2021</w:t>
            </w:r>
          </w:p>
        </w:tc>
        <w:tc>
          <w:tcPr>
            <w:tcW w:w="53"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2020</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327"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153"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w:t>
            </w:r>
          </w:p>
        </w:tc>
        <w:tc>
          <w:tcPr>
            <w:tcW w:w="132"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r>
      <w:tr w:rsidR="00000000">
        <w:trPr>
          <w:divId w:val="1342702556"/>
        </w:trPr>
        <w:tc>
          <w:tcPr>
            <w:tcW w:w="1709"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Income from investment in TRC, LLC</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3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21,92</w:t>
            </w:r>
            <w:r>
              <w:rPr>
                <w:sz w:val="20"/>
                <w:szCs w:val="20"/>
              </w:rPr>
              <w:t>6</w:t>
            </w:r>
          </w:p>
        </w:tc>
        <w:tc>
          <w:tcPr>
            <w:tcW w:w="5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3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21,38</w:t>
            </w:r>
            <w:r>
              <w:rPr>
                <w:sz w:val="20"/>
                <w:szCs w:val="20"/>
              </w:rPr>
              <w:t>1</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20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54</w:t>
            </w:r>
            <w:r>
              <w:rPr>
                <w:sz w:val="20"/>
                <w:szCs w:val="20"/>
              </w:rPr>
              <w:t>5</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3</w:t>
            </w:r>
          </w:p>
        </w:tc>
        <w:tc>
          <w:tcPr>
            <w:tcW w:w="11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9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38,47</w:t>
            </w:r>
            <w:r>
              <w:rPr>
                <w:sz w:val="20"/>
                <w:szCs w:val="20"/>
              </w:rPr>
              <w:t>3</w:t>
            </w:r>
          </w:p>
        </w:tc>
        <w:tc>
          <w:tcPr>
            <w:tcW w:w="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9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34,89</w:t>
            </w:r>
            <w:r>
              <w:rPr>
                <w:sz w:val="20"/>
                <w:szCs w:val="20"/>
              </w:rPr>
              <w:t>6</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27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3,57</w:t>
            </w:r>
            <w:r>
              <w:rPr>
                <w:sz w:val="20"/>
                <w:szCs w:val="20"/>
              </w:rPr>
              <w:t>7</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1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1</w:t>
            </w:r>
            <w:r>
              <w:rPr>
                <w:sz w:val="20"/>
                <w:szCs w:val="20"/>
              </w:rPr>
              <w:t>0</w:t>
            </w:r>
          </w:p>
        </w:tc>
        <w:tc>
          <w:tcPr>
            <w:tcW w:w="13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  </w:t>
            </w:r>
          </w:p>
        </w:tc>
      </w:tr>
    </w:tbl>
    <w:p w:rsidR="00000000" w:rsidRDefault="00E52F77">
      <w:pPr>
        <w:pStyle w:val="a3"/>
        <w:spacing w:before="0" w:beforeAutospacing="0" w:after="0" w:afterAutospacing="0"/>
        <w:ind w:firstLine="720"/>
        <w:divId w:val="1342702556"/>
        <w:rPr>
          <w:sz w:val="20"/>
          <w:szCs w:val="20"/>
        </w:rPr>
      </w:pPr>
      <w:r>
        <w:rPr>
          <w:sz w:val="20"/>
          <w:szCs w:val="20"/>
        </w:rPr>
        <w:t>​</w:t>
      </w:r>
    </w:p>
    <w:p w:rsidR="00000000" w:rsidRDefault="00E52F77">
      <w:pPr>
        <w:pStyle w:val="a3"/>
        <w:spacing w:before="0" w:beforeAutospacing="0" w:after="0" w:afterAutospacing="0"/>
        <w:ind w:firstLine="720"/>
        <w:divId w:val="1342702556"/>
        <w:rPr>
          <w:sz w:val="20"/>
          <w:szCs w:val="20"/>
        </w:rPr>
      </w:pPr>
      <w:r>
        <w:rPr>
          <w:sz w:val="20"/>
          <w:szCs w:val="20"/>
        </w:rPr>
        <w:t>The income from investment in TRC, LLC represented our share of the royalty payments from GSK to TRC on the net sales of TRELEGY (net of our share of TRC expenses paid and the amount of cash, if any, expected to be used by TRC pursuant to the TRC LLC Agree</w:t>
      </w:r>
      <w:r>
        <w:rPr>
          <w:sz w:val="20"/>
          <w:szCs w:val="20"/>
        </w:rPr>
        <w:t>ment over the next four fiscal quarters).</w:t>
      </w:r>
      <w:r>
        <w:rPr>
          <w:color w:val="212529"/>
          <w:sz w:val="20"/>
          <w:szCs w:val="20"/>
        </w:rPr>
        <w:t xml:space="preserve"> </w:t>
      </w:r>
    </w:p>
    <w:p w:rsidR="00000000" w:rsidRDefault="00E52F77">
      <w:pPr>
        <w:pStyle w:val="a3"/>
        <w:spacing w:before="0" w:beforeAutospacing="0" w:after="0" w:afterAutospacing="0"/>
        <w:ind w:firstLine="720"/>
        <w:divId w:val="1342702556"/>
        <w:rPr>
          <w:sz w:val="20"/>
          <w:szCs w:val="20"/>
        </w:rPr>
      </w:pPr>
      <w:r>
        <w:rPr>
          <w:color w:val="212529"/>
          <w:sz w:val="20"/>
          <w:szCs w:val="20"/>
        </w:rPr>
        <w:t>​</w:t>
      </w:r>
    </w:p>
    <w:p w:rsidR="00000000" w:rsidRDefault="00E52F77">
      <w:pPr>
        <w:pStyle w:val="a3"/>
        <w:spacing w:before="0" w:beforeAutospacing="0" w:after="0" w:afterAutospacing="0"/>
        <w:ind w:firstLine="720"/>
        <w:divId w:val="1342702556"/>
        <w:rPr>
          <w:sz w:val="20"/>
          <w:szCs w:val="20"/>
        </w:rPr>
      </w:pPr>
      <w:r>
        <w:rPr>
          <w:sz w:val="20"/>
          <w:szCs w:val="20"/>
        </w:rPr>
        <w:t xml:space="preserve">Income from investment in TRC, LLC increased by $0.5 million and $3.6 million for the three and six months ended June 30, 2021, respectively, compared to the same periods in 2020 which included </w:t>
      </w:r>
      <w:r>
        <w:rPr>
          <w:sz w:val="20"/>
          <w:szCs w:val="20"/>
          <w:shd w:val="clear" w:color="auto" w:fill="FFFFFF"/>
        </w:rPr>
        <w:t>$8.5 million repr</w:t>
      </w:r>
      <w:r>
        <w:rPr>
          <w:sz w:val="20"/>
          <w:szCs w:val="20"/>
          <w:shd w:val="clear" w:color="auto" w:fill="FFFFFF"/>
        </w:rPr>
        <w:t>esenting our share of the one-time fee that GSK paid to TRC upon termination of the MABA program in June 2020.</w:t>
      </w:r>
      <w:r>
        <w:rPr>
          <w:sz w:val="20"/>
          <w:szCs w:val="20"/>
        </w:rPr>
        <w:t xml:space="preserve"> </w:t>
      </w:r>
    </w:p>
    <w:p w:rsidR="00000000" w:rsidRDefault="00E52F77">
      <w:pPr>
        <w:pStyle w:val="a3"/>
        <w:spacing w:before="0" w:beforeAutospacing="0" w:after="0" w:afterAutospacing="0"/>
        <w:ind w:firstLine="720"/>
        <w:divId w:val="1342702556"/>
        <w:rPr>
          <w:sz w:val="20"/>
          <w:szCs w:val="20"/>
        </w:rPr>
      </w:pPr>
      <w:r>
        <w:rPr>
          <w:sz w:val="20"/>
          <w:szCs w:val="20"/>
        </w:rPr>
        <w:t>​</w:t>
      </w:r>
    </w:p>
    <w:p w:rsidR="00000000" w:rsidRDefault="00E52F77">
      <w:pPr>
        <w:pStyle w:val="a3"/>
        <w:spacing w:before="0" w:beforeAutospacing="0" w:after="0" w:afterAutospacing="0"/>
        <w:ind w:firstLine="720"/>
        <w:divId w:val="1342702556"/>
        <w:rPr>
          <w:sz w:val="20"/>
          <w:szCs w:val="20"/>
        </w:rPr>
      </w:pPr>
      <w:r>
        <w:rPr>
          <w:sz w:val="20"/>
          <w:szCs w:val="20"/>
        </w:rPr>
        <w:t>The $21.9 million and $38.5 million of TRC income for the three and six months ended June 30, 2021, respectively, was recorded net of our shar</w:t>
      </w:r>
      <w:r>
        <w:rPr>
          <w:sz w:val="20"/>
          <w:szCs w:val="20"/>
        </w:rPr>
        <w:t xml:space="preserve">e of TRC expenses of $0.3 million and $3.1 million, respectively. </w:t>
      </w:r>
      <w:r>
        <w:rPr>
          <w:sz w:val="20"/>
          <w:szCs w:val="20"/>
          <w:shd w:val="clear" w:color="auto" w:fill="FFFFFF"/>
        </w:rPr>
        <w:t>Our share of TRC expenses for the three and six months ended June 30, 2021 was primarily comprised of TRC’s legal and related expenses associated with the arbitration between Innoviva and TR</w:t>
      </w:r>
      <w:r>
        <w:rPr>
          <w:sz w:val="20"/>
          <w:szCs w:val="20"/>
          <w:shd w:val="clear" w:color="auto" w:fill="FFFFFF"/>
        </w:rPr>
        <w:t xml:space="preserve">C and us. </w:t>
      </w:r>
      <w:r>
        <w:rPr>
          <w:sz w:val="20"/>
          <w:szCs w:val="20"/>
        </w:rPr>
        <w:t>Our share of TRC expenses was $0.4</w:t>
      </w:r>
      <w:r>
        <w:rPr>
          <w:b/>
          <w:bCs/>
          <w:sz w:val="20"/>
          <w:szCs w:val="20"/>
        </w:rPr>
        <w:t xml:space="preserve"> </w:t>
      </w:r>
      <w:r>
        <w:rPr>
          <w:sz w:val="20"/>
          <w:szCs w:val="20"/>
        </w:rPr>
        <w:t>million and $0.6 million for the three and six months ended June 30, 2020, respectively.</w:t>
      </w:r>
    </w:p>
    <w:p w:rsidR="00000000" w:rsidRDefault="00E52F77">
      <w:pPr>
        <w:pStyle w:val="a3"/>
        <w:spacing w:before="0" w:beforeAutospacing="0" w:after="0" w:afterAutospacing="0"/>
        <w:divId w:val="1342702556"/>
        <w:rPr>
          <w:sz w:val="20"/>
          <w:szCs w:val="20"/>
        </w:rPr>
      </w:pPr>
      <w:r>
        <w:rPr>
          <w:color w:val="FF0000"/>
          <w:sz w:val="20"/>
          <w:szCs w:val="20"/>
        </w:rPr>
        <w:t>​</w:t>
      </w:r>
    </w:p>
    <w:p w:rsidR="00000000" w:rsidRDefault="00E52F77">
      <w:pPr>
        <w:pStyle w:val="a3"/>
        <w:spacing w:before="360" w:beforeAutospacing="0" w:after="0" w:afterAutospacing="0"/>
        <w:jc w:val="center"/>
        <w:divId w:val="579174342"/>
        <w:rPr>
          <w:sz w:val="20"/>
          <w:szCs w:val="20"/>
        </w:rPr>
      </w:pPr>
      <w:r>
        <w:rPr>
          <w:sz w:val="20"/>
          <w:szCs w:val="20"/>
        </w:rPr>
        <w:t>29</w:t>
      </w:r>
    </w:p>
    <w:p w:rsidR="00000000" w:rsidRDefault="00E52F77">
      <w:pPr>
        <w:pStyle w:val="a3"/>
        <w:spacing w:before="0" w:beforeAutospacing="0" w:after="600" w:afterAutospacing="0"/>
        <w:divId w:val="92014958"/>
        <w:rPr>
          <w:sz w:val="20"/>
          <w:szCs w:val="20"/>
        </w:rPr>
      </w:pPr>
      <w:hyperlink w:anchor="TOC" w:history="1">
        <w:r>
          <w:rPr>
            <w:rStyle w:val="a4"/>
            <w:sz w:val="20"/>
            <w:szCs w:val="20"/>
          </w:rPr>
          <w:t>Table of Contents</w:t>
        </w:r>
      </w:hyperlink>
    </w:p>
    <w:p w:rsidR="00000000" w:rsidRDefault="00E52F77">
      <w:pPr>
        <w:pStyle w:val="a3"/>
        <w:spacing w:before="0" w:beforeAutospacing="0" w:after="0" w:afterAutospacing="0"/>
        <w:ind w:firstLine="720"/>
        <w:divId w:val="1236629362"/>
        <w:rPr>
          <w:sz w:val="20"/>
          <w:szCs w:val="20"/>
        </w:rPr>
      </w:pPr>
      <w:r>
        <w:rPr>
          <w:sz w:val="20"/>
          <w:szCs w:val="20"/>
        </w:rPr>
        <w:t>In connection with the issuance of our $380.0 million net principal amount Non-Recourse 2035 Notes in February 2020, 75% of the income from our investment in TRC is available only for payment of the Non-Recourse 2035 Notes and is not available to pay other</w:t>
      </w:r>
      <w:r>
        <w:rPr>
          <w:sz w:val="20"/>
          <w:szCs w:val="20"/>
        </w:rPr>
        <w:t xml:space="preserve"> creditor obligations or claims. </w:t>
      </w:r>
    </w:p>
    <w:p w:rsidR="00000000" w:rsidRDefault="00E52F77">
      <w:pPr>
        <w:pStyle w:val="a3"/>
        <w:spacing w:before="0" w:beforeAutospacing="0" w:after="0" w:afterAutospacing="0"/>
        <w:ind w:firstLine="720"/>
        <w:divId w:val="1236629362"/>
        <w:rPr>
          <w:sz w:val="20"/>
          <w:szCs w:val="20"/>
        </w:rPr>
      </w:pPr>
      <w:r>
        <w:rPr>
          <w:sz w:val="20"/>
          <w:szCs w:val="20"/>
        </w:rPr>
        <w:t>​</w:t>
      </w:r>
    </w:p>
    <w:p w:rsidR="00000000" w:rsidRDefault="00E52F77">
      <w:pPr>
        <w:pStyle w:val="a3"/>
        <w:spacing w:before="0" w:beforeAutospacing="0" w:after="0" w:afterAutospacing="0"/>
        <w:ind w:firstLine="720"/>
        <w:divId w:val="1236629362"/>
        <w:rPr>
          <w:sz w:val="20"/>
          <w:szCs w:val="20"/>
        </w:rPr>
      </w:pPr>
      <w:r>
        <w:rPr>
          <w:sz w:val="20"/>
          <w:szCs w:val="20"/>
        </w:rPr>
        <w:t xml:space="preserve">See </w:t>
      </w:r>
      <w:r>
        <w:rPr>
          <w:i/>
          <w:iCs/>
          <w:sz w:val="20"/>
          <w:szCs w:val="20"/>
        </w:rPr>
        <w:t>“Risk Factors—We do not control the commercialization of TRELEGY and we do not control TRC; accordingly the amount of royalties we receive will depend on, among other factors, GSK’s ability to further commercialize T</w:t>
      </w:r>
      <w:r>
        <w:rPr>
          <w:i/>
          <w:iCs/>
          <w:sz w:val="20"/>
          <w:szCs w:val="20"/>
        </w:rPr>
        <w:t xml:space="preserve">RELEGY and TRC’s decisions concerning use of cash in accordance with the TRC LLC Agreement” </w:t>
      </w:r>
      <w:r>
        <w:rPr>
          <w:sz w:val="20"/>
          <w:szCs w:val="20"/>
        </w:rPr>
        <w:t>for additional information regarding our economic interest in TRC, LLC.</w:t>
      </w:r>
    </w:p>
    <w:p w:rsidR="00000000" w:rsidRDefault="00E52F77">
      <w:pPr>
        <w:pStyle w:val="a3"/>
        <w:spacing w:before="0" w:beforeAutospacing="0" w:after="0" w:afterAutospacing="0"/>
        <w:divId w:val="1236629362"/>
        <w:rPr>
          <w:sz w:val="20"/>
          <w:szCs w:val="20"/>
        </w:rPr>
      </w:pPr>
      <w:r>
        <w:rPr>
          <w:color w:val="FF0000"/>
          <w:sz w:val="20"/>
          <w:szCs w:val="20"/>
        </w:rPr>
        <w:t>​</w:t>
      </w:r>
    </w:p>
    <w:p w:rsidR="00000000" w:rsidRDefault="00E52F77">
      <w:pPr>
        <w:pStyle w:val="a3"/>
        <w:spacing w:before="0" w:beforeAutospacing="0" w:after="0" w:afterAutospacing="0"/>
        <w:divId w:val="1236629362"/>
        <w:rPr>
          <w:sz w:val="20"/>
          <w:szCs w:val="20"/>
        </w:rPr>
      </w:pPr>
      <w:r>
        <w:rPr>
          <w:b/>
          <w:bCs/>
          <w:i/>
          <w:iCs/>
          <w:sz w:val="20"/>
          <w:szCs w:val="20"/>
        </w:rPr>
        <w:t>Interest Expense</w:t>
      </w:r>
    </w:p>
    <w:p w:rsidR="00000000" w:rsidRDefault="00E52F77">
      <w:pPr>
        <w:pStyle w:val="a3"/>
        <w:spacing w:before="0" w:beforeAutospacing="0" w:after="0" w:afterAutospacing="0"/>
        <w:divId w:val="1236629362"/>
        <w:rPr>
          <w:sz w:val="20"/>
          <w:szCs w:val="20"/>
        </w:rPr>
      </w:pPr>
      <w:r>
        <w:rPr>
          <w:sz w:val="10"/>
          <w:szCs w:val="10"/>
        </w:rPr>
        <w:t>​</w:t>
      </w:r>
    </w:p>
    <w:p w:rsidR="00000000" w:rsidRDefault="00E52F77">
      <w:pPr>
        <w:pStyle w:val="a3"/>
        <w:spacing w:before="0" w:beforeAutospacing="0" w:after="0" w:afterAutospacing="0"/>
        <w:ind w:firstLine="720"/>
        <w:divId w:val="1236629362"/>
        <w:rPr>
          <w:sz w:val="20"/>
          <w:szCs w:val="20"/>
        </w:rPr>
      </w:pPr>
      <w:r>
        <w:rPr>
          <w:sz w:val="20"/>
          <w:szCs w:val="20"/>
        </w:rPr>
        <w:t>Interest expense primarily consisted of interest payments due on the Co</w:t>
      </w:r>
      <w:r>
        <w:rPr>
          <w:sz w:val="20"/>
          <w:szCs w:val="20"/>
        </w:rPr>
        <w:t>nvertible Senior 2023 Notes and the Non-Recourse 2035 Notes, as well as, the amortization of the associated debt issuance costs. Interest expense, as compared to the comparable periods in the prior year, was as follows:</w:t>
      </w:r>
    </w:p>
    <w:p w:rsidR="00000000" w:rsidRDefault="00E52F77">
      <w:pPr>
        <w:pStyle w:val="a3"/>
        <w:spacing w:before="0" w:beforeAutospacing="0" w:after="0" w:afterAutospacing="0"/>
        <w:ind w:firstLine="720"/>
        <w:divId w:val="123662936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675"/>
        <w:gridCol w:w="80"/>
        <w:gridCol w:w="119"/>
        <w:gridCol w:w="876"/>
        <w:gridCol w:w="119"/>
        <w:gridCol w:w="118"/>
        <w:gridCol w:w="875"/>
        <w:gridCol w:w="80"/>
        <w:gridCol w:w="100"/>
        <w:gridCol w:w="434"/>
        <w:gridCol w:w="80"/>
        <w:gridCol w:w="160"/>
        <w:gridCol w:w="227"/>
        <w:gridCol w:w="80"/>
        <w:gridCol w:w="109"/>
        <w:gridCol w:w="793"/>
        <w:gridCol w:w="107"/>
        <w:gridCol w:w="107"/>
        <w:gridCol w:w="796"/>
        <w:gridCol w:w="80"/>
        <w:gridCol w:w="100"/>
        <w:gridCol w:w="584"/>
        <w:gridCol w:w="80"/>
        <w:gridCol w:w="260"/>
        <w:gridCol w:w="267"/>
      </w:tblGrid>
      <w:tr w:rsidR="00000000">
        <w:trPr>
          <w:divId w:val="1236629362"/>
          <w:trHeight w:val="20"/>
        </w:trPr>
        <w:tc>
          <w:tcPr>
            <w:tcW w:w="1611" w:type="pct"/>
            <w:tcMar>
              <w:top w:w="0" w:type="dxa"/>
              <w:left w:w="0" w:type="dxa"/>
              <w:bottom w:w="0" w:type="dxa"/>
              <w:right w:w="0" w:type="dxa"/>
            </w:tcMar>
            <w:vAlign w:val="bottom"/>
            <w:hideMark/>
          </w:tcPr>
          <w:p w:rsidR="00000000" w:rsidRDefault="00E52F77">
            <w:pPr>
              <w:pStyle w:val="a3"/>
              <w:spacing w:before="0" w:beforeAutospacing="0" w:after="0" w:afterAutospacing="0"/>
              <w:divId w:val="1105081829"/>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519470476"/>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952201797"/>
              <w:rPr>
                <w:sz w:val="20"/>
                <w:szCs w:val="20"/>
              </w:rPr>
            </w:pPr>
            <w:r>
              <w:rPr>
                <w:sz w:val="2"/>
                <w:szCs w:val="2"/>
              </w:rPr>
              <w:t>​</w:t>
            </w:r>
          </w:p>
        </w:tc>
        <w:tc>
          <w:tcPr>
            <w:tcW w:w="434"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86928722"/>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847598098"/>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381898799"/>
              <w:rPr>
                <w:sz w:val="20"/>
                <w:szCs w:val="20"/>
              </w:rPr>
            </w:pPr>
            <w:r>
              <w:rPr>
                <w:sz w:val="2"/>
                <w:szCs w:val="2"/>
              </w:rPr>
              <w:t>​</w:t>
            </w:r>
          </w:p>
        </w:tc>
        <w:tc>
          <w:tcPr>
            <w:tcW w:w="43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09132859"/>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96759258"/>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34939004"/>
              <w:rPr>
                <w:sz w:val="20"/>
                <w:szCs w:val="20"/>
              </w:rPr>
            </w:pPr>
            <w:r>
              <w:rPr>
                <w:sz w:val="2"/>
                <w:szCs w:val="2"/>
              </w:rPr>
              <w:t>​</w:t>
            </w:r>
          </w:p>
        </w:tc>
        <w:tc>
          <w:tcPr>
            <w:tcW w:w="240"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570773343"/>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390153416"/>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472020945"/>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666135886"/>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048803222"/>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227156050"/>
              <w:rPr>
                <w:sz w:val="20"/>
                <w:szCs w:val="20"/>
              </w:rPr>
            </w:pPr>
            <w:r>
              <w:rPr>
                <w:sz w:val="2"/>
                <w:szCs w:val="2"/>
              </w:rPr>
              <w:t>​</w:t>
            </w:r>
          </w:p>
        </w:tc>
        <w:tc>
          <w:tcPr>
            <w:tcW w:w="39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966885265"/>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003892374"/>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562520830"/>
              <w:rPr>
                <w:sz w:val="20"/>
                <w:szCs w:val="20"/>
              </w:rPr>
            </w:pPr>
            <w:r>
              <w:rPr>
                <w:sz w:val="2"/>
                <w:szCs w:val="2"/>
              </w:rPr>
              <w:t>​</w:t>
            </w:r>
          </w:p>
        </w:tc>
        <w:tc>
          <w:tcPr>
            <w:tcW w:w="39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078405079"/>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652411851"/>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880631947"/>
              <w:rPr>
                <w:sz w:val="20"/>
                <w:szCs w:val="20"/>
              </w:rPr>
            </w:pPr>
            <w:r>
              <w:rPr>
                <w:sz w:val="2"/>
                <w:szCs w:val="2"/>
              </w:rPr>
              <w:t>​</w:t>
            </w:r>
          </w:p>
        </w:tc>
        <w:tc>
          <w:tcPr>
            <w:tcW w:w="314"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704747322"/>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373965131"/>
              <w:rPr>
                <w:sz w:val="20"/>
                <w:szCs w:val="20"/>
              </w:rPr>
            </w:pPr>
            <w:r>
              <w:rPr>
                <w:sz w:val="2"/>
                <w:szCs w:val="2"/>
              </w:rPr>
              <w:t>​</w:t>
            </w:r>
          </w:p>
        </w:tc>
        <w:tc>
          <w:tcPr>
            <w:tcW w:w="15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348367577"/>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406803527"/>
              <w:rPr>
                <w:sz w:val="20"/>
                <w:szCs w:val="20"/>
              </w:rPr>
            </w:pPr>
            <w:r>
              <w:rPr>
                <w:sz w:val="2"/>
                <w:szCs w:val="2"/>
              </w:rPr>
              <w:t>​</w:t>
            </w:r>
          </w:p>
        </w:tc>
      </w:tr>
      <w:tr w:rsidR="00000000">
        <w:trPr>
          <w:divId w:val="1236629362"/>
        </w:trPr>
        <w:tc>
          <w:tcPr>
            <w:tcW w:w="1611"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1045" w:type="pct"/>
            <w:gridSpan w:val="5"/>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Three Months Ended June 30, </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433" w:type="pct"/>
            <w:gridSpan w:val="4"/>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Change</w:t>
            </w:r>
          </w:p>
        </w:tc>
        <w:tc>
          <w:tcPr>
            <w:tcW w:w="112"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948" w:type="pct"/>
            <w:gridSpan w:val="5"/>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Six Months Ended June 30, </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557" w:type="pct"/>
            <w:gridSpan w:val="4"/>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Change</w:t>
            </w:r>
          </w:p>
        </w:tc>
        <w:tc>
          <w:tcPr>
            <w:tcW w:w="132"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r>
      <w:tr w:rsidR="00000000">
        <w:trPr>
          <w:divId w:val="1236629362"/>
        </w:trPr>
        <w:tc>
          <w:tcPr>
            <w:tcW w:w="1611" w:type="pct"/>
            <w:tcBorders>
              <w:bottom w:val="single" w:sz="6" w:space="0" w:color="000000"/>
            </w:tcBorders>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(In thousands)</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493"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2021</w:t>
            </w:r>
          </w:p>
        </w:tc>
        <w:tc>
          <w:tcPr>
            <w:tcW w:w="5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2020</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289"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104"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w:t>
            </w:r>
          </w:p>
        </w:tc>
        <w:tc>
          <w:tcPr>
            <w:tcW w:w="112"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2021</w:t>
            </w:r>
          </w:p>
        </w:tc>
        <w:tc>
          <w:tcPr>
            <w:tcW w:w="53"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2020</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364"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sz w:val="16"/>
                <w:szCs w:val="16"/>
              </w:rPr>
              <w:t>  </w:t>
            </w:r>
          </w:p>
        </w:tc>
        <w:tc>
          <w:tcPr>
            <w:tcW w:w="153"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w:t>
            </w:r>
          </w:p>
        </w:tc>
        <w:tc>
          <w:tcPr>
            <w:tcW w:w="132"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r>
      <w:tr w:rsidR="00000000">
        <w:trPr>
          <w:divId w:val="1236629362"/>
        </w:trPr>
        <w:tc>
          <w:tcPr>
            <w:tcW w:w="1611"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Interest expense</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3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(11,612</w:t>
            </w: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3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(11,391</w:t>
            </w: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24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(221</w:t>
            </w: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2</w:t>
            </w:r>
          </w:p>
        </w:tc>
        <w:tc>
          <w:tcPr>
            <w:tcW w:w="11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9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(23,485</w:t>
            </w: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9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(21,332</w:t>
            </w: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(2,153</w:t>
            </w: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1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1</w:t>
            </w:r>
            <w:r>
              <w:rPr>
                <w:sz w:val="20"/>
                <w:szCs w:val="20"/>
              </w:rPr>
              <w:t>0</w:t>
            </w:r>
          </w:p>
        </w:tc>
        <w:tc>
          <w:tcPr>
            <w:tcW w:w="13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  </w:t>
            </w:r>
          </w:p>
        </w:tc>
      </w:tr>
    </w:tbl>
    <w:p w:rsidR="00000000" w:rsidRDefault="00E52F77">
      <w:pPr>
        <w:pStyle w:val="a3"/>
        <w:spacing w:before="0" w:beforeAutospacing="0" w:after="0" w:afterAutospacing="0"/>
        <w:divId w:val="1236629362"/>
        <w:rPr>
          <w:sz w:val="20"/>
          <w:szCs w:val="20"/>
        </w:rPr>
      </w:pPr>
      <w:r>
        <w:rPr>
          <w:color w:val="FF0000"/>
          <w:sz w:val="20"/>
          <w:szCs w:val="20"/>
        </w:rPr>
        <w:t>​</w:t>
      </w:r>
    </w:p>
    <w:p w:rsidR="00000000" w:rsidRDefault="00E52F77">
      <w:pPr>
        <w:pStyle w:val="a3"/>
        <w:spacing w:before="0" w:beforeAutospacing="0" w:after="0" w:afterAutospacing="0"/>
        <w:ind w:firstLine="720"/>
        <w:divId w:val="1236629362"/>
        <w:rPr>
          <w:sz w:val="20"/>
          <w:szCs w:val="20"/>
        </w:rPr>
      </w:pPr>
      <w:r>
        <w:rPr>
          <w:sz w:val="20"/>
          <w:szCs w:val="20"/>
        </w:rPr>
        <w:t>Interest expense increased by $2.2 million for the six months ended June 30, 2021 and was relatively unchanged for the three months ended June 30, 2021, compared to the same periods in 2020. The $2.2 million increase</w:t>
      </w:r>
      <w:r>
        <w:rPr>
          <w:color w:val="FF0000"/>
          <w:sz w:val="20"/>
          <w:szCs w:val="20"/>
        </w:rPr>
        <w:t xml:space="preserve"> </w:t>
      </w:r>
      <w:r>
        <w:rPr>
          <w:sz w:val="20"/>
          <w:szCs w:val="20"/>
        </w:rPr>
        <w:t xml:space="preserve">was primarily attributed to additional </w:t>
      </w:r>
      <w:r>
        <w:rPr>
          <w:sz w:val="20"/>
          <w:szCs w:val="20"/>
        </w:rPr>
        <w:t>interest expense related to an increase in principal balance of the Non-Recourse 2035 Notes during the second half of 2020. The increase in the principal balance of the Non-Recourse 2035 Notes in the second half of 2020 resulted from interest shortfalls be</w:t>
      </w:r>
      <w:r>
        <w:rPr>
          <w:sz w:val="20"/>
          <w:szCs w:val="20"/>
        </w:rPr>
        <w:t xml:space="preserve">ing added to the principal amount outstanding as of the applicable interest payment dates. </w:t>
      </w:r>
    </w:p>
    <w:p w:rsidR="00000000" w:rsidRDefault="00E52F77">
      <w:pPr>
        <w:pStyle w:val="a3"/>
        <w:spacing w:before="0" w:beforeAutospacing="0" w:after="0" w:afterAutospacing="0"/>
        <w:ind w:firstLine="720"/>
        <w:divId w:val="1236629362"/>
        <w:rPr>
          <w:sz w:val="20"/>
          <w:szCs w:val="20"/>
        </w:rPr>
      </w:pPr>
      <w:r>
        <w:rPr>
          <w:sz w:val="20"/>
          <w:szCs w:val="20"/>
        </w:rPr>
        <w:t>​</w:t>
      </w:r>
    </w:p>
    <w:p w:rsidR="00000000" w:rsidRDefault="00E52F77">
      <w:pPr>
        <w:pStyle w:val="a3"/>
        <w:spacing w:before="0" w:beforeAutospacing="0" w:after="0" w:afterAutospacing="0"/>
        <w:divId w:val="1236629362"/>
        <w:rPr>
          <w:sz w:val="20"/>
          <w:szCs w:val="20"/>
        </w:rPr>
      </w:pPr>
      <w:r>
        <w:rPr>
          <w:b/>
          <w:bCs/>
          <w:i/>
          <w:iCs/>
          <w:sz w:val="20"/>
          <w:szCs w:val="20"/>
        </w:rPr>
        <w:t>Loss on Extinguishment of Debt</w:t>
      </w:r>
    </w:p>
    <w:p w:rsidR="00000000" w:rsidRDefault="00E52F77">
      <w:pPr>
        <w:pStyle w:val="a3"/>
        <w:spacing w:before="0" w:beforeAutospacing="0" w:after="0" w:afterAutospacing="0"/>
        <w:divId w:val="1236629362"/>
        <w:rPr>
          <w:sz w:val="20"/>
          <w:szCs w:val="20"/>
        </w:rPr>
      </w:pPr>
      <w:r>
        <w:rPr>
          <w:i/>
          <w:iCs/>
          <w:sz w:val="10"/>
          <w:szCs w:val="10"/>
        </w:rPr>
        <w:t>​</w:t>
      </w:r>
    </w:p>
    <w:p w:rsidR="00000000" w:rsidRDefault="00E52F77">
      <w:pPr>
        <w:pStyle w:val="a3"/>
        <w:spacing w:before="0" w:beforeAutospacing="0" w:after="0" w:afterAutospacing="0"/>
        <w:ind w:firstLine="720"/>
        <w:divId w:val="1236629362"/>
        <w:rPr>
          <w:sz w:val="20"/>
          <w:szCs w:val="20"/>
        </w:rPr>
      </w:pPr>
      <w:r>
        <w:rPr>
          <w:sz w:val="20"/>
          <w:szCs w:val="20"/>
        </w:rPr>
        <w:t>Loss on extinguishment of debt as compared to the comparable periods in the prior year, was as follows:</w:t>
      </w:r>
    </w:p>
    <w:p w:rsidR="00000000" w:rsidRDefault="00E52F77">
      <w:pPr>
        <w:pStyle w:val="a3"/>
        <w:spacing w:before="0" w:beforeAutospacing="0" w:after="0" w:afterAutospacing="0"/>
        <w:ind w:firstLine="720"/>
        <w:divId w:val="123662936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522"/>
        <w:gridCol w:w="80"/>
        <w:gridCol w:w="119"/>
        <w:gridCol w:w="874"/>
        <w:gridCol w:w="119"/>
        <w:gridCol w:w="118"/>
        <w:gridCol w:w="877"/>
        <w:gridCol w:w="80"/>
        <w:gridCol w:w="100"/>
        <w:gridCol w:w="270"/>
        <w:gridCol w:w="80"/>
        <w:gridCol w:w="270"/>
        <w:gridCol w:w="237"/>
        <w:gridCol w:w="80"/>
        <w:gridCol w:w="107"/>
        <w:gridCol w:w="795"/>
        <w:gridCol w:w="107"/>
        <w:gridCol w:w="107"/>
        <w:gridCol w:w="796"/>
        <w:gridCol w:w="80"/>
        <w:gridCol w:w="100"/>
        <w:gridCol w:w="620"/>
        <w:gridCol w:w="80"/>
        <w:gridCol w:w="393"/>
        <w:gridCol w:w="267"/>
      </w:tblGrid>
      <w:tr w:rsidR="00000000">
        <w:trPr>
          <w:divId w:val="1236629362"/>
          <w:trHeight w:val="20"/>
        </w:trPr>
        <w:tc>
          <w:tcPr>
            <w:tcW w:w="1574"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983540745"/>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231082667"/>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600063057"/>
              <w:rPr>
                <w:sz w:val="20"/>
                <w:szCs w:val="20"/>
              </w:rPr>
            </w:pPr>
            <w:r>
              <w:rPr>
                <w:sz w:val="2"/>
                <w:szCs w:val="2"/>
              </w:rPr>
              <w:t>​</w:t>
            </w:r>
          </w:p>
        </w:tc>
        <w:tc>
          <w:tcPr>
            <w:tcW w:w="43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363362449"/>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098256997"/>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374082823"/>
              <w:rPr>
                <w:sz w:val="20"/>
                <w:szCs w:val="20"/>
              </w:rPr>
            </w:pPr>
            <w:r>
              <w:rPr>
                <w:sz w:val="2"/>
                <w:szCs w:val="2"/>
              </w:rPr>
              <w:t>​</w:t>
            </w:r>
          </w:p>
        </w:tc>
        <w:tc>
          <w:tcPr>
            <w:tcW w:w="434"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78550267"/>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580721694"/>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962341773"/>
              <w:rPr>
                <w:sz w:val="20"/>
                <w:szCs w:val="20"/>
              </w:rPr>
            </w:pPr>
            <w:r>
              <w:rPr>
                <w:sz w:val="2"/>
                <w:szCs w:val="2"/>
              </w:rPr>
              <w:t>​</w:t>
            </w:r>
          </w:p>
        </w:tc>
        <w:tc>
          <w:tcPr>
            <w:tcW w:w="158"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2025667390"/>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857771706"/>
              <w:rPr>
                <w:sz w:val="20"/>
                <w:szCs w:val="20"/>
              </w:rPr>
            </w:pPr>
            <w:r>
              <w:rPr>
                <w:sz w:val="2"/>
                <w:szCs w:val="2"/>
              </w:rPr>
              <w:t>​</w:t>
            </w:r>
          </w:p>
        </w:tc>
        <w:tc>
          <w:tcPr>
            <w:tcW w:w="158"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2074497301"/>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055275646"/>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713895887"/>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623924137"/>
              <w:rPr>
                <w:sz w:val="20"/>
                <w:szCs w:val="20"/>
              </w:rPr>
            </w:pPr>
            <w:r>
              <w:rPr>
                <w:sz w:val="2"/>
                <w:szCs w:val="2"/>
              </w:rPr>
              <w:t>​</w:t>
            </w:r>
          </w:p>
        </w:tc>
        <w:tc>
          <w:tcPr>
            <w:tcW w:w="39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584146193"/>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183394550"/>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34027882"/>
              <w:rPr>
                <w:sz w:val="20"/>
                <w:szCs w:val="20"/>
              </w:rPr>
            </w:pPr>
            <w:r>
              <w:rPr>
                <w:sz w:val="2"/>
                <w:szCs w:val="2"/>
              </w:rPr>
              <w:t>​</w:t>
            </w:r>
          </w:p>
        </w:tc>
        <w:tc>
          <w:tcPr>
            <w:tcW w:w="394"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595987300"/>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213738680"/>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939172509"/>
              <w:rPr>
                <w:sz w:val="20"/>
                <w:szCs w:val="20"/>
              </w:rPr>
            </w:pPr>
            <w:r>
              <w:rPr>
                <w:sz w:val="2"/>
                <w:szCs w:val="2"/>
              </w:rPr>
              <w:t>​</w:t>
            </w:r>
          </w:p>
        </w:tc>
        <w:tc>
          <w:tcPr>
            <w:tcW w:w="332"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403092246"/>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984112664"/>
              <w:rPr>
                <w:sz w:val="20"/>
                <w:szCs w:val="20"/>
              </w:rPr>
            </w:pPr>
            <w:r>
              <w:rPr>
                <w:sz w:val="2"/>
                <w:szCs w:val="2"/>
              </w:rPr>
              <w:t>​</w:t>
            </w:r>
          </w:p>
        </w:tc>
        <w:tc>
          <w:tcPr>
            <w:tcW w:w="194"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803079325"/>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864897079"/>
              <w:rPr>
                <w:sz w:val="20"/>
                <w:szCs w:val="20"/>
              </w:rPr>
            </w:pPr>
            <w:r>
              <w:rPr>
                <w:sz w:val="2"/>
                <w:szCs w:val="2"/>
              </w:rPr>
              <w:t>​</w:t>
            </w:r>
          </w:p>
        </w:tc>
      </w:tr>
      <w:tr w:rsidR="00000000">
        <w:trPr>
          <w:divId w:val="1236629362"/>
        </w:trPr>
        <w:tc>
          <w:tcPr>
            <w:tcW w:w="1574"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1045" w:type="pct"/>
            <w:gridSpan w:val="5"/>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Three Months Ended June 30, </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406" w:type="pct"/>
            <w:gridSpan w:val="4"/>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Change</w:t>
            </w:r>
          </w:p>
        </w:tc>
        <w:tc>
          <w:tcPr>
            <w:tcW w:w="11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948" w:type="pct"/>
            <w:gridSpan w:val="5"/>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Six Months Ended June 30, </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616" w:type="pct"/>
            <w:gridSpan w:val="4"/>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Change</w:t>
            </w:r>
          </w:p>
        </w:tc>
        <w:tc>
          <w:tcPr>
            <w:tcW w:w="132"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r>
      <w:tr w:rsidR="00000000">
        <w:trPr>
          <w:divId w:val="1236629362"/>
        </w:trPr>
        <w:tc>
          <w:tcPr>
            <w:tcW w:w="1574" w:type="pct"/>
            <w:tcBorders>
              <w:bottom w:val="single" w:sz="6" w:space="0" w:color="000000"/>
            </w:tcBorders>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(In thousands)</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2021</w:t>
            </w:r>
          </w:p>
        </w:tc>
        <w:tc>
          <w:tcPr>
            <w:tcW w:w="5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493"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2020</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208"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158"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w:t>
            </w:r>
          </w:p>
        </w:tc>
        <w:tc>
          <w:tcPr>
            <w:tcW w:w="117"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2021</w:t>
            </w:r>
          </w:p>
        </w:tc>
        <w:tc>
          <w:tcPr>
            <w:tcW w:w="53"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2020</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381"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sz w:val="16"/>
                <w:szCs w:val="16"/>
              </w:rPr>
              <w:t>  </w:t>
            </w:r>
          </w:p>
        </w:tc>
        <w:tc>
          <w:tcPr>
            <w:tcW w:w="194"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w:t>
            </w:r>
          </w:p>
        </w:tc>
        <w:tc>
          <w:tcPr>
            <w:tcW w:w="132"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r>
      <w:tr w:rsidR="00000000">
        <w:trPr>
          <w:divId w:val="1236629362"/>
        </w:trPr>
        <w:tc>
          <w:tcPr>
            <w:tcW w:w="157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Loss on extinguishment of debt</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3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3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15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15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w:t>
            </w:r>
          </w:p>
        </w:tc>
        <w:tc>
          <w:tcPr>
            <w:tcW w:w="11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9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9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(15,464</w:t>
            </w: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3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15,46</w:t>
            </w:r>
            <w:r>
              <w:rPr>
                <w:sz w:val="20"/>
                <w:szCs w:val="20"/>
              </w:rPr>
              <w:t>4</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19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NM</w:t>
            </w:r>
          </w:p>
        </w:tc>
        <w:tc>
          <w:tcPr>
            <w:tcW w:w="13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  </w:t>
            </w:r>
          </w:p>
        </w:tc>
      </w:tr>
    </w:tbl>
    <w:p w:rsidR="00000000" w:rsidRDefault="00E52F77">
      <w:pPr>
        <w:pStyle w:val="a3"/>
        <w:spacing w:before="0" w:beforeAutospacing="0" w:after="0" w:afterAutospacing="0"/>
        <w:divId w:val="1236629362"/>
        <w:rPr>
          <w:sz w:val="20"/>
          <w:szCs w:val="20"/>
        </w:rPr>
      </w:pPr>
      <w:r>
        <w:rPr>
          <w:sz w:val="20"/>
          <w:szCs w:val="20"/>
        </w:rPr>
        <w:t>NM: Not Meaningful</w:t>
      </w:r>
    </w:p>
    <w:p w:rsidR="00000000" w:rsidRDefault="00E52F77">
      <w:pPr>
        <w:pStyle w:val="a3"/>
        <w:spacing w:before="0" w:beforeAutospacing="0" w:after="0" w:afterAutospacing="0"/>
        <w:divId w:val="1236629362"/>
        <w:rPr>
          <w:sz w:val="20"/>
          <w:szCs w:val="20"/>
        </w:rPr>
      </w:pPr>
      <w:r>
        <w:rPr>
          <w:sz w:val="20"/>
          <w:szCs w:val="20"/>
        </w:rPr>
        <w:t>​</w:t>
      </w:r>
    </w:p>
    <w:p w:rsidR="00000000" w:rsidRDefault="00E52F77">
      <w:pPr>
        <w:pStyle w:val="a3"/>
        <w:spacing w:before="0" w:beforeAutospacing="0" w:after="0" w:afterAutospacing="0"/>
        <w:ind w:firstLine="720"/>
        <w:divId w:val="1236629362"/>
        <w:rPr>
          <w:sz w:val="20"/>
          <w:szCs w:val="20"/>
        </w:rPr>
      </w:pPr>
      <w:r>
        <w:rPr>
          <w:sz w:val="20"/>
          <w:szCs w:val="20"/>
        </w:rPr>
        <w:t>For the six months ended June 30, 2020, the $15.5 million loss on extinguishment of debt was related to the issuance of the Non-Recourse 2035 Notes in February 2020. A portion of the proceeds from the Non-Recourse 2035 Notes were used to repay the outstand</w:t>
      </w:r>
      <w:r>
        <w:rPr>
          <w:sz w:val="20"/>
          <w:szCs w:val="20"/>
        </w:rPr>
        <w:t>ing balance of the Non-Recourse 2033 Notes that were issued in November 2018. The $15.5 million loss was comprised of a redemption premium related to the early repayment of the Non-Recourse 2033 Notes and the write-off of the previously deferred debt issua</w:t>
      </w:r>
      <w:r>
        <w:rPr>
          <w:sz w:val="20"/>
          <w:szCs w:val="20"/>
        </w:rPr>
        <w:t>nce costs related to the portion of the Non-Recourse 2033 Notes that was considered extinguished.</w:t>
      </w:r>
    </w:p>
    <w:p w:rsidR="00000000" w:rsidRDefault="00E52F77">
      <w:pPr>
        <w:pStyle w:val="a3"/>
        <w:spacing w:before="0" w:beforeAutospacing="0" w:after="0" w:afterAutospacing="0"/>
        <w:ind w:firstLine="720"/>
        <w:divId w:val="1236629362"/>
        <w:rPr>
          <w:sz w:val="20"/>
          <w:szCs w:val="20"/>
        </w:rPr>
      </w:pPr>
      <w:r>
        <w:rPr>
          <w:sz w:val="20"/>
          <w:szCs w:val="20"/>
        </w:rPr>
        <w:t>​</w:t>
      </w:r>
    </w:p>
    <w:p w:rsidR="00000000" w:rsidRDefault="00E52F77">
      <w:pPr>
        <w:pStyle w:val="a3"/>
        <w:spacing w:before="0" w:beforeAutospacing="0" w:after="0" w:afterAutospacing="0"/>
        <w:divId w:val="1236629362"/>
        <w:rPr>
          <w:sz w:val="20"/>
          <w:szCs w:val="20"/>
        </w:rPr>
      </w:pPr>
      <w:r>
        <w:rPr>
          <w:b/>
          <w:bCs/>
          <w:i/>
          <w:iCs/>
          <w:sz w:val="20"/>
          <w:szCs w:val="20"/>
        </w:rPr>
        <w:t>Interest and Other Income (Expense), net</w:t>
      </w:r>
    </w:p>
    <w:p w:rsidR="00000000" w:rsidRDefault="00E52F77">
      <w:pPr>
        <w:pStyle w:val="a3"/>
        <w:spacing w:before="0" w:beforeAutospacing="0" w:after="0" w:afterAutospacing="0"/>
        <w:divId w:val="1236629362"/>
        <w:rPr>
          <w:sz w:val="20"/>
          <w:szCs w:val="20"/>
        </w:rPr>
      </w:pPr>
      <w:r>
        <w:rPr>
          <w:i/>
          <w:iCs/>
          <w:sz w:val="10"/>
          <w:szCs w:val="10"/>
        </w:rPr>
        <w:t>​</w:t>
      </w:r>
    </w:p>
    <w:p w:rsidR="00000000" w:rsidRDefault="00E52F77">
      <w:pPr>
        <w:pStyle w:val="a3"/>
        <w:spacing w:before="0" w:beforeAutospacing="0" w:after="0" w:afterAutospacing="0"/>
        <w:ind w:firstLine="720"/>
        <w:divId w:val="1236629362"/>
        <w:rPr>
          <w:sz w:val="20"/>
          <w:szCs w:val="20"/>
        </w:rPr>
      </w:pPr>
      <w:r>
        <w:rPr>
          <w:sz w:val="20"/>
          <w:szCs w:val="20"/>
        </w:rPr>
        <w:t>Interest and other income (expense), net, as compared to the comparable periods in the prior year, was as follows</w:t>
      </w:r>
      <w:r>
        <w:rPr>
          <w:sz w:val="20"/>
          <w:szCs w:val="20"/>
        </w:rPr>
        <w:t>:</w:t>
      </w:r>
    </w:p>
    <w:p w:rsidR="00000000" w:rsidRDefault="00E52F77">
      <w:pPr>
        <w:pStyle w:val="a3"/>
        <w:spacing w:before="0" w:beforeAutospacing="0" w:after="0" w:afterAutospacing="0"/>
        <w:ind w:firstLine="720"/>
        <w:divId w:val="1236629362"/>
        <w:rPr>
          <w:sz w:val="20"/>
          <w:szCs w:val="20"/>
        </w:rPr>
      </w:pPr>
      <w:r>
        <w:rPr>
          <w:sz w:val="20"/>
          <w:szCs w:val="20"/>
        </w:rPr>
        <w:t>​</w:t>
      </w:r>
    </w:p>
    <w:tbl>
      <w:tblPr>
        <w:tblW w:w="5001" w:type="pct"/>
        <w:tblCellMar>
          <w:top w:w="15" w:type="dxa"/>
          <w:left w:w="0" w:type="dxa"/>
          <w:bottom w:w="15" w:type="dxa"/>
          <w:right w:w="0" w:type="dxa"/>
        </w:tblCellMar>
        <w:tblLook w:val="04A0" w:firstRow="1" w:lastRow="0" w:firstColumn="1" w:lastColumn="0" w:noHBand="0" w:noVBand="1"/>
      </w:tblPr>
      <w:tblGrid>
        <w:gridCol w:w="1255"/>
        <w:gridCol w:w="80"/>
        <w:gridCol w:w="120"/>
        <w:gridCol w:w="876"/>
        <w:gridCol w:w="119"/>
        <w:gridCol w:w="119"/>
        <w:gridCol w:w="873"/>
        <w:gridCol w:w="80"/>
        <w:gridCol w:w="100"/>
        <w:gridCol w:w="510"/>
        <w:gridCol w:w="80"/>
        <w:gridCol w:w="383"/>
        <w:gridCol w:w="227"/>
        <w:gridCol w:w="80"/>
        <w:gridCol w:w="109"/>
        <w:gridCol w:w="793"/>
        <w:gridCol w:w="107"/>
        <w:gridCol w:w="107"/>
        <w:gridCol w:w="796"/>
        <w:gridCol w:w="80"/>
        <w:gridCol w:w="100"/>
        <w:gridCol w:w="584"/>
        <w:gridCol w:w="80"/>
        <w:gridCol w:w="383"/>
        <w:gridCol w:w="267"/>
      </w:tblGrid>
      <w:tr w:rsidR="00000000">
        <w:trPr>
          <w:divId w:val="1236629362"/>
          <w:trHeight w:val="20"/>
        </w:trPr>
        <w:tc>
          <w:tcPr>
            <w:tcW w:w="1439" w:type="pct"/>
            <w:tcMar>
              <w:top w:w="0" w:type="dxa"/>
              <w:left w:w="0" w:type="dxa"/>
              <w:bottom w:w="0" w:type="dxa"/>
              <w:right w:w="0" w:type="dxa"/>
            </w:tcMar>
            <w:vAlign w:val="bottom"/>
            <w:hideMark/>
          </w:tcPr>
          <w:p w:rsidR="00000000" w:rsidRDefault="00E52F77">
            <w:pPr>
              <w:pStyle w:val="a3"/>
              <w:spacing w:before="0" w:beforeAutospacing="0" w:after="0" w:afterAutospacing="0"/>
              <w:divId w:val="1146047659"/>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920792922"/>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433545524"/>
              <w:rPr>
                <w:sz w:val="20"/>
                <w:szCs w:val="20"/>
              </w:rPr>
            </w:pPr>
            <w:r>
              <w:rPr>
                <w:sz w:val="2"/>
                <w:szCs w:val="2"/>
              </w:rPr>
              <w:t>​</w:t>
            </w:r>
          </w:p>
        </w:tc>
        <w:tc>
          <w:tcPr>
            <w:tcW w:w="43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139999850"/>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125848777"/>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349768344"/>
              <w:rPr>
                <w:sz w:val="20"/>
                <w:szCs w:val="20"/>
              </w:rPr>
            </w:pPr>
            <w:r>
              <w:rPr>
                <w:sz w:val="2"/>
                <w:szCs w:val="2"/>
              </w:rPr>
              <w:t>​</w:t>
            </w:r>
          </w:p>
        </w:tc>
        <w:tc>
          <w:tcPr>
            <w:tcW w:w="43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612055783"/>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827013438"/>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790365494"/>
              <w:rPr>
                <w:sz w:val="20"/>
                <w:szCs w:val="20"/>
              </w:rPr>
            </w:pPr>
            <w:r>
              <w:rPr>
                <w:sz w:val="2"/>
                <w:szCs w:val="2"/>
              </w:rPr>
              <w:t>​</w:t>
            </w:r>
          </w:p>
        </w:tc>
        <w:tc>
          <w:tcPr>
            <w:tcW w:w="277"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464271653"/>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2083410414"/>
              <w:rPr>
                <w:sz w:val="20"/>
                <w:szCs w:val="20"/>
              </w:rPr>
            </w:pPr>
            <w:r>
              <w:rPr>
                <w:sz w:val="2"/>
                <w:szCs w:val="2"/>
              </w:rPr>
              <w:t>​</w:t>
            </w:r>
          </w:p>
        </w:tc>
        <w:tc>
          <w:tcPr>
            <w:tcW w:w="20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416244176"/>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880390787"/>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2516326"/>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463961321"/>
              <w:rPr>
                <w:sz w:val="20"/>
                <w:szCs w:val="20"/>
              </w:rPr>
            </w:pPr>
            <w:r>
              <w:rPr>
                <w:sz w:val="2"/>
                <w:szCs w:val="2"/>
              </w:rPr>
              <w:t>​</w:t>
            </w:r>
          </w:p>
        </w:tc>
        <w:tc>
          <w:tcPr>
            <w:tcW w:w="39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2000881493"/>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546485015"/>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507163953"/>
              <w:rPr>
                <w:sz w:val="20"/>
                <w:szCs w:val="20"/>
              </w:rPr>
            </w:pPr>
            <w:r>
              <w:rPr>
                <w:sz w:val="2"/>
                <w:szCs w:val="2"/>
              </w:rPr>
              <w:t>​</w:t>
            </w:r>
          </w:p>
        </w:tc>
        <w:tc>
          <w:tcPr>
            <w:tcW w:w="39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292639760"/>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130635219"/>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325158309"/>
              <w:rPr>
                <w:sz w:val="20"/>
                <w:szCs w:val="20"/>
              </w:rPr>
            </w:pPr>
            <w:r>
              <w:rPr>
                <w:sz w:val="2"/>
                <w:szCs w:val="2"/>
              </w:rPr>
              <w:t>​</w:t>
            </w:r>
          </w:p>
        </w:tc>
        <w:tc>
          <w:tcPr>
            <w:tcW w:w="314"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977878716"/>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793473687"/>
              <w:rPr>
                <w:sz w:val="20"/>
                <w:szCs w:val="20"/>
              </w:rPr>
            </w:pPr>
            <w:r>
              <w:rPr>
                <w:sz w:val="2"/>
                <w:szCs w:val="2"/>
              </w:rPr>
              <w:t>​</w:t>
            </w:r>
          </w:p>
        </w:tc>
        <w:tc>
          <w:tcPr>
            <w:tcW w:w="190"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279071297"/>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430391200"/>
              <w:rPr>
                <w:sz w:val="20"/>
                <w:szCs w:val="20"/>
              </w:rPr>
            </w:pPr>
            <w:r>
              <w:rPr>
                <w:sz w:val="2"/>
                <w:szCs w:val="2"/>
              </w:rPr>
              <w:t>​</w:t>
            </w:r>
          </w:p>
        </w:tc>
      </w:tr>
      <w:tr w:rsidR="00000000">
        <w:trPr>
          <w:divId w:val="1236629362"/>
        </w:trPr>
        <w:tc>
          <w:tcPr>
            <w:tcW w:w="1439"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1044" w:type="pct"/>
            <w:gridSpan w:val="5"/>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Three Months Ended June 30, </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570" w:type="pct"/>
            <w:gridSpan w:val="4"/>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Change</w:t>
            </w:r>
          </w:p>
        </w:tc>
        <w:tc>
          <w:tcPr>
            <w:tcW w:w="112"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948" w:type="pct"/>
            <w:gridSpan w:val="5"/>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Six Months Ended June 30, </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594" w:type="pct"/>
            <w:gridSpan w:val="4"/>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Change</w:t>
            </w:r>
          </w:p>
        </w:tc>
        <w:tc>
          <w:tcPr>
            <w:tcW w:w="132"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r>
      <w:tr w:rsidR="00000000">
        <w:trPr>
          <w:divId w:val="1236629362"/>
        </w:trPr>
        <w:tc>
          <w:tcPr>
            <w:tcW w:w="1439" w:type="pct"/>
            <w:tcBorders>
              <w:bottom w:val="single" w:sz="6" w:space="0" w:color="000000"/>
            </w:tcBorders>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(In thousands)</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493"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2021</w:t>
            </w:r>
          </w:p>
        </w:tc>
        <w:tc>
          <w:tcPr>
            <w:tcW w:w="5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2020</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327"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203"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w:t>
            </w:r>
          </w:p>
        </w:tc>
        <w:tc>
          <w:tcPr>
            <w:tcW w:w="112"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2021</w:t>
            </w:r>
          </w:p>
        </w:tc>
        <w:tc>
          <w:tcPr>
            <w:tcW w:w="53"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2020</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363"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190"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w:t>
            </w:r>
          </w:p>
        </w:tc>
        <w:tc>
          <w:tcPr>
            <w:tcW w:w="132"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r>
      <w:tr w:rsidR="00000000">
        <w:trPr>
          <w:divId w:val="1236629362"/>
        </w:trPr>
        <w:tc>
          <w:tcPr>
            <w:tcW w:w="1439"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hanging="180"/>
              <w:rPr>
                <w:sz w:val="20"/>
                <w:szCs w:val="20"/>
              </w:rPr>
            </w:pPr>
            <w:r>
              <w:rPr>
                <w:sz w:val="20"/>
                <w:szCs w:val="20"/>
              </w:rPr>
              <w:t>Interest and other income (expense), net</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3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1,17</w:t>
            </w:r>
            <w:r>
              <w:rPr>
                <w:sz w:val="20"/>
                <w:szCs w:val="20"/>
              </w:rPr>
              <w:t>1</w:t>
            </w:r>
          </w:p>
        </w:tc>
        <w:tc>
          <w:tcPr>
            <w:tcW w:w="5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3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1,07</w:t>
            </w:r>
            <w:r>
              <w:rPr>
                <w:sz w:val="20"/>
                <w:szCs w:val="20"/>
              </w:rPr>
              <w:t>4</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277"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9</w:t>
            </w:r>
            <w:r>
              <w:rPr>
                <w:sz w:val="20"/>
                <w:szCs w:val="20"/>
              </w:rPr>
              <w:t>7</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20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9</w:t>
            </w:r>
          </w:p>
        </w:tc>
        <w:tc>
          <w:tcPr>
            <w:tcW w:w="11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9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93</w:t>
            </w:r>
            <w:r>
              <w:rPr>
                <w:sz w:val="20"/>
                <w:szCs w:val="20"/>
              </w:rPr>
              <w:t>7</w:t>
            </w:r>
          </w:p>
        </w:tc>
        <w:tc>
          <w:tcPr>
            <w:tcW w:w="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9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2,53</w:t>
            </w:r>
            <w:r>
              <w:rPr>
                <w:sz w:val="20"/>
                <w:szCs w:val="20"/>
              </w:rPr>
              <w:t>4</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(1,597</w:t>
            </w: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19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(63</w:t>
            </w:r>
            <w:r>
              <w:rPr>
                <w:sz w:val="20"/>
                <w:szCs w:val="20"/>
              </w:rPr>
              <w:t>)</w:t>
            </w:r>
          </w:p>
        </w:tc>
        <w:tc>
          <w:tcPr>
            <w:tcW w:w="13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  </w:t>
            </w:r>
          </w:p>
        </w:tc>
      </w:tr>
      <w:tr w:rsidR="00000000">
        <w:trPr>
          <w:divId w:val="1236629362"/>
        </w:trPr>
        <w:tc>
          <w:tcPr>
            <w:tcW w:w="1439"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Costs related to GSK offering</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33"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33"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(1,736</w:t>
            </w:r>
            <w:r>
              <w:rPr>
                <w:sz w:val="20"/>
                <w:szCs w:val="20"/>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277"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1,73</w:t>
            </w:r>
            <w:r>
              <w:rPr>
                <w:sz w:val="20"/>
                <w:szCs w:val="20"/>
              </w:rPr>
              <w:t>6</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NM</w:t>
            </w:r>
          </w:p>
        </w:tc>
        <w:tc>
          <w:tcPr>
            <w:tcW w:w="112"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54"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93"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93"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(1,736</w:t>
            </w:r>
            <w:r>
              <w:rPr>
                <w:sz w:val="20"/>
                <w:szCs w:val="20"/>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314"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1,73</w:t>
            </w:r>
            <w:r>
              <w:rPr>
                <w:sz w:val="20"/>
                <w:szCs w:val="20"/>
              </w:rPr>
              <w:t>6</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190"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NM</w:t>
            </w:r>
          </w:p>
        </w:tc>
        <w:tc>
          <w:tcPr>
            <w:tcW w:w="132"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r>
      <w:tr w:rsidR="00000000">
        <w:trPr>
          <w:divId w:val="1236629362"/>
        </w:trPr>
        <w:tc>
          <w:tcPr>
            <w:tcW w:w="1439"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left="120" w:hanging="60"/>
              <w:rPr>
                <w:sz w:val="20"/>
                <w:szCs w:val="20"/>
              </w:rPr>
            </w:pPr>
            <w:r>
              <w:rPr>
                <w:sz w:val="20"/>
                <w:szCs w:val="20"/>
              </w:rPr>
              <w:t>Total interest and other income (expense), net</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3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1,17</w:t>
            </w:r>
            <w:r>
              <w:rPr>
                <w:sz w:val="20"/>
                <w:szCs w:val="20"/>
              </w:rPr>
              <w:t>1</w:t>
            </w:r>
          </w:p>
        </w:tc>
        <w:tc>
          <w:tcPr>
            <w:tcW w:w="5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3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(662</w:t>
            </w: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2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1,83</w:t>
            </w:r>
            <w:r>
              <w:rPr>
                <w:sz w:val="20"/>
                <w:szCs w:val="20"/>
              </w:rPr>
              <w:t>3</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2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27</w:t>
            </w:r>
            <w:r>
              <w:rPr>
                <w:sz w:val="20"/>
                <w:szCs w:val="20"/>
              </w:rPr>
              <w:t>7</w:t>
            </w:r>
          </w:p>
        </w:tc>
        <w:tc>
          <w:tcPr>
            <w:tcW w:w="11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93</w:t>
            </w:r>
            <w:r>
              <w:rPr>
                <w:sz w:val="20"/>
                <w:szCs w:val="20"/>
              </w:rPr>
              <w:t>7</w:t>
            </w:r>
          </w:p>
        </w:tc>
        <w:tc>
          <w:tcPr>
            <w:tcW w:w="5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79</w:t>
            </w:r>
            <w:r>
              <w:rPr>
                <w:sz w:val="20"/>
                <w:szCs w:val="20"/>
              </w:rPr>
              <w:t>8</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1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13</w:t>
            </w:r>
            <w:r>
              <w:rPr>
                <w:sz w:val="20"/>
                <w:szCs w:val="20"/>
              </w:rPr>
              <w:t>9</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1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1</w:t>
            </w:r>
            <w:r>
              <w:rPr>
                <w:sz w:val="20"/>
                <w:szCs w:val="20"/>
              </w:rPr>
              <w:t>7</w:t>
            </w:r>
          </w:p>
        </w:tc>
        <w:tc>
          <w:tcPr>
            <w:tcW w:w="13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r>
    </w:tbl>
    <w:p w:rsidR="00000000" w:rsidRDefault="00E52F77">
      <w:pPr>
        <w:pStyle w:val="a3"/>
        <w:spacing w:before="0" w:beforeAutospacing="0" w:after="0" w:afterAutospacing="0"/>
        <w:divId w:val="1236629362"/>
        <w:rPr>
          <w:sz w:val="20"/>
          <w:szCs w:val="20"/>
        </w:rPr>
      </w:pPr>
      <w:r>
        <w:rPr>
          <w:sz w:val="20"/>
          <w:szCs w:val="20"/>
        </w:rPr>
        <w:t>NM: Not Meaningful</w:t>
      </w:r>
    </w:p>
    <w:p w:rsidR="00000000" w:rsidRDefault="00E52F77">
      <w:pPr>
        <w:pStyle w:val="a3"/>
        <w:spacing w:before="0" w:beforeAutospacing="0" w:after="0" w:afterAutospacing="0"/>
        <w:ind w:firstLine="720"/>
        <w:divId w:val="1236629362"/>
        <w:rPr>
          <w:sz w:val="20"/>
          <w:szCs w:val="20"/>
        </w:rPr>
      </w:pPr>
      <w:r>
        <w:rPr>
          <w:sz w:val="20"/>
          <w:szCs w:val="20"/>
        </w:rPr>
        <w:t>​</w:t>
      </w:r>
    </w:p>
    <w:p w:rsidR="00000000" w:rsidRDefault="00E52F77">
      <w:pPr>
        <w:pStyle w:val="a3"/>
        <w:spacing w:before="360" w:beforeAutospacing="0" w:after="0" w:afterAutospacing="0"/>
        <w:jc w:val="center"/>
        <w:divId w:val="2023162304"/>
        <w:rPr>
          <w:sz w:val="20"/>
          <w:szCs w:val="20"/>
        </w:rPr>
      </w:pPr>
      <w:r>
        <w:rPr>
          <w:sz w:val="20"/>
          <w:szCs w:val="20"/>
        </w:rPr>
        <w:t>30</w:t>
      </w:r>
    </w:p>
    <w:p w:rsidR="00000000" w:rsidRDefault="00E52F77">
      <w:pPr>
        <w:pStyle w:val="a3"/>
        <w:spacing w:before="0" w:beforeAutospacing="0" w:after="600" w:afterAutospacing="0"/>
        <w:divId w:val="1074012170"/>
        <w:rPr>
          <w:sz w:val="20"/>
          <w:szCs w:val="20"/>
        </w:rPr>
      </w:pPr>
      <w:hyperlink w:anchor="TOC" w:history="1">
        <w:r>
          <w:rPr>
            <w:rStyle w:val="a4"/>
            <w:sz w:val="20"/>
            <w:szCs w:val="20"/>
          </w:rPr>
          <w:t>Table of Contents</w:t>
        </w:r>
      </w:hyperlink>
    </w:p>
    <w:p w:rsidR="00000000" w:rsidRDefault="00E52F77">
      <w:pPr>
        <w:pStyle w:val="a3"/>
        <w:spacing w:before="0" w:beforeAutospacing="0" w:after="0" w:afterAutospacing="0"/>
        <w:ind w:firstLine="720"/>
        <w:divId w:val="1395926666"/>
        <w:rPr>
          <w:sz w:val="20"/>
          <w:szCs w:val="20"/>
        </w:rPr>
      </w:pPr>
      <w:r>
        <w:rPr>
          <w:sz w:val="20"/>
          <w:szCs w:val="20"/>
        </w:rPr>
        <w:t xml:space="preserve">Interest and other income (expense), net, decreased by $1.6 million for the six months ended June 30, 2021 and was relatively unchanged for the three months ended June 30, 2021, compared to the same periods in 2020. The $1.6 million decrease was primarily </w:t>
      </w:r>
      <w:r>
        <w:rPr>
          <w:sz w:val="20"/>
          <w:szCs w:val="20"/>
        </w:rPr>
        <w:t>attributed to higher investment balances in the prior year period following the issuance of the Non-Recourse 2035 Notes in February 2020 and lower in investment yields since the first quarter of 2020.</w:t>
      </w:r>
    </w:p>
    <w:p w:rsidR="00000000" w:rsidRDefault="00E52F77">
      <w:pPr>
        <w:pStyle w:val="a3"/>
        <w:spacing w:before="0" w:beforeAutospacing="0" w:after="0" w:afterAutospacing="0"/>
        <w:ind w:firstLine="720"/>
        <w:divId w:val="1395926666"/>
        <w:rPr>
          <w:sz w:val="20"/>
          <w:szCs w:val="20"/>
        </w:rPr>
      </w:pPr>
      <w:r>
        <w:rPr>
          <w:sz w:val="20"/>
          <w:szCs w:val="20"/>
        </w:rPr>
        <w:t>​</w:t>
      </w:r>
    </w:p>
    <w:p w:rsidR="00000000" w:rsidRDefault="00E52F77">
      <w:pPr>
        <w:pStyle w:val="a3"/>
        <w:spacing w:before="0" w:beforeAutospacing="0" w:after="0" w:afterAutospacing="0"/>
        <w:ind w:firstLine="720"/>
        <w:divId w:val="1395926666"/>
        <w:rPr>
          <w:sz w:val="20"/>
          <w:szCs w:val="20"/>
        </w:rPr>
      </w:pPr>
      <w:r>
        <w:rPr>
          <w:sz w:val="20"/>
          <w:szCs w:val="20"/>
        </w:rPr>
        <w:t>In addition, $1.7 million of costs related to the GSK</w:t>
      </w:r>
      <w:r>
        <w:rPr>
          <w:sz w:val="20"/>
          <w:szCs w:val="20"/>
        </w:rPr>
        <w:t xml:space="preserve"> offering in the second quarter of 2020 were incurred during the three and six months ended June 30, 2020. On June 22, 2020, GSK completed its previously announced offering of $300 million of exchangeable senior notes due 2023, $280.3 million of which are </w:t>
      </w:r>
      <w:r>
        <w:rPr>
          <w:sz w:val="20"/>
          <w:szCs w:val="20"/>
        </w:rPr>
        <w:t>exchangeable into ordinary shares of our Company that are held by GSK and its affiliates for investment purposes. The $1.7 million in costs were primarily comprised of financial advisory and legal-related costs.</w:t>
      </w:r>
    </w:p>
    <w:p w:rsidR="00000000" w:rsidRDefault="00E52F77">
      <w:pPr>
        <w:pStyle w:val="a3"/>
        <w:spacing w:before="0" w:beforeAutospacing="0" w:after="0" w:afterAutospacing="0"/>
        <w:divId w:val="1395926666"/>
        <w:rPr>
          <w:sz w:val="20"/>
          <w:szCs w:val="20"/>
        </w:rPr>
      </w:pPr>
      <w:r>
        <w:rPr>
          <w:sz w:val="20"/>
          <w:szCs w:val="20"/>
        </w:rPr>
        <w:t>​</w:t>
      </w:r>
    </w:p>
    <w:p w:rsidR="00000000" w:rsidRDefault="00E52F77">
      <w:pPr>
        <w:pStyle w:val="a3"/>
        <w:spacing w:before="0" w:beforeAutospacing="0" w:after="0" w:afterAutospacing="0"/>
        <w:divId w:val="1395926666"/>
        <w:rPr>
          <w:sz w:val="20"/>
          <w:szCs w:val="20"/>
        </w:rPr>
      </w:pPr>
      <w:r>
        <w:rPr>
          <w:b/>
          <w:bCs/>
          <w:i/>
          <w:iCs/>
          <w:sz w:val="20"/>
          <w:szCs w:val="20"/>
        </w:rPr>
        <w:t>Provision for Income Tax Benefit (Expense)</w:t>
      </w:r>
    </w:p>
    <w:p w:rsidR="00000000" w:rsidRDefault="00E52F77">
      <w:pPr>
        <w:pStyle w:val="a3"/>
        <w:spacing w:before="0" w:beforeAutospacing="0" w:after="0" w:afterAutospacing="0"/>
        <w:divId w:val="1395926666"/>
        <w:rPr>
          <w:sz w:val="20"/>
          <w:szCs w:val="20"/>
        </w:rPr>
      </w:pPr>
      <w:r>
        <w:rPr>
          <w:sz w:val="10"/>
          <w:szCs w:val="10"/>
        </w:rPr>
        <w:t>​</w:t>
      </w:r>
    </w:p>
    <w:p w:rsidR="00000000" w:rsidRDefault="00E52F77">
      <w:pPr>
        <w:pStyle w:val="a3"/>
        <w:spacing w:before="0" w:beforeAutospacing="0" w:after="0" w:afterAutospacing="0"/>
        <w:ind w:firstLine="720"/>
        <w:divId w:val="1395926666"/>
        <w:rPr>
          <w:sz w:val="20"/>
          <w:szCs w:val="20"/>
        </w:rPr>
      </w:pPr>
      <w:r>
        <w:rPr>
          <w:sz w:val="20"/>
          <w:szCs w:val="20"/>
        </w:rPr>
        <w:t>The provision for income tax benefit (expense), as compared to the comparable periods in the prior year, was as follows:</w:t>
      </w:r>
    </w:p>
    <w:p w:rsidR="00000000" w:rsidRDefault="00E52F77">
      <w:pPr>
        <w:pStyle w:val="a3"/>
        <w:spacing w:before="0" w:beforeAutospacing="0" w:after="0" w:afterAutospacing="0"/>
        <w:ind w:firstLine="720"/>
        <w:divId w:val="139592666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685"/>
        <w:gridCol w:w="80"/>
        <w:gridCol w:w="154"/>
        <w:gridCol w:w="826"/>
        <w:gridCol w:w="151"/>
        <w:gridCol w:w="151"/>
        <w:gridCol w:w="825"/>
        <w:gridCol w:w="80"/>
        <w:gridCol w:w="100"/>
        <w:gridCol w:w="360"/>
        <w:gridCol w:w="80"/>
        <w:gridCol w:w="434"/>
        <w:gridCol w:w="167"/>
        <w:gridCol w:w="80"/>
        <w:gridCol w:w="140"/>
        <w:gridCol w:w="746"/>
        <w:gridCol w:w="137"/>
        <w:gridCol w:w="137"/>
        <w:gridCol w:w="752"/>
        <w:gridCol w:w="80"/>
        <w:gridCol w:w="100"/>
        <w:gridCol w:w="360"/>
        <w:gridCol w:w="80"/>
        <w:gridCol w:w="334"/>
        <w:gridCol w:w="267"/>
      </w:tblGrid>
      <w:tr w:rsidR="00000000">
        <w:trPr>
          <w:divId w:val="1395926666"/>
          <w:trHeight w:val="20"/>
        </w:trPr>
        <w:tc>
          <w:tcPr>
            <w:tcW w:w="1617" w:type="pct"/>
            <w:tcMar>
              <w:top w:w="0" w:type="dxa"/>
              <w:left w:w="0" w:type="dxa"/>
              <w:bottom w:w="0" w:type="dxa"/>
              <w:right w:w="0" w:type="dxa"/>
            </w:tcMar>
            <w:vAlign w:val="bottom"/>
            <w:hideMark/>
          </w:tcPr>
          <w:p w:rsidR="00000000" w:rsidRDefault="00E52F77">
            <w:pPr>
              <w:pStyle w:val="a3"/>
              <w:spacing w:before="0" w:beforeAutospacing="0" w:after="0" w:afterAutospacing="0"/>
              <w:divId w:val="892541235"/>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575701204"/>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445542815"/>
              <w:rPr>
                <w:sz w:val="20"/>
                <w:szCs w:val="20"/>
              </w:rPr>
            </w:pPr>
            <w:r>
              <w:rPr>
                <w:sz w:val="2"/>
                <w:szCs w:val="2"/>
              </w:rPr>
              <w:t>​</w:t>
            </w:r>
          </w:p>
        </w:tc>
        <w:tc>
          <w:tcPr>
            <w:tcW w:w="408"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69079172"/>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967392909"/>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93210875"/>
              <w:rPr>
                <w:sz w:val="20"/>
                <w:szCs w:val="20"/>
              </w:rPr>
            </w:pPr>
            <w:r>
              <w:rPr>
                <w:sz w:val="2"/>
                <w:szCs w:val="2"/>
              </w:rPr>
              <w:t>​</w:t>
            </w:r>
          </w:p>
        </w:tc>
        <w:tc>
          <w:tcPr>
            <w:tcW w:w="408"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860192945"/>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347874994"/>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907952216"/>
              <w:rPr>
                <w:sz w:val="20"/>
                <w:szCs w:val="20"/>
              </w:rPr>
            </w:pPr>
            <w:r>
              <w:rPr>
                <w:sz w:val="2"/>
                <w:szCs w:val="2"/>
              </w:rPr>
              <w:t>​</w:t>
            </w:r>
          </w:p>
        </w:tc>
        <w:tc>
          <w:tcPr>
            <w:tcW w:w="20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847817591"/>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629630963"/>
              <w:rPr>
                <w:sz w:val="20"/>
                <w:szCs w:val="20"/>
              </w:rPr>
            </w:pPr>
            <w:r>
              <w:rPr>
                <w:sz w:val="2"/>
                <w:szCs w:val="2"/>
              </w:rPr>
              <w:t>​</w:t>
            </w:r>
          </w:p>
        </w:tc>
        <w:tc>
          <w:tcPr>
            <w:tcW w:w="240"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64671095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8071554"/>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476578499"/>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821535167"/>
              <w:rPr>
                <w:sz w:val="20"/>
                <w:szCs w:val="20"/>
              </w:rPr>
            </w:pPr>
            <w:r>
              <w:rPr>
                <w:sz w:val="2"/>
                <w:szCs w:val="2"/>
              </w:rPr>
              <w:t>​</w:t>
            </w:r>
          </w:p>
        </w:tc>
        <w:tc>
          <w:tcPr>
            <w:tcW w:w="370"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93214964"/>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648901191"/>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740130224"/>
              <w:rPr>
                <w:sz w:val="20"/>
                <w:szCs w:val="20"/>
              </w:rPr>
            </w:pPr>
            <w:r>
              <w:rPr>
                <w:sz w:val="2"/>
                <w:szCs w:val="2"/>
              </w:rPr>
              <w:t>​</w:t>
            </w:r>
          </w:p>
        </w:tc>
        <w:tc>
          <w:tcPr>
            <w:tcW w:w="370"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929195933"/>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115101969"/>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904216257"/>
              <w:rPr>
                <w:sz w:val="20"/>
                <w:szCs w:val="20"/>
              </w:rPr>
            </w:pPr>
            <w:r>
              <w:rPr>
                <w:sz w:val="2"/>
                <w:szCs w:val="2"/>
              </w:rPr>
              <w:t>​</w:t>
            </w:r>
          </w:p>
        </w:tc>
        <w:tc>
          <w:tcPr>
            <w:tcW w:w="20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918244064"/>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632490291"/>
              <w:rPr>
                <w:sz w:val="20"/>
                <w:szCs w:val="20"/>
              </w:rPr>
            </w:pPr>
            <w:r>
              <w:rPr>
                <w:sz w:val="2"/>
                <w:szCs w:val="2"/>
              </w:rPr>
              <w:t>​</w:t>
            </w:r>
          </w:p>
        </w:tc>
        <w:tc>
          <w:tcPr>
            <w:tcW w:w="190"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667441438"/>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2074698426"/>
              <w:rPr>
                <w:sz w:val="20"/>
                <w:szCs w:val="20"/>
              </w:rPr>
            </w:pPr>
            <w:r>
              <w:rPr>
                <w:sz w:val="2"/>
                <w:szCs w:val="2"/>
              </w:rPr>
              <w:t>​</w:t>
            </w:r>
          </w:p>
        </w:tc>
      </w:tr>
      <w:tr w:rsidR="00000000">
        <w:trPr>
          <w:divId w:val="1395926666"/>
        </w:trPr>
        <w:tc>
          <w:tcPr>
            <w:tcW w:w="1617"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1044" w:type="pct"/>
            <w:gridSpan w:val="5"/>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Three Months Ended June 30, </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532" w:type="pct"/>
            <w:gridSpan w:val="4"/>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Change</w:t>
            </w:r>
          </w:p>
        </w:tc>
        <w:tc>
          <w:tcPr>
            <w:tcW w:w="82"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948" w:type="pct"/>
            <w:gridSpan w:val="5"/>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Six Months Ended June 30, </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483" w:type="pct"/>
            <w:gridSpan w:val="4"/>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Change</w:t>
            </w:r>
          </w:p>
        </w:tc>
        <w:tc>
          <w:tcPr>
            <w:tcW w:w="132"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r>
      <w:tr w:rsidR="00000000">
        <w:trPr>
          <w:divId w:val="1395926666"/>
        </w:trPr>
        <w:tc>
          <w:tcPr>
            <w:tcW w:w="1617" w:type="pct"/>
            <w:tcBorders>
              <w:bottom w:val="single" w:sz="6" w:space="0" w:color="000000"/>
            </w:tcBorders>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(In thousands)</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485"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2021</w:t>
            </w:r>
          </w:p>
        </w:tc>
        <w:tc>
          <w:tcPr>
            <w:tcW w:w="75"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484"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2020</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252"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240"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w:t>
            </w:r>
          </w:p>
        </w:tc>
        <w:tc>
          <w:tcPr>
            <w:tcW w:w="82"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439"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2021</w:t>
            </w:r>
          </w:p>
        </w:tc>
        <w:tc>
          <w:tcPr>
            <w:tcW w:w="68"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439"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2020</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252"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sz w:val="16"/>
                <w:szCs w:val="16"/>
              </w:rPr>
              <w:t>  </w:t>
            </w:r>
          </w:p>
        </w:tc>
        <w:tc>
          <w:tcPr>
            <w:tcW w:w="190" w:type="pct"/>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w:t>
            </w:r>
          </w:p>
        </w:tc>
        <w:tc>
          <w:tcPr>
            <w:tcW w:w="132" w:type="pct"/>
            <w:noWrap/>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r>
      <w:tr w:rsidR="00000000">
        <w:trPr>
          <w:divId w:val="1395926666"/>
        </w:trPr>
        <w:tc>
          <w:tcPr>
            <w:tcW w:w="1617"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ind w:hanging="180"/>
              <w:rPr>
                <w:sz w:val="20"/>
                <w:szCs w:val="20"/>
              </w:rPr>
            </w:pPr>
            <w:r>
              <w:rPr>
                <w:sz w:val="20"/>
                <w:szCs w:val="20"/>
              </w:rPr>
              <w:t>Provision for income tax benefit (expense)</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22</w:t>
            </w:r>
            <w:r>
              <w:rPr>
                <w:sz w:val="20"/>
                <w:szCs w:val="20"/>
              </w:rPr>
              <w:t>0</w:t>
            </w:r>
          </w:p>
        </w:tc>
        <w:tc>
          <w:tcPr>
            <w:tcW w:w="7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(39</w:t>
            </w: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20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25</w:t>
            </w:r>
            <w:r>
              <w:rPr>
                <w:sz w:val="20"/>
                <w:szCs w:val="20"/>
              </w:rPr>
              <w:t>9</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24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(664</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7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(7</w:t>
            </w: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37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(186</w:t>
            </w: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20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60"/>
              <w:jc w:val="right"/>
              <w:rPr>
                <w:sz w:val="20"/>
                <w:szCs w:val="20"/>
              </w:rPr>
            </w:pPr>
            <w:r>
              <w:rPr>
                <w:sz w:val="20"/>
                <w:szCs w:val="20"/>
              </w:rPr>
              <w:t>17</w:t>
            </w:r>
            <w:r>
              <w:rPr>
                <w:sz w:val="20"/>
                <w:szCs w:val="20"/>
              </w:rPr>
              <w:t>9</w:t>
            </w:r>
          </w:p>
        </w:tc>
        <w:tc>
          <w:tcPr>
            <w:tcW w:w="39"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190"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(96</w:t>
            </w:r>
            <w:r>
              <w:rPr>
                <w:sz w:val="20"/>
                <w:szCs w:val="20"/>
              </w:rPr>
              <w:t>)</w:t>
            </w:r>
          </w:p>
        </w:tc>
        <w:tc>
          <w:tcPr>
            <w:tcW w:w="132"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  </w:t>
            </w:r>
          </w:p>
        </w:tc>
      </w:tr>
    </w:tbl>
    <w:p w:rsidR="00000000" w:rsidRDefault="00E52F77">
      <w:pPr>
        <w:pStyle w:val="a3"/>
        <w:spacing w:before="0" w:beforeAutospacing="0" w:after="0" w:afterAutospacing="0"/>
        <w:divId w:val="1395926666"/>
        <w:rPr>
          <w:sz w:val="20"/>
          <w:szCs w:val="20"/>
        </w:rPr>
      </w:pPr>
      <w:r>
        <w:rPr>
          <w:sz w:val="20"/>
          <w:szCs w:val="20"/>
        </w:rPr>
        <w:t>​</w:t>
      </w:r>
    </w:p>
    <w:p w:rsidR="00000000" w:rsidRDefault="00E52F77">
      <w:pPr>
        <w:pStyle w:val="a3"/>
        <w:spacing w:before="0" w:beforeAutospacing="0" w:after="0" w:afterAutospacing="0"/>
        <w:ind w:firstLine="720"/>
        <w:divId w:val="1395926666"/>
        <w:rPr>
          <w:sz w:val="20"/>
          <w:szCs w:val="20"/>
        </w:rPr>
      </w:pPr>
      <w:r>
        <w:rPr>
          <w:sz w:val="20"/>
          <w:szCs w:val="20"/>
        </w:rPr>
        <w:t>For the three and six months ended June 30, 2021, the provision for income tax expense decreased by $0.3 million and $0.2 million, respectively, compared to the same periods in 2020. Although we incurred operating losses on a consolidated basis, the provis</w:t>
      </w:r>
      <w:r>
        <w:rPr>
          <w:sz w:val="20"/>
          <w:szCs w:val="20"/>
        </w:rPr>
        <w:t>ion for income taxes for the six months ended June 30, 2021 was due to the uncertain tax positions taken with respect to transfer pricing and tax credits. Our provision for income tax expense differs from the expected statutory rate due to the valuation al</w:t>
      </w:r>
      <w:r>
        <w:rPr>
          <w:sz w:val="20"/>
          <w:szCs w:val="20"/>
        </w:rPr>
        <w:t>lowance on deferred tax assets.</w:t>
      </w:r>
    </w:p>
    <w:p w:rsidR="00000000" w:rsidRDefault="00E52F77">
      <w:pPr>
        <w:pStyle w:val="a3"/>
        <w:spacing w:before="0" w:beforeAutospacing="0" w:after="0" w:afterAutospacing="0"/>
        <w:divId w:val="1395926666"/>
        <w:rPr>
          <w:sz w:val="20"/>
          <w:szCs w:val="20"/>
        </w:rPr>
      </w:pPr>
      <w:r>
        <w:rPr>
          <w:sz w:val="20"/>
          <w:szCs w:val="20"/>
        </w:rPr>
        <w:t>​</w:t>
      </w:r>
    </w:p>
    <w:p w:rsidR="00000000" w:rsidRDefault="00E52F77">
      <w:pPr>
        <w:pStyle w:val="a3"/>
        <w:spacing w:before="0" w:beforeAutospacing="0" w:after="0" w:afterAutospacing="0"/>
        <w:ind w:firstLine="720"/>
        <w:divId w:val="1395926666"/>
        <w:rPr>
          <w:sz w:val="20"/>
          <w:szCs w:val="20"/>
        </w:rPr>
      </w:pPr>
      <w:r>
        <w:rPr>
          <w:sz w:val="20"/>
          <w:szCs w:val="20"/>
        </w:rPr>
        <w:t>We are currently under Internal Revenue Service (“IRS”) examination for the tax year ended December 31, 2018. We believe that an adequate provision has been made for any adjustments that may result from the tax examination</w:t>
      </w:r>
      <w:r>
        <w:rPr>
          <w:sz w:val="20"/>
          <w:szCs w:val="20"/>
        </w:rPr>
        <w:t>.</w:t>
      </w:r>
    </w:p>
    <w:p w:rsidR="00000000" w:rsidRDefault="00E52F77">
      <w:pPr>
        <w:pStyle w:val="a3"/>
        <w:spacing w:before="0" w:beforeAutospacing="0" w:after="0" w:afterAutospacing="0"/>
        <w:divId w:val="1395926666"/>
        <w:rPr>
          <w:sz w:val="20"/>
          <w:szCs w:val="20"/>
        </w:rPr>
      </w:pPr>
      <w:r>
        <w:rPr>
          <w:color w:val="FF0000"/>
          <w:sz w:val="20"/>
          <w:szCs w:val="20"/>
        </w:rPr>
        <w:t>​</w:t>
      </w:r>
    </w:p>
    <w:p w:rsidR="00000000" w:rsidRDefault="00E52F77">
      <w:pPr>
        <w:pStyle w:val="a3"/>
        <w:spacing w:before="0" w:beforeAutospacing="0" w:after="120" w:afterAutospacing="0"/>
        <w:divId w:val="1395926666"/>
        <w:rPr>
          <w:sz w:val="20"/>
          <w:szCs w:val="20"/>
        </w:rPr>
      </w:pPr>
      <w:r>
        <w:rPr>
          <w:b/>
          <w:bCs/>
          <w:sz w:val="20"/>
          <w:szCs w:val="20"/>
        </w:rPr>
        <w:t>Liquidity and Capital Resources</w:t>
      </w:r>
    </w:p>
    <w:p w:rsidR="00000000" w:rsidRDefault="00E52F77">
      <w:pPr>
        <w:pStyle w:val="a3"/>
        <w:spacing w:before="0" w:beforeAutospacing="0" w:after="0" w:afterAutospacing="0"/>
        <w:ind w:firstLine="720"/>
        <w:divId w:val="1395926666"/>
        <w:rPr>
          <w:sz w:val="20"/>
          <w:szCs w:val="20"/>
        </w:rPr>
      </w:pPr>
      <w:r>
        <w:rPr>
          <w:sz w:val="20"/>
          <w:szCs w:val="20"/>
        </w:rPr>
        <w:t>To date, we have financed our operations primarily through public offerings of equity securities, private placements of equity and debt, revenue from collaboration and licensing arrangements and, to a lesser extent, reve</w:t>
      </w:r>
      <w:r>
        <w:rPr>
          <w:sz w:val="20"/>
          <w:szCs w:val="20"/>
        </w:rPr>
        <w:t>nue from product sales. As of June 30, 2021, we had $265.0 million in cash, cash equivalents, and investments in marketable securities (excluding restricted cash). Also, as of June 30, 2021, we had outstanding (i) $230.0 million in principal Convertible Se</w:t>
      </w:r>
      <w:r>
        <w:rPr>
          <w:sz w:val="20"/>
          <w:szCs w:val="20"/>
        </w:rPr>
        <w:t xml:space="preserve">nior 2023 Notes and (ii) $386.9 million in principal Non-Recourse 2035 Notes which are stated net of a 5.0% retention by us in compliance with Regulation RR — Credit Risk Retention (17 C.F.R. Part 246). </w:t>
      </w:r>
    </w:p>
    <w:p w:rsidR="00000000" w:rsidRDefault="00E52F77">
      <w:pPr>
        <w:pStyle w:val="a3"/>
        <w:spacing w:before="0" w:beforeAutospacing="0" w:after="0" w:afterAutospacing="0"/>
        <w:divId w:val="1395926666"/>
        <w:rPr>
          <w:sz w:val="20"/>
          <w:szCs w:val="20"/>
        </w:rPr>
      </w:pPr>
      <w:r>
        <w:rPr>
          <w:sz w:val="20"/>
          <w:szCs w:val="20"/>
        </w:rPr>
        <w:t>​</w:t>
      </w:r>
    </w:p>
    <w:p w:rsidR="00000000" w:rsidRDefault="00E52F77">
      <w:pPr>
        <w:pStyle w:val="a3"/>
        <w:spacing w:before="0" w:beforeAutospacing="0" w:after="0" w:afterAutospacing="0"/>
        <w:ind w:firstLine="720"/>
        <w:divId w:val="1395926666"/>
        <w:rPr>
          <w:sz w:val="20"/>
          <w:szCs w:val="20"/>
        </w:rPr>
      </w:pPr>
      <w:r>
        <w:rPr>
          <w:sz w:val="20"/>
          <w:szCs w:val="20"/>
        </w:rPr>
        <w:t>The Non-Recourse 2035 Notes were issued on Februar</w:t>
      </w:r>
      <w:r>
        <w:rPr>
          <w:sz w:val="20"/>
          <w:szCs w:val="20"/>
        </w:rPr>
        <w:t>y 28, 2020 and are secured by all of the Triple Royalty Sub II LLC’s (the “Issuer II”) rights, title and interest as a holder of the Issuer II Class C Units in TRC. The primary source of funds to make payments on the Non-Recourse 2035 Notes is the 63.75% e</w:t>
      </w:r>
      <w:r>
        <w:rPr>
          <w:sz w:val="20"/>
          <w:szCs w:val="20"/>
        </w:rPr>
        <w:t xml:space="preserve">conomic interest of the Issuer (evidenced by the Issuer II Class C Units) in any future payments that may be made by GSK to TRC under the strategic alliance agreement and under the portion of the collaboration agreement assigned to TRC by Innoviva (net of </w:t>
      </w:r>
      <w:r>
        <w:rPr>
          <w:sz w:val="20"/>
          <w:szCs w:val="20"/>
        </w:rPr>
        <w:t xml:space="preserve">TRC expenses paid and the amount of cash, if any, expected to be used by TRC pursuant to the TRC LLC Agreement over the next four fiscal quarters) relating to the GSK-Partnered Respiratory Programs, including the </w:t>
      </w:r>
      <w:r>
        <w:rPr>
          <w:caps/>
          <w:sz w:val="20"/>
          <w:szCs w:val="20"/>
        </w:rPr>
        <w:t xml:space="preserve">Trelegy </w:t>
      </w:r>
      <w:r>
        <w:rPr>
          <w:sz w:val="20"/>
          <w:szCs w:val="20"/>
        </w:rPr>
        <w:t>program. As a result, the holders o</w:t>
      </w:r>
      <w:r>
        <w:rPr>
          <w:sz w:val="20"/>
          <w:szCs w:val="20"/>
        </w:rPr>
        <w:t>f the Non-Recourse 2035 Notes have no recourse against Theravance Biopharma even if the TRELEGY payments are insufficient to cover the principal and interest payments for the Non-Recourse 2035 Notes. Prior to and including the December 5, 2024 payment date</w:t>
      </w:r>
      <w:r>
        <w:rPr>
          <w:sz w:val="20"/>
          <w:szCs w:val="20"/>
        </w:rPr>
        <w:t>, in the event that the distributions received by the Issuer II from TRC in a quarter is less than the interest accrued for that quarter, the principal amount of the Non-Recourse 2035 Notes will increase by the interest shortfall amount for that quarter. W</w:t>
      </w:r>
      <w:r>
        <w:rPr>
          <w:sz w:val="20"/>
          <w:szCs w:val="20"/>
        </w:rPr>
        <w:t xml:space="preserve">hile the holders of the Non-Recourse 2035 Notes have no recourse against Theravance Biopharma, the terms of the Non-Recourse 2035 Notes also provide that Theravance Biopharma, at its option, may satisfy the quarterly interest payment obligations by making </w:t>
      </w:r>
      <w:r>
        <w:rPr>
          <w:sz w:val="20"/>
          <w:szCs w:val="20"/>
        </w:rPr>
        <w:t>a capital contribution to the Issuer II.</w:t>
      </w:r>
    </w:p>
    <w:p w:rsidR="00000000" w:rsidRDefault="00E52F77">
      <w:pPr>
        <w:pStyle w:val="a3"/>
        <w:spacing w:before="0" w:beforeAutospacing="0" w:after="0" w:afterAutospacing="0"/>
        <w:ind w:firstLine="720"/>
        <w:divId w:val="1395926666"/>
        <w:rPr>
          <w:sz w:val="20"/>
          <w:szCs w:val="20"/>
        </w:rPr>
      </w:pPr>
      <w:r>
        <w:rPr>
          <w:sz w:val="20"/>
          <w:szCs w:val="20"/>
        </w:rPr>
        <w:t>​</w:t>
      </w:r>
    </w:p>
    <w:p w:rsidR="00000000" w:rsidRDefault="00E52F77">
      <w:pPr>
        <w:pStyle w:val="a3"/>
        <w:spacing w:before="0" w:beforeAutospacing="0" w:after="0" w:afterAutospacing="0"/>
        <w:ind w:firstLine="720"/>
        <w:divId w:val="1395926666"/>
        <w:rPr>
          <w:sz w:val="20"/>
          <w:szCs w:val="20"/>
        </w:rPr>
      </w:pPr>
      <w:r>
        <w:rPr>
          <w:sz w:val="20"/>
          <w:szCs w:val="20"/>
        </w:rPr>
        <w:t>A portion of the proceeds from the Non-Recourse 2035 Notes issuance were used to repay, in full, the remaining outstanding balance of the Non-Recourse 2033 Notes, as well as, a 5% premium on the early redemption o</w:t>
      </w:r>
      <w:r>
        <w:rPr>
          <w:sz w:val="20"/>
          <w:szCs w:val="20"/>
        </w:rPr>
        <w:t>f the Non-</w:t>
      </w:r>
    </w:p>
    <w:p w:rsidR="00000000" w:rsidRDefault="00E52F77">
      <w:pPr>
        <w:pStyle w:val="a3"/>
        <w:spacing w:before="360" w:beforeAutospacing="0" w:after="0" w:afterAutospacing="0"/>
        <w:jc w:val="center"/>
        <w:divId w:val="48651773"/>
        <w:rPr>
          <w:sz w:val="20"/>
          <w:szCs w:val="20"/>
        </w:rPr>
      </w:pPr>
      <w:r>
        <w:rPr>
          <w:sz w:val="20"/>
          <w:szCs w:val="20"/>
        </w:rPr>
        <w:t>31</w:t>
      </w:r>
    </w:p>
    <w:p w:rsidR="00000000" w:rsidRDefault="00E52F77">
      <w:pPr>
        <w:pStyle w:val="a3"/>
        <w:spacing w:before="0" w:beforeAutospacing="0" w:after="600" w:afterAutospacing="0"/>
        <w:divId w:val="804814350"/>
        <w:rPr>
          <w:sz w:val="20"/>
          <w:szCs w:val="20"/>
        </w:rPr>
      </w:pPr>
      <w:hyperlink w:anchor="TOC" w:history="1">
        <w:r>
          <w:rPr>
            <w:rStyle w:val="a4"/>
            <w:sz w:val="20"/>
            <w:szCs w:val="20"/>
          </w:rPr>
          <w:t>Table of Contents</w:t>
        </w:r>
      </w:hyperlink>
    </w:p>
    <w:p w:rsidR="00000000" w:rsidRDefault="00E52F77">
      <w:pPr>
        <w:pStyle w:val="a3"/>
        <w:spacing w:before="0" w:beforeAutospacing="0" w:after="0" w:afterAutospacing="0"/>
        <w:divId w:val="1784374577"/>
        <w:rPr>
          <w:sz w:val="20"/>
          <w:szCs w:val="20"/>
        </w:rPr>
      </w:pPr>
      <w:r>
        <w:rPr>
          <w:sz w:val="20"/>
          <w:szCs w:val="20"/>
        </w:rPr>
        <w:t xml:space="preserve">Recourse 2033 Notes. The Non-Recourse 2033 Notes were issued in November 2018 and were structured similarly to the Non-Recourse 2035 Notes. </w:t>
      </w:r>
    </w:p>
    <w:p w:rsidR="00000000" w:rsidRDefault="00E52F77">
      <w:pPr>
        <w:pStyle w:val="a3"/>
        <w:spacing w:before="0" w:beforeAutospacing="0" w:after="0" w:afterAutospacing="0"/>
        <w:divId w:val="1784374577"/>
        <w:rPr>
          <w:sz w:val="20"/>
          <w:szCs w:val="20"/>
        </w:rPr>
      </w:pPr>
      <w:r>
        <w:rPr>
          <w:sz w:val="20"/>
          <w:szCs w:val="20"/>
        </w:rPr>
        <w:t>​</w:t>
      </w:r>
    </w:p>
    <w:p w:rsidR="00000000" w:rsidRDefault="00E52F77">
      <w:pPr>
        <w:pStyle w:val="a3"/>
        <w:spacing w:before="0" w:beforeAutospacing="0" w:after="0" w:afterAutospacing="0"/>
        <w:ind w:firstLine="720"/>
        <w:divId w:val="1784374577"/>
        <w:rPr>
          <w:sz w:val="20"/>
          <w:szCs w:val="20"/>
        </w:rPr>
      </w:pPr>
      <w:r>
        <w:rPr>
          <w:sz w:val="20"/>
          <w:szCs w:val="20"/>
        </w:rPr>
        <w:t xml:space="preserve">On June 29, 2021, we sold 6,700,000 ordinary shares at </w:t>
      </w:r>
      <w:r>
        <w:rPr>
          <w:sz w:val="20"/>
          <w:szCs w:val="20"/>
        </w:rPr>
        <w:t>a price to the public of $15.00 per share (the “Shares”). Under the terms of the underwriting agreement, on June 29, 2021, the underwriters also exercised a 30-day option to purchase an additional 1,005,000 ordinary shares for a total of 7,705,000 ordinary</w:t>
      </w:r>
      <w:r>
        <w:rPr>
          <w:sz w:val="20"/>
          <w:szCs w:val="20"/>
        </w:rPr>
        <w:t xml:space="preserve"> shares sold. The total gross proceeds from the offering were approximately $115.6 million, before deducting underwriting discounts and commissions and estimated offering expenses. The Shares were issued pursuant to the Company’s currently effective shelf </w:t>
      </w:r>
      <w:r>
        <w:rPr>
          <w:sz w:val="20"/>
          <w:szCs w:val="20"/>
        </w:rPr>
        <w:t>registration statement on Form S-3, which became effective automatically on December 3, 2019, and a prospectus supplement filed with the SEC in connection with the offering</w:t>
      </w:r>
    </w:p>
    <w:p w:rsidR="00000000" w:rsidRDefault="00E52F77">
      <w:pPr>
        <w:pStyle w:val="a3"/>
        <w:spacing w:before="0" w:beforeAutospacing="0" w:after="0" w:afterAutospacing="0"/>
        <w:divId w:val="1784374577"/>
        <w:rPr>
          <w:sz w:val="20"/>
          <w:szCs w:val="20"/>
        </w:rPr>
      </w:pPr>
      <w:r>
        <w:rPr>
          <w:sz w:val="20"/>
          <w:szCs w:val="20"/>
        </w:rPr>
        <w:t>​</w:t>
      </w:r>
    </w:p>
    <w:p w:rsidR="00000000" w:rsidRDefault="00E52F77">
      <w:pPr>
        <w:pStyle w:val="a3"/>
        <w:spacing w:before="0" w:beforeAutospacing="0" w:after="0" w:afterAutospacing="0"/>
        <w:ind w:firstLine="720"/>
        <w:divId w:val="1784374577"/>
        <w:rPr>
          <w:sz w:val="20"/>
          <w:szCs w:val="20"/>
        </w:rPr>
      </w:pPr>
      <w:r>
        <w:rPr>
          <w:sz w:val="20"/>
          <w:szCs w:val="20"/>
        </w:rPr>
        <w:t>We expect to continue to incur net losses over at least the next several years du</w:t>
      </w:r>
      <w:r>
        <w:rPr>
          <w:sz w:val="20"/>
          <w:szCs w:val="20"/>
        </w:rPr>
        <w:t>e to significant expenditures relating to our continuing drug discovery efforts, preclinical and clinical development of our current product candidates and commercialization costs relating to YUPELRI. In particular, to the extent we advance our product can</w:t>
      </w:r>
      <w:r>
        <w:rPr>
          <w:sz w:val="20"/>
          <w:szCs w:val="20"/>
        </w:rPr>
        <w:t xml:space="preserve">didates into and through later-stage clinical studies without a partner, we will incur substantial expenses. We expect the clinical development of our key development programs will require significant investment in order to continue to advance in clinical </w:t>
      </w:r>
      <w:r>
        <w:rPr>
          <w:sz w:val="20"/>
          <w:szCs w:val="20"/>
        </w:rPr>
        <w:t>development. In addition, we expect to invest strategically in our research efforts to continue to grow our development pipeline. In the past, we have received a number of significant payments from collaboration agreements and other significant transaction</w:t>
      </w:r>
      <w:r>
        <w:rPr>
          <w:sz w:val="20"/>
          <w:szCs w:val="20"/>
        </w:rPr>
        <w:t>s. In the future, we may continue to receive potential substantial payments from future collaboration transactions if the drug candidates in our pipeline achieve positive clinical or regulatory outcomes or if our product candidates are approved and meet ce</w:t>
      </w:r>
      <w:r>
        <w:rPr>
          <w:sz w:val="20"/>
          <w:szCs w:val="20"/>
        </w:rPr>
        <w:t>rtain milestones. Our current business plan is subject to significant uncertainties and risks as a result of, among other factors, the COVID-19 pandemic, clinical program outcomes, whether, when and on what terms we are able to enter into new collaboration</w:t>
      </w:r>
      <w:r>
        <w:rPr>
          <w:sz w:val="20"/>
          <w:szCs w:val="20"/>
        </w:rPr>
        <w:t xml:space="preserve"> arrangements, expenses being higher than anticipated, the sales levels of any approved products, unplanned expenses, cash receipts being lower than anticipated, and the need to satisfy contingent liabilities, including litigation matters and indemnificati</w:t>
      </w:r>
      <w:r>
        <w:rPr>
          <w:sz w:val="20"/>
          <w:szCs w:val="20"/>
        </w:rPr>
        <w:t>on obligations.</w:t>
      </w:r>
    </w:p>
    <w:p w:rsidR="00000000" w:rsidRDefault="00E52F77">
      <w:pPr>
        <w:pStyle w:val="a3"/>
        <w:spacing w:before="0" w:beforeAutospacing="0" w:after="0" w:afterAutospacing="0"/>
        <w:divId w:val="1784374577"/>
        <w:rPr>
          <w:sz w:val="20"/>
          <w:szCs w:val="20"/>
        </w:rPr>
      </w:pPr>
      <w:r>
        <w:rPr>
          <w:sz w:val="20"/>
          <w:szCs w:val="20"/>
        </w:rPr>
        <w:t>​</w:t>
      </w:r>
    </w:p>
    <w:p w:rsidR="00000000" w:rsidRDefault="00E52F77">
      <w:pPr>
        <w:pStyle w:val="a3"/>
        <w:spacing w:before="0" w:beforeAutospacing="0" w:after="0" w:afterAutospacing="0"/>
        <w:divId w:val="1784374577"/>
        <w:rPr>
          <w:sz w:val="20"/>
          <w:szCs w:val="20"/>
        </w:rPr>
      </w:pPr>
      <w:r>
        <w:rPr>
          <w:i/>
          <w:iCs/>
          <w:sz w:val="20"/>
          <w:szCs w:val="20"/>
        </w:rPr>
        <w:t>Adequacy of cash resources to meet future needs</w:t>
      </w:r>
    </w:p>
    <w:p w:rsidR="00000000" w:rsidRDefault="00E52F77">
      <w:pPr>
        <w:pStyle w:val="a3"/>
        <w:spacing w:before="0" w:beforeAutospacing="0" w:after="0" w:afterAutospacing="0"/>
        <w:divId w:val="1784374577"/>
        <w:rPr>
          <w:sz w:val="20"/>
          <w:szCs w:val="20"/>
        </w:rPr>
      </w:pPr>
      <w:r>
        <w:rPr>
          <w:sz w:val="10"/>
          <w:szCs w:val="10"/>
        </w:rPr>
        <w:t>​</w:t>
      </w:r>
    </w:p>
    <w:p w:rsidR="00000000" w:rsidRDefault="00E52F77">
      <w:pPr>
        <w:pStyle w:val="a3"/>
        <w:spacing w:before="0" w:beforeAutospacing="0" w:after="0" w:afterAutospacing="0"/>
        <w:ind w:firstLine="720"/>
        <w:divId w:val="1784374577"/>
        <w:rPr>
          <w:sz w:val="20"/>
          <w:szCs w:val="20"/>
        </w:rPr>
      </w:pPr>
      <w:r>
        <w:rPr>
          <w:sz w:val="20"/>
          <w:szCs w:val="20"/>
        </w:rPr>
        <w:t>We expect our cash and cash equivalents and marketable securities will be sufficient to fund our operations for at least the next 12 months from the issuance date of these condensed consol</w:t>
      </w:r>
      <w:r>
        <w:rPr>
          <w:sz w:val="20"/>
          <w:szCs w:val="20"/>
        </w:rPr>
        <w:t xml:space="preserve">idated financial statements based on current operating plans and financial forecasts. </w:t>
      </w:r>
    </w:p>
    <w:p w:rsidR="00000000" w:rsidRDefault="00E52F77">
      <w:pPr>
        <w:pStyle w:val="a3"/>
        <w:spacing w:before="0" w:beforeAutospacing="0" w:after="0" w:afterAutospacing="0"/>
        <w:divId w:val="1784374577"/>
        <w:rPr>
          <w:sz w:val="20"/>
          <w:szCs w:val="20"/>
        </w:rPr>
      </w:pPr>
      <w:r>
        <w:rPr>
          <w:sz w:val="20"/>
          <w:szCs w:val="20"/>
        </w:rPr>
        <w:t>​</w:t>
      </w:r>
    </w:p>
    <w:p w:rsidR="00000000" w:rsidRDefault="00E52F77">
      <w:pPr>
        <w:pStyle w:val="a3"/>
        <w:spacing w:before="0" w:beforeAutospacing="0" w:after="0" w:afterAutospacing="0"/>
        <w:ind w:firstLine="720"/>
        <w:divId w:val="1784374577"/>
        <w:rPr>
          <w:sz w:val="20"/>
          <w:szCs w:val="20"/>
        </w:rPr>
      </w:pPr>
      <w:r>
        <w:rPr>
          <w:sz w:val="20"/>
          <w:szCs w:val="20"/>
        </w:rPr>
        <w:t>We may seek to obtain additional financing in the form of public or private equity offerings, debt financing or additional collaborations and licensing arrangements. H</w:t>
      </w:r>
      <w:r>
        <w:rPr>
          <w:sz w:val="20"/>
          <w:szCs w:val="20"/>
        </w:rPr>
        <w:t>owever, future financing may not be available in amounts or on terms acceptable to us.</w:t>
      </w:r>
    </w:p>
    <w:p w:rsidR="00000000" w:rsidRDefault="00E52F77">
      <w:pPr>
        <w:pStyle w:val="a3"/>
        <w:spacing w:before="0" w:beforeAutospacing="0" w:after="0" w:afterAutospacing="0"/>
        <w:divId w:val="1784374577"/>
        <w:rPr>
          <w:sz w:val="20"/>
          <w:szCs w:val="20"/>
        </w:rPr>
      </w:pPr>
      <w:r>
        <w:rPr>
          <w:sz w:val="20"/>
          <w:szCs w:val="20"/>
        </w:rPr>
        <w:t>​</w:t>
      </w:r>
    </w:p>
    <w:p w:rsidR="00000000" w:rsidRDefault="00E52F77">
      <w:pPr>
        <w:pStyle w:val="a3"/>
        <w:spacing w:before="0" w:beforeAutospacing="0" w:after="0" w:afterAutospacing="0"/>
        <w:ind w:firstLine="720"/>
        <w:divId w:val="1784374577"/>
        <w:rPr>
          <w:sz w:val="20"/>
          <w:szCs w:val="20"/>
        </w:rPr>
      </w:pPr>
      <w:r>
        <w:rPr>
          <w:sz w:val="20"/>
          <w:szCs w:val="20"/>
        </w:rPr>
        <w:t>Without adequate financial resources to fund our operations as presently conducted, we may be required to relinquish rights to our technologies, product candidates or territories, or grant licenses on terms that are not favorable to us, in order to raise a</w:t>
      </w:r>
      <w:r>
        <w:rPr>
          <w:sz w:val="20"/>
          <w:szCs w:val="20"/>
        </w:rPr>
        <w:t>dditional funds through collaborations or licensing arrangements. We may also have to sequence preclinical and clinical studies as opposed to conducting them concomitantly in order to conserve resources, or delay, reduce or eliminate one or more of our res</w:t>
      </w:r>
      <w:r>
        <w:rPr>
          <w:sz w:val="20"/>
          <w:szCs w:val="20"/>
        </w:rPr>
        <w:t>earch or development programs and reduce overall overhead expenses. In addition, we may have to make reductions in our workforce and may be prevented from continuing our discovery, development and commercialization efforts and exploiting other corporate op</w:t>
      </w:r>
      <w:r>
        <w:rPr>
          <w:sz w:val="20"/>
          <w:szCs w:val="20"/>
        </w:rPr>
        <w:t>portunities.</w:t>
      </w:r>
    </w:p>
    <w:p w:rsidR="00000000" w:rsidRDefault="00E52F77">
      <w:pPr>
        <w:pStyle w:val="a3"/>
        <w:spacing w:before="0" w:beforeAutospacing="0" w:after="0" w:afterAutospacing="0"/>
        <w:divId w:val="1784374577"/>
        <w:rPr>
          <w:sz w:val="20"/>
          <w:szCs w:val="20"/>
        </w:rPr>
      </w:pPr>
      <w:r>
        <w:rPr>
          <w:sz w:val="20"/>
          <w:szCs w:val="20"/>
        </w:rPr>
        <w:t>​</w:t>
      </w:r>
    </w:p>
    <w:p w:rsidR="00000000" w:rsidRDefault="00E52F77">
      <w:pPr>
        <w:pStyle w:val="a3"/>
        <w:spacing w:before="0" w:beforeAutospacing="0" w:after="0" w:afterAutospacing="0"/>
        <w:divId w:val="1784374577"/>
        <w:rPr>
          <w:sz w:val="20"/>
          <w:szCs w:val="20"/>
        </w:rPr>
      </w:pPr>
      <w:r>
        <w:rPr>
          <w:b/>
          <w:bCs/>
          <w:i/>
          <w:iCs/>
          <w:sz w:val="20"/>
          <w:szCs w:val="20"/>
        </w:rPr>
        <w:t xml:space="preserve">Cash Flows </w:t>
      </w:r>
    </w:p>
    <w:p w:rsidR="00000000" w:rsidRDefault="00E52F77">
      <w:pPr>
        <w:pStyle w:val="a3"/>
        <w:spacing w:before="0" w:beforeAutospacing="0" w:after="0" w:afterAutospacing="0"/>
        <w:divId w:val="1784374577"/>
        <w:rPr>
          <w:sz w:val="20"/>
          <w:szCs w:val="20"/>
        </w:rPr>
      </w:pPr>
      <w:r>
        <w:rPr>
          <w:sz w:val="10"/>
          <w:szCs w:val="10"/>
        </w:rPr>
        <w:t>​</w:t>
      </w:r>
    </w:p>
    <w:p w:rsidR="00000000" w:rsidRDefault="00E52F77">
      <w:pPr>
        <w:pStyle w:val="a3"/>
        <w:spacing w:before="0" w:beforeAutospacing="0" w:after="0" w:afterAutospacing="0"/>
        <w:ind w:firstLine="720"/>
        <w:divId w:val="1784374577"/>
        <w:rPr>
          <w:sz w:val="20"/>
          <w:szCs w:val="20"/>
        </w:rPr>
      </w:pPr>
      <w:r>
        <w:rPr>
          <w:sz w:val="20"/>
          <w:szCs w:val="20"/>
        </w:rPr>
        <w:t>Cash flows, as compared to the comparable period in the prior year, were as follows:</w:t>
      </w:r>
    </w:p>
    <w:p w:rsidR="00000000" w:rsidRDefault="00E52F77">
      <w:pPr>
        <w:pStyle w:val="a3"/>
        <w:spacing w:before="0" w:beforeAutospacing="0" w:after="0" w:afterAutospacing="0"/>
        <w:ind w:firstLine="720"/>
        <w:divId w:val="1784374577"/>
        <w:rPr>
          <w:sz w:val="20"/>
          <w:szCs w:val="20"/>
        </w:rPr>
      </w:pPr>
      <w:r>
        <w:rPr>
          <w:sz w:val="20"/>
          <w:szCs w:val="20"/>
        </w:rPr>
        <w:t>​</w:t>
      </w:r>
    </w:p>
    <w:tbl>
      <w:tblPr>
        <w:tblW w:w="5058" w:type="pct"/>
        <w:tblCellMar>
          <w:top w:w="15" w:type="dxa"/>
          <w:left w:w="0" w:type="dxa"/>
          <w:bottom w:w="15" w:type="dxa"/>
          <w:right w:w="0" w:type="dxa"/>
        </w:tblCellMar>
        <w:tblLook w:val="04A0" w:firstRow="1" w:lastRow="0" w:firstColumn="1" w:lastColumn="0" w:noHBand="0" w:noVBand="1"/>
      </w:tblPr>
      <w:tblGrid>
        <w:gridCol w:w="5430"/>
        <w:gridCol w:w="160"/>
        <w:gridCol w:w="100"/>
        <w:gridCol w:w="784"/>
        <w:gridCol w:w="160"/>
        <w:gridCol w:w="100"/>
        <w:gridCol w:w="784"/>
        <w:gridCol w:w="100"/>
        <w:gridCol w:w="784"/>
      </w:tblGrid>
      <w:tr w:rsidR="00000000">
        <w:trPr>
          <w:divId w:val="1784374577"/>
          <w:trHeight w:val="20"/>
        </w:trPr>
        <w:tc>
          <w:tcPr>
            <w:tcW w:w="3354" w:type="pct"/>
            <w:tcMar>
              <w:top w:w="0" w:type="dxa"/>
              <w:left w:w="0" w:type="dxa"/>
              <w:bottom w:w="0" w:type="dxa"/>
              <w:right w:w="0" w:type="dxa"/>
            </w:tcMar>
            <w:vAlign w:val="bottom"/>
            <w:hideMark/>
          </w:tcPr>
          <w:p w:rsidR="00000000" w:rsidRDefault="00E52F77">
            <w:pPr>
              <w:pStyle w:val="a3"/>
              <w:spacing w:before="0" w:beforeAutospacing="0" w:after="0" w:afterAutospacing="0"/>
              <w:divId w:val="91169854"/>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545335316"/>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512304890"/>
              <w:rPr>
                <w:sz w:val="20"/>
                <w:szCs w:val="20"/>
              </w:rPr>
            </w:pPr>
            <w:r>
              <w:rPr>
                <w:sz w:val="2"/>
                <w:szCs w:val="2"/>
              </w:rPr>
              <w:t>​</w:t>
            </w:r>
          </w:p>
        </w:tc>
        <w:tc>
          <w:tcPr>
            <w:tcW w:w="408"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798766931"/>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2140024878"/>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828252508"/>
              <w:rPr>
                <w:sz w:val="20"/>
                <w:szCs w:val="20"/>
              </w:rPr>
            </w:pPr>
            <w:r>
              <w:rPr>
                <w:sz w:val="2"/>
                <w:szCs w:val="2"/>
              </w:rPr>
              <w:t>​</w:t>
            </w:r>
          </w:p>
        </w:tc>
        <w:tc>
          <w:tcPr>
            <w:tcW w:w="408"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466553308"/>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464860901"/>
              <w:rPr>
                <w:sz w:val="20"/>
                <w:szCs w:val="20"/>
              </w:rPr>
            </w:pPr>
            <w:r>
              <w:rPr>
                <w:sz w:val="2"/>
                <w:szCs w:val="2"/>
              </w:rPr>
              <w:t>​</w:t>
            </w:r>
          </w:p>
        </w:tc>
        <w:tc>
          <w:tcPr>
            <w:tcW w:w="408" w:type="pct"/>
            <w:noWrap/>
            <w:tcMar>
              <w:top w:w="0" w:type="dxa"/>
              <w:left w:w="0" w:type="dxa"/>
              <w:bottom w:w="0" w:type="dxa"/>
              <w:right w:w="0" w:type="dxa"/>
            </w:tcMar>
            <w:vAlign w:val="bottom"/>
            <w:hideMark/>
          </w:tcPr>
          <w:p w:rsidR="00000000" w:rsidRDefault="00E52F77">
            <w:pPr>
              <w:pStyle w:val="a3"/>
              <w:spacing w:before="0" w:beforeAutospacing="0" w:after="0" w:afterAutospacing="0"/>
              <w:divId w:val="1348362569"/>
              <w:rPr>
                <w:sz w:val="20"/>
                <w:szCs w:val="20"/>
              </w:rPr>
            </w:pPr>
            <w:r>
              <w:rPr>
                <w:sz w:val="2"/>
                <w:szCs w:val="2"/>
              </w:rPr>
              <w:t>​</w:t>
            </w:r>
          </w:p>
        </w:tc>
      </w:tr>
      <w:tr w:rsidR="00000000">
        <w:trPr>
          <w:divId w:val="1784374577"/>
        </w:trPr>
        <w:tc>
          <w:tcPr>
            <w:tcW w:w="3354"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83"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1069" w:type="pct"/>
            <w:gridSpan w:val="5"/>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Six Months Ended June 30, </w:t>
            </w:r>
          </w:p>
        </w:tc>
        <w:tc>
          <w:tcPr>
            <w:tcW w:w="492" w:type="pct"/>
            <w:gridSpan w:val="2"/>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r>
      <w:tr w:rsidR="00000000">
        <w:trPr>
          <w:divId w:val="1784374577"/>
        </w:trPr>
        <w:tc>
          <w:tcPr>
            <w:tcW w:w="3354" w:type="pct"/>
            <w:tcBorders>
              <w:bottom w:val="single" w:sz="6" w:space="0" w:color="000000"/>
            </w:tcBorders>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(In thousands)</w:t>
            </w:r>
          </w:p>
        </w:tc>
        <w:tc>
          <w:tcPr>
            <w:tcW w:w="83"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2021</w:t>
            </w:r>
          </w:p>
        </w:tc>
        <w:tc>
          <w:tcPr>
            <w:tcW w:w="83"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2020</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Change</w:t>
            </w:r>
          </w:p>
        </w:tc>
      </w:tr>
      <w:tr w:rsidR="00000000">
        <w:trPr>
          <w:divId w:val="1784374577"/>
        </w:trPr>
        <w:tc>
          <w:tcPr>
            <w:tcW w:w="3354"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Net cash used in operating activities</w:t>
            </w:r>
          </w:p>
        </w:tc>
        <w:tc>
          <w:tcPr>
            <w:tcW w:w="8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(119,978</w:t>
            </w: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(108,447</w:t>
            </w: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(11,531</w:t>
            </w:r>
            <w:r>
              <w:rPr>
                <w:sz w:val="20"/>
                <w:szCs w:val="20"/>
              </w:rPr>
              <w:t>)</w:t>
            </w:r>
          </w:p>
        </w:tc>
      </w:tr>
      <w:tr w:rsidR="00000000">
        <w:trPr>
          <w:divId w:val="1784374577"/>
        </w:trPr>
        <w:tc>
          <w:tcPr>
            <w:tcW w:w="3354"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Net cash provided by (used in) investing activities</w:t>
            </w:r>
          </w:p>
        </w:tc>
        <w:tc>
          <w:tcPr>
            <w:tcW w:w="83"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 </w:t>
            </w:r>
          </w:p>
        </w:tc>
        <w:tc>
          <w:tcPr>
            <w:tcW w:w="408"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149,46</w:t>
            </w:r>
            <w:r>
              <w:rPr>
                <w:sz w:val="20"/>
                <w:szCs w:val="20"/>
              </w:rPr>
              <w:t>3</w:t>
            </w:r>
          </w:p>
        </w:tc>
        <w:tc>
          <w:tcPr>
            <w:tcW w:w="83"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 </w:t>
            </w:r>
          </w:p>
        </w:tc>
        <w:tc>
          <w:tcPr>
            <w:tcW w:w="408" w:type="pct"/>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(108,186</w:t>
            </w:r>
            <w:r>
              <w:rPr>
                <w:sz w:val="20"/>
                <w:szCs w:val="20"/>
              </w:rPr>
              <w:t>)</w:t>
            </w:r>
          </w:p>
        </w:tc>
        <w:tc>
          <w:tcPr>
            <w:tcW w:w="83" w:type="pct"/>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 </w:t>
            </w:r>
          </w:p>
        </w:tc>
        <w:tc>
          <w:tcPr>
            <w:tcW w:w="408" w:type="pct"/>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257,64</w:t>
            </w:r>
            <w:r>
              <w:rPr>
                <w:sz w:val="20"/>
                <w:szCs w:val="20"/>
              </w:rPr>
              <w:t>9</w:t>
            </w:r>
          </w:p>
        </w:tc>
      </w:tr>
      <w:tr w:rsidR="00000000">
        <w:trPr>
          <w:divId w:val="1784374577"/>
        </w:trPr>
        <w:tc>
          <w:tcPr>
            <w:tcW w:w="3354" w:type="pct"/>
            <w:shd w:val="clear" w:color="auto" w:fill="CCEEFF"/>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Net cash provided by financing activities</w:t>
            </w:r>
          </w:p>
        </w:tc>
        <w:tc>
          <w:tcPr>
            <w:tcW w:w="8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 </w:t>
            </w:r>
          </w:p>
        </w:tc>
        <w:tc>
          <w:tcPr>
            <w:tcW w:w="40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93,99</w:t>
            </w:r>
            <w:r>
              <w:rPr>
                <w:sz w:val="20"/>
                <w:szCs w:val="20"/>
              </w:rPr>
              <w:t>7</w:t>
            </w:r>
          </w:p>
        </w:tc>
        <w:tc>
          <w:tcPr>
            <w:tcW w:w="8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 </w:t>
            </w:r>
          </w:p>
        </w:tc>
        <w:tc>
          <w:tcPr>
            <w:tcW w:w="40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ind w:right="70"/>
              <w:jc w:val="right"/>
              <w:rPr>
                <w:sz w:val="20"/>
                <w:szCs w:val="20"/>
              </w:rPr>
            </w:pPr>
            <w:r>
              <w:rPr>
                <w:sz w:val="20"/>
                <w:szCs w:val="20"/>
              </w:rPr>
              <w:t>263,30</w:t>
            </w:r>
            <w:r>
              <w:rPr>
                <w:sz w:val="20"/>
                <w:szCs w:val="20"/>
              </w:rPr>
              <w:t>5</w:t>
            </w:r>
          </w:p>
        </w:tc>
        <w:tc>
          <w:tcPr>
            <w:tcW w:w="83"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sz w:val="20"/>
                <w:szCs w:val="20"/>
              </w:rPr>
              <w:t> </w:t>
            </w:r>
          </w:p>
        </w:tc>
        <w:tc>
          <w:tcPr>
            <w:tcW w:w="408" w:type="pct"/>
            <w:shd w:val="clear" w:color="auto" w:fill="CCEEFF"/>
            <w:noWrap/>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(169,308</w:t>
            </w:r>
            <w:r>
              <w:rPr>
                <w:sz w:val="20"/>
                <w:szCs w:val="20"/>
              </w:rPr>
              <w:t>)</w:t>
            </w:r>
          </w:p>
        </w:tc>
      </w:tr>
    </w:tbl>
    <w:p w:rsidR="00000000" w:rsidRDefault="00E52F77">
      <w:pPr>
        <w:pStyle w:val="a3"/>
        <w:spacing w:before="0" w:beforeAutospacing="0" w:after="0" w:afterAutospacing="0"/>
        <w:divId w:val="1784374577"/>
        <w:rPr>
          <w:sz w:val="20"/>
          <w:szCs w:val="20"/>
        </w:rPr>
      </w:pPr>
      <w:r>
        <w:rPr>
          <w:sz w:val="20"/>
          <w:szCs w:val="20"/>
        </w:rPr>
        <w:t>​</w:t>
      </w:r>
    </w:p>
    <w:p w:rsidR="00000000" w:rsidRDefault="00E52F77">
      <w:pPr>
        <w:pStyle w:val="a3"/>
        <w:spacing w:before="360" w:beforeAutospacing="0" w:after="0" w:afterAutospacing="0"/>
        <w:jc w:val="center"/>
        <w:divId w:val="498665725"/>
        <w:rPr>
          <w:sz w:val="20"/>
          <w:szCs w:val="20"/>
        </w:rPr>
      </w:pPr>
      <w:r>
        <w:rPr>
          <w:sz w:val="20"/>
          <w:szCs w:val="20"/>
        </w:rPr>
        <w:t>32</w:t>
      </w:r>
    </w:p>
    <w:p w:rsidR="00000000" w:rsidRDefault="00E52F77">
      <w:pPr>
        <w:pStyle w:val="a3"/>
        <w:spacing w:before="0" w:beforeAutospacing="0" w:after="600" w:afterAutospacing="0"/>
        <w:divId w:val="1759860033"/>
        <w:rPr>
          <w:sz w:val="20"/>
          <w:szCs w:val="20"/>
        </w:rPr>
      </w:pPr>
      <w:hyperlink w:anchor="TOC" w:history="1">
        <w:r>
          <w:rPr>
            <w:rStyle w:val="a4"/>
            <w:sz w:val="20"/>
            <w:szCs w:val="20"/>
          </w:rPr>
          <w:t>Table of Contents</w:t>
        </w:r>
      </w:hyperlink>
    </w:p>
    <w:p w:rsidR="00000000" w:rsidRDefault="00E52F77">
      <w:pPr>
        <w:pStyle w:val="a3"/>
        <w:spacing w:before="0" w:beforeAutospacing="0" w:after="0" w:afterAutospacing="0"/>
        <w:divId w:val="858929372"/>
        <w:rPr>
          <w:sz w:val="20"/>
          <w:szCs w:val="20"/>
        </w:rPr>
      </w:pPr>
      <w:r>
        <w:rPr>
          <w:i/>
          <w:iCs/>
          <w:sz w:val="20"/>
          <w:szCs w:val="20"/>
        </w:rPr>
        <w:t>Cash flows used in operating activities</w:t>
      </w:r>
    </w:p>
    <w:p w:rsidR="00000000" w:rsidRDefault="00E52F77">
      <w:pPr>
        <w:pStyle w:val="a3"/>
        <w:spacing w:before="0" w:beforeAutospacing="0" w:after="0" w:afterAutospacing="0"/>
        <w:divId w:val="858929372"/>
        <w:rPr>
          <w:sz w:val="20"/>
          <w:szCs w:val="20"/>
        </w:rPr>
      </w:pPr>
      <w:r>
        <w:rPr>
          <w:sz w:val="10"/>
          <w:szCs w:val="10"/>
        </w:rPr>
        <w:t>​</w:t>
      </w:r>
    </w:p>
    <w:p w:rsidR="00000000" w:rsidRDefault="00E52F77">
      <w:pPr>
        <w:pStyle w:val="a3"/>
        <w:spacing w:before="0" w:beforeAutospacing="0" w:after="0" w:afterAutospacing="0"/>
        <w:ind w:firstLine="720"/>
        <w:divId w:val="858929372"/>
        <w:rPr>
          <w:sz w:val="20"/>
          <w:szCs w:val="20"/>
        </w:rPr>
      </w:pPr>
      <w:r>
        <w:rPr>
          <w:sz w:val="20"/>
          <w:szCs w:val="20"/>
        </w:rPr>
        <w:t>Net cash used in operating activities was $120.0 million for the six months ended June 30, 2021, consisting of a net loss of $132.1 million, a net increase in cash result</w:t>
      </w:r>
      <w:r>
        <w:rPr>
          <w:sz w:val="20"/>
          <w:szCs w:val="20"/>
        </w:rPr>
        <w:t xml:space="preserve">ing from adjustments for non-cash and other reconciling items of $38.3 million and a net decrease in cash resulting from changes in operating assets and liabilities of $26.2 million. </w:t>
      </w:r>
    </w:p>
    <w:p w:rsidR="00000000" w:rsidRDefault="00E52F77">
      <w:pPr>
        <w:pStyle w:val="a3"/>
        <w:spacing w:before="0" w:beforeAutospacing="0" w:after="0" w:afterAutospacing="0"/>
        <w:divId w:val="858929372"/>
        <w:rPr>
          <w:sz w:val="20"/>
          <w:szCs w:val="20"/>
        </w:rPr>
      </w:pPr>
      <w:r>
        <w:rPr>
          <w:sz w:val="20"/>
          <w:szCs w:val="20"/>
        </w:rPr>
        <w:t>​</w:t>
      </w:r>
    </w:p>
    <w:p w:rsidR="00000000" w:rsidRDefault="00E52F77">
      <w:pPr>
        <w:pStyle w:val="a3"/>
        <w:spacing w:before="0" w:beforeAutospacing="0" w:after="0" w:afterAutospacing="0"/>
        <w:ind w:firstLine="720"/>
        <w:divId w:val="858929372"/>
        <w:rPr>
          <w:sz w:val="20"/>
          <w:szCs w:val="20"/>
        </w:rPr>
      </w:pPr>
      <w:r>
        <w:rPr>
          <w:sz w:val="20"/>
          <w:szCs w:val="20"/>
        </w:rPr>
        <w:t>Net cash used in operating activities was $108.4 million for the six m</w:t>
      </w:r>
      <w:r>
        <w:rPr>
          <w:sz w:val="20"/>
          <w:szCs w:val="20"/>
        </w:rPr>
        <w:t>onths ended June 30, 2020, consisting of a net loss of $145.9 million, a net increase in cash resulting from adjustments for non-cash and other reconciling items of $46.1 million and a net decrease in cash resulting from changes in operating assets and lia</w:t>
      </w:r>
      <w:r>
        <w:rPr>
          <w:sz w:val="20"/>
          <w:szCs w:val="20"/>
        </w:rPr>
        <w:t xml:space="preserve">bilities of $8.6 million. </w:t>
      </w:r>
    </w:p>
    <w:p w:rsidR="00000000" w:rsidRDefault="00E52F77">
      <w:pPr>
        <w:pStyle w:val="a3"/>
        <w:spacing w:before="0" w:beforeAutospacing="0" w:after="0" w:afterAutospacing="0"/>
        <w:divId w:val="858929372"/>
        <w:rPr>
          <w:sz w:val="20"/>
          <w:szCs w:val="20"/>
        </w:rPr>
      </w:pPr>
      <w:r>
        <w:rPr>
          <w:sz w:val="20"/>
          <w:szCs w:val="20"/>
        </w:rPr>
        <w:t>​</w:t>
      </w:r>
    </w:p>
    <w:p w:rsidR="00000000" w:rsidRDefault="00E52F77">
      <w:pPr>
        <w:pStyle w:val="a3"/>
        <w:spacing w:before="0" w:beforeAutospacing="0" w:after="0" w:afterAutospacing="0"/>
        <w:divId w:val="858929372"/>
        <w:rPr>
          <w:sz w:val="20"/>
          <w:szCs w:val="20"/>
        </w:rPr>
      </w:pPr>
      <w:r>
        <w:rPr>
          <w:i/>
          <w:iCs/>
          <w:sz w:val="20"/>
          <w:szCs w:val="20"/>
        </w:rPr>
        <w:t>Cash flows provided by (used in) investing activities</w:t>
      </w:r>
    </w:p>
    <w:p w:rsidR="00000000" w:rsidRDefault="00E52F77">
      <w:pPr>
        <w:pStyle w:val="a3"/>
        <w:spacing w:before="0" w:beforeAutospacing="0" w:after="0" w:afterAutospacing="0"/>
        <w:ind w:firstLine="720"/>
        <w:divId w:val="858929372"/>
        <w:rPr>
          <w:sz w:val="20"/>
          <w:szCs w:val="20"/>
        </w:rPr>
      </w:pPr>
      <w:r>
        <w:rPr>
          <w:sz w:val="10"/>
          <w:szCs w:val="10"/>
        </w:rPr>
        <w:t>​</w:t>
      </w:r>
    </w:p>
    <w:p w:rsidR="00000000" w:rsidRDefault="00E52F77">
      <w:pPr>
        <w:pStyle w:val="a3"/>
        <w:spacing w:before="0" w:beforeAutospacing="0" w:after="0" w:afterAutospacing="0"/>
        <w:ind w:firstLine="720"/>
        <w:divId w:val="858929372"/>
        <w:rPr>
          <w:sz w:val="20"/>
          <w:szCs w:val="20"/>
        </w:rPr>
      </w:pPr>
      <w:r>
        <w:rPr>
          <w:sz w:val="20"/>
          <w:szCs w:val="20"/>
        </w:rPr>
        <w:t>Net cash provided by investing activities was $149.5 million for the six months ended June 30, 2021, consisting of cash inflows from the net purchase and maturities of mar</w:t>
      </w:r>
      <w:r>
        <w:rPr>
          <w:sz w:val="20"/>
          <w:szCs w:val="20"/>
        </w:rPr>
        <w:t xml:space="preserve">ketable securities of $151.4 million and partially offset by $1.9 million used for the purchase of property and equipment. </w:t>
      </w:r>
    </w:p>
    <w:p w:rsidR="00000000" w:rsidRDefault="00E52F77">
      <w:pPr>
        <w:pStyle w:val="a3"/>
        <w:spacing w:before="0" w:beforeAutospacing="0" w:after="0" w:afterAutospacing="0"/>
        <w:divId w:val="858929372"/>
        <w:rPr>
          <w:sz w:val="20"/>
          <w:szCs w:val="20"/>
        </w:rPr>
      </w:pPr>
      <w:r>
        <w:rPr>
          <w:sz w:val="20"/>
          <w:szCs w:val="20"/>
        </w:rPr>
        <w:t>​</w:t>
      </w:r>
    </w:p>
    <w:p w:rsidR="00000000" w:rsidRDefault="00E52F77">
      <w:pPr>
        <w:pStyle w:val="a3"/>
        <w:spacing w:before="0" w:beforeAutospacing="0" w:after="0" w:afterAutospacing="0"/>
        <w:ind w:firstLine="720"/>
        <w:divId w:val="858929372"/>
        <w:rPr>
          <w:sz w:val="20"/>
          <w:szCs w:val="20"/>
        </w:rPr>
      </w:pPr>
      <w:r>
        <w:rPr>
          <w:sz w:val="20"/>
          <w:szCs w:val="20"/>
        </w:rPr>
        <w:t>Net cash used in investing activities was $108.2 million for the six months ended June 30, 2020, consisting primarily of cash outflows from the net purchase and maturities of marketable securities of $124.8 million and $19.9 million cash inflow from the sa</w:t>
      </w:r>
      <w:r>
        <w:rPr>
          <w:sz w:val="20"/>
          <w:szCs w:val="20"/>
        </w:rPr>
        <w:t xml:space="preserve">le of marketable securities. </w:t>
      </w:r>
    </w:p>
    <w:p w:rsidR="00000000" w:rsidRDefault="00E52F77">
      <w:pPr>
        <w:pStyle w:val="a3"/>
        <w:spacing w:before="0" w:beforeAutospacing="0" w:after="0" w:afterAutospacing="0"/>
        <w:divId w:val="858929372"/>
        <w:rPr>
          <w:sz w:val="20"/>
          <w:szCs w:val="20"/>
        </w:rPr>
      </w:pPr>
      <w:r>
        <w:rPr>
          <w:sz w:val="20"/>
          <w:szCs w:val="20"/>
        </w:rPr>
        <w:t>​</w:t>
      </w:r>
    </w:p>
    <w:p w:rsidR="00000000" w:rsidRDefault="00E52F77">
      <w:pPr>
        <w:pStyle w:val="a3"/>
        <w:spacing w:before="0" w:beforeAutospacing="0" w:after="0" w:afterAutospacing="0"/>
        <w:divId w:val="858929372"/>
        <w:rPr>
          <w:sz w:val="20"/>
          <w:szCs w:val="20"/>
        </w:rPr>
      </w:pPr>
      <w:r>
        <w:rPr>
          <w:i/>
          <w:iCs/>
          <w:sz w:val="20"/>
          <w:szCs w:val="20"/>
        </w:rPr>
        <w:t>Cash flows provided by financing activities</w:t>
      </w:r>
    </w:p>
    <w:p w:rsidR="00000000" w:rsidRDefault="00E52F77">
      <w:pPr>
        <w:pStyle w:val="a3"/>
        <w:spacing w:before="0" w:beforeAutospacing="0" w:after="0" w:afterAutospacing="0"/>
        <w:divId w:val="858929372"/>
        <w:rPr>
          <w:sz w:val="20"/>
          <w:szCs w:val="20"/>
        </w:rPr>
      </w:pPr>
      <w:r>
        <w:rPr>
          <w:sz w:val="10"/>
          <w:szCs w:val="10"/>
        </w:rPr>
        <w:t>​</w:t>
      </w:r>
    </w:p>
    <w:p w:rsidR="00000000" w:rsidRDefault="00E52F77">
      <w:pPr>
        <w:pStyle w:val="a3"/>
        <w:spacing w:before="0" w:beforeAutospacing="0" w:after="0" w:afterAutospacing="0"/>
        <w:ind w:firstLine="720"/>
        <w:divId w:val="858929372"/>
        <w:rPr>
          <w:sz w:val="20"/>
          <w:szCs w:val="20"/>
        </w:rPr>
      </w:pPr>
      <w:r>
        <w:rPr>
          <w:sz w:val="20"/>
          <w:szCs w:val="20"/>
        </w:rPr>
        <w:t xml:space="preserve">Net cash provided by financing activities was $94.0 million for the six months ended June 30, 2021, consisting of the sale of 7,705,000 ordinary shares for total net proceeds of </w:t>
      </w:r>
      <w:r>
        <w:rPr>
          <w:sz w:val="20"/>
          <w:szCs w:val="20"/>
        </w:rPr>
        <w:t>$108.2 million and $2.9 million in proceeds from ESPP and share option purchases. These proceeds were partially offset by $10.7 million in principal payments on the Non-Recourse 2035 Notes and $6.3 million related to the repurchase of shares to satisfy tax</w:t>
      </w:r>
      <w:r>
        <w:rPr>
          <w:sz w:val="20"/>
          <w:szCs w:val="20"/>
        </w:rPr>
        <w:t xml:space="preserve"> withholding obligations.</w:t>
      </w:r>
    </w:p>
    <w:p w:rsidR="00000000" w:rsidRDefault="00E52F77">
      <w:pPr>
        <w:pStyle w:val="a3"/>
        <w:spacing w:before="0" w:beforeAutospacing="0" w:after="0" w:afterAutospacing="0"/>
        <w:divId w:val="858929372"/>
        <w:rPr>
          <w:sz w:val="20"/>
          <w:szCs w:val="20"/>
        </w:rPr>
      </w:pPr>
      <w:r>
        <w:rPr>
          <w:sz w:val="20"/>
          <w:szCs w:val="20"/>
        </w:rPr>
        <w:t>​</w:t>
      </w:r>
    </w:p>
    <w:p w:rsidR="00000000" w:rsidRDefault="00E52F77">
      <w:pPr>
        <w:pStyle w:val="a3"/>
        <w:spacing w:before="0" w:beforeAutospacing="0" w:after="0" w:afterAutospacing="0"/>
        <w:ind w:firstLine="720"/>
        <w:divId w:val="858929372"/>
        <w:rPr>
          <w:sz w:val="20"/>
          <w:szCs w:val="20"/>
        </w:rPr>
      </w:pPr>
      <w:r>
        <w:rPr>
          <w:sz w:val="20"/>
          <w:szCs w:val="20"/>
        </w:rPr>
        <w:t xml:space="preserve">Net cash provided by financing activities was $263.3 million for the six months ended June 30, 2020, consisting primarily of the sale of 5,500,000 ordinary shares for total net proceeds of $139.9 million and the issuance of our </w:t>
      </w:r>
      <w:r>
        <w:rPr>
          <w:sz w:val="20"/>
          <w:szCs w:val="20"/>
        </w:rPr>
        <w:t xml:space="preserve">Non-Recourse 2035 Notes for total net proceeds of $374.7 million. A portion of the Non-Recourse 2035 Notes proceeds was used to repay, in full, the remaining $235.3 million outstanding balance of our Non-Recourse 2033 Notes and an $11.5 million redemption </w:t>
      </w:r>
      <w:r>
        <w:rPr>
          <w:sz w:val="20"/>
          <w:szCs w:val="20"/>
        </w:rPr>
        <w:t>premium related to the payoff of the Non-Recourse 2033 Notes. In addition to the above, net cash inflow provided by financing activities was partially offset by the repurchase of shares to satisfy tax withholding obligations in the amount of $7.9 million.</w:t>
      </w:r>
    </w:p>
    <w:p w:rsidR="00000000" w:rsidRDefault="00E52F77">
      <w:pPr>
        <w:pStyle w:val="a3"/>
        <w:spacing w:before="0" w:beforeAutospacing="0" w:after="0" w:afterAutospacing="0"/>
        <w:divId w:val="858929372"/>
        <w:rPr>
          <w:sz w:val="20"/>
          <w:szCs w:val="20"/>
        </w:rPr>
      </w:pPr>
      <w:r>
        <w:rPr>
          <w:sz w:val="20"/>
          <w:szCs w:val="20"/>
        </w:rPr>
        <w:t>​</w:t>
      </w:r>
    </w:p>
    <w:p w:rsidR="00000000" w:rsidRDefault="00E52F77">
      <w:pPr>
        <w:pStyle w:val="a3"/>
        <w:spacing w:before="0" w:beforeAutospacing="0" w:after="0" w:afterAutospacing="0"/>
        <w:divId w:val="858929372"/>
        <w:rPr>
          <w:sz w:val="20"/>
          <w:szCs w:val="20"/>
        </w:rPr>
      </w:pPr>
      <w:r>
        <w:rPr>
          <w:b/>
          <w:bCs/>
          <w:i/>
          <w:iCs/>
          <w:sz w:val="20"/>
          <w:szCs w:val="20"/>
        </w:rPr>
        <w:t>Commitments and Contingencies</w:t>
      </w:r>
    </w:p>
    <w:p w:rsidR="00000000" w:rsidRDefault="00E52F77">
      <w:pPr>
        <w:pStyle w:val="a3"/>
        <w:spacing w:before="0" w:beforeAutospacing="0" w:after="0" w:afterAutospacing="0"/>
        <w:divId w:val="858929372"/>
        <w:rPr>
          <w:sz w:val="20"/>
          <w:szCs w:val="20"/>
        </w:rPr>
      </w:pPr>
      <w:r>
        <w:rPr>
          <w:sz w:val="10"/>
          <w:szCs w:val="10"/>
        </w:rPr>
        <w:t>​</w:t>
      </w:r>
    </w:p>
    <w:p w:rsidR="00000000" w:rsidRDefault="00E52F77">
      <w:pPr>
        <w:pStyle w:val="a3"/>
        <w:spacing w:before="0" w:beforeAutospacing="0" w:after="0" w:afterAutospacing="0"/>
        <w:ind w:firstLine="720"/>
        <w:divId w:val="858929372"/>
        <w:rPr>
          <w:sz w:val="20"/>
          <w:szCs w:val="20"/>
        </w:rPr>
      </w:pPr>
      <w:r>
        <w:rPr>
          <w:sz w:val="20"/>
          <w:szCs w:val="20"/>
        </w:rPr>
        <w:t>We indemnify our officers and directors for certain events or occurrences, subject to certain limits. We believe the fair value of these indemnification agreements is minimal. Accordingly, we have not recognized any liabil</w:t>
      </w:r>
      <w:r>
        <w:rPr>
          <w:sz w:val="20"/>
          <w:szCs w:val="20"/>
        </w:rPr>
        <w:t>ities relating to these agreements as of June 30, 2021.</w:t>
      </w:r>
    </w:p>
    <w:p w:rsidR="00000000" w:rsidRDefault="00E52F77">
      <w:pPr>
        <w:pStyle w:val="a3"/>
        <w:spacing w:before="0" w:beforeAutospacing="0" w:after="0" w:afterAutospacing="0"/>
        <w:divId w:val="858929372"/>
        <w:rPr>
          <w:sz w:val="20"/>
          <w:szCs w:val="20"/>
        </w:rPr>
      </w:pPr>
      <w:r>
        <w:rPr>
          <w:sz w:val="20"/>
          <w:szCs w:val="20"/>
        </w:rPr>
        <w:t>​</w:t>
      </w:r>
    </w:p>
    <w:p w:rsidR="00000000" w:rsidRDefault="00E52F77">
      <w:pPr>
        <w:pStyle w:val="a3"/>
        <w:spacing w:before="0" w:beforeAutospacing="0" w:after="0" w:afterAutospacing="0"/>
        <w:divId w:val="858929372"/>
        <w:rPr>
          <w:sz w:val="20"/>
          <w:szCs w:val="20"/>
        </w:rPr>
      </w:pPr>
      <w:r>
        <w:rPr>
          <w:i/>
          <w:iCs/>
          <w:sz w:val="20"/>
          <w:szCs w:val="20"/>
        </w:rPr>
        <w:t>Performance-Contingent Awards</w:t>
      </w:r>
    </w:p>
    <w:p w:rsidR="00000000" w:rsidRDefault="00E52F77">
      <w:pPr>
        <w:pStyle w:val="a3"/>
        <w:spacing w:before="0" w:beforeAutospacing="0" w:after="0" w:afterAutospacing="0"/>
        <w:divId w:val="858929372"/>
        <w:rPr>
          <w:sz w:val="20"/>
          <w:szCs w:val="20"/>
        </w:rPr>
      </w:pPr>
      <w:r>
        <w:rPr>
          <w:i/>
          <w:iCs/>
          <w:sz w:val="20"/>
          <w:szCs w:val="20"/>
        </w:rPr>
        <w:t>​</w:t>
      </w:r>
    </w:p>
    <w:p w:rsidR="00000000" w:rsidRDefault="00E52F77">
      <w:pPr>
        <w:pStyle w:val="a3"/>
        <w:spacing w:before="0" w:beforeAutospacing="0" w:after="0" w:afterAutospacing="0"/>
        <w:ind w:firstLine="720"/>
        <w:divId w:val="858929372"/>
        <w:rPr>
          <w:sz w:val="20"/>
          <w:szCs w:val="20"/>
        </w:rPr>
      </w:pPr>
      <w:r>
        <w:rPr>
          <w:sz w:val="20"/>
          <w:szCs w:val="20"/>
        </w:rPr>
        <w:t>We periodically grant performance-contingent awards to our employees. For the six months ended June 30, 2021, we recognized $0.6 million of aggregate share-based compensation expense and cash bonus expense related to these types of awards. As of June 30, 2</w:t>
      </w:r>
      <w:r>
        <w:rPr>
          <w:sz w:val="20"/>
          <w:szCs w:val="20"/>
        </w:rPr>
        <w:t>021, the maximum remaining expense related to outstanding performance-contingent awards was $0.6 million which had performance expiration dates through June 2022.</w:t>
      </w:r>
    </w:p>
    <w:p w:rsidR="00000000" w:rsidRDefault="00E52F77">
      <w:pPr>
        <w:pStyle w:val="a3"/>
        <w:spacing w:before="0" w:beforeAutospacing="0" w:after="0" w:afterAutospacing="0"/>
        <w:divId w:val="858929372"/>
        <w:rPr>
          <w:sz w:val="20"/>
          <w:szCs w:val="20"/>
        </w:rPr>
      </w:pPr>
      <w:r>
        <w:rPr>
          <w:sz w:val="20"/>
          <w:szCs w:val="20"/>
        </w:rPr>
        <w:t>​</w:t>
      </w:r>
    </w:p>
    <w:p w:rsidR="00000000" w:rsidRDefault="00E52F77">
      <w:pPr>
        <w:pStyle w:val="a3"/>
        <w:spacing w:before="0" w:beforeAutospacing="0" w:after="0" w:afterAutospacing="0"/>
        <w:divId w:val="858929372"/>
        <w:rPr>
          <w:sz w:val="20"/>
          <w:szCs w:val="20"/>
        </w:rPr>
      </w:pPr>
      <w:r>
        <w:rPr>
          <w:b/>
          <w:bCs/>
          <w:i/>
          <w:iCs/>
          <w:sz w:val="20"/>
          <w:szCs w:val="20"/>
        </w:rPr>
        <w:t>Off-Balance Sheet Arrangements</w:t>
      </w:r>
    </w:p>
    <w:p w:rsidR="00000000" w:rsidRDefault="00E52F77">
      <w:pPr>
        <w:pStyle w:val="a3"/>
        <w:spacing w:before="0" w:beforeAutospacing="0" w:after="0" w:afterAutospacing="0"/>
        <w:divId w:val="858929372"/>
        <w:rPr>
          <w:sz w:val="20"/>
          <w:szCs w:val="20"/>
        </w:rPr>
      </w:pPr>
      <w:r>
        <w:rPr>
          <w:sz w:val="10"/>
          <w:szCs w:val="10"/>
        </w:rPr>
        <w:t>​</w:t>
      </w:r>
    </w:p>
    <w:p w:rsidR="00000000" w:rsidRDefault="00E52F77">
      <w:pPr>
        <w:pStyle w:val="a3"/>
        <w:spacing w:before="0" w:beforeAutospacing="0" w:after="0" w:afterAutospacing="0"/>
        <w:ind w:firstLine="720"/>
        <w:divId w:val="858929372"/>
        <w:rPr>
          <w:sz w:val="20"/>
          <w:szCs w:val="20"/>
        </w:rPr>
      </w:pPr>
      <w:r>
        <w:rPr>
          <w:sz w:val="20"/>
          <w:szCs w:val="20"/>
        </w:rPr>
        <w:t>There have been no material changes in our off-balance she</w:t>
      </w:r>
      <w:r>
        <w:rPr>
          <w:sz w:val="20"/>
          <w:szCs w:val="20"/>
        </w:rPr>
        <w:t>et arrangements from those set forth in our Annual Report on Form 10-K for the year ended December 31, 2020, filed with the SEC on February 26, 2021.</w:t>
      </w:r>
    </w:p>
    <w:p w:rsidR="00000000" w:rsidRDefault="00E52F77">
      <w:pPr>
        <w:pStyle w:val="a3"/>
        <w:spacing w:before="0" w:beforeAutospacing="0" w:after="0" w:afterAutospacing="0"/>
        <w:divId w:val="858929372"/>
        <w:rPr>
          <w:sz w:val="20"/>
          <w:szCs w:val="20"/>
        </w:rPr>
      </w:pPr>
      <w:r>
        <w:rPr>
          <w:sz w:val="20"/>
          <w:szCs w:val="20"/>
        </w:rPr>
        <w:t>​</w:t>
      </w:r>
    </w:p>
    <w:p w:rsidR="00000000" w:rsidRDefault="00E52F77">
      <w:pPr>
        <w:pStyle w:val="a3"/>
        <w:spacing w:before="0" w:beforeAutospacing="0" w:after="0" w:afterAutospacing="0"/>
        <w:divId w:val="858929372"/>
        <w:rPr>
          <w:sz w:val="20"/>
          <w:szCs w:val="20"/>
        </w:rPr>
      </w:pPr>
      <w:r>
        <w:rPr>
          <w:b/>
          <w:bCs/>
          <w:i/>
          <w:iCs/>
          <w:sz w:val="20"/>
          <w:szCs w:val="20"/>
        </w:rPr>
        <w:t>Contractual Obligations and Commercial Commitments</w:t>
      </w:r>
    </w:p>
    <w:p w:rsidR="00000000" w:rsidRDefault="00E52F77">
      <w:pPr>
        <w:pStyle w:val="a3"/>
        <w:spacing w:before="0" w:beforeAutospacing="0" w:after="0" w:afterAutospacing="0"/>
        <w:divId w:val="858929372"/>
        <w:rPr>
          <w:sz w:val="20"/>
          <w:szCs w:val="20"/>
        </w:rPr>
      </w:pPr>
      <w:r>
        <w:rPr>
          <w:sz w:val="10"/>
          <w:szCs w:val="10"/>
        </w:rPr>
        <w:t>​</w:t>
      </w:r>
    </w:p>
    <w:p w:rsidR="00000000" w:rsidRDefault="00E52F77">
      <w:pPr>
        <w:pStyle w:val="a3"/>
        <w:spacing w:before="0" w:beforeAutospacing="0" w:after="0" w:afterAutospacing="0"/>
        <w:ind w:firstLine="720"/>
        <w:divId w:val="858929372"/>
        <w:rPr>
          <w:sz w:val="20"/>
          <w:szCs w:val="20"/>
        </w:rPr>
      </w:pPr>
      <w:r>
        <w:rPr>
          <w:sz w:val="20"/>
          <w:szCs w:val="20"/>
        </w:rPr>
        <w:t>There have been no material changes in our contract</w:t>
      </w:r>
      <w:r>
        <w:rPr>
          <w:sz w:val="20"/>
          <w:szCs w:val="20"/>
        </w:rPr>
        <w:t xml:space="preserve">ual obligations and commercial commitments from those set forth in our Annual Report on Form 10-K for the year ended December 31, 2020, filed with the SEC on February 26, 2021. </w:t>
      </w:r>
    </w:p>
    <w:p w:rsidR="00000000" w:rsidRDefault="00E52F77">
      <w:pPr>
        <w:pStyle w:val="a3"/>
        <w:spacing w:before="360" w:beforeAutospacing="0" w:after="0" w:afterAutospacing="0"/>
        <w:jc w:val="center"/>
        <w:divId w:val="1796171454"/>
        <w:rPr>
          <w:sz w:val="20"/>
          <w:szCs w:val="20"/>
        </w:rPr>
      </w:pPr>
      <w:r>
        <w:rPr>
          <w:sz w:val="20"/>
          <w:szCs w:val="20"/>
        </w:rPr>
        <w:t>33</w:t>
      </w:r>
    </w:p>
    <w:p w:rsidR="00000000" w:rsidRDefault="00E52F77">
      <w:pPr>
        <w:pStyle w:val="a3"/>
        <w:spacing w:before="0" w:beforeAutospacing="0" w:after="600" w:afterAutospacing="0"/>
        <w:divId w:val="1828549089"/>
        <w:rPr>
          <w:sz w:val="20"/>
          <w:szCs w:val="20"/>
        </w:rPr>
      </w:pPr>
      <w:hyperlink w:anchor="TOC" w:history="1">
        <w:r>
          <w:rPr>
            <w:rStyle w:val="a4"/>
            <w:sz w:val="20"/>
            <w:szCs w:val="20"/>
          </w:rPr>
          <w:t>Table of Contents</w:t>
        </w:r>
      </w:hyperlink>
    </w:p>
    <w:p w:rsidR="00000000" w:rsidRDefault="00E52F77">
      <w:pPr>
        <w:pStyle w:val="a3"/>
        <w:spacing w:before="0" w:beforeAutospacing="0" w:after="0" w:afterAutospacing="0"/>
        <w:divId w:val="1638215511"/>
        <w:rPr>
          <w:sz w:val="20"/>
          <w:szCs w:val="20"/>
        </w:rPr>
      </w:pPr>
      <w:r>
        <w:rPr>
          <w:sz w:val="20"/>
          <w:szCs w:val="20"/>
        </w:rPr>
        <w:t>​</w:t>
      </w:r>
    </w:p>
    <w:p w:rsidR="00000000" w:rsidRDefault="00E52F77">
      <w:pPr>
        <w:pStyle w:val="a3"/>
        <w:spacing w:before="0" w:beforeAutospacing="0" w:after="0" w:afterAutospacing="0"/>
        <w:divId w:val="1638215511"/>
        <w:rPr>
          <w:sz w:val="20"/>
          <w:szCs w:val="20"/>
        </w:rPr>
      </w:pPr>
      <w:r>
        <w:rPr>
          <w:b/>
          <w:bCs/>
          <w:sz w:val="20"/>
          <w:szCs w:val="20"/>
        </w:rPr>
        <w:t>ITEM 3.   </w:t>
      </w:r>
      <w:r>
        <w:rPr>
          <w:b/>
          <w:bCs/>
          <w:sz w:val="20"/>
          <w:szCs w:val="20"/>
        </w:rPr>
        <w:t xml:space="preserve">QUANTITATIVE AND QUALITATIVE DISCLOSURES ABOUT MARKET RISK </w:t>
      </w:r>
    </w:p>
    <w:p w:rsidR="00000000" w:rsidRDefault="00E52F77">
      <w:pPr>
        <w:pStyle w:val="a3"/>
        <w:spacing w:before="0" w:beforeAutospacing="0" w:after="0" w:afterAutospacing="0"/>
        <w:divId w:val="1638215511"/>
        <w:rPr>
          <w:sz w:val="20"/>
          <w:szCs w:val="20"/>
        </w:rPr>
      </w:pPr>
      <w:r>
        <w:rPr>
          <w:sz w:val="20"/>
          <w:szCs w:val="20"/>
        </w:rPr>
        <w:t>​</w:t>
      </w:r>
    </w:p>
    <w:p w:rsidR="00000000" w:rsidRDefault="00E52F77">
      <w:pPr>
        <w:pStyle w:val="a3"/>
        <w:shd w:val="clear" w:color="auto" w:fill="FFFFFF"/>
        <w:spacing w:before="0" w:beforeAutospacing="0" w:after="0" w:afterAutospacing="0"/>
        <w:ind w:firstLine="720"/>
        <w:divId w:val="1638215511"/>
        <w:rPr>
          <w:sz w:val="20"/>
          <w:szCs w:val="20"/>
        </w:rPr>
      </w:pPr>
      <w:r>
        <w:rPr>
          <w:sz w:val="20"/>
          <w:szCs w:val="20"/>
        </w:rPr>
        <w:t xml:space="preserve">Our market risks, as of June 30, 2021, have not changed materially from those discussed in </w:t>
      </w:r>
      <w:r>
        <w:rPr>
          <w:i/>
          <w:iCs/>
          <w:sz w:val="20"/>
          <w:szCs w:val="20"/>
        </w:rPr>
        <w:t>“Item 7A. Quantitative and Qualitative Disclosures About Market Risk”</w:t>
      </w:r>
      <w:r>
        <w:rPr>
          <w:sz w:val="20"/>
          <w:szCs w:val="20"/>
        </w:rPr>
        <w:t xml:space="preserve"> of our Annual Report on Form 10-K</w:t>
      </w:r>
      <w:r>
        <w:rPr>
          <w:sz w:val="20"/>
          <w:szCs w:val="20"/>
        </w:rPr>
        <w:t xml:space="preserve"> for the year ended December 31, 2020, filed with the SEC on February 26, 2021. </w:t>
      </w:r>
    </w:p>
    <w:p w:rsidR="00000000" w:rsidRDefault="00E52F77">
      <w:pPr>
        <w:pStyle w:val="a3"/>
        <w:spacing w:before="0" w:beforeAutospacing="0" w:after="0" w:afterAutospacing="0"/>
        <w:divId w:val="1638215511"/>
        <w:rPr>
          <w:sz w:val="20"/>
          <w:szCs w:val="20"/>
        </w:rPr>
      </w:pPr>
      <w:r>
        <w:rPr>
          <w:sz w:val="20"/>
          <w:szCs w:val="20"/>
        </w:rPr>
        <w:t>​</w:t>
      </w:r>
    </w:p>
    <w:p w:rsidR="00000000" w:rsidRDefault="00E52F77">
      <w:pPr>
        <w:pStyle w:val="a3"/>
        <w:spacing w:before="0" w:beforeAutospacing="0" w:after="0" w:afterAutospacing="0"/>
        <w:divId w:val="1638215511"/>
        <w:rPr>
          <w:sz w:val="20"/>
          <w:szCs w:val="20"/>
        </w:rPr>
      </w:pPr>
      <w:r>
        <w:rPr>
          <w:b/>
          <w:bCs/>
          <w:sz w:val="20"/>
          <w:szCs w:val="20"/>
        </w:rPr>
        <w:t>ITEM 4.   CONTROLS AND PROCEDURES</w:t>
      </w:r>
    </w:p>
    <w:p w:rsidR="00000000" w:rsidRDefault="00E52F77">
      <w:pPr>
        <w:pStyle w:val="a3"/>
        <w:spacing w:before="0" w:beforeAutospacing="0" w:after="0" w:afterAutospacing="0"/>
        <w:divId w:val="1638215511"/>
        <w:rPr>
          <w:sz w:val="20"/>
          <w:szCs w:val="20"/>
        </w:rPr>
      </w:pPr>
      <w:r>
        <w:rPr>
          <w:sz w:val="20"/>
          <w:szCs w:val="20"/>
        </w:rPr>
        <w:t>​</w:t>
      </w:r>
    </w:p>
    <w:p w:rsidR="00000000" w:rsidRDefault="00E52F77">
      <w:pPr>
        <w:pStyle w:val="a3"/>
        <w:spacing w:before="0" w:beforeAutospacing="0" w:after="0" w:afterAutospacing="0"/>
        <w:divId w:val="1638215511"/>
        <w:rPr>
          <w:sz w:val="20"/>
          <w:szCs w:val="20"/>
        </w:rPr>
      </w:pPr>
      <w:r>
        <w:rPr>
          <w:b/>
          <w:bCs/>
          <w:i/>
          <w:iCs/>
          <w:sz w:val="20"/>
          <w:szCs w:val="20"/>
        </w:rPr>
        <w:t>Evaluation of Disclosure Controls and Procedures</w:t>
      </w:r>
    </w:p>
    <w:p w:rsidR="00000000" w:rsidRDefault="00E52F77">
      <w:pPr>
        <w:pStyle w:val="a3"/>
        <w:spacing w:before="0" w:beforeAutospacing="0" w:after="0" w:afterAutospacing="0"/>
        <w:divId w:val="1638215511"/>
        <w:rPr>
          <w:sz w:val="20"/>
          <w:szCs w:val="20"/>
        </w:rPr>
      </w:pPr>
      <w:r>
        <w:rPr>
          <w:sz w:val="10"/>
          <w:szCs w:val="10"/>
        </w:rPr>
        <w:t>​</w:t>
      </w:r>
    </w:p>
    <w:p w:rsidR="00000000" w:rsidRDefault="00E52F77">
      <w:pPr>
        <w:pStyle w:val="a3"/>
        <w:spacing w:before="0" w:beforeAutospacing="0" w:after="0" w:afterAutospacing="0"/>
        <w:ind w:firstLine="720"/>
        <w:divId w:val="1638215511"/>
        <w:rPr>
          <w:sz w:val="20"/>
          <w:szCs w:val="20"/>
        </w:rPr>
      </w:pPr>
      <w:r>
        <w:rPr>
          <w:sz w:val="20"/>
          <w:szCs w:val="20"/>
        </w:rPr>
        <w:t>We conducted an evaluation required by paragraph (d) of Rule 13a-15 of the Exchange Ac</w:t>
      </w:r>
      <w:r>
        <w:rPr>
          <w:sz w:val="20"/>
          <w:szCs w:val="20"/>
        </w:rPr>
        <w:t>t as of June 30, 2021, under the supervision and with the participation of our management, including our Chief Executive Officer and Chief Financial Officer, of the effectiveness of the design and operation of our disclosure controls and procedures (as def</w:t>
      </w:r>
      <w:r>
        <w:rPr>
          <w:sz w:val="20"/>
          <w:szCs w:val="20"/>
        </w:rPr>
        <w:t>ined under Rule 13a-15(e) of the Exchange Act), which are controls and other procedures of a company that are designed to ensure that information required to be disclosed by a company in the reports that it files under the Exchange Act is recorded, process</w:t>
      </w:r>
      <w:r>
        <w:rPr>
          <w:sz w:val="20"/>
          <w:szCs w:val="20"/>
        </w:rPr>
        <w:t>ed, summarized and reported within required time periods. Based upon that evaluation, our Chief Executive Officer and Chief Financial Officer concluded that, as of such date, our disclosure controls and procedures were effective at the reasonable assurance</w:t>
      </w:r>
      <w:r>
        <w:rPr>
          <w:sz w:val="20"/>
          <w:szCs w:val="20"/>
        </w:rPr>
        <w:t xml:space="preserve"> level.</w:t>
      </w:r>
    </w:p>
    <w:p w:rsidR="00000000" w:rsidRDefault="00E52F77">
      <w:pPr>
        <w:pStyle w:val="a3"/>
        <w:spacing w:before="0" w:beforeAutospacing="0" w:after="0" w:afterAutospacing="0"/>
        <w:divId w:val="1638215511"/>
        <w:rPr>
          <w:sz w:val="20"/>
          <w:szCs w:val="20"/>
        </w:rPr>
      </w:pPr>
      <w:r>
        <w:rPr>
          <w:sz w:val="20"/>
          <w:szCs w:val="20"/>
        </w:rPr>
        <w:t>​</w:t>
      </w:r>
    </w:p>
    <w:p w:rsidR="00000000" w:rsidRDefault="00E52F77">
      <w:pPr>
        <w:pStyle w:val="a3"/>
        <w:spacing w:before="0" w:beforeAutospacing="0" w:after="0" w:afterAutospacing="0"/>
        <w:divId w:val="1638215511"/>
        <w:rPr>
          <w:sz w:val="20"/>
          <w:szCs w:val="20"/>
        </w:rPr>
      </w:pPr>
      <w:r>
        <w:rPr>
          <w:b/>
          <w:bCs/>
          <w:i/>
          <w:iCs/>
          <w:sz w:val="20"/>
          <w:szCs w:val="20"/>
        </w:rPr>
        <w:t>Limitations on the Effectiveness of Controls</w:t>
      </w:r>
    </w:p>
    <w:p w:rsidR="00000000" w:rsidRDefault="00E52F77">
      <w:pPr>
        <w:pStyle w:val="a3"/>
        <w:spacing w:before="0" w:beforeAutospacing="0" w:after="0" w:afterAutospacing="0"/>
        <w:divId w:val="1638215511"/>
        <w:rPr>
          <w:sz w:val="20"/>
          <w:szCs w:val="20"/>
        </w:rPr>
      </w:pPr>
      <w:r>
        <w:rPr>
          <w:sz w:val="10"/>
          <w:szCs w:val="10"/>
        </w:rPr>
        <w:t>​</w:t>
      </w:r>
    </w:p>
    <w:p w:rsidR="00000000" w:rsidRDefault="00E52F77">
      <w:pPr>
        <w:pStyle w:val="a3"/>
        <w:spacing w:before="0" w:beforeAutospacing="0" w:after="0" w:afterAutospacing="0"/>
        <w:ind w:firstLine="720"/>
        <w:divId w:val="1638215511"/>
        <w:rPr>
          <w:sz w:val="20"/>
          <w:szCs w:val="20"/>
        </w:rPr>
      </w:pPr>
      <w:r>
        <w:rPr>
          <w:sz w:val="20"/>
          <w:szCs w:val="20"/>
        </w:rPr>
        <w:t>Our management, including our Chief Executive Officer and Chief Financial Officer, does not expect that our disclosure controls and procedures or our internal control over financial reporting will pr</w:t>
      </w:r>
      <w:r>
        <w:rPr>
          <w:sz w:val="20"/>
          <w:szCs w:val="20"/>
        </w:rPr>
        <w:t>event all error and all fraud. A control system, no matter how well conceived and operated, can provide only reasonable, not absolute, assurance that the objectives of the control system are met. Further, the design of a control system must reflect the fac</w:t>
      </w:r>
      <w:r>
        <w:rPr>
          <w:sz w:val="20"/>
          <w:szCs w:val="20"/>
        </w:rPr>
        <w:t xml:space="preserve">t that there are resource constraints, and the benefit of controls must be considered relative to their costs. Because of the inherent limitations in all control systems, no evaluation of controls can provide absolute assurance that all control issues and </w:t>
      </w:r>
      <w:r>
        <w:rPr>
          <w:sz w:val="20"/>
          <w:szCs w:val="20"/>
        </w:rPr>
        <w:t>instances of fraud, if any, within Theravance Biopharma have been detected. Also, projections of any evaluation of effectiveness to future periods are subject to the risk that controls may become inadequate because of changes in conditions, or that the deg</w:t>
      </w:r>
      <w:r>
        <w:rPr>
          <w:sz w:val="20"/>
          <w:szCs w:val="20"/>
        </w:rPr>
        <w:t>ree of compliance with the policies or procedures may deteriorate.</w:t>
      </w:r>
    </w:p>
    <w:p w:rsidR="00000000" w:rsidRDefault="00E52F77">
      <w:pPr>
        <w:pStyle w:val="a3"/>
        <w:spacing w:before="0" w:beforeAutospacing="0" w:after="0" w:afterAutospacing="0"/>
        <w:divId w:val="1638215511"/>
        <w:rPr>
          <w:sz w:val="20"/>
          <w:szCs w:val="20"/>
        </w:rPr>
      </w:pPr>
      <w:r>
        <w:rPr>
          <w:sz w:val="20"/>
          <w:szCs w:val="20"/>
        </w:rPr>
        <w:t>​</w:t>
      </w:r>
    </w:p>
    <w:p w:rsidR="00000000" w:rsidRDefault="00E52F77">
      <w:pPr>
        <w:pStyle w:val="a3"/>
        <w:spacing w:before="0" w:beforeAutospacing="0" w:after="0" w:afterAutospacing="0"/>
        <w:divId w:val="1638215511"/>
        <w:rPr>
          <w:sz w:val="20"/>
          <w:szCs w:val="20"/>
        </w:rPr>
      </w:pPr>
      <w:r>
        <w:rPr>
          <w:b/>
          <w:bCs/>
          <w:i/>
          <w:iCs/>
          <w:sz w:val="20"/>
          <w:szCs w:val="20"/>
        </w:rPr>
        <w:t>Changes in Internal Control over Financial Reporting</w:t>
      </w:r>
    </w:p>
    <w:p w:rsidR="00000000" w:rsidRDefault="00E52F77">
      <w:pPr>
        <w:pStyle w:val="a3"/>
        <w:spacing w:before="0" w:beforeAutospacing="0" w:after="0" w:afterAutospacing="0"/>
        <w:divId w:val="1638215511"/>
        <w:rPr>
          <w:sz w:val="20"/>
          <w:szCs w:val="20"/>
        </w:rPr>
      </w:pPr>
      <w:r>
        <w:rPr>
          <w:sz w:val="10"/>
          <w:szCs w:val="10"/>
        </w:rPr>
        <w:t>​</w:t>
      </w:r>
    </w:p>
    <w:p w:rsidR="00000000" w:rsidRDefault="00E52F77">
      <w:pPr>
        <w:pStyle w:val="a3"/>
        <w:spacing w:before="0" w:beforeAutospacing="0" w:after="240" w:afterAutospacing="0"/>
        <w:ind w:firstLine="720"/>
        <w:divId w:val="1638215511"/>
        <w:rPr>
          <w:sz w:val="20"/>
          <w:szCs w:val="20"/>
        </w:rPr>
      </w:pPr>
      <w:r>
        <w:rPr>
          <w:sz w:val="20"/>
          <w:szCs w:val="20"/>
        </w:rPr>
        <w:t>There was no change in our internal control over financial reporting (as defined in Rule 13a-15(f) of the Exchange Act) identified i</w:t>
      </w:r>
      <w:r>
        <w:rPr>
          <w:sz w:val="20"/>
          <w:szCs w:val="20"/>
        </w:rPr>
        <w:t>n connection with the evaluation required by paragraph (d) of Rule 13a-15 of the Exchange Act, which occurred during the second quarter of the year ending December 31, 2021 which has materially affected, or is reasonably likely to materially affect, our in</w:t>
      </w:r>
      <w:r>
        <w:rPr>
          <w:sz w:val="20"/>
          <w:szCs w:val="20"/>
        </w:rPr>
        <w:t>ternal control over financial reporting.</w:t>
      </w:r>
    </w:p>
    <w:p w:rsidR="00000000" w:rsidRDefault="00E52F77">
      <w:pPr>
        <w:pStyle w:val="a3"/>
        <w:spacing w:before="0" w:beforeAutospacing="0" w:after="0" w:afterAutospacing="0"/>
        <w:divId w:val="1638215511"/>
        <w:rPr>
          <w:sz w:val="20"/>
          <w:szCs w:val="20"/>
        </w:rPr>
      </w:pPr>
      <w:r>
        <w:rPr>
          <w:b/>
          <w:bCs/>
          <w:sz w:val="20"/>
          <w:szCs w:val="20"/>
        </w:rPr>
        <w:t>PART II.  OTHER INFORMATION</w:t>
      </w:r>
    </w:p>
    <w:p w:rsidR="00000000" w:rsidRDefault="00E52F77">
      <w:pPr>
        <w:pStyle w:val="a3"/>
        <w:spacing w:before="0" w:beforeAutospacing="0" w:after="0" w:afterAutospacing="0"/>
        <w:divId w:val="1638215511"/>
        <w:rPr>
          <w:sz w:val="20"/>
          <w:szCs w:val="20"/>
        </w:rPr>
      </w:pPr>
      <w:r>
        <w:rPr>
          <w:sz w:val="20"/>
          <w:szCs w:val="20"/>
        </w:rPr>
        <w:t>​</w:t>
      </w:r>
    </w:p>
    <w:p w:rsidR="00000000" w:rsidRDefault="00E52F77">
      <w:pPr>
        <w:pStyle w:val="a3"/>
        <w:spacing w:before="0" w:beforeAutospacing="0" w:after="0" w:afterAutospacing="0"/>
        <w:divId w:val="1638215511"/>
        <w:rPr>
          <w:sz w:val="20"/>
          <w:szCs w:val="20"/>
        </w:rPr>
      </w:pPr>
      <w:r>
        <w:rPr>
          <w:b/>
          <w:bCs/>
          <w:sz w:val="20"/>
          <w:szCs w:val="20"/>
        </w:rPr>
        <w:t xml:space="preserve">ITEM 1.   LEGAL PROCEEDINGS </w:t>
      </w:r>
    </w:p>
    <w:p w:rsidR="00000000" w:rsidRDefault="00E52F77">
      <w:pPr>
        <w:pStyle w:val="a3"/>
        <w:spacing w:before="0" w:beforeAutospacing="0" w:after="0" w:afterAutospacing="0"/>
        <w:divId w:val="1638215511"/>
        <w:rPr>
          <w:sz w:val="20"/>
          <w:szCs w:val="20"/>
        </w:rPr>
      </w:pPr>
      <w:r>
        <w:rPr>
          <w:sz w:val="20"/>
          <w:szCs w:val="20"/>
        </w:rPr>
        <w:t>​</w:t>
      </w:r>
    </w:p>
    <w:p w:rsidR="00000000" w:rsidRDefault="00E52F77">
      <w:pPr>
        <w:pStyle w:val="a3"/>
        <w:spacing w:before="0" w:beforeAutospacing="0" w:after="0" w:afterAutospacing="0"/>
        <w:ind w:firstLine="720"/>
        <w:divId w:val="1638215511"/>
        <w:rPr>
          <w:sz w:val="20"/>
          <w:szCs w:val="20"/>
        </w:rPr>
      </w:pPr>
      <w:r>
        <w:rPr>
          <w:sz w:val="20"/>
          <w:szCs w:val="20"/>
        </w:rPr>
        <w:t>On June 10, 2020, we disclosed in a Form 8-K that we had formally objected to TRC and Innoviva, as the manager of TRC, regarding their proposed plan to use TRELEGY royalties to invest in certain privately-held companies, funds that would otherwise be avail</w:t>
      </w:r>
      <w:r>
        <w:rPr>
          <w:sz w:val="20"/>
          <w:szCs w:val="20"/>
        </w:rPr>
        <w:t xml:space="preserve">able for distribution to us under the terms of the TRC LLC Agreement. In this regard, we initiated an arbitration proceeding in October 2020 against Innoviva and TRC, challenging the authority of Innoviva and TRC to pursue such a business plan rather than </w:t>
      </w:r>
      <w:r>
        <w:rPr>
          <w:sz w:val="20"/>
          <w:szCs w:val="20"/>
        </w:rPr>
        <w:t>distribute such funds to us in a manner that we believe is consistent with the TRC LLC Agreement and our 85% economic interest in TRC. The arbitration hearing was held during the week of February 16, 2021, with post-hearing briefing and arguments taking pl</w:t>
      </w:r>
      <w:r>
        <w:rPr>
          <w:sz w:val="20"/>
          <w:szCs w:val="20"/>
        </w:rPr>
        <w:t>ace over the following few weeks. </w:t>
      </w:r>
    </w:p>
    <w:p w:rsidR="00000000" w:rsidRDefault="00E52F77">
      <w:pPr>
        <w:pStyle w:val="a3"/>
        <w:spacing w:before="0" w:beforeAutospacing="0" w:after="0" w:afterAutospacing="0"/>
        <w:ind w:firstLine="720"/>
        <w:divId w:val="1638215511"/>
        <w:rPr>
          <w:sz w:val="20"/>
          <w:szCs w:val="20"/>
        </w:rPr>
      </w:pPr>
      <w:r>
        <w:rPr>
          <w:sz w:val="20"/>
          <w:szCs w:val="20"/>
        </w:rPr>
        <w:t>​</w:t>
      </w:r>
    </w:p>
    <w:p w:rsidR="00000000" w:rsidRDefault="00E52F77">
      <w:pPr>
        <w:pStyle w:val="a3"/>
        <w:spacing w:before="0" w:beforeAutospacing="0" w:after="0" w:afterAutospacing="0"/>
        <w:ind w:firstLine="720"/>
        <w:divId w:val="1638215511"/>
        <w:rPr>
          <w:sz w:val="20"/>
          <w:szCs w:val="20"/>
        </w:rPr>
      </w:pPr>
      <w:r>
        <w:rPr>
          <w:sz w:val="20"/>
          <w:szCs w:val="20"/>
        </w:rPr>
        <w:t>On March 30, 2021, the arbitrator ruled that, at its current levels of investment, Innoviva and TRC had not breached the LLC Agreement. The arbitrator further ruled that Innoviva and TRC had not breached the implied cov</w:t>
      </w:r>
      <w:r>
        <w:rPr>
          <w:sz w:val="20"/>
          <w:szCs w:val="20"/>
        </w:rPr>
        <w:t>enant of good faith and fair dealing; or their fiduciary duties. The arbitrator also ruled that (i) Innoviva is entitled to indemnification from TRC for all legal fees and expenses reasonably incurred in the arbitration and (ii) we are entitled to indemnif</w:t>
      </w:r>
      <w:r>
        <w:rPr>
          <w:sz w:val="20"/>
          <w:szCs w:val="20"/>
        </w:rPr>
        <w:t xml:space="preserve">ication from TRC for legal fees and costs incurred in defending an action Innoviva brought against us in the Delaware Court of Chancery. The </w:t>
      </w:r>
    </w:p>
    <w:p w:rsidR="00000000" w:rsidRDefault="00E52F77">
      <w:pPr>
        <w:pStyle w:val="a3"/>
        <w:spacing w:before="360" w:beforeAutospacing="0" w:after="0" w:afterAutospacing="0"/>
        <w:jc w:val="center"/>
        <w:divId w:val="576595153"/>
        <w:rPr>
          <w:sz w:val="20"/>
          <w:szCs w:val="20"/>
        </w:rPr>
      </w:pPr>
      <w:r>
        <w:rPr>
          <w:sz w:val="20"/>
          <w:szCs w:val="20"/>
        </w:rPr>
        <w:t>34</w:t>
      </w:r>
    </w:p>
    <w:p w:rsidR="00000000" w:rsidRDefault="00E52F77">
      <w:pPr>
        <w:pStyle w:val="a3"/>
        <w:spacing w:before="0" w:beforeAutospacing="0" w:after="600" w:afterAutospacing="0"/>
        <w:divId w:val="805783958"/>
        <w:rPr>
          <w:sz w:val="20"/>
          <w:szCs w:val="20"/>
        </w:rPr>
      </w:pPr>
      <w:hyperlink w:anchor="TOC" w:history="1">
        <w:r>
          <w:rPr>
            <w:rStyle w:val="a4"/>
            <w:sz w:val="20"/>
            <w:szCs w:val="20"/>
          </w:rPr>
          <w:t>Table of Contents</w:t>
        </w:r>
      </w:hyperlink>
    </w:p>
    <w:p w:rsidR="00000000" w:rsidRDefault="00E52F77">
      <w:pPr>
        <w:pStyle w:val="a3"/>
        <w:spacing w:before="0" w:beforeAutospacing="0" w:after="0" w:afterAutospacing="0"/>
        <w:divId w:val="1204639905"/>
        <w:rPr>
          <w:sz w:val="20"/>
          <w:szCs w:val="20"/>
        </w:rPr>
      </w:pPr>
      <w:r>
        <w:rPr>
          <w:sz w:val="20"/>
          <w:szCs w:val="20"/>
        </w:rPr>
        <w:t>arbitrator noted in the ruling that although we failed to show that</w:t>
      </w:r>
      <w:r>
        <w:rPr>
          <w:sz w:val="20"/>
          <w:szCs w:val="20"/>
        </w:rPr>
        <w:t xml:space="preserve"> Innoviva’s investment activities, at the current levels of investment, have or will have a material and adverse effect on our economic interest in TRC, this does not mean that any future investments or actions will not require our consent. The arbitrator </w:t>
      </w:r>
      <w:r>
        <w:rPr>
          <w:sz w:val="20"/>
          <w:szCs w:val="20"/>
        </w:rPr>
        <w:t>noted in the ruling that we may, in the future, have a consent right over the decision to continue this investment strategy or whether to make a particular investment if, for example, Innoviva develops a track record of poor investments, over allocates roy</w:t>
      </w:r>
      <w:r>
        <w:rPr>
          <w:sz w:val="20"/>
          <w:szCs w:val="20"/>
        </w:rPr>
        <w:t>alties to these investment activities, or fails to distribute sufficient investment returns, and such facts cause the strategy or investment to have a material adverse effect on our economic interest in TRC.</w:t>
      </w:r>
    </w:p>
    <w:p w:rsidR="00000000" w:rsidRDefault="00E52F77">
      <w:pPr>
        <w:pStyle w:val="a3"/>
        <w:spacing w:before="0" w:beforeAutospacing="0" w:after="0" w:afterAutospacing="0"/>
        <w:ind w:firstLine="720"/>
        <w:divId w:val="1204639905"/>
        <w:rPr>
          <w:sz w:val="20"/>
          <w:szCs w:val="20"/>
        </w:rPr>
      </w:pPr>
      <w:r>
        <w:rPr>
          <w:sz w:val="20"/>
          <w:szCs w:val="20"/>
        </w:rPr>
        <w:t>​</w:t>
      </w:r>
    </w:p>
    <w:p w:rsidR="00000000" w:rsidRDefault="00E52F77">
      <w:pPr>
        <w:pStyle w:val="a3"/>
        <w:spacing w:before="0" w:beforeAutospacing="0" w:after="0" w:afterAutospacing="0"/>
        <w:ind w:firstLine="720"/>
        <w:divId w:val="1204639905"/>
        <w:rPr>
          <w:sz w:val="20"/>
          <w:szCs w:val="20"/>
        </w:rPr>
      </w:pPr>
      <w:r>
        <w:rPr>
          <w:sz w:val="20"/>
          <w:szCs w:val="20"/>
          <w:shd w:val="clear" w:color="auto" w:fill="FFFFFF"/>
        </w:rPr>
        <w:t>On April 15, 2021, Innoviva filed a Verified C</w:t>
      </w:r>
      <w:r>
        <w:rPr>
          <w:sz w:val="20"/>
          <w:szCs w:val="20"/>
          <w:shd w:val="clear" w:color="auto" w:fill="FFFFFF"/>
        </w:rPr>
        <w:t>omplaint in the Court of Chancery to confirm the arbitration award. On May 19, 2021, we submitted an answer to the Verified Complaint and filed a Motion to Modify the Arbitral Award. The parties filed a proposed stipulation to remand the motion to the arbi</w:t>
      </w:r>
      <w:r>
        <w:rPr>
          <w:sz w:val="20"/>
          <w:szCs w:val="20"/>
          <w:shd w:val="clear" w:color="auto" w:fill="FFFFFF"/>
        </w:rPr>
        <w:t>trator for his consideration, which the Court of Chancery granted. The parties submitted briefs to the arbitrator. The arbitrator’s decision on the motion is pending.</w:t>
      </w:r>
    </w:p>
    <w:p w:rsidR="00000000" w:rsidRDefault="00E52F77">
      <w:pPr>
        <w:pStyle w:val="a3"/>
        <w:spacing w:before="0" w:beforeAutospacing="0" w:after="0" w:afterAutospacing="0"/>
        <w:divId w:val="1204639905"/>
        <w:rPr>
          <w:sz w:val="20"/>
          <w:szCs w:val="20"/>
        </w:rPr>
      </w:pPr>
      <w:r>
        <w:rPr>
          <w:sz w:val="20"/>
          <w:szCs w:val="20"/>
        </w:rPr>
        <w:t>​</w:t>
      </w:r>
    </w:p>
    <w:p w:rsidR="00000000" w:rsidRDefault="00E52F77">
      <w:pPr>
        <w:pStyle w:val="a3"/>
        <w:spacing w:before="0" w:beforeAutospacing="0" w:after="0" w:afterAutospacing="0"/>
        <w:divId w:val="1204639905"/>
        <w:rPr>
          <w:sz w:val="20"/>
          <w:szCs w:val="20"/>
        </w:rPr>
      </w:pPr>
      <w:r>
        <w:rPr>
          <w:b/>
          <w:bCs/>
          <w:sz w:val="20"/>
          <w:szCs w:val="20"/>
        </w:rPr>
        <w:t>ITEM 1A.  RISK FACTORS</w:t>
      </w:r>
    </w:p>
    <w:p w:rsidR="00000000" w:rsidRDefault="00E52F77">
      <w:pPr>
        <w:pStyle w:val="a3"/>
        <w:spacing w:before="0" w:beforeAutospacing="0" w:after="0" w:afterAutospacing="0"/>
        <w:divId w:val="1204639905"/>
        <w:rPr>
          <w:sz w:val="20"/>
          <w:szCs w:val="20"/>
        </w:rPr>
      </w:pPr>
      <w:r>
        <w:rPr>
          <w:sz w:val="20"/>
          <w:szCs w:val="20"/>
        </w:rPr>
        <w:t>​</w:t>
      </w:r>
    </w:p>
    <w:p w:rsidR="00000000" w:rsidRDefault="00E52F77">
      <w:pPr>
        <w:pStyle w:val="a3"/>
        <w:spacing w:before="0" w:beforeAutospacing="0" w:after="0" w:afterAutospacing="0"/>
        <w:ind w:firstLine="720"/>
        <w:divId w:val="1204639905"/>
        <w:rPr>
          <w:sz w:val="20"/>
          <w:szCs w:val="20"/>
        </w:rPr>
      </w:pPr>
      <w:r>
        <w:rPr>
          <w:sz w:val="20"/>
          <w:szCs w:val="20"/>
        </w:rPr>
        <w:t>The risks described below and elsewhere in this Quarterly Repo</w:t>
      </w:r>
      <w:r>
        <w:rPr>
          <w:sz w:val="20"/>
          <w:szCs w:val="20"/>
        </w:rPr>
        <w:t>rt on Form 10-Q and in our other public filings with the SEC are not the only risks facing the Company. Additional risks and uncertainties not currently known to us or that we currently deem to be immaterial also may materially adversely affect our busines</w:t>
      </w:r>
      <w:r>
        <w:rPr>
          <w:sz w:val="20"/>
          <w:szCs w:val="20"/>
        </w:rPr>
        <w:t>s, financial condition and/or operating results.</w:t>
      </w:r>
    </w:p>
    <w:p w:rsidR="00000000" w:rsidRDefault="00E52F77">
      <w:pPr>
        <w:pStyle w:val="a3"/>
        <w:spacing w:before="0" w:beforeAutospacing="0" w:after="0" w:afterAutospacing="0"/>
        <w:ind w:firstLine="720"/>
        <w:divId w:val="1204639905"/>
        <w:rPr>
          <w:sz w:val="20"/>
          <w:szCs w:val="20"/>
        </w:rPr>
      </w:pPr>
      <w:r>
        <w:rPr>
          <w:sz w:val="20"/>
          <w:szCs w:val="20"/>
        </w:rPr>
        <w:t>​</w:t>
      </w:r>
    </w:p>
    <w:p w:rsidR="00000000" w:rsidRDefault="00E52F77">
      <w:pPr>
        <w:pStyle w:val="a3"/>
        <w:spacing w:before="0" w:beforeAutospacing="0" w:after="0" w:afterAutospacing="0"/>
        <w:ind w:firstLine="720"/>
        <w:divId w:val="1204639905"/>
        <w:rPr>
          <w:sz w:val="20"/>
          <w:szCs w:val="20"/>
        </w:rPr>
      </w:pPr>
      <w:r>
        <w:rPr>
          <w:b/>
          <w:bCs/>
          <w:sz w:val="20"/>
          <w:szCs w:val="20"/>
        </w:rPr>
        <w:t xml:space="preserve">Summary of Principal Risks Associated with Theravance Biopharma’s Business </w:t>
      </w:r>
    </w:p>
    <w:p w:rsidR="00000000" w:rsidRDefault="00E52F77">
      <w:pPr>
        <w:pStyle w:val="a3"/>
        <w:spacing w:before="0" w:beforeAutospacing="0" w:after="0" w:afterAutospacing="0"/>
        <w:ind w:firstLine="720"/>
        <w:divId w:val="120463990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1204639905"/>
        </w:trPr>
        <w:tc>
          <w:tcPr>
            <w:tcW w:w="1080" w:type="dxa"/>
            <w:vAlign w:val="center"/>
            <w:hideMark/>
          </w:tcPr>
          <w:p w:rsidR="00000000" w:rsidRDefault="00E52F77">
            <w:pPr>
              <w:rPr>
                <w:sz w:val="20"/>
                <w:szCs w:val="20"/>
              </w:rPr>
            </w:pPr>
          </w:p>
        </w:tc>
        <w:tc>
          <w:tcPr>
            <w:tcW w:w="360" w:type="dxa"/>
            <w:noWrap/>
            <w:tcMar>
              <w:top w:w="0" w:type="dxa"/>
              <w:left w:w="0" w:type="dxa"/>
              <w:bottom w:w="0" w:type="dxa"/>
              <w:right w:w="0" w:type="dxa"/>
            </w:tcMar>
            <w:hideMark/>
          </w:tcPr>
          <w:p w:rsidR="00000000" w:rsidRDefault="00E52F77">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52F77">
            <w:pPr>
              <w:spacing w:after="200"/>
              <w:rPr>
                <w:rFonts w:eastAsia="Times New Roman"/>
                <w:sz w:val="20"/>
                <w:szCs w:val="20"/>
              </w:rPr>
            </w:pPr>
            <w:r>
              <w:rPr>
                <w:rFonts w:eastAsia="Times New Roman"/>
                <w:sz w:val="20"/>
                <w:szCs w:val="20"/>
              </w:rPr>
              <w:t>We anticipate that we will incur losses for the foreseeable future. We may never achieve or sustain profitability;</w:t>
            </w:r>
          </w:p>
        </w:tc>
      </w:tr>
    </w:tbl>
    <w:p w:rsidR="00000000" w:rsidRDefault="00E52F77">
      <w:pPr>
        <w:divId w:val="120463990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1204639905"/>
        </w:trPr>
        <w:tc>
          <w:tcPr>
            <w:tcW w:w="1080" w:type="dxa"/>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52F77">
            <w:pPr>
              <w:spacing w:after="200"/>
              <w:rPr>
                <w:rFonts w:eastAsia="Times New Roman"/>
                <w:sz w:val="20"/>
                <w:szCs w:val="20"/>
              </w:rPr>
            </w:pPr>
            <w:r>
              <w:rPr>
                <w:rFonts w:eastAsia="Times New Roman"/>
                <w:sz w:val="20"/>
                <w:szCs w:val="20"/>
              </w:rPr>
              <w:t>We face risks related to health epidemics, including the recent COVID-19 pandemic, which could have a material adverse effect on our business and results of operations;</w:t>
            </w:r>
          </w:p>
        </w:tc>
      </w:tr>
    </w:tbl>
    <w:p w:rsidR="00000000" w:rsidRDefault="00E52F77">
      <w:pPr>
        <w:divId w:val="120463990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1204639905"/>
        </w:trPr>
        <w:tc>
          <w:tcPr>
            <w:tcW w:w="1080" w:type="dxa"/>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52F77">
            <w:pPr>
              <w:spacing w:after="200"/>
              <w:rPr>
                <w:rFonts w:eastAsia="Times New Roman"/>
                <w:sz w:val="20"/>
                <w:szCs w:val="20"/>
              </w:rPr>
            </w:pPr>
            <w:r>
              <w:rPr>
                <w:rFonts w:eastAsia="Times New Roman"/>
                <w:sz w:val="20"/>
                <w:szCs w:val="20"/>
              </w:rPr>
              <w:t xml:space="preserve">Any delay in commencing or completing clinical studies for product candidates and </w:t>
            </w:r>
            <w:r>
              <w:rPr>
                <w:rFonts w:eastAsia="Times New Roman"/>
                <w:sz w:val="20"/>
                <w:szCs w:val="20"/>
              </w:rPr>
              <w:t>any adverse results from clinical or non-clinical studies or regulatory obstacles product candidates may face, would harm our business and the price of our securities could fall;</w:t>
            </w:r>
          </w:p>
        </w:tc>
      </w:tr>
    </w:tbl>
    <w:p w:rsidR="00000000" w:rsidRDefault="00E52F77">
      <w:pPr>
        <w:divId w:val="120463990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1204639905"/>
        </w:trPr>
        <w:tc>
          <w:tcPr>
            <w:tcW w:w="1080" w:type="dxa"/>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52F77">
            <w:pPr>
              <w:spacing w:after="200"/>
              <w:rPr>
                <w:rFonts w:eastAsia="Times New Roman"/>
                <w:sz w:val="20"/>
                <w:szCs w:val="20"/>
              </w:rPr>
            </w:pPr>
            <w:r>
              <w:rPr>
                <w:rFonts w:eastAsia="Times New Roman"/>
                <w:sz w:val="20"/>
                <w:szCs w:val="20"/>
              </w:rPr>
              <w:t>If our product candidates are not approved by regulatory authorities, in</w:t>
            </w:r>
            <w:r>
              <w:rPr>
                <w:rFonts w:eastAsia="Times New Roman"/>
                <w:sz w:val="20"/>
                <w:szCs w:val="20"/>
              </w:rPr>
              <w:t>cluding the FDA, we will be unable to commercialize them;</w:t>
            </w:r>
          </w:p>
        </w:tc>
      </w:tr>
    </w:tbl>
    <w:p w:rsidR="00000000" w:rsidRDefault="00E52F77">
      <w:pPr>
        <w:divId w:val="120463990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1204639905"/>
        </w:trPr>
        <w:tc>
          <w:tcPr>
            <w:tcW w:w="1080" w:type="dxa"/>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52F77">
            <w:pPr>
              <w:spacing w:after="200"/>
              <w:rPr>
                <w:rFonts w:eastAsia="Times New Roman"/>
                <w:sz w:val="20"/>
                <w:szCs w:val="20"/>
              </w:rPr>
            </w:pPr>
            <w:r>
              <w:rPr>
                <w:rFonts w:eastAsia="Times New Roman"/>
                <w:sz w:val="20"/>
                <w:szCs w:val="20"/>
              </w:rPr>
              <w:t xml:space="preserve">If additional capital is not available, we may have to curtail operations or we could be forced to share our rights to commercialize our product candidates with third parties on terms that may </w:t>
            </w:r>
            <w:r>
              <w:rPr>
                <w:rFonts w:eastAsia="Times New Roman"/>
                <w:sz w:val="20"/>
                <w:szCs w:val="20"/>
              </w:rPr>
              <w:t>not be favorable to us;</w:t>
            </w:r>
          </w:p>
        </w:tc>
      </w:tr>
    </w:tbl>
    <w:p w:rsidR="00000000" w:rsidRDefault="00E52F77">
      <w:pPr>
        <w:divId w:val="120463990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1204639905"/>
        </w:trPr>
        <w:tc>
          <w:tcPr>
            <w:tcW w:w="1080" w:type="dxa"/>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52F77">
            <w:pPr>
              <w:spacing w:after="200"/>
              <w:rPr>
                <w:rFonts w:eastAsia="Times New Roman"/>
                <w:sz w:val="20"/>
                <w:szCs w:val="20"/>
              </w:rPr>
            </w:pPr>
            <w:r>
              <w:rPr>
                <w:rFonts w:eastAsia="Times New Roman"/>
                <w:sz w:val="20"/>
                <w:szCs w:val="20"/>
              </w:rPr>
              <w:t>If our partners do not satisfy their obligations under our agreements with them, or if they terminate our partnerships with them, we may not be able to develop or commercialize our partnered product candidates as planned;</w:t>
            </w:r>
          </w:p>
        </w:tc>
      </w:tr>
    </w:tbl>
    <w:p w:rsidR="00000000" w:rsidRDefault="00E52F77">
      <w:pPr>
        <w:divId w:val="120463990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1204639905"/>
        </w:trPr>
        <w:tc>
          <w:tcPr>
            <w:tcW w:w="1080" w:type="dxa"/>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52F77">
            <w:pPr>
              <w:spacing w:after="200"/>
              <w:rPr>
                <w:rFonts w:eastAsia="Times New Roman"/>
                <w:sz w:val="20"/>
                <w:szCs w:val="20"/>
              </w:rPr>
            </w:pPr>
            <w:r>
              <w:rPr>
                <w:rFonts w:eastAsia="Times New Roman"/>
                <w:sz w:val="20"/>
                <w:szCs w:val="20"/>
              </w:rPr>
              <w:t>We do not control TRC and, in particular, have no control over the GSK Partnered Respiratory Programs, including TRELEGY, or access to non-public information regarding the development of the GSK Partnered Respiratory Programs;</w:t>
            </w:r>
          </w:p>
        </w:tc>
      </w:tr>
    </w:tbl>
    <w:p w:rsidR="00000000" w:rsidRDefault="00E52F77">
      <w:pPr>
        <w:divId w:val="120463990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1204639905"/>
        </w:trPr>
        <w:tc>
          <w:tcPr>
            <w:tcW w:w="1080" w:type="dxa"/>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52F77">
            <w:pPr>
              <w:spacing w:after="200"/>
              <w:rPr>
                <w:rFonts w:eastAsia="Times New Roman"/>
                <w:sz w:val="20"/>
                <w:szCs w:val="20"/>
              </w:rPr>
            </w:pPr>
            <w:r>
              <w:rPr>
                <w:rFonts w:eastAsia="Times New Roman"/>
                <w:sz w:val="20"/>
                <w:szCs w:val="20"/>
              </w:rPr>
              <w:t>If there are any advers</w:t>
            </w:r>
            <w:r>
              <w:rPr>
                <w:rFonts w:eastAsia="Times New Roman"/>
                <w:sz w:val="20"/>
                <w:szCs w:val="20"/>
              </w:rPr>
              <w:t>e developments or perceived adverse developments with respect to the GSK-Partnered Respiratory Programs in which we have a substantial economic interest, including TRELEGY, our business will be harmed, and the price of our securities could fall; and</w:t>
            </w:r>
          </w:p>
        </w:tc>
      </w:tr>
    </w:tbl>
    <w:p w:rsidR="00000000" w:rsidRDefault="00E52F77">
      <w:pPr>
        <w:divId w:val="120463990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1204639905"/>
        </w:trPr>
        <w:tc>
          <w:tcPr>
            <w:tcW w:w="1080" w:type="dxa"/>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52F77">
            <w:pPr>
              <w:rPr>
                <w:rFonts w:eastAsia="Times New Roman"/>
                <w:sz w:val="20"/>
                <w:szCs w:val="20"/>
              </w:rPr>
            </w:pPr>
            <w:r>
              <w:rPr>
                <w:rFonts w:eastAsia="Times New Roman"/>
                <w:sz w:val="20"/>
                <w:szCs w:val="20"/>
              </w:rPr>
              <w:t>O</w:t>
            </w:r>
            <w:r>
              <w:rPr>
                <w:rFonts w:eastAsia="Times New Roman"/>
                <w:sz w:val="20"/>
                <w:szCs w:val="20"/>
              </w:rPr>
              <w:t>ur ongoing drug discovery and development efforts might not generate additional successful product candidates or approvable drugs.</w:t>
            </w:r>
          </w:p>
        </w:tc>
      </w:tr>
    </w:tbl>
    <w:p w:rsidR="00000000" w:rsidRDefault="00E52F77">
      <w:pPr>
        <w:pStyle w:val="a3"/>
        <w:spacing w:before="360" w:beforeAutospacing="0" w:after="0" w:afterAutospacing="0"/>
        <w:jc w:val="center"/>
        <w:divId w:val="712313502"/>
        <w:rPr>
          <w:sz w:val="20"/>
          <w:szCs w:val="20"/>
        </w:rPr>
      </w:pPr>
      <w:r>
        <w:rPr>
          <w:sz w:val="20"/>
          <w:szCs w:val="20"/>
        </w:rPr>
        <w:t>35</w:t>
      </w:r>
    </w:p>
    <w:p w:rsidR="00000000" w:rsidRDefault="00E52F77">
      <w:pPr>
        <w:pStyle w:val="a3"/>
        <w:spacing w:before="0" w:beforeAutospacing="0" w:after="600" w:afterAutospacing="0"/>
        <w:divId w:val="308021450"/>
        <w:rPr>
          <w:sz w:val="20"/>
          <w:szCs w:val="20"/>
        </w:rPr>
      </w:pPr>
      <w:hyperlink w:anchor="TOC" w:history="1">
        <w:r>
          <w:rPr>
            <w:rStyle w:val="a4"/>
            <w:sz w:val="20"/>
            <w:szCs w:val="20"/>
          </w:rPr>
          <w:t>Table of Contents</w:t>
        </w:r>
      </w:hyperlink>
    </w:p>
    <w:p w:rsidR="00000000" w:rsidRDefault="00E52F77">
      <w:pPr>
        <w:pStyle w:val="a3"/>
        <w:spacing w:before="0" w:beforeAutospacing="0" w:after="0" w:afterAutospacing="0"/>
        <w:divId w:val="1922329997"/>
        <w:rPr>
          <w:sz w:val="20"/>
          <w:szCs w:val="20"/>
        </w:rPr>
      </w:pPr>
      <w:r>
        <w:rPr>
          <w:sz w:val="20"/>
          <w:szCs w:val="20"/>
        </w:rPr>
        <w:t>​</w:t>
      </w:r>
    </w:p>
    <w:p w:rsidR="00000000" w:rsidRDefault="00E52F77">
      <w:pPr>
        <w:pStyle w:val="a3"/>
        <w:spacing w:before="0" w:beforeAutospacing="0" w:after="0" w:afterAutospacing="0"/>
        <w:divId w:val="1922329997"/>
        <w:rPr>
          <w:sz w:val="20"/>
          <w:szCs w:val="20"/>
        </w:rPr>
      </w:pPr>
      <w:r>
        <w:rPr>
          <w:b/>
          <w:bCs/>
          <w:sz w:val="20"/>
          <w:szCs w:val="20"/>
        </w:rPr>
        <w:t xml:space="preserve">RISKS RELATING TO THE COMPANY </w:t>
      </w:r>
    </w:p>
    <w:p w:rsidR="00000000" w:rsidRDefault="00E52F77">
      <w:pPr>
        <w:pStyle w:val="a3"/>
        <w:spacing w:before="0" w:beforeAutospacing="0" w:after="0" w:afterAutospacing="0"/>
        <w:divId w:val="1922329997"/>
        <w:rPr>
          <w:sz w:val="20"/>
          <w:szCs w:val="20"/>
        </w:rPr>
      </w:pPr>
      <w:r>
        <w:rPr>
          <w:b/>
          <w:bCs/>
          <w:sz w:val="20"/>
          <w:szCs w:val="20"/>
        </w:rPr>
        <w:t>​</w:t>
      </w:r>
    </w:p>
    <w:p w:rsidR="00000000" w:rsidRDefault="00E52F77">
      <w:pPr>
        <w:pStyle w:val="a3"/>
        <w:spacing w:before="0" w:beforeAutospacing="0" w:after="120" w:afterAutospacing="0"/>
        <w:divId w:val="1922329997"/>
        <w:rPr>
          <w:sz w:val="20"/>
          <w:szCs w:val="20"/>
        </w:rPr>
      </w:pPr>
      <w:r>
        <w:rPr>
          <w:b/>
          <w:bCs/>
          <w:i/>
          <w:iCs/>
          <w:sz w:val="20"/>
          <w:szCs w:val="20"/>
        </w:rPr>
        <w:t>We anticipate that we will incur losses for the foreseeable future. We may never achieve or sustain profitability.</w:t>
      </w:r>
    </w:p>
    <w:p w:rsidR="00000000" w:rsidRDefault="00E52F77">
      <w:pPr>
        <w:pStyle w:val="a3"/>
        <w:spacing w:before="0" w:beforeAutospacing="0" w:after="200" w:afterAutospacing="0"/>
        <w:ind w:firstLine="720"/>
        <w:divId w:val="1922329997"/>
        <w:rPr>
          <w:sz w:val="20"/>
          <w:szCs w:val="20"/>
        </w:rPr>
      </w:pPr>
      <w:r>
        <w:rPr>
          <w:sz w:val="20"/>
          <w:szCs w:val="20"/>
        </w:rPr>
        <w:t>First as part of Innoviva, Inc., and since June 2, 2014 as Theravance Biopharma, we have been engaged in discovery and development of compoun</w:t>
      </w:r>
      <w:r>
        <w:rPr>
          <w:sz w:val="20"/>
          <w:szCs w:val="20"/>
        </w:rPr>
        <w:t>ds and product candidates since mid-1997. We may never generate sufficient revenue from the sale of medicines, royalties on sales by our partners or from our interest in Theravance Respiratory Company, LLC (“TRC”) to achieve profitability. During the three</w:t>
      </w:r>
      <w:r>
        <w:rPr>
          <w:sz w:val="20"/>
          <w:szCs w:val="20"/>
        </w:rPr>
        <w:t xml:space="preserve"> and six months ended June 30, 2021 and years ended December 31, 2020 and 2019, we recognized net losses of $52.4 million, $132.1 million, $278.0 million and $236.5 million, respectively, which are reflected in the shareholders’ deficit on our condensed co</w:t>
      </w:r>
      <w:r>
        <w:rPr>
          <w:sz w:val="20"/>
          <w:szCs w:val="20"/>
        </w:rPr>
        <w:t>nsolidated balance sheets. We reflect cumulative net loss incurred after June 2, 2014, the effective date of our spin-off from Innoviva, Inc. (the “Spin-Off”), as accumulated deficit on our condensed consolidated balance sheets, which was $1.7 billion as o</w:t>
      </w:r>
      <w:r>
        <w:rPr>
          <w:sz w:val="20"/>
          <w:szCs w:val="20"/>
        </w:rPr>
        <w:t>f June 30, 2021. We expect to continue to incur net losses at least over the next several years as we continue our drug discovery and development efforts and incur significant preclinical and clinical development costs related to our current product candid</w:t>
      </w:r>
      <w:r>
        <w:rPr>
          <w:sz w:val="20"/>
          <w:szCs w:val="20"/>
        </w:rPr>
        <w:t>ates and commercialization and development costs relating to YUPELRI. In particular, to the extent we continue to advance our product candidates into and through additional clinical studies, we will incur substantial expenses. For example, we initiated a P</w:t>
      </w:r>
      <w:r>
        <w:rPr>
          <w:sz w:val="20"/>
          <w:szCs w:val="20"/>
        </w:rPr>
        <w:t>hase 2b/3 induction and maintenance study of izencitinib in ulcerative colitis, we initiated a Phase 2 induction study of izencitinib in Crohn’s disease, and we have progressed ampreloxetine (TD-9855) into a Phase 3 registrational program. The expenses ass</w:t>
      </w:r>
      <w:r>
        <w:rPr>
          <w:sz w:val="20"/>
          <w:szCs w:val="20"/>
        </w:rPr>
        <w:t>ociated with these clinical studies are substantial. While our YUPELRI operations were profitable on a brand basis for the second half of 2020, we will continue to incur costs and expenses associated with the commercialization of YUPELRI in the United Stat</w:t>
      </w:r>
      <w:r>
        <w:rPr>
          <w:sz w:val="20"/>
          <w:szCs w:val="20"/>
        </w:rPr>
        <w:t>es (“US”), including the maintenance of an independent sales and marketing organization with appropriate technical expertise, a medical affairs presence and consultant support, and post-marketing studies. Our commitment of resources to the continued develo</w:t>
      </w:r>
      <w:r>
        <w:rPr>
          <w:sz w:val="20"/>
          <w:szCs w:val="20"/>
        </w:rPr>
        <w:t>pment of our existing product candidates, our discovery programs, and YUPELRI will require significant additional funding. Our operating expenses also will increase if, among other things:</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22329997"/>
        </w:trPr>
        <w:tc>
          <w:tcPr>
            <w:tcW w:w="720" w:type="dxa"/>
            <w:vAlign w:val="center"/>
            <w:hideMark/>
          </w:tcPr>
          <w:p w:rsidR="00000000" w:rsidRDefault="00E52F77">
            <w:pPr>
              <w:rPr>
                <w:sz w:val="20"/>
                <w:szCs w:val="20"/>
              </w:rPr>
            </w:pPr>
          </w:p>
        </w:tc>
        <w:tc>
          <w:tcPr>
            <w:tcW w:w="360" w:type="dxa"/>
            <w:noWrap/>
            <w:tcMar>
              <w:top w:w="0" w:type="dxa"/>
              <w:left w:w="0" w:type="dxa"/>
              <w:bottom w:w="0" w:type="dxa"/>
              <w:right w:w="0" w:type="dxa"/>
            </w:tcMar>
            <w:hideMark/>
          </w:tcPr>
          <w:p w:rsidR="00000000" w:rsidRDefault="00E52F7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52F77">
            <w:pPr>
              <w:rPr>
                <w:rFonts w:eastAsia="Times New Roman"/>
                <w:sz w:val="20"/>
                <w:szCs w:val="20"/>
              </w:rPr>
            </w:pPr>
            <w:r>
              <w:rPr>
                <w:rFonts w:eastAsia="Times New Roman"/>
                <w:sz w:val="20"/>
                <w:szCs w:val="20"/>
              </w:rPr>
              <w:t>our earlier stage potential products move into later-stage clini</w:t>
            </w:r>
            <w:r>
              <w:rPr>
                <w:rFonts w:eastAsia="Times New Roman"/>
                <w:sz w:val="20"/>
                <w:szCs w:val="20"/>
              </w:rPr>
              <w:t>cal development, which is generally more expensive than early stage development;</w:t>
            </w:r>
          </w:p>
        </w:tc>
      </w:tr>
    </w:tbl>
    <w:p w:rsidR="00000000" w:rsidRDefault="00E52F77">
      <w:pPr>
        <w:divId w:val="192232999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298"/>
      </w:tblGrid>
      <w:tr w:rsidR="00000000">
        <w:trPr>
          <w:divId w:val="1922329997"/>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additional preclinical product candidates are selected for clinical development;</w:t>
            </w:r>
          </w:p>
        </w:tc>
      </w:tr>
    </w:tbl>
    <w:p w:rsidR="00000000" w:rsidRDefault="00E52F77">
      <w:pPr>
        <w:divId w:val="192232999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965"/>
      </w:tblGrid>
      <w:tr w:rsidR="00000000">
        <w:trPr>
          <w:divId w:val="1922329997"/>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we pursue clinical development of our potential or current products in new indicatio</w:t>
            </w:r>
            <w:r>
              <w:rPr>
                <w:sz w:val="20"/>
                <w:szCs w:val="20"/>
              </w:rPr>
              <w:t>ns;</w:t>
            </w:r>
          </w:p>
        </w:tc>
      </w:tr>
    </w:tbl>
    <w:p w:rsidR="00000000" w:rsidRDefault="00E52F77">
      <w:pPr>
        <w:divId w:val="192232999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22329997"/>
        </w:trPr>
        <w:tc>
          <w:tcPr>
            <w:tcW w:w="720" w:type="dxa"/>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52F77">
            <w:pPr>
              <w:spacing w:after="200"/>
              <w:rPr>
                <w:rFonts w:eastAsia="Times New Roman"/>
                <w:sz w:val="20"/>
                <w:szCs w:val="20"/>
              </w:rPr>
            </w:pPr>
            <w:r>
              <w:rPr>
                <w:rFonts w:eastAsia="Times New Roman"/>
                <w:sz w:val="20"/>
                <w:szCs w:val="20"/>
              </w:rPr>
              <w:t xml:space="preserve">our clinical trials become more complicated due to the COVID-19 pandemic or other similar external factors; </w:t>
            </w:r>
          </w:p>
        </w:tc>
      </w:tr>
    </w:tbl>
    <w:p w:rsidR="00000000" w:rsidRDefault="00E52F77">
      <w:pPr>
        <w:divId w:val="192232999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22329997"/>
        </w:trPr>
        <w:tc>
          <w:tcPr>
            <w:tcW w:w="720" w:type="dxa"/>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52F77">
            <w:pPr>
              <w:rPr>
                <w:rFonts w:eastAsia="Times New Roman"/>
                <w:sz w:val="20"/>
                <w:szCs w:val="20"/>
              </w:rPr>
            </w:pPr>
            <w:r>
              <w:rPr>
                <w:rFonts w:eastAsia="Times New Roman"/>
                <w:sz w:val="20"/>
                <w:szCs w:val="20"/>
              </w:rPr>
              <w:t>we increase the number of patents we are prosecuting or otherwise expend additional resources on patent prosecution or defense; or</w:t>
            </w:r>
          </w:p>
        </w:tc>
      </w:tr>
    </w:tbl>
    <w:p w:rsidR="00000000" w:rsidRDefault="00E52F77">
      <w:pPr>
        <w:divId w:val="192232999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22329997"/>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we acquire or in-license additional technologies, product candidates, products or businesses.</w:t>
            </w:r>
          </w:p>
        </w:tc>
      </w:tr>
    </w:tbl>
    <w:p w:rsidR="00000000" w:rsidRDefault="00E52F77">
      <w:pPr>
        <w:pStyle w:val="a3"/>
        <w:spacing w:before="0" w:beforeAutospacing="0" w:after="200" w:afterAutospacing="0"/>
        <w:ind w:firstLine="720"/>
        <w:divId w:val="1922329997"/>
        <w:rPr>
          <w:sz w:val="20"/>
          <w:szCs w:val="20"/>
        </w:rPr>
      </w:pPr>
      <w:r>
        <w:rPr>
          <w:sz w:val="20"/>
          <w:szCs w:val="20"/>
        </w:rPr>
        <w:t>While we are generating r</w:t>
      </w:r>
      <w:r>
        <w:rPr>
          <w:sz w:val="20"/>
          <w:szCs w:val="20"/>
        </w:rPr>
        <w:t>evenues from (i) sales of YUPELRI, (ii) our economic interest in royalties from net sales of TRELEGY paid to TRC (63.75% of which amounts are used to make payments on the Non-Recourse 2035 Notes), (iii) payments under collaboration agreements, and (iv) min</w:t>
      </w:r>
      <w:r>
        <w:rPr>
          <w:sz w:val="20"/>
          <w:szCs w:val="20"/>
        </w:rPr>
        <w:t xml:space="preserve">or royalties from the net sales of VIBATIV, we do not expect to generate significant revenues or become profitable in the near future. As a result of the COVID-19 pandemic (defined below), we could experience declines in revenues from these sources. Since </w:t>
      </w:r>
      <w:r>
        <w:rPr>
          <w:sz w:val="20"/>
          <w:szCs w:val="20"/>
        </w:rPr>
        <w:t xml:space="preserve">we or our collaborators or licensees may not successfully develop additional products, obtain required regulatory approvals, manufacture products at an acceptable cost or with appropriate quality, or successfully market and sell such products with desired </w:t>
      </w:r>
      <w:r>
        <w:rPr>
          <w:sz w:val="20"/>
          <w:szCs w:val="20"/>
        </w:rPr>
        <w:t>margins, our expenses will continue to exceed any revenues we may receive for the foreseeable future.</w:t>
      </w:r>
    </w:p>
    <w:p w:rsidR="00000000" w:rsidRDefault="00E52F77">
      <w:pPr>
        <w:pStyle w:val="a3"/>
        <w:spacing w:before="0" w:beforeAutospacing="0" w:after="0" w:afterAutospacing="0"/>
        <w:ind w:firstLine="720"/>
        <w:divId w:val="1922329997"/>
        <w:rPr>
          <w:sz w:val="20"/>
          <w:szCs w:val="20"/>
        </w:rPr>
      </w:pPr>
      <w:r>
        <w:rPr>
          <w:sz w:val="20"/>
          <w:szCs w:val="20"/>
        </w:rPr>
        <w:t>In the absence of substantial licensing payments, contingent payments or other revenues from third-party collaborators, royalties on sales of products lic</w:t>
      </w:r>
      <w:r>
        <w:rPr>
          <w:sz w:val="20"/>
          <w:szCs w:val="20"/>
        </w:rPr>
        <w:t>ensed under our intellectual property rights, future revenues from those product candidates in development that receive regulatory approval or other sources of revenues, we will continue to incur operating losses and will require additional capital to exec</w:t>
      </w:r>
      <w:r>
        <w:rPr>
          <w:sz w:val="20"/>
          <w:szCs w:val="20"/>
        </w:rPr>
        <w:t>ute our business strategy. The likelihood of reaching, and the time required to reach, and then to sustain, profitability are highly uncertain. As a result, we expect to continue to incur substantial losses for the foreseeable future. We are uncertain when</w:t>
      </w:r>
      <w:r>
        <w:rPr>
          <w:sz w:val="20"/>
          <w:szCs w:val="20"/>
        </w:rPr>
        <w:t xml:space="preserve"> or if we will ever be able to achieve or sustain profitability. Failure </w:t>
      </w:r>
    </w:p>
    <w:p w:rsidR="00000000" w:rsidRDefault="00E52F77">
      <w:pPr>
        <w:pStyle w:val="a3"/>
        <w:spacing w:before="360" w:beforeAutospacing="0" w:after="0" w:afterAutospacing="0"/>
        <w:jc w:val="center"/>
        <w:divId w:val="1879051525"/>
        <w:rPr>
          <w:sz w:val="20"/>
          <w:szCs w:val="20"/>
        </w:rPr>
      </w:pPr>
      <w:r>
        <w:rPr>
          <w:sz w:val="20"/>
          <w:szCs w:val="20"/>
        </w:rPr>
        <w:t>36</w:t>
      </w:r>
    </w:p>
    <w:p w:rsidR="00000000" w:rsidRDefault="00E52F77">
      <w:pPr>
        <w:pStyle w:val="a3"/>
        <w:spacing w:before="0" w:beforeAutospacing="0" w:after="600" w:afterAutospacing="0"/>
        <w:divId w:val="512181714"/>
        <w:rPr>
          <w:sz w:val="20"/>
          <w:szCs w:val="20"/>
        </w:rPr>
      </w:pPr>
      <w:hyperlink w:anchor="TOC" w:history="1">
        <w:r>
          <w:rPr>
            <w:rStyle w:val="a4"/>
            <w:sz w:val="20"/>
            <w:szCs w:val="20"/>
          </w:rPr>
          <w:t>Table of Contents</w:t>
        </w:r>
      </w:hyperlink>
    </w:p>
    <w:p w:rsidR="00000000" w:rsidRDefault="00E52F77">
      <w:pPr>
        <w:pStyle w:val="a3"/>
        <w:spacing w:before="0" w:beforeAutospacing="0" w:after="200" w:afterAutospacing="0"/>
        <w:divId w:val="505248939"/>
        <w:rPr>
          <w:sz w:val="20"/>
          <w:szCs w:val="20"/>
        </w:rPr>
      </w:pPr>
      <w:r>
        <w:rPr>
          <w:sz w:val="20"/>
          <w:szCs w:val="20"/>
        </w:rPr>
        <w:t>to become and remain profitable would adversely affect the price of our securities and our ability to raise capital and continue operations.</w:t>
      </w:r>
    </w:p>
    <w:p w:rsidR="00000000" w:rsidRDefault="00E52F77">
      <w:pPr>
        <w:pStyle w:val="a3"/>
        <w:spacing w:before="0" w:beforeAutospacing="0" w:after="120" w:afterAutospacing="0"/>
        <w:divId w:val="505248939"/>
        <w:rPr>
          <w:sz w:val="20"/>
          <w:szCs w:val="20"/>
        </w:rPr>
      </w:pPr>
      <w:r>
        <w:rPr>
          <w:b/>
          <w:bCs/>
          <w:i/>
          <w:iCs/>
          <w:sz w:val="20"/>
          <w:szCs w:val="20"/>
        </w:rPr>
        <w:t>We face risks related to health epidemics, including the recent COVID-19 pandemic, which could have a material adve</w:t>
      </w:r>
      <w:r>
        <w:rPr>
          <w:b/>
          <w:bCs/>
          <w:i/>
          <w:iCs/>
          <w:sz w:val="20"/>
          <w:szCs w:val="20"/>
        </w:rPr>
        <w:t>rse effect on our business and results of operations.</w:t>
      </w:r>
    </w:p>
    <w:p w:rsidR="00000000" w:rsidRDefault="00E52F77">
      <w:pPr>
        <w:pStyle w:val="a3"/>
        <w:spacing w:before="0" w:beforeAutospacing="0" w:after="200" w:afterAutospacing="0"/>
        <w:ind w:firstLine="720"/>
        <w:divId w:val="505248939"/>
        <w:rPr>
          <w:sz w:val="20"/>
          <w:szCs w:val="20"/>
        </w:rPr>
      </w:pPr>
      <w:r>
        <w:rPr>
          <w:sz w:val="20"/>
          <w:szCs w:val="20"/>
        </w:rPr>
        <w:t xml:space="preserve">Our business has been and will continue to be adversely affected by the recent widespread and contagious outbreak of respiratory illness caused by a novel strain of coronavirus, SARS-CoV-2, causing the </w:t>
      </w:r>
      <w:r>
        <w:rPr>
          <w:sz w:val="20"/>
          <w:szCs w:val="20"/>
        </w:rPr>
        <w:t>Coronavirus Disease 2019, also known as COVID-19 (the “COVID-19 pandemic”). Global health concerns relating to the COVID-19 pandemic have weighed on the macroeconomic environment, and the pandemic has significantly increased economic volatility and uncerta</w:t>
      </w:r>
      <w:r>
        <w:rPr>
          <w:sz w:val="20"/>
          <w:szCs w:val="20"/>
        </w:rPr>
        <w:t>inty.</w:t>
      </w:r>
    </w:p>
    <w:p w:rsidR="00000000" w:rsidRDefault="00E52F77">
      <w:pPr>
        <w:pStyle w:val="a3"/>
        <w:spacing w:before="0" w:beforeAutospacing="0" w:after="200" w:afterAutospacing="0"/>
        <w:ind w:firstLine="720"/>
        <w:divId w:val="505248939"/>
        <w:rPr>
          <w:sz w:val="20"/>
          <w:szCs w:val="20"/>
        </w:rPr>
      </w:pPr>
      <w:r>
        <w:rPr>
          <w:sz w:val="20"/>
          <w:szCs w:val="20"/>
        </w:rPr>
        <w:t>The pandemic resulted in government authorities implementing numerous measures to try to contain the virus, such as travel bans and restrictions, quarantines, shelter-in-place or stay-at-home orders, and business shutdowns. These measures have advers</w:t>
      </w:r>
      <w:r>
        <w:rPr>
          <w:sz w:val="20"/>
          <w:szCs w:val="20"/>
        </w:rPr>
        <w:t>ely impacted and may further impact our employees and operations and the operations of our customers, suppliers and business partners, and may negatively impact spending patterns, payment cycles and insurance coverage levels. In addition, certain aspects o</w:t>
      </w:r>
      <w:r>
        <w:rPr>
          <w:sz w:val="20"/>
          <w:szCs w:val="20"/>
        </w:rPr>
        <w:t>f our business, such as laboratory-based research, cannot be conducted remotely and other aspects of our business, like our hospital-based sales team, our field-based medical affairs team, and our support of sites in our clinical trials, cannot be accompli</w:t>
      </w:r>
      <w:r>
        <w:rPr>
          <w:sz w:val="20"/>
          <w:szCs w:val="20"/>
        </w:rPr>
        <w:t>shed as effectively or efficiently remotely. These measures by government authorities, as well as the precautions we will take in order to operate our business responsibly in light of the COVID-19 pandemic, may continue to remain in place for a significant</w:t>
      </w:r>
      <w:r>
        <w:rPr>
          <w:sz w:val="20"/>
          <w:szCs w:val="20"/>
        </w:rPr>
        <w:t xml:space="preserve"> period of time, and they are likely to continue to adversely affect our business and results of operations.</w:t>
      </w:r>
    </w:p>
    <w:p w:rsidR="00000000" w:rsidRDefault="00E52F77">
      <w:pPr>
        <w:pStyle w:val="a3"/>
        <w:spacing w:before="0" w:beforeAutospacing="0" w:after="200" w:afterAutospacing="0"/>
        <w:ind w:firstLine="720"/>
        <w:divId w:val="505248939"/>
        <w:rPr>
          <w:sz w:val="20"/>
          <w:szCs w:val="20"/>
        </w:rPr>
      </w:pPr>
      <w:r>
        <w:rPr>
          <w:sz w:val="20"/>
          <w:szCs w:val="20"/>
        </w:rPr>
        <w:t>In addition, we expect sales cycles, particularly for new customers, to continue to be impacted as a result of the COVID-19 pandemic, and we have o</w:t>
      </w:r>
      <w:r>
        <w:rPr>
          <w:sz w:val="20"/>
          <w:szCs w:val="20"/>
        </w:rPr>
        <w:t>bserved continued volatility in YUPELRI sales. Sales momentum has been affected by COVID-19 and may continue to be in the future. We market YUPELRI in the hospital setting, where healthcare workers are prioritizing the treatment of patients with or suspect</w:t>
      </w:r>
      <w:r>
        <w:rPr>
          <w:sz w:val="20"/>
          <w:szCs w:val="20"/>
        </w:rPr>
        <w:t>ed of COVID-19 disease. In mid-March 2020, we suspended in-person sales calls to accounts in response to the COVID-19 pandemic. In August 2020, we began reengaging with these customers in-person when certain criteria are met and remotely via telephone call</w:t>
      </w:r>
      <w:r>
        <w:rPr>
          <w:sz w:val="20"/>
          <w:szCs w:val="20"/>
        </w:rPr>
        <w:t>s, electronic mail, digital outreach or video conferencing as we seek to continue to support healthcare professionals and patient care. Customer orders or new patient use of YUPELRI may decline as a result of, among other things, a shift in our marketing e</w:t>
      </w:r>
      <w:r>
        <w:rPr>
          <w:sz w:val="20"/>
          <w:szCs w:val="20"/>
        </w:rPr>
        <w:t>fforts to more remote communication methods, increased workload of healthcare providers, and the impact of the Center for Disease Control interim guidelines for limiting the exposure of health care workers to the virus that causes COVID-19, in which drug n</w:t>
      </w:r>
      <w:r>
        <w:rPr>
          <w:sz w:val="20"/>
          <w:szCs w:val="20"/>
        </w:rPr>
        <w:t>ebulization in COVID-19 positive patients is listed as a high-risk procedure while present in the room for procedures when the healthcare providers’ eyes, nose, or mouth are not protected. We are preparing for continued volatility during 2021</w:t>
      </w:r>
      <w:r>
        <w:rPr>
          <w:color w:val="FF0000"/>
          <w:sz w:val="20"/>
          <w:szCs w:val="20"/>
        </w:rPr>
        <w:t xml:space="preserve"> </w:t>
      </w:r>
      <w:r>
        <w:rPr>
          <w:sz w:val="20"/>
          <w:szCs w:val="20"/>
        </w:rPr>
        <w:t>as disruption</w:t>
      </w:r>
      <w:r>
        <w:rPr>
          <w:sz w:val="20"/>
          <w:szCs w:val="20"/>
        </w:rPr>
        <w:t>s of day-to-day operations of hospitals and clinics may continue. In addition, while we do not currently anticipate any supply issues, the COVID-19 pandemic could impact our supply of YUPELRI in the future. At this stage, we are unable to predict with cert</w:t>
      </w:r>
      <w:r>
        <w:rPr>
          <w:sz w:val="20"/>
          <w:szCs w:val="20"/>
        </w:rPr>
        <w:t xml:space="preserve">ainty the ultimate disruptive impact of the COVID-19 pandemic on both YUPELRI and the rest of our business. </w:t>
      </w:r>
    </w:p>
    <w:p w:rsidR="00000000" w:rsidRDefault="00E52F77">
      <w:pPr>
        <w:pStyle w:val="a3"/>
        <w:spacing w:before="0" w:beforeAutospacing="0" w:after="200" w:afterAutospacing="0"/>
        <w:ind w:firstLine="720"/>
        <w:divId w:val="505248939"/>
        <w:rPr>
          <w:sz w:val="20"/>
          <w:szCs w:val="20"/>
        </w:rPr>
      </w:pPr>
      <w:r>
        <w:rPr>
          <w:sz w:val="20"/>
          <w:szCs w:val="20"/>
        </w:rPr>
        <w:t>In addition, the COVID-19 pandemic makes the conduct of clinical trials more challenging given the paramount importance of adequate safety monitori</w:t>
      </w:r>
      <w:r>
        <w:rPr>
          <w:sz w:val="20"/>
          <w:szCs w:val="20"/>
        </w:rPr>
        <w:t xml:space="preserve">ng, collection of data and distribution of study drug, all of which are traditionally achieved by in-person visits to our study sites. </w:t>
      </w:r>
      <w:r>
        <w:rPr>
          <w:sz w:val="20"/>
          <w:szCs w:val="20"/>
          <w:shd w:val="clear" w:color="auto" w:fill="FFFFFF"/>
        </w:rPr>
        <w:t xml:space="preserve">We expect challenges to continue to arise from </w:t>
      </w:r>
      <w:r>
        <w:rPr>
          <w:sz w:val="20"/>
          <w:szCs w:val="20"/>
        </w:rPr>
        <w:t>quarantines, shelter-in-place or stay-at-home orders</w:t>
      </w:r>
      <w:r>
        <w:rPr>
          <w:sz w:val="20"/>
          <w:szCs w:val="20"/>
          <w:shd w:val="clear" w:color="auto" w:fill="FFFFFF"/>
        </w:rPr>
        <w:t>, site closures, trave</w:t>
      </w:r>
      <w:r>
        <w:rPr>
          <w:sz w:val="20"/>
          <w:szCs w:val="20"/>
          <w:shd w:val="clear" w:color="auto" w:fill="FFFFFF"/>
        </w:rPr>
        <w:t>l limitations, potential interruptions to the supply chain for investigational products, other measures to help prevent the spread of COVID-19 or other considerations if site personnel or trial participants become infected with COVID-19. These challenges m</w:t>
      </w:r>
      <w:r>
        <w:rPr>
          <w:sz w:val="20"/>
          <w:szCs w:val="20"/>
          <w:shd w:val="clear" w:color="auto" w:fill="FFFFFF"/>
        </w:rPr>
        <w:t xml:space="preserve">ay lead to difficulties in meeting protocol-specified procedures. </w:t>
      </w:r>
      <w:r>
        <w:rPr>
          <w:sz w:val="20"/>
          <w:szCs w:val="20"/>
        </w:rPr>
        <w:t xml:space="preserve">In light of the COVID-19 pandemic, the Company implemented mitigation plans to help ensure patients in the clinical trials have continued access to drug supply and regular visits with their </w:t>
      </w:r>
      <w:r>
        <w:rPr>
          <w:sz w:val="20"/>
          <w:szCs w:val="20"/>
        </w:rPr>
        <w:t>physicians for study visits per trial protocols, but there is a risk that our trial data could be impacted if our efforts are insufficient. It is also possible that demand for products that we may pursue could be materially and adversely affected as a resu</w:t>
      </w:r>
      <w:r>
        <w:rPr>
          <w:sz w:val="20"/>
          <w:szCs w:val="20"/>
        </w:rPr>
        <w:t>lt of COVID-19 and any related economic impact. Furthermore, we cannot assure you that our publicly-announced initiatives addressing COVID-19 will result in commercially-viable products.</w:t>
      </w:r>
    </w:p>
    <w:p w:rsidR="00000000" w:rsidRDefault="00E52F77">
      <w:pPr>
        <w:pStyle w:val="a3"/>
        <w:spacing w:before="0" w:beforeAutospacing="0" w:after="0" w:afterAutospacing="0"/>
        <w:ind w:firstLine="720"/>
        <w:divId w:val="505248939"/>
        <w:rPr>
          <w:sz w:val="20"/>
          <w:szCs w:val="20"/>
        </w:rPr>
      </w:pPr>
      <w:r>
        <w:rPr>
          <w:sz w:val="20"/>
          <w:szCs w:val="20"/>
        </w:rPr>
        <w:t>The spread of COVID-19 has caused us to modify our business practices</w:t>
      </w:r>
      <w:r>
        <w:rPr>
          <w:sz w:val="20"/>
          <w:szCs w:val="20"/>
        </w:rPr>
        <w:t xml:space="preserve"> (including employee travel, mandating that all personnel other than key operations and lab personnel work from home, previous temporary closures of offices, and reduction of physical participation in commercial activities, meetings, events and conferences</w:t>
      </w:r>
      <w:r>
        <w:rPr>
          <w:sz w:val="20"/>
          <w:szCs w:val="20"/>
        </w:rPr>
        <w:t xml:space="preserve">), and we may take further actions as may be required by government authorities or that we determine are in the best interests of our employees, </w:t>
      </w:r>
    </w:p>
    <w:p w:rsidR="00000000" w:rsidRDefault="00E52F77">
      <w:pPr>
        <w:pStyle w:val="a3"/>
        <w:spacing w:before="360" w:beforeAutospacing="0" w:after="0" w:afterAutospacing="0"/>
        <w:jc w:val="center"/>
        <w:divId w:val="1609771091"/>
        <w:rPr>
          <w:sz w:val="20"/>
          <w:szCs w:val="20"/>
        </w:rPr>
      </w:pPr>
      <w:r>
        <w:rPr>
          <w:sz w:val="20"/>
          <w:szCs w:val="20"/>
        </w:rPr>
        <w:t>37</w:t>
      </w:r>
    </w:p>
    <w:p w:rsidR="00000000" w:rsidRDefault="00E52F77">
      <w:pPr>
        <w:pStyle w:val="a3"/>
        <w:spacing w:before="0" w:beforeAutospacing="0" w:after="600" w:afterAutospacing="0"/>
        <w:divId w:val="2089499767"/>
        <w:rPr>
          <w:sz w:val="20"/>
          <w:szCs w:val="20"/>
        </w:rPr>
      </w:pPr>
      <w:hyperlink w:anchor="TOC" w:history="1">
        <w:r>
          <w:rPr>
            <w:rStyle w:val="a4"/>
            <w:sz w:val="20"/>
            <w:szCs w:val="20"/>
          </w:rPr>
          <w:t>Table of Contents</w:t>
        </w:r>
      </w:hyperlink>
    </w:p>
    <w:p w:rsidR="00000000" w:rsidRDefault="00E52F77">
      <w:pPr>
        <w:pStyle w:val="a3"/>
        <w:spacing w:before="0" w:beforeAutospacing="0" w:after="200" w:afterAutospacing="0"/>
        <w:divId w:val="828061789"/>
        <w:rPr>
          <w:sz w:val="20"/>
          <w:szCs w:val="20"/>
        </w:rPr>
      </w:pPr>
      <w:r>
        <w:rPr>
          <w:sz w:val="20"/>
          <w:szCs w:val="20"/>
        </w:rPr>
        <w:t>customers and business partners. There is no certainty that suc</w:t>
      </w:r>
      <w:r>
        <w:rPr>
          <w:sz w:val="20"/>
          <w:szCs w:val="20"/>
        </w:rPr>
        <w:t>h actions will be sufficient to mitigate the risks posed by the virus or otherwise be satisfactory to government authorities. If significant portions of our workforce, and particularly our field-based teams and laboratory staff, are unable to work effectiv</w:t>
      </w:r>
      <w:r>
        <w:rPr>
          <w:sz w:val="20"/>
          <w:szCs w:val="20"/>
        </w:rPr>
        <w:t>ely, including due to illness, quarantines, social distancing, government actions or other restrictions in connection with the COVID-19 pandemic, our operations will be impacted. The COVID-19 pandemic could limit the ability of our customers, suppliers and</w:t>
      </w:r>
      <w:r>
        <w:rPr>
          <w:sz w:val="20"/>
          <w:szCs w:val="20"/>
        </w:rPr>
        <w:t xml:space="preserve"> business partners to perform under their contracts with us, including third-party payers’ ability to make timely payments to us during and following the pandemic. We may also experience a shortage of supplies and materials or a suspension of services from</w:t>
      </w:r>
      <w:r>
        <w:rPr>
          <w:sz w:val="20"/>
          <w:szCs w:val="20"/>
        </w:rPr>
        <w:t xml:space="preserve"> third parties. Additionally, while the potential economic impact brought by, and the duration of, the coronavirus pandemic is difficult to assess or predict, the impact of the coronavirus on the global financial markets may reduce our ability to access ca</w:t>
      </w:r>
      <w:r>
        <w:rPr>
          <w:sz w:val="20"/>
          <w:szCs w:val="20"/>
        </w:rPr>
        <w:t>pital, which could negatively impact our long-term liquidity. Even after the COVID-19 pandemic subsides, we may continue to experience an adverse impact to our business as a result of its global economic impact, including any recession that has occurred or</w:t>
      </w:r>
      <w:r>
        <w:rPr>
          <w:sz w:val="20"/>
          <w:szCs w:val="20"/>
        </w:rPr>
        <w:t xml:space="preserve"> may occur in the future.</w:t>
      </w:r>
    </w:p>
    <w:p w:rsidR="00000000" w:rsidRDefault="00E52F77">
      <w:pPr>
        <w:pStyle w:val="a3"/>
        <w:spacing w:before="0" w:beforeAutospacing="0" w:after="200" w:afterAutospacing="0"/>
        <w:ind w:firstLine="720"/>
        <w:divId w:val="828061789"/>
        <w:rPr>
          <w:sz w:val="20"/>
          <w:szCs w:val="20"/>
        </w:rPr>
      </w:pPr>
      <w:r>
        <w:rPr>
          <w:sz w:val="20"/>
          <w:szCs w:val="20"/>
        </w:rPr>
        <w:t xml:space="preserve">The extent to which the COVID-19 pandemic impacts our business, results of operations and financial condition will depend on future developments, which are highly uncertain and difficult to predict, including, but not limited to, </w:t>
      </w:r>
      <w:r>
        <w:rPr>
          <w:sz w:val="20"/>
          <w:szCs w:val="20"/>
        </w:rPr>
        <w:t>the duration and spread of the pandemic, its severity, the actions to contain the virus or address its impact, vaccine rollout, distribution and acceptance, and how quickly and to what extent normal economic and operating activities can resume. There are n</w:t>
      </w:r>
      <w:r>
        <w:rPr>
          <w:sz w:val="20"/>
          <w:szCs w:val="20"/>
        </w:rPr>
        <w:t xml:space="preserve">o comparable recent events which may provide guidance as to the effect of the spread of the COVID-19 pandemic, and, as a result, the ultimate impact of the COVID-19 pandemic or a similar health epidemic is highly uncertain and subject to change. We do not </w:t>
      </w:r>
      <w:r>
        <w:rPr>
          <w:sz w:val="20"/>
          <w:szCs w:val="20"/>
        </w:rPr>
        <w:t>yet know the full extent of COVID-19’s impact on our business, our operations, or the global economy as a whole. However, the effects are likely to continue to have a material adverse impact on our future results of operations.</w:t>
      </w:r>
    </w:p>
    <w:p w:rsidR="00000000" w:rsidRDefault="00E52F77">
      <w:pPr>
        <w:pStyle w:val="a3"/>
        <w:spacing w:before="0" w:beforeAutospacing="0" w:after="120" w:afterAutospacing="0"/>
        <w:divId w:val="828061789"/>
        <w:rPr>
          <w:sz w:val="20"/>
          <w:szCs w:val="20"/>
        </w:rPr>
      </w:pPr>
      <w:r>
        <w:rPr>
          <w:b/>
          <w:bCs/>
          <w:i/>
          <w:iCs/>
          <w:sz w:val="20"/>
          <w:szCs w:val="20"/>
        </w:rPr>
        <w:t>Any delay in commencing or c</w:t>
      </w:r>
      <w:r>
        <w:rPr>
          <w:b/>
          <w:bCs/>
          <w:i/>
          <w:iCs/>
          <w:sz w:val="20"/>
          <w:szCs w:val="20"/>
        </w:rPr>
        <w:t>ompleting clinical studies for product candidates and any adverse results from clinical or non-clinical studies or regulatory obstacles product candidates may face, would harm our business and the price of our securities could fall.</w:t>
      </w:r>
    </w:p>
    <w:p w:rsidR="00000000" w:rsidRDefault="00E52F77">
      <w:pPr>
        <w:pStyle w:val="a3"/>
        <w:spacing w:before="0" w:beforeAutospacing="0" w:after="200" w:afterAutospacing="0"/>
        <w:ind w:firstLine="720"/>
        <w:divId w:val="828061789"/>
        <w:rPr>
          <w:sz w:val="20"/>
          <w:szCs w:val="20"/>
        </w:rPr>
      </w:pPr>
      <w:r>
        <w:rPr>
          <w:sz w:val="20"/>
          <w:szCs w:val="20"/>
        </w:rPr>
        <w:t>Each of our product can</w:t>
      </w:r>
      <w:r>
        <w:rPr>
          <w:sz w:val="20"/>
          <w:szCs w:val="20"/>
        </w:rPr>
        <w:t>didates must undergo extensive non-clinical and clinical studies as a condition to regulatory approval. Non-clinical and clinical studies are expensive, take many years to complete and study results may lead to delays in further studies, new requirements f</w:t>
      </w:r>
      <w:r>
        <w:rPr>
          <w:sz w:val="20"/>
          <w:szCs w:val="20"/>
        </w:rPr>
        <w:t>or conducting future studies or decisions to terminate programs. The commencement and completion of clinical studies for our product candidates may be delayed and programs may be terminated due to many factors, including, but not limited to:</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288"/>
      </w:tblGrid>
      <w:tr w:rsidR="00000000">
        <w:trPr>
          <w:divId w:val="828061789"/>
        </w:trPr>
        <w:tc>
          <w:tcPr>
            <w:tcW w:w="720" w:type="dxa"/>
            <w:tcMar>
              <w:top w:w="0" w:type="dxa"/>
              <w:left w:w="0" w:type="dxa"/>
              <w:bottom w:w="0" w:type="dxa"/>
              <w:right w:w="0" w:type="dxa"/>
            </w:tcMar>
            <w:vAlign w:val="center"/>
            <w:hideMark/>
          </w:tcPr>
          <w:p w:rsidR="00000000" w:rsidRDefault="00E52F77">
            <w:pPr>
              <w:rPr>
                <w:sz w:val="20"/>
                <w:szCs w:val="20"/>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lack of eff</w:t>
            </w:r>
            <w:r>
              <w:rPr>
                <w:sz w:val="20"/>
                <w:szCs w:val="20"/>
              </w:rPr>
              <w:t>ectiveness of product candidates during clinical studies;</w:t>
            </w:r>
          </w:p>
        </w:tc>
      </w:tr>
    </w:tbl>
    <w:p w:rsidR="00000000" w:rsidRDefault="00E52F77">
      <w:pPr>
        <w:divId w:val="82806178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28061789"/>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adverse events, safety issues or side effects (or perceived adverse developments or results) relating to the product candidates or their formulation into medicines;</w:t>
            </w:r>
          </w:p>
        </w:tc>
      </w:tr>
    </w:tbl>
    <w:p w:rsidR="00000000" w:rsidRDefault="00E52F77">
      <w:pPr>
        <w:divId w:val="82806178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28061789"/>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inability to raise additional capital in sufficient amounts to continue our developmen</w:t>
            </w:r>
            <w:r>
              <w:rPr>
                <w:sz w:val="20"/>
                <w:szCs w:val="20"/>
              </w:rPr>
              <w:t>t programs, which are very expensive;</w:t>
            </w:r>
          </w:p>
        </w:tc>
      </w:tr>
    </w:tbl>
    <w:p w:rsidR="00000000" w:rsidRDefault="00E52F77">
      <w:pPr>
        <w:divId w:val="82806178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28061789"/>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inability to enter into partnering arrangements relating to the development and commercialization of our programs and product candidates or partner decisions not to maintain a partnership with us;</w:t>
            </w:r>
          </w:p>
        </w:tc>
      </w:tr>
    </w:tbl>
    <w:p w:rsidR="00000000" w:rsidRDefault="00E52F77">
      <w:pPr>
        <w:divId w:val="82806178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28061789"/>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delays in p</w:t>
            </w:r>
            <w:r>
              <w:rPr>
                <w:sz w:val="20"/>
                <w:szCs w:val="20"/>
              </w:rPr>
              <w:t>atient enrollment and variability in the number and types of patients available for clinical studies;</w:t>
            </w:r>
          </w:p>
        </w:tc>
      </w:tr>
    </w:tbl>
    <w:p w:rsidR="00000000" w:rsidRDefault="00E52F77">
      <w:pPr>
        <w:divId w:val="82806178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28061789"/>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the need to sequence clinical studies as opposed to conducting them concomitantly in order to conserve resources;</w:t>
            </w:r>
          </w:p>
        </w:tc>
      </w:tr>
    </w:tbl>
    <w:p w:rsidR="00000000" w:rsidRDefault="00E52F77">
      <w:pPr>
        <w:divId w:val="82806178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28061789"/>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our inability or the inability of our collaborators or licensees to manufacture or obtain from third parties materials sufficient for use</w:t>
            </w:r>
            <w:r>
              <w:rPr>
                <w:sz w:val="20"/>
                <w:szCs w:val="20"/>
              </w:rPr>
              <w:t xml:space="preserve"> in non-clinical and clinical studies;</w:t>
            </w:r>
          </w:p>
        </w:tc>
      </w:tr>
    </w:tbl>
    <w:p w:rsidR="00000000" w:rsidRDefault="00E52F77">
      <w:pPr>
        <w:divId w:val="82806178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28061789"/>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governmental or regulatory delays or suspensions of the conduct of the clinical trials and changes in regulatory requirements, policy and guidelines, including as a result of any class-based risks that emerge as an area of FDA or other regulatory agency fo</w:t>
            </w:r>
            <w:r>
              <w:rPr>
                <w:sz w:val="20"/>
                <w:szCs w:val="20"/>
              </w:rPr>
              <w:t>cus;</w:t>
            </w:r>
          </w:p>
        </w:tc>
      </w:tr>
    </w:tbl>
    <w:p w:rsidR="00000000" w:rsidRDefault="00E52F77">
      <w:pPr>
        <w:pStyle w:val="a3"/>
        <w:spacing w:before="360" w:beforeAutospacing="0" w:after="0" w:afterAutospacing="0"/>
        <w:jc w:val="center"/>
        <w:divId w:val="1893728483"/>
        <w:rPr>
          <w:sz w:val="20"/>
          <w:szCs w:val="20"/>
        </w:rPr>
      </w:pPr>
      <w:r>
        <w:rPr>
          <w:sz w:val="20"/>
          <w:szCs w:val="20"/>
        </w:rPr>
        <w:t>38</w:t>
      </w:r>
    </w:p>
    <w:p w:rsidR="00000000" w:rsidRDefault="00E52F77">
      <w:pPr>
        <w:pStyle w:val="a3"/>
        <w:spacing w:before="0" w:beforeAutospacing="0" w:after="600" w:afterAutospacing="0"/>
        <w:divId w:val="1770003719"/>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40243055"/>
        </w:trPr>
        <w:tc>
          <w:tcPr>
            <w:tcW w:w="720" w:type="dxa"/>
            <w:vAlign w:val="center"/>
            <w:hideMark/>
          </w:tcPr>
          <w:p w:rsidR="00000000" w:rsidRDefault="00E52F77">
            <w:pPr>
              <w:rPr>
                <w:sz w:val="20"/>
                <w:szCs w:val="20"/>
              </w:rPr>
            </w:pPr>
          </w:p>
        </w:tc>
        <w:tc>
          <w:tcPr>
            <w:tcW w:w="360" w:type="dxa"/>
            <w:noWrap/>
            <w:tcMar>
              <w:top w:w="0" w:type="dxa"/>
              <w:left w:w="0" w:type="dxa"/>
              <w:bottom w:w="0" w:type="dxa"/>
              <w:right w:w="0" w:type="dxa"/>
            </w:tcMar>
            <w:hideMark/>
          </w:tcPr>
          <w:p w:rsidR="00000000" w:rsidRDefault="00E52F77">
            <w:pPr>
              <w:rPr>
                <w:rFonts w:eastAsia="Times New Roman"/>
                <w:sz w:val="14"/>
                <w:szCs w:val="14"/>
              </w:rPr>
            </w:pPr>
            <w:r>
              <w:rPr>
                <w:rFonts w:eastAsia="Times New Roman"/>
                <w:sz w:val="14"/>
                <w:szCs w:val="14"/>
              </w:rPr>
              <w:t>●</w:t>
            </w:r>
          </w:p>
        </w:tc>
        <w:tc>
          <w:tcPr>
            <w:tcW w:w="0" w:type="auto"/>
            <w:tcMar>
              <w:top w:w="0" w:type="dxa"/>
              <w:left w:w="0" w:type="dxa"/>
              <w:bottom w:w="0" w:type="dxa"/>
              <w:right w:w="0" w:type="dxa"/>
            </w:tcMar>
            <w:vAlign w:val="center"/>
            <w:hideMark/>
          </w:tcPr>
          <w:p w:rsidR="00000000" w:rsidRDefault="00E52F77">
            <w:pPr>
              <w:rPr>
                <w:rFonts w:eastAsia="Times New Roman"/>
                <w:sz w:val="20"/>
                <w:szCs w:val="20"/>
              </w:rPr>
            </w:pPr>
            <w:r>
              <w:rPr>
                <w:rFonts w:eastAsia="Times New Roman"/>
                <w:sz w:val="20"/>
                <w:szCs w:val="20"/>
              </w:rPr>
              <w:t>challenges related to the COVID-19 pandemic, including with recruitment and/or progressing patients through studies;</w:t>
            </w:r>
          </w:p>
        </w:tc>
      </w:tr>
    </w:tbl>
    <w:p w:rsidR="00000000" w:rsidRDefault="00E52F77">
      <w:pPr>
        <w:divId w:val="84024305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981"/>
      </w:tblGrid>
      <w:tr w:rsidR="00000000">
        <w:trPr>
          <w:divId w:val="840243055"/>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failure of our partners to advance our product candidates through clinical development;</w:t>
            </w:r>
          </w:p>
        </w:tc>
      </w:tr>
    </w:tbl>
    <w:p w:rsidR="00000000" w:rsidRDefault="00E52F77">
      <w:pPr>
        <w:divId w:val="84024305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40243055"/>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difficulty in maintaining contact with patients after treatment, resulting in incomplete data;</w:t>
            </w:r>
          </w:p>
        </w:tc>
      </w:tr>
    </w:tbl>
    <w:p w:rsidR="00000000" w:rsidRDefault="00E52F77">
      <w:pPr>
        <w:divId w:val="84024305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40243055"/>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varying regulatory requirements or interpretations of data amon</w:t>
            </w:r>
            <w:r>
              <w:rPr>
                <w:sz w:val="20"/>
                <w:szCs w:val="20"/>
              </w:rPr>
              <w:t>g the FDA and foreign regulatory authorities; and</w:t>
            </w:r>
          </w:p>
        </w:tc>
      </w:tr>
    </w:tbl>
    <w:p w:rsidR="00000000" w:rsidRDefault="00E52F77">
      <w:pPr>
        <w:divId w:val="84024305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40243055"/>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a disturbance where we or our collaborative partners are enrolling patients in clinical trials, such as a pandemic, terrorist activities or war, political unrest or a natural disaster.</w:t>
            </w:r>
          </w:p>
        </w:tc>
      </w:tr>
    </w:tbl>
    <w:p w:rsidR="00000000" w:rsidRDefault="00E52F77">
      <w:pPr>
        <w:pStyle w:val="a3"/>
        <w:spacing w:before="0" w:beforeAutospacing="0" w:after="200" w:afterAutospacing="0"/>
        <w:ind w:firstLine="720"/>
        <w:divId w:val="840243055"/>
        <w:rPr>
          <w:sz w:val="20"/>
          <w:szCs w:val="20"/>
        </w:rPr>
      </w:pPr>
      <w:r>
        <w:rPr>
          <w:sz w:val="20"/>
          <w:szCs w:val="20"/>
        </w:rPr>
        <w:t>Any adverse dev</w:t>
      </w:r>
      <w:r>
        <w:rPr>
          <w:sz w:val="20"/>
          <w:szCs w:val="20"/>
        </w:rPr>
        <w:t>elopments or results or perceived adverse developments or results with respect to our clinical programs including, without limitation, any delays in development in our programs as we are currently experiencing due to the COVID-19 pandemic, any halting of d</w:t>
      </w:r>
      <w:r>
        <w:rPr>
          <w:sz w:val="20"/>
          <w:szCs w:val="20"/>
        </w:rPr>
        <w:t>evelopment in our programs, any difficulties or delays encountered with regard to the FDA or other third country regulatory authorities with respect to our programs, or any indication from clinical or non-clinical studies that the compounds in our programs</w:t>
      </w:r>
      <w:r>
        <w:rPr>
          <w:sz w:val="20"/>
          <w:szCs w:val="20"/>
        </w:rPr>
        <w:t xml:space="preserve"> are not safe or efficacious, could have a material adverse effect on our business and cause the price of our securities to fall.</w:t>
      </w:r>
    </w:p>
    <w:p w:rsidR="00000000" w:rsidRDefault="00E52F77">
      <w:pPr>
        <w:pStyle w:val="a3"/>
        <w:spacing w:before="0" w:beforeAutospacing="0" w:after="200" w:afterAutospacing="0"/>
        <w:ind w:firstLine="720"/>
        <w:divId w:val="840243055"/>
        <w:rPr>
          <w:sz w:val="20"/>
          <w:szCs w:val="20"/>
        </w:rPr>
      </w:pPr>
      <w:r>
        <w:rPr>
          <w:sz w:val="20"/>
          <w:szCs w:val="20"/>
        </w:rPr>
        <w:t>In July 2019, the FDA issued a Boxed Warning for a systemically active pan-JAK inhibitor, calling out an increased risk of pul</w:t>
      </w:r>
      <w:r>
        <w:rPr>
          <w:sz w:val="20"/>
          <w:szCs w:val="20"/>
        </w:rPr>
        <w:t xml:space="preserve">monary embolism and death following the results of a safety study in patients with rheumatoid arthritis. We are focused on developing pan-JAK inhibitors that are designed to remain organ-selective so that they do not become systemically active in order to </w:t>
      </w:r>
      <w:r>
        <w:rPr>
          <w:sz w:val="20"/>
          <w:szCs w:val="20"/>
        </w:rPr>
        <w:t>minimize the risk of side effects. It is unknown at this time what, if any, additional requirements the FDA may put in place with respect to the development of JAK inhibitors generally or what other future FDA actions may have on the prospects for JAK inhi</w:t>
      </w:r>
      <w:r>
        <w:rPr>
          <w:sz w:val="20"/>
          <w:szCs w:val="20"/>
        </w:rPr>
        <w:t>bitors. Delays or adverse developments or results or perceived adverse developments or results relating to JAK inhibitors could harm our business and could cause the price of our securities to fall. Examples of such adverse developments include, but are no</w:t>
      </w:r>
      <w:r>
        <w:rPr>
          <w:sz w:val="20"/>
          <w:szCs w:val="20"/>
        </w:rPr>
        <w:t>t limited to:</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40243055"/>
        </w:trPr>
        <w:tc>
          <w:tcPr>
            <w:tcW w:w="720" w:type="dxa"/>
            <w:tcMar>
              <w:top w:w="0" w:type="dxa"/>
              <w:left w:w="0" w:type="dxa"/>
              <w:bottom w:w="0" w:type="dxa"/>
              <w:right w:w="0" w:type="dxa"/>
            </w:tcMar>
            <w:vAlign w:val="center"/>
            <w:hideMark/>
          </w:tcPr>
          <w:p w:rsidR="00000000" w:rsidRDefault="00E52F77">
            <w:pPr>
              <w:rPr>
                <w:sz w:val="20"/>
                <w:szCs w:val="20"/>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the FDA and/or other regulatory authorities determining that additional non-clinical or clinical studies are required with respect to our JAK inhibitor programs;</w:t>
            </w:r>
          </w:p>
        </w:tc>
      </w:tr>
    </w:tbl>
    <w:p w:rsidR="00000000" w:rsidRDefault="00E52F77">
      <w:pPr>
        <w:divId w:val="84024305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40243055"/>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safety, efficacy or other concerns r</w:t>
            </w:r>
            <w:r>
              <w:rPr>
                <w:sz w:val="20"/>
                <w:szCs w:val="20"/>
              </w:rPr>
              <w:t>elating to our JAK inhibitor programs or JAK inhibitors under development or commercialized by other companies;</w:t>
            </w:r>
          </w:p>
        </w:tc>
      </w:tr>
    </w:tbl>
    <w:p w:rsidR="00000000" w:rsidRDefault="00E52F77">
      <w:pPr>
        <w:divId w:val="84024305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40243055"/>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the FDA determining that class-based warnings are required for JAK inhibitors generally; or</w:t>
            </w:r>
          </w:p>
        </w:tc>
      </w:tr>
    </w:tbl>
    <w:p w:rsidR="00000000" w:rsidRDefault="00E52F77">
      <w:pPr>
        <w:divId w:val="84024305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199"/>
      </w:tblGrid>
      <w:tr w:rsidR="00000000">
        <w:trPr>
          <w:divId w:val="840243055"/>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any change in FDA policy or guidance regar</w:t>
            </w:r>
            <w:r>
              <w:rPr>
                <w:sz w:val="20"/>
                <w:szCs w:val="20"/>
              </w:rPr>
              <w:t>ding JAK inhibitors.</w:t>
            </w:r>
          </w:p>
        </w:tc>
      </w:tr>
    </w:tbl>
    <w:p w:rsidR="00000000" w:rsidRDefault="00E52F77">
      <w:pPr>
        <w:pStyle w:val="a3"/>
        <w:spacing w:before="0" w:beforeAutospacing="0" w:after="120" w:afterAutospacing="0"/>
        <w:divId w:val="840243055"/>
        <w:rPr>
          <w:sz w:val="20"/>
          <w:szCs w:val="20"/>
        </w:rPr>
      </w:pPr>
      <w:r>
        <w:rPr>
          <w:b/>
          <w:bCs/>
          <w:i/>
          <w:iCs/>
          <w:sz w:val="20"/>
          <w:szCs w:val="20"/>
        </w:rPr>
        <w:t>If our product candidates are not approved by regulatory authorities, including the FDA, we will be unable to commercialize them.</w:t>
      </w:r>
    </w:p>
    <w:p w:rsidR="00000000" w:rsidRDefault="00E52F77">
      <w:pPr>
        <w:pStyle w:val="a3"/>
        <w:spacing w:before="0" w:beforeAutospacing="0" w:after="0" w:afterAutospacing="0"/>
        <w:ind w:firstLine="720"/>
        <w:divId w:val="840243055"/>
        <w:rPr>
          <w:sz w:val="20"/>
          <w:szCs w:val="20"/>
        </w:rPr>
      </w:pPr>
      <w:r>
        <w:rPr>
          <w:sz w:val="20"/>
          <w:szCs w:val="20"/>
        </w:rPr>
        <w:t>The FDA must approve any new medicine before it can be marketed and sold in the US. We will not obtain t</w:t>
      </w:r>
      <w:r>
        <w:rPr>
          <w:sz w:val="20"/>
          <w:szCs w:val="20"/>
        </w:rPr>
        <w:t>his approval for a product candidate unless and until the FDA approves an NDA. We, or our collaborative partners, must provide the FDA and similar foreign regulatory authorities with data from preclinical and clinical studies that demonstrate that our prod</w:t>
      </w:r>
      <w:r>
        <w:rPr>
          <w:sz w:val="20"/>
          <w:szCs w:val="20"/>
        </w:rPr>
        <w:t>uct candidates comply with the regulatory requirements for the quality of medicinal products and are safe and effective for a defined indication before they can be approved for commercial distribution. FDA or foreign regulatory authorities may disagree wit</w:t>
      </w:r>
      <w:r>
        <w:rPr>
          <w:sz w:val="20"/>
          <w:szCs w:val="20"/>
        </w:rPr>
        <w:t>h our trial design and our interpretation of data from preclinical studies and clinical trials. The processes by which regulatory approvals are obtained from the FDA and foreign regulatory authorities to market and sell a new product are complex, require a</w:t>
      </w:r>
      <w:r>
        <w:rPr>
          <w:sz w:val="20"/>
          <w:szCs w:val="20"/>
        </w:rPr>
        <w:t xml:space="preserve"> number of years, depend upon the type, complexity and novelty of the product candidate and involve the expenditure of substantial resources for research, development and testing. The FDA has substantial discretion in the drug approval process and may requ</w:t>
      </w:r>
      <w:r>
        <w:rPr>
          <w:sz w:val="20"/>
          <w:szCs w:val="20"/>
        </w:rPr>
        <w:t>ire us to conduct additional non-clinical and clinical testing or to perform post-marketing studies. Further, the implementation of new laws and regulations, and revisions to FDA clinical trial design guidance may lead to increased uncertainty regarding th</w:t>
      </w:r>
      <w:r>
        <w:rPr>
          <w:sz w:val="20"/>
          <w:szCs w:val="20"/>
        </w:rPr>
        <w:t>e approvability of new drugs. See the risk factor entitled “</w:t>
      </w:r>
      <w:r>
        <w:rPr>
          <w:i/>
          <w:iCs/>
          <w:sz w:val="20"/>
          <w:szCs w:val="20"/>
        </w:rPr>
        <w:t>Any delay in commencing or completing clinical studies for product candidates and any adverse results from clinical or non-clinical studies or regulatory obstacles product candidates may face, wou</w:t>
      </w:r>
      <w:r>
        <w:rPr>
          <w:i/>
          <w:iCs/>
          <w:sz w:val="20"/>
          <w:szCs w:val="20"/>
        </w:rPr>
        <w:t>ld harm our business and the price of our securities could fall</w:t>
      </w:r>
      <w:r>
        <w:rPr>
          <w:sz w:val="20"/>
          <w:szCs w:val="20"/>
        </w:rPr>
        <w:t xml:space="preserve">” above </w:t>
      </w:r>
    </w:p>
    <w:p w:rsidR="00000000" w:rsidRDefault="00E52F77">
      <w:pPr>
        <w:pStyle w:val="a3"/>
        <w:spacing w:before="360" w:beforeAutospacing="0" w:after="0" w:afterAutospacing="0"/>
        <w:jc w:val="center"/>
        <w:divId w:val="2042514608"/>
        <w:rPr>
          <w:sz w:val="20"/>
          <w:szCs w:val="20"/>
        </w:rPr>
      </w:pPr>
      <w:r>
        <w:rPr>
          <w:sz w:val="20"/>
          <w:szCs w:val="20"/>
        </w:rPr>
        <w:t>39</w:t>
      </w:r>
    </w:p>
    <w:p w:rsidR="00000000" w:rsidRDefault="00E52F77">
      <w:pPr>
        <w:pStyle w:val="a3"/>
        <w:spacing w:before="0" w:beforeAutospacing="0" w:after="600" w:afterAutospacing="0"/>
        <w:divId w:val="2008943653"/>
        <w:rPr>
          <w:sz w:val="20"/>
          <w:szCs w:val="20"/>
        </w:rPr>
      </w:pPr>
      <w:hyperlink w:anchor="TOC" w:history="1">
        <w:r>
          <w:rPr>
            <w:rStyle w:val="a4"/>
            <w:sz w:val="20"/>
            <w:szCs w:val="20"/>
          </w:rPr>
          <w:t>Table of Contents</w:t>
        </w:r>
      </w:hyperlink>
    </w:p>
    <w:p w:rsidR="00000000" w:rsidRDefault="00E52F77">
      <w:pPr>
        <w:pStyle w:val="a3"/>
        <w:spacing w:before="0" w:beforeAutospacing="0" w:after="200" w:afterAutospacing="0"/>
        <w:divId w:val="1201359016"/>
        <w:rPr>
          <w:sz w:val="20"/>
          <w:szCs w:val="20"/>
        </w:rPr>
      </w:pPr>
      <w:r>
        <w:rPr>
          <w:sz w:val="20"/>
          <w:szCs w:val="20"/>
        </w:rPr>
        <w:t>for additional information. The rapidly shifting environment surrounding the collective response to the COVID-19 pandemic has led to additional guidance from US and foreign regulatory agencies with respect to numerous matters regarding the conduct of clini</w:t>
      </w:r>
      <w:r>
        <w:rPr>
          <w:sz w:val="20"/>
          <w:szCs w:val="20"/>
        </w:rPr>
        <w:t>cal trials in general and the development of COVID-19 related therapies, which is subject to the risk of further change, misinterpretation or non-compliance due to the rapidly changing regulatory landscape. In addition, the FDA has additional standards for</w:t>
      </w:r>
      <w:r>
        <w:rPr>
          <w:sz w:val="20"/>
          <w:szCs w:val="20"/>
        </w:rPr>
        <w:t xml:space="preserve"> approval of new drugs, including recommended advisory committee meetings for certain new molecular entities, and formal risk evaluation and mitigation requirements at the FDA’s discretion. Even if we receive regulatory approval of a product, the approval </w:t>
      </w:r>
      <w:r>
        <w:rPr>
          <w:sz w:val="20"/>
          <w:szCs w:val="20"/>
        </w:rPr>
        <w:t>may limit the indicated uses for which the drug may be marketed or impose significant restrictions or limitations on the use and/or distribution of such product.</w:t>
      </w:r>
    </w:p>
    <w:p w:rsidR="00000000" w:rsidRDefault="00E52F77">
      <w:pPr>
        <w:pStyle w:val="a3"/>
        <w:spacing w:before="0" w:beforeAutospacing="0" w:after="200" w:afterAutospacing="0"/>
        <w:ind w:firstLine="720"/>
        <w:divId w:val="1201359016"/>
        <w:rPr>
          <w:sz w:val="20"/>
          <w:szCs w:val="20"/>
        </w:rPr>
      </w:pPr>
      <w:r>
        <w:rPr>
          <w:sz w:val="20"/>
          <w:szCs w:val="20"/>
        </w:rPr>
        <w:t>In addition, in order to market our medicines in foreign jurisdictions, we or our collaborativ</w:t>
      </w:r>
      <w:r>
        <w:rPr>
          <w:sz w:val="20"/>
          <w:szCs w:val="20"/>
        </w:rPr>
        <w:t xml:space="preserve">e partners must obtain separate regulatory approvals in each country. The approval procedure varies among countries and can involve additional testing, and the time required to obtain approval may differ from that required to obtain FDA approval. Approval </w:t>
      </w:r>
      <w:r>
        <w:rPr>
          <w:sz w:val="20"/>
          <w:szCs w:val="20"/>
        </w:rPr>
        <w:t>by the FDA does not ensure approval by regulatory authorities in other countries, and approval by one foreign regulatory authority does not ensure approval by regulatory authorities in other foreign countries or by the FDA. Conversely, failure to obtain ap</w:t>
      </w:r>
      <w:r>
        <w:rPr>
          <w:sz w:val="20"/>
          <w:szCs w:val="20"/>
        </w:rPr>
        <w:t>proval in one or more jurisdictions may make approval in other jurisdictions more difficult. These laws, regulations, additional requirements and changes in interpretation could cause non-approval or further delays in the FDA’s or other regulatory authorit</w:t>
      </w:r>
      <w:r>
        <w:rPr>
          <w:sz w:val="20"/>
          <w:szCs w:val="20"/>
        </w:rPr>
        <w:t>ies’ review and approval of our and our collaborative partner’s product candidates, which would materially harm our business and financial condition and could cause the price of our securities to fall.</w:t>
      </w:r>
    </w:p>
    <w:p w:rsidR="00000000" w:rsidRDefault="00E52F77">
      <w:pPr>
        <w:pStyle w:val="a3"/>
        <w:spacing w:before="0" w:beforeAutospacing="0" w:after="120" w:afterAutospacing="0"/>
        <w:divId w:val="1201359016"/>
        <w:rPr>
          <w:sz w:val="20"/>
          <w:szCs w:val="20"/>
        </w:rPr>
      </w:pPr>
      <w:r>
        <w:rPr>
          <w:b/>
          <w:bCs/>
          <w:i/>
          <w:iCs/>
          <w:sz w:val="20"/>
          <w:szCs w:val="20"/>
        </w:rPr>
        <w:t>If additional capital is not available, we may have to</w:t>
      </w:r>
      <w:r>
        <w:rPr>
          <w:b/>
          <w:bCs/>
          <w:i/>
          <w:iCs/>
          <w:sz w:val="20"/>
          <w:szCs w:val="20"/>
        </w:rPr>
        <w:t xml:space="preserve"> curtail operations or we could be forced to share our rights to commercialize our product candidates with third parties on terms that may not be favorable to us.</w:t>
      </w:r>
    </w:p>
    <w:p w:rsidR="00000000" w:rsidRDefault="00E52F77">
      <w:pPr>
        <w:pStyle w:val="a3"/>
        <w:spacing w:before="0" w:beforeAutospacing="0" w:after="200" w:afterAutospacing="0"/>
        <w:ind w:firstLine="720"/>
        <w:divId w:val="1201359016"/>
        <w:rPr>
          <w:sz w:val="20"/>
          <w:szCs w:val="20"/>
        </w:rPr>
      </w:pPr>
      <w:r>
        <w:rPr>
          <w:sz w:val="20"/>
          <w:szCs w:val="20"/>
        </w:rPr>
        <w:t>Based on our current operating plans and financial forecasts, we believe that our existing ca</w:t>
      </w:r>
      <w:r>
        <w:rPr>
          <w:sz w:val="20"/>
          <w:szCs w:val="20"/>
        </w:rPr>
        <w:t xml:space="preserve">sh, cash equivalents and marketable securities will be sufficient to meet our anticipated operating needs for at least the next twelve months. However, our current operating plans or financial forecasts occasionally change. For example, in August 2017, we </w:t>
      </w:r>
      <w:r>
        <w:rPr>
          <w:sz w:val="20"/>
          <w:szCs w:val="20"/>
        </w:rPr>
        <w:t xml:space="preserve">announced an increase in our anticipated operating loss for 2017, primarily driven by our decision to accelerate funding associated with the next phase of development of izencitinib in our JAK inhibitor program. If our current operating plans or financial </w:t>
      </w:r>
      <w:r>
        <w:rPr>
          <w:sz w:val="20"/>
          <w:szCs w:val="20"/>
        </w:rPr>
        <w:t>forecasts change, we may require or seek additional funding sooner in the form of public or private equity or equity-linked offerings, debt financings or additional collaborations and licensing arrangements.</w:t>
      </w:r>
    </w:p>
    <w:p w:rsidR="00000000" w:rsidRDefault="00E52F77">
      <w:pPr>
        <w:pStyle w:val="a3"/>
        <w:spacing w:before="0" w:beforeAutospacing="0" w:after="200" w:afterAutospacing="0"/>
        <w:ind w:firstLine="720"/>
        <w:divId w:val="1201359016"/>
        <w:rPr>
          <w:sz w:val="20"/>
          <w:szCs w:val="20"/>
        </w:rPr>
      </w:pPr>
      <w:r>
        <w:rPr>
          <w:sz w:val="20"/>
          <w:szCs w:val="20"/>
        </w:rPr>
        <w:t>We may need to raise additional capital in the f</w:t>
      </w:r>
      <w:r>
        <w:rPr>
          <w:sz w:val="20"/>
          <w:szCs w:val="20"/>
        </w:rPr>
        <w:t>uture to, among other things:</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421"/>
      </w:tblGrid>
      <w:tr w:rsidR="00000000">
        <w:trPr>
          <w:divId w:val="1201359016"/>
        </w:trPr>
        <w:tc>
          <w:tcPr>
            <w:tcW w:w="720" w:type="dxa"/>
            <w:tcMar>
              <w:top w:w="0" w:type="dxa"/>
              <w:left w:w="0" w:type="dxa"/>
              <w:bottom w:w="0" w:type="dxa"/>
              <w:right w:w="0" w:type="dxa"/>
            </w:tcMar>
            <w:vAlign w:val="center"/>
            <w:hideMark/>
          </w:tcPr>
          <w:p w:rsidR="00000000" w:rsidRDefault="00E52F77">
            <w:pPr>
              <w:rPr>
                <w:sz w:val="20"/>
                <w:szCs w:val="20"/>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fund our discovery efforts and research and development programs;</w:t>
            </w:r>
          </w:p>
        </w:tc>
      </w:tr>
    </w:tbl>
    <w:p w:rsidR="00000000" w:rsidRDefault="00E52F77">
      <w:pPr>
        <w:divId w:val="120135901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01359016"/>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fund our commercialization strategies for any approved products and to prepare for potential product approvals;</w:t>
            </w:r>
          </w:p>
        </w:tc>
      </w:tr>
    </w:tbl>
    <w:p w:rsidR="00000000" w:rsidRDefault="00E52F77">
      <w:pPr>
        <w:divId w:val="120135901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709"/>
      </w:tblGrid>
      <w:tr w:rsidR="00000000">
        <w:trPr>
          <w:divId w:val="1201359016"/>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support our independent sales and marketing organization and medical affairs team;</w:t>
            </w:r>
          </w:p>
        </w:tc>
      </w:tr>
    </w:tbl>
    <w:p w:rsidR="00000000" w:rsidRDefault="00E52F77">
      <w:pPr>
        <w:divId w:val="120135901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01359016"/>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support our additional investments in YUPELRI, including potential post-marketing clinical studies;</w:t>
            </w:r>
          </w:p>
        </w:tc>
      </w:tr>
    </w:tbl>
    <w:p w:rsidR="00000000" w:rsidRDefault="00E52F77">
      <w:pPr>
        <w:divId w:val="120135901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01359016"/>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progress any additional product candidates into later-stage dev</w:t>
            </w:r>
            <w:r>
              <w:rPr>
                <w:sz w:val="20"/>
                <w:szCs w:val="20"/>
              </w:rPr>
              <w:t>elopment without funding from a collaboration partner;</w:t>
            </w:r>
          </w:p>
        </w:tc>
      </w:tr>
    </w:tbl>
    <w:p w:rsidR="00000000" w:rsidRDefault="00E52F77">
      <w:pPr>
        <w:divId w:val="120135901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087"/>
      </w:tblGrid>
      <w:tr w:rsidR="00000000">
        <w:trPr>
          <w:divId w:val="1201359016"/>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progress mid-to-late stage product candidates into later-stage development, if warranted;</w:t>
            </w:r>
          </w:p>
        </w:tc>
      </w:tr>
    </w:tbl>
    <w:p w:rsidR="00000000" w:rsidRDefault="00E52F77">
      <w:pPr>
        <w:divId w:val="120135901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022"/>
      </w:tblGrid>
      <w:tr w:rsidR="00000000">
        <w:trPr>
          <w:divId w:val="1201359016"/>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respond to competitive pressures; and</w:t>
            </w:r>
          </w:p>
        </w:tc>
      </w:tr>
    </w:tbl>
    <w:p w:rsidR="00000000" w:rsidRDefault="00E52F77">
      <w:pPr>
        <w:divId w:val="120135901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4105"/>
      </w:tblGrid>
      <w:tr w:rsidR="00000000">
        <w:trPr>
          <w:divId w:val="1201359016"/>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acquire complementary businesses or technologies.</w:t>
            </w:r>
          </w:p>
        </w:tc>
      </w:tr>
    </w:tbl>
    <w:p w:rsidR="00000000" w:rsidRDefault="00E52F77">
      <w:pPr>
        <w:pStyle w:val="a3"/>
        <w:spacing w:before="0" w:beforeAutospacing="0" w:after="200" w:afterAutospacing="0"/>
        <w:ind w:firstLine="720"/>
        <w:divId w:val="1201359016"/>
        <w:rPr>
          <w:sz w:val="20"/>
          <w:szCs w:val="20"/>
        </w:rPr>
      </w:pPr>
      <w:r>
        <w:rPr>
          <w:sz w:val="20"/>
          <w:szCs w:val="20"/>
        </w:rPr>
        <w:t>Our future capital needs depend on many factors, including:</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01359016"/>
        </w:trPr>
        <w:tc>
          <w:tcPr>
            <w:tcW w:w="720" w:type="dxa"/>
            <w:tcMar>
              <w:top w:w="0" w:type="dxa"/>
              <w:left w:w="0" w:type="dxa"/>
              <w:bottom w:w="0" w:type="dxa"/>
              <w:right w:w="0" w:type="dxa"/>
            </w:tcMar>
            <w:vAlign w:val="center"/>
            <w:hideMark/>
          </w:tcPr>
          <w:p w:rsidR="00000000" w:rsidRDefault="00E52F77">
            <w:pPr>
              <w:rPr>
                <w:sz w:val="20"/>
                <w:szCs w:val="20"/>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the scope, duration and expenditures associated with our discovery efforts and research and development programs;</w:t>
            </w:r>
          </w:p>
        </w:tc>
      </w:tr>
    </w:tbl>
    <w:p w:rsidR="00000000" w:rsidRDefault="00E52F77">
      <w:pPr>
        <w:divId w:val="120135901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827"/>
      </w:tblGrid>
      <w:tr w:rsidR="00000000">
        <w:trPr>
          <w:divId w:val="1201359016"/>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continued scientific pr</w:t>
            </w:r>
            <w:r>
              <w:rPr>
                <w:sz w:val="20"/>
                <w:szCs w:val="20"/>
              </w:rPr>
              <w:t>ogress in these programs;</w:t>
            </w:r>
          </w:p>
        </w:tc>
      </w:tr>
    </w:tbl>
    <w:p w:rsidR="00000000" w:rsidRDefault="00E52F77">
      <w:pPr>
        <w:divId w:val="120135901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01359016"/>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the extent to which we encounter technical obstacles in our research and development programs;</w:t>
            </w:r>
          </w:p>
        </w:tc>
      </w:tr>
    </w:tbl>
    <w:p w:rsidR="00000000" w:rsidRDefault="00E52F77">
      <w:pPr>
        <w:pStyle w:val="a3"/>
        <w:spacing w:before="360" w:beforeAutospacing="0" w:after="0" w:afterAutospacing="0"/>
        <w:jc w:val="center"/>
        <w:divId w:val="1667780787"/>
        <w:rPr>
          <w:sz w:val="20"/>
          <w:szCs w:val="20"/>
        </w:rPr>
      </w:pPr>
      <w:r>
        <w:rPr>
          <w:sz w:val="20"/>
          <w:szCs w:val="20"/>
        </w:rPr>
        <w:t>40</w:t>
      </w:r>
    </w:p>
    <w:p w:rsidR="00000000" w:rsidRDefault="00E52F77">
      <w:pPr>
        <w:pStyle w:val="a3"/>
        <w:spacing w:before="0" w:beforeAutospacing="0" w:after="600" w:afterAutospacing="0"/>
        <w:divId w:val="1764758131"/>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432"/>
      </w:tblGrid>
      <w:tr w:rsidR="00000000">
        <w:trPr>
          <w:divId w:val="718168563"/>
        </w:trPr>
        <w:tc>
          <w:tcPr>
            <w:tcW w:w="720" w:type="dxa"/>
            <w:tcMar>
              <w:top w:w="0" w:type="dxa"/>
              <w:left w:w="0" w:type="dxa"/>
              <w:bottom w:w="0" w:type="dxa"/>
              <w:right w:w="0" w:type="dxa"/>
            </w:tcMar>
            <w:vAlign w:val="center"/>
            <w:hideMark/>
          </w:tcPr>
          <w:p w:rsidR="00000000" w:rsidRDefault="00E52F77">
            <w:pPr>
              <w:rPr>
                <w:sz w:val="20"/>
                <w:szCs w:val="20"/>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the outcome of potential licensing or partnering transactions, if any;</w:t>
            </w:r>
          </w:p>
        </w:tc>
      </w:tr>
    </w:tbl>
    <w:p w:rsidR="00000000" w:rsidRDefault="00E52F77">
      <w:pPr>
        <w:divId w:val="71816856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188"/>
      </w:tblGrid>
      <w:tr w:rsidR="00000000">
        <w:trPr>
          <w:divId w:val="718168563"/>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competing technological developments;</w:t>
            </w:r>
          </w:p>
        </w:tc>
      </w:tr>
    </w:tbl>
    <w:p w:rsidR="00000000" w:rsidRDefault="00E52F77">
      <w:pPr>
        <w:divId w:val="71816856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18168563"/>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the extent of our proprietary patent position in any approved products and our product candidates;</w:t>
            </w:r>
          </w:p>
        </w:tc>
      </w:tr>
    </w:tbl>
    <w:p w:rsidR="00000000" w:rsidRDefault="00E52F77">
      <w:pPr>
        <w:divId w:val="71816856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18168563"/>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our facilities expenses, which wi</w:t>
            </w:r>
            <w:r>
              <w:rPr>
                <w:sz w:val="20"/>
                <w:szCs w:val="20"/>
              </w:rPr>
              <w:t>ll vary depending on the time and terms of any facility lease or sublease we may enter into, and other operating expenses;</w:t>
            </w:r>
          </w:p>
        </w:tc>
      </w:tr>
    </w:tbl>
    <w:p w:rsidR="00000000" w:rsidRDefault="00E52F77">
      <w:pPr>
        <w:divId w:val="71816856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799"/>
      </w:tblGrid>
      <w:tr w:rsidR="00000000">
        <w:trPr>
          <w:divId w:val="718168563"/>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the scope and extent of the expansion of our sales and marketing efforts;</w:t>
            </w:r>
          </w:p>
        </w:tc>
      </w:tr>
    </w:tbl>
    <w:p w:rsidR="00000000" w:rsidRDefault="00E52F77">
      <w:pPr>
        <w:divId w:val="71816856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816"/>
      </w:tblGrid>
      <w:tr w:rsidR="00000000">
        <w:trPr>
          <w:divId w:val="718168563"/>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potential litigation and other contingencies; and</w:t>
            </w:r>
          </w:p>
        </w:tc>
      </w:tr>
    </w:tbl>
    <w:p w:rsidR="00000000" w:rsidRDefault="00E52F77">
      <w:pPr>
        <w:divId w:val="71816856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4721"/>
      </w:tblGrid>
      <w:tr w:rsidR="00000000">
        <w:trPr>
          <w:divId w:val="718168563"/>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the regulatory approval process for our product candidates.</w:t>
            </w:r>
          </w:p>
        </w:tc>
      </w:tr>
    </w:tbl>
    <w:p w:rsidR="00000000" w:rsidRDefault="00E52F77">
      <w:pPr>
        <w:pStyle w:val="a3"/>
        <w:spacing w:before="0" w:beforeAutospacing="0" w:after="200" w:afterAutospacing="0"/>
        <w:ind w:firstLine="720"/>
        <w:divId w:val="718168563"/>
        <w:rPr>
          <w:sz w:val="20"/>
          <w:szCs w:val="20"/>
        </w:rPr>
      </w:pPr>
      <w:r>
        <w:rPr>
          <w:sz w:val="20"/>
          <w:szCs w:val="20"/>
        </w:rPr>
        <w:t>We may seek to raise additional capital or obtain future fund</w:t>
      </w:r>
      <w:r>
        <w:rPr>
          <w:sz w:val="20"/>
          <w:szCs w:val="20"/>
        </w:rPr>
        <w:t xml:space="preserve">ing through public or private equity offerings, debt financings or additional collaborations and licensing arrangements to meet our capital needs or to take advantage of opportunistic market conditions. We may not be able to obtain additional financing on </w:t>
      </w:r>
      <w:r>
        <w:rPr>
          <w:sz w:val="20"/>
          <w:szCs w:val="20"/>
        </w:rPr>
        <w:t xml:space="preserve">terms favorable to us, if at all. General market conditions may make it difficult for us to seek financing from the capital markets. We may be required to relinquish rights to our technologies, product candidates or territories, or grant licenses on terms </w:t>
      </w:r>
      <w:r>
        <w:rPr>
          <w:sz w:val="20"/>
          <w:szCs w:val="20"/>
        </w:rPr>
        <w:t>that are not favorable to us, in order to raise additional funds through collaborations or licensing arrangements. We may sequence preclinical and clinical studies as opposed to conducting them concomitantly in order to conserve resources, or delay, reduce</w:t>
      </w:r>
      <w:r>
        <w:rPr>
          <w:sz w:val="20"/>
          <w:szCs w:val="20"/>
        </w:rPr>
        <w:t xml:space="preserve"> or eliminate one or more of our research or development programs and reduce overall overhead expenses. If we are unable to raise additional capital or obtain future funding in sufficient amounts or on terms acceptable to us, we may have to make reductions</w:t>
      </w:r>
      <w:r>
        <w:rPr>
          <w:sz w:val="20"/>
          <w:szCs w:val="20"/>
        </w:rPr>
        <w:t xml:space="preserve"> in our workforce and may be prevented from continuing our discovery, development and commercialization efforts and exploiting other corporate opportunities. This would likely harm our business, prospects and financial condition and cause the price of our </w:t>
      </w:r>
      <w:r>
        <w:rPr>
          <w:sz w:val="20"/>
          <w:szCs w:val="20"/>
        </w:rPr>
        <w:t>securities to fall.</w:t>
      </w:r>
    </w:p>
    <w:p w:rsidR="00000000" w:rsidRDefault="00E52F77">
      <w:pPr>
        <w:pStyle w:val="a3"/>
        <w:spacing w:before="0" w:beforeAutospacing="0" w:after="140" w:afterAutospacing="0"/>
        <w:divId w:val="718168563"/>
        <w:rPr>
          <w:sz w:val="20"/>
          <w:szCs w:val="20"/>
        </w:rPr>
      </w:pPr>
      <w:r>
        <w:rPr>
          <w:b/>
          <w:bCs/>
          <w:i/>
          <w:iCs/>
          <w:sz w:val="20"/>
          <w:szCs w:val="20"/>
        </w:rPr>
        <w:t xml:space="preserve">We may seek to obtain future financing through the issuance of debt or equity, which may have an adverse effect on our shareholders or may otherwise adversely affect our business. </w:t>
      </w:r>
    </w:p>
    <w:p w:rsidR="00000000" w:rsidRDefault="00E52F77">
      <w:pPr>
        <w:pStyle w:val="a3"/>
        <w:spacing w:before="0" w:beforeAutospacing="0" w:after="200" w:afterAutospacing="0"/>
        <w:ind w:firstLine="720"/>
        <w:divId w:val="718168563"/>
        <w:rPr>
          <w:sz w:val="20"/>
          <w:szCs w:val="20"/>
        </w:rPr>
      </w:pPr>
      <w:r>
        <w:rPr>
          <w:sz w:val="20"/>
          <w:szCs w:val="20"/>
        </w:rPr>
        <w:t xml:space="preserve">We may in the future need to raise additional funds to </w:t>
      </w:r>
      <w:r>
        <w:rPr>
          <w:sz w:val="20"/>
          <w:szCs w:val="20"/>
        </w:rPr>
        <w:t>continue to progress our business. If we raise funds through the issuance of additional debt, including convertible debt or debt secured by some or all of our assets, or equity, any debt securities or preferred shares issued will have rights, preferences a</w:t>
      </w:r>
      <w:r>
        <w:rPr>
          <w:sz w:val="20"/>
          <w:szCs w:val="20"/>
        </w:rPr>
        <w:t>nd privileges senior to those of holders of our ordinary shares in the event of liquidation. Neither the terms of our $230.0 million of 3.25% convertible senior notes, due 2023 (the “Convertible Senior 2023 Notes”) nor the terms of the Issuer II’s 9.5% Fix</w:t>
      </w:r>
      <w:r>
        <w:rPr>
          <w:sz w:val="20"/>
          <w:szCs w:val="20"/>
        </w:rPr>
        <w:t>ed Rate Term Notes due on or before 2035 (the “Non-Recourse 2035 Notes”) restrict our ability to issue additional debt. If additional debt is issued or we otherwise borrow additional funds, there is a possibility that once all senior claims are settled, th</w:t>
      </w:r>
      <w:r>
        <w:rPr>
          <w:sz w:val="20"/>
          <w:szCs w:val="20"/>
        </w:rPr>
        <w:t xml:space="preserve">ere may be no assets remaining to pay out to the holders of ordinary shares. Moreover, 75% of the income from our investment in TRC, as evidenced by the Issuer II Class C Units, is currently available only for payment of the Non-Recourse 2035 Notes and is </w:t>
      </w:r>
      <w:r>
        <w:rPr>
          <w:sz w:val="20"/>
          <w:szCs w:val="20"/>
        </w:rPr>
        <w:t>not available to pay our other obligations or the claims of our other creditors. In addition, if we raise funds through the issuance of additional equity, whether through private placements or public offerings, such an issuance would dilute ownership of ou</w:t>
      </w:r>
      <w:r>
        <w:rPr>
          <w:sz w:val="20"/>
          <w:szCs w:val="20"/>
        </w:rPr>
        <w:t>r current shareholders that do not participate in the issuance. If we are unable to obtain any needed additional funding, we may be required to reduce the scope of, delay, or eliminate some or all of, our planned research, development and commercialization</w:t>
      </w:r>
      <w:r>
        <w:rPr>
          <w:sz w:val="20"/>
          <w:szCs w:val="20"/>
        </w:rPr>
        <w:t xml:space="preserve"> activities or to license to third parties the rights to develop and/or commercialize products or technologies that we would otherwise seek to develop and/or commercialize ourselves or on terms that are less attractive than they might otherwise be, any of </w:t>
      </w:r>
      <w:r>
        <w:rPr>
          <w:sz w:val="20"/>
          <w:szCs w:val="20"/>
        </w:rPr>
        <w:t>which could materially harm our business.</w:t>
      </w:r>
    </w:p>
    <w:p w:rsidR="00000000" w:rsidRDefault="00E52F77">
      <w:pPr>
        <w:pStyle w:val="a3"/>
        <w:spacing w:before="0" w:beforeAutospacing="0" w:after="200" w:afterAutospacing="0"/>
        <w:ind w:firstLine="720"/>
        <w:divId w:val="718168563"/>
        <w:rPr>
          <w:sz w:val="20"/>
          <w:szCs w:val="20"/>
        </w:rPr>
      </w:pPr>
      <w:r>
        <w:rPr>
          <w:sz w:val="20"/>
          <w:szCs w:val="20"/>
        </w:rPr>
        <w:t xml:space="preserve">Furthermore, the terms of any additional debt securities we may issue in the future may impose restrictions on our operations, which may include limiting our ability to incur additional indebtedness, pay dividends </w:t>
      </w:r>
      <w:r>
        <w:rPr>
          <w:sz w:val="20"/>
          <w:szCs w:val="20"/>
        </w:rPr>
        <w:t>on or repurchase our share capital, or make certain acquisitions or investments. In addition, we may be subject to covenants requiring us to satisfy certain financial tests and ratios, and our ability to satisfy such covenants may be affected by events out</w:t>
      </w:r>
      <w:r>
        <w:rPr>
          <w:sz w:val="20"/>
          <w:szCs w:val="20"/>
        </w:rPr>
        <w:t>side of our control.</w:t>
      </w:r>
    </w:p>
    <w:p w:rsidR="00000000" w:rsidRDefault="00E52F77">
      <w:pPr>
        <w:pStyle w:val="a3"/>
        <w:spacing w:before="360" w:beforeAutospacing="0" w:after="0" w:afterAutospacing="0"/>
        <w:jc w:val="center"/>
        <w:divId w:val="989554139"/>
        <w:rPr>
          <w:sz w:val="20"/>
          <w:szCs w:val="20"/>
        </w:rPr>
      </w:pPr>
      <w:r>
        <w:rPr>
          <w:sz w:val="20"/>
          <w:szCs w:val="20"/>
        </w:rPr>
        <w:t>41</w:t>
      </w:r>
    </w:p>
    <w:p w:rsidR="00000000" w:rsidRDefault="00E52F77">
      <w:pPr>
        <w:pStyle w:val="a3"/>
        <w:spacing w:before="0" w:beforeAutospacing="0" w:after="600" w:afterAutospacing="0"/>
        <w:divId w:val="720330925"/>
        <w:rPr>
          <w:sz w:val="20"/>
          <w:szCs w:val="20"/>
        </w:rPr>
      </w:pPr>
      <w:hyperlink w:anchor="TOC" w:history="1">
        <w:r>
          <w:rPr>
            <w:rStyle w:val="a4"/>
            <w:sz w:val="20"/>
            <w:szCs w:val="20"/>
          </w:rPr>
          <w:t>Table of Contents</w:t>
        </w:r>
      </w:hyperlink>
    </w:p>
    <w:p w:rsidR="00000000" w:rsidRDefault="00E52F77">
      <w:pPr>
        <w:pStyle w:val="a3"/>
        <w:spacing w:before="0" w:beforeAutospacing="0" w:after="140" w:afterAutospacing="0"/>
        <w:divId w:val="1696732674"/>
        <w:rPr>
          <w:sz w:val="20"/>
          <w:szCs w:val="20"/>
        </w:rPr>
      </w:pPr>
      <w:r>
        <w:rPr>
          <w:b/>
          <w:bCs/>
          <w:i/>
          <w:iCs/>
          <w:sz w:val="20"/>
          <w:szCs w:val="20"/>
        </w:rPr>
        <w:t>If our partners do not satisfy their obligations under our agreements with them, or if they terminate our partnerships with them, we may not be able to develop or commercialize our partnered product candidates as planned.</w:t>
      </w:r>
    </w:p>
    <w:p w:rsidR="00000000" w:rsidRDefault="00E52F77">
      <w:pPr>
        <w:pStyle w:val="a3"/>
        <w:spacing w:before="0" w:beforeAutospacing="0" w:after="200" w:afterAutospacing="0"/>
        <w:ind w:firstLine="720"/>
        <w:divId w:val="1696732674"/>
        <w:rPr>
          <w:sz w:val="20"/>
          <w:szCs w:val="20"/>
        </w:rPr>
      </w:pPr>
      <w:r>
        <w:rPr>
          <w:sz w:val="20"/>
          <w:szCs w:val="20"/>
        </w:rPr>
        <w:t>In January 2015, we entered into a</w:t>
      </w:r>
      <w:r>
        <w:rPr>
          <w:sz w:val="20"/>
          <w:szCs w:val="20"/>
        </w:rPr>
        <w:t xml:space="preserve"> collaboration agreement with Viatris for the development and commercialization of a nebulized formulation of our LAMA revefenacin, including YUPELRI. Under the terms of the agreement, we and Viatris will co-develop nebulized revefenacin, including YUPELRI</w:t>
      </w:r>
      <w:r>
        <w:rPr>
          <w:sz w:val="20"/>
          <w:szCs w:val="20"/>
        </w:rPr>
        <w:t>, for COPD and other respiratory diseases. In June 2016, we entered into a License and Collaboration Agreement with Millennium Pharmaceuticals, Inc., an indirect wholly-owned subsidiary of Takeda Pharmaceutical Company Limited (collectively with Millennium</w:t>
      </w:r>
      <w:r>
        <w:rPr>
          <w:sz w:val="20"/>
          <w:szCs w:val="20"/>
        </w:rPr>
        <w:t>, “Takeda”) in order to establish a collaboration for the development and commercialization of TD-8954, a selective 5-HT4 receptor agonist in development for gastrointestinal motility disorders. Under the terms of the agreement, Takeda is responsible for w</w:t>
      </w:r>
      <w:r>
        <w:rPr>
          <w:sz w:val="20"/>
          <w:szCs w:val="20"/>
        </w:rPr>
        <w:t>orldwide development and commercialization of TD-8954. In February 2018, we announced a global co-development and commercialization agreement with Janssen for izencitinib and related back-up compounds for inflammatory intestinal diseases, including ulcerat</w:t>
      </w:r>
      <w:r>
        <w:rPr>
          <w:sz w:val="20"/>
          <w:szCs w:val="20"/>
        </w:rPr>
        <w:t>ive colitis and Crohn’s disease. In December 2019, we entered into a License Agreement with Pfizer Inc. (“Pfizer”). Under the license agreement, we provide Pfizer with an exclusive global license to develop, manufacture and commercialize compounds from our</w:t>
      </w:r>
      <w:r>
        <w:rPr>
          <w:sz w:val="20"/>
          <w:szCs w:val="20"/>
        </w:rPr>
        <w:t xml:space="preserve"> preclinical program for skin-targeted, locally-acting pan-Janus kinase (JAK) inhibitors that can be rapidly metabolized. We also have an exclusive development and commercialization agreement with Alfasigma for velusetrag, our internally discovered 5-HT4 a</w:t>
      </w:r>
      <w:r>
        <w:rPr>
          <w:sz w:val="20"/>
          <w:szCs w:val="20"/>
        </w:rPr>
        <w:t>gonist for the treatment of gastromotility disorders, under which we have transferred to Alfasigma global rights for velusetrag. In connection with these agreements, these parties have certain rights regarding the use of patents and technology with respect</w:t>
      </w:r>
      <w:r>
        <w:rPr>
          <w:sz w:val="20"/>
          <w:szCs w:val="20"/>
        </w:rPr>
        <w:t xml:space="preserve"> to the compounds in our development programs, including development and marketing rights.</w:t>
      </w:r>
    </w:p>
    <w:p w:rsidR="00000000" w:rsidRDefault="00E52F77">
      <w:pPr>
        <w:pStyle w:val="a3"/>
        <w:spacing w:before="0" w:beforeAutospacing="0" w:after="200" w:afterAutospacing="0"/>
        <w:ind w:firstLine="720"/>
        <w:divId w:val="1696732674"/>
        <w:rPr>
          <w:sz w:val="20"/>
          <w:szCs w:val="20"/>
        </w:rPr>
      </w:pPr>
      <w:r>
        <w:rPr>
          <w:sz w:val="20"/>
          <w:szCs w:val="20"/>
        </w:rPr>
        <w:t>Our partners have in the past and may in the future not fulfill all of their obligations under these agreements, and, in certain circumstances, they or we may termin</w:t>
      </w:r>
      <w:r>
        <w:rPr>
          <w:sz w:val="20"/>
          <w:szCs w:val="20"/>
        </w:rPr>
        <w:t xml:space="preserve">ate our partnership with them. In addition, our partners may also be facing significant business interruptions as a result of the COVID-19 pandemic. In either event, we may be unable to assume the development and commercialization responsibilities covered </w:t>
      </w:r>
      <w:r>
        <w:rPr>
          <w:sz w:val="20"/>
          <w:szCs w:val="20"/>
        </w:rPr>
        <w:t>by the agreements or enter into alternative arrangements with a third-party to develop and commercialize such product candidates. If a partner elected to promote alternative products and product candidates such as its own products and product candidates in</w:t>
      </w:r>
      <w:r>
        <w:rPr>
          <w:sz w:val="20"/>
          <w:szCs w:val="20"/>
        </w:rPr>
        <w:t xml:space="preserve"> preference to those licensed from us, does not devote an adequate amount of time and resources to our product candidates or is otherwise unsuccessful in its efforts with respect to our products or product candidates, the development and commercialization </w:t>
      </w:r>
      <w:r>
        <w:rPr>
          <w:sz w:val="20"/>
          <w:szCs w:val="20"/>
        </w:rPr>
        <w:t xml:space="preserve">of product candidates covered by the agreements could be delayed or terminated, and future payments to us could be delayed, reduced or eliminated and our business and financial condition could be materially and adversely affected. Accordingly, our ability </w:t>
      </w:r>
      <w:r>
        <w:rPr>
          <w:sz w:val="20"/>
          <w:szCs w:val="20"/>
        </w:rPr>
        <w:t>to receive any revenue from the product candidates covered by these agreements is dependent on the efforts of our partners. If a partner terminates or breaches its agreements with us, otherwise fails to complete its obligations in a timely manner or allege</w:t>
      </w:r>
      <w:r>
        <w:rPr>
          <w:sz w:val="20"/>
          <w:szCs w:val="20"/>
        </w:rPr>
        <w:t>s that we have breached our contractual obligations under these agreements, the chances of successfully developing or commercializing product candidates under the collaboration could be materially and adversely affected. In addition, effective collaboratio</w:t>
      </w:r>
      <w:r>
        <w:rPr>
          <w:sz w:val="20"/>
          <w:szCs w:val="20"/>
        </w:rPr>
        <w:t>n with a partner requires coordination to achieve complex and detail-intensive goals between entities that potentially have different priorities, capabilities and processes and successful navigation of the challenges such coordination entails. We could als</w:t>
      </w:r>
      <w:r>
        <w:rPr>
          <w:sz w:val="20"/>
          <w:szCs w:val="20"/>
        </w:rPr>
        <w:t>o become involved in disputes with a partner, which could lead to delays in or termination of our development and commercialization programs and time-consuming and expensive litigation or arbitration. Furthermore, termination of an agreement by a partner c</w:t>
      </w:r>
      <w:r>
        <w:rPr>
          <w:sz w:val="20"/>
          <w:szCs w:val="20"/>
        </w:rPr>
        <w:t>ould have an adverse effect on the price of our ordinary shares or other securities even if not material to our business.</w:t>
      </w:r>
    </w:p>
    <w:p w:rsidR="00000000" w:rsidRDefault="00E52F77">
      <w:pPr>
        <w:pStyle w:val="a3"/>
        <w:spacing w:before="0" w:beforeAutospacing="0" w:after="120" w:afterAutospacing="0"/>
        <w:divId w:val="1696732674"/>
        <w:rPr>
          <w:sz w:val="20"/>
          <w:szCs w:val="20"/>
        </w:rPr>
      </w:pPr>
      <w:r>
        <w:rPr>
          <w:b/>
          <w:bCs/>
          <w:i/>
          <w:iCs/>
          <w:sz w:val="20"/>
          <w:szCs w:val="20"/>
        </w:rPr>
        <w:t>We do not control TRC and, in particular, have no control over the GSK-Partnered Respiratory Programs or access to non-public informat</w:t>
      </w:r>
      <w:r>
        <w:rPr>
          <w:b/>
          <w:bCs/>
          <w:i/>
          <w:iCs/>
          <w:sz w:val="20"/>
          <w:szCs w:val="20"/>
        </w:rPr>
        <w:t>ion regarding the development of the GSK-Partnered Respiratory Programs.</w:t>
      </w:r>
    </w:p>
    <w:p w:rsidR="00000000" w:rsidRDefault="00E52F77">
      <w:pPr>
        <w:pStyle w:val="a3"/>
        <w:spacing w:before="0" w:beforeAutospacing="0" w:after="0" w:afterAutospacing="0"/>
        <w:ind w:firstLine="720"/>
        <w:divId w:val="1696732674"/>
        <w:rPr>
          <w:sz w:val="20"/>
          <w:szCs w:val="20"/>
        </w:rPr>
      </w:pPr>
      <w:r>
        <w:rPr>
          <w:sz w:val="20"/>
          <w:szCs w:val="20"/>
        </w:rPr>
        <w:t>Innoviva assigned to TRC its strategic alliance agreement with GSK and all of its rights and obligations under its LABA collaboration agreement other than with respect to RELVAR ELLIP</w:t>
      </w:r>
      <w:r>
        <w:rPr>
          <w:sz w:val="20"/>
          <w:szCs w:val="20"/>
        </w:rPr>
        <w:t>TA/BREO ELLIPTA, ANORO ELLIPTA and vilanterol monotherapy. Our equity interest in TRC entitles us to an 85% economic interest in any future payments made by GSK under the strategic alliance agreement and under the portion of the collaboration agreement ass</w:t>
      </w:r>
      <w:r>
        <w:rPr>
          <w:sz w:val="20"/>
          <w:szCs w:val="20"/>
        </w:rPr>
        <w:t>igned to TRC (the “GSK Agreements”) (net of TRC expenses paid and the amount of cash, if any, expected to be used by TRC pursuant to the TRC LLC Agreement over the next four fiscal quarters), which agreements govern Innoviva’s and GSK’s respective interest</w:t>
      </w:r>
      <w:r>
        <w:rPr>
          <w:sz w:val="20"/>
          <w:szCs w:val="20"/>
        </w:rPr>
        <w:t>s in the GSK-Partnered Respiratory Programs. Our equity interest primarily covers TRELEGY (the combination of fluticasone furoate, umeclidinium, and vilanterol in a single ELLIPTA inhaler) products. Our economic interest does not include any payments by GS</w:t>
      </w:r>
      <w:r>
        <w:rPr>
          <w:sz w:val="20"/>
          <w:szCs w:val="20"/>
        </w:rPr>
        <w:t>K associated with RELVAR ELLIPTA/BREO ELLIPTA, ANORO ELLIPTA or vilanterol monotherapy. Innoviva controls TRC and, except for certain consent rights, we have no right to participate in the business and affairs of TRC. Innoviva has the exclusive right to ap</w:t>
      </w:r>
      <w:r>
        <w:rPr>
          <w:sz w:val="20"/>
          <w:szCs w:val="20"/>
        </w:rPr>
        <w:t xml:space="preserve">point TRC’s manager who, among other things, is responsible for </w:t>
      </w:r>
    </w:p>
    <w:p w:rsidR="00000000" w:rsidRDefault="00E52F77">
      <w:pPr>
        <w:pStyle w:val="a3"/>
        <w:spacing w:before="360" w:beforeAutospacing="0" w:after="0" w:afterAutospacing="0"/>
        <w:jc w:val="center"/>
        <w:divId w:val="1473130448"/>
        <w:rPr>
          <w:sz w:val="20"/>
          <w:szCs w:val="20"/>
        </w:rPr>
      </w:pPr>
      <w:r>
        <w:rPr>
          <w:sz w:val="20"/>
          <w:szCs w:val="20"/>
        </w:rPr>
        <w:t>42</w:t>
      </w:r>
    </w:p>
    <w:p w:rsidR="00000000" w:rsidRDefault="00E52F77">
      <w:pPr>
        <w:pStyle w:val="a3"/>
        <w:spacing w:before="0" w:beforeAutospacing="0" w:after="600" w:afterAutospacing="0"/>
        <w:divId w:val="723915274"/>
        <w:rPr>
          <w:sz w:val="20"/>
          <w:szCs w:val="20"/>
        </w:rPr>
      </w:pPr>
      <w:hyperlink w:anchor="TOC" w:history="1">
        <w:r>
          <w:rPr>
            <w:rStyle w:val="a4"/>
            <w:sz w:val="20"/>
            <w:szCs w:val="20"/>
          </w:rPr>
          <w:t>Table of Contents</w:t>
        </w:r>
      </w:hyperlink>
    </w:p>
    <w:p w:rsidR="00000000" w:rsidRDefault="00E52F77">
      <w:pPr>
        <w:pStyle w:val="a3"/>
        <w:spacing w:before="0" w:beforeAutospacing="0" w:after="200" w:afterAutospacing="0"/>
        <w:divId w:val="1524828236"/>
        <w:rPr>
          <w:sz w:val="20"/>
          <w:szCs w:val="20"/>
        </w:rPr>
      </w:pPr>
      <w:r>
        <w:rPr>
          <w:sz w:val="20"/>
          <w:szCs w:val="20"/>
        </w:rPr>
        <w:t>the day-to-day management of the GSK-Partnered Respiratory Programs and exercises the rights relating to the GSK-Partnered Respiratory Programs.</w:t>
      </w:r>
      <w:r>
        <w:rPr>
          <w:sz w:val="20"/>
          <w:szCs w:val="20"/>
        </w:rPr>
        <w:t xml:space="preserve"> As a result, we have no rights to participate in, or access to non-public information about, the development and commercialization work GSK and Innoviva are undertaking with respect to the GSK-Partnered Respiratory Programs and no right to enforce rights </w:t>
      </w:r>
      <w:r>
        <w:rPr>
          <w:sz w:val="20"/>
          <w:szCs w:val="20"/>
        </w:rPr>
        <w:t>under the GSK Agreements assigned to TRC. We have had and may in the future have disagreements with Innoviva and TRC regarding Innoviva’s decisions regarding the management of TRC. The dispute resolution procedures set forth in the TRC LLC Agreement have b</w:t>
      </w:r>
      <w:r>
        <w:rPr>
          <w:sz w:val="20"/>
          <w:szCs w:val="20"/>
        </w:rPr>
        <w:t>een invoked two times to date. These procedures can divert management’s attention and require us to incur significant costs. Further, if resolved in a manner adverse to our interests, these procedures and the actions that lead to them could have a material</w:t>
      </w:r>
      <w:r>
        <w:rPr>
          <w:sz w:val="20"/>
          <w:szCs w:val="20"/>
        </w:rPr>
        <w:t xml:space="preserve"> impact on our operations. See</w:t>
      </w:r>
      <w:r>
        <w:rPr>
          <w:i/>
          <w:iCs/>
          <w:sz w:val="20"/>
          <w:szCs w:val="20"/>
        </w:rPr>
        <w:t xml:space="preserve"> Part II, Item 1 “Legal Proceedings” </w:t>
      </w:r>
      <w:r>
        <w:rPr>
          <w:sz w:val="20"/>
          <w:szCs w:val="20"/>
        </w:rPr>
        <w:t>and the Risk Factor entitled “</w:t>
      </w:r>
      <w:r>
        <w:rPr>
          <w:i/>
          <w:iCs/>
          <w:sz w:val="20"/>
          <w:szCs w:val="20"/>
        </w:rPr>
        <w:t>We do not control the commercialization of TRELEGY and we do not control TRC; accordingly the amount of royalties we receive will depend on, among other factor</w:t>
      </w:r>
      <w:r>
        <w:rPr>
          <w:i/>
          <w:iCs/>
          <w:sz w:val="20"/>
          <w:szCs w:val="20"/>
        </w:rPr>
        <w:t>s, GSK’s ability to further commercialize TRELEGY and TRC’s decisions concerning use of cash in accordance with the TRC LLC Agreement</w:t>
      </w:r>
      <w:r>
        <w:rPr>
          <w:sz w:val="20"/>
          <w:szCs w:val="20"/>
        </w:rPr>
        <w:t>” for more information. Moreover, we have many of the same risks with respect to our and TRC’s dependence on GSK as we have</w:t>
      </w:r>
      <w:r>
        <w:rPr>
          <w:sz w:val="20"/>
          <w:szCs w:val="20"/>
        </w:rPr>
        <w:t xml:space="preserve"> with respect to our dependence on our own partners, including any adverse impacts on GSK’s operations as a result of the COVID-19 pandemic.</w:t>
      </w:r>
    </w:p>
    <w:p w:rsidR="00000000" w:rsidRDefault="00E52F77">
      <w:pPr>
        <w:pStyle w:val="a3"/>
        <w:spacing w:before="0" w:beforeAutospacing="0" w:after="120" w:afterAutospacing="0"/>
        <w:divId w:val="1524828236"/>
        <w:rPr>
          <w:sz w:val="20"/>
          <w:szCs w:val="20"/>
        </w:rPr>
      </w:pPr>
      <w:r>
        <w:rPr>
          <w:b/>
          <w:bCs/>
          <w:i/>
          <w:iCs/>
          <w:sz w:val="20"/>
          <w:szCs w:val="20"/>
        </w:rPr>
        <w:t>If there are any adverse developments or perceived adverse developments with respect to the GSK-Partnered Respirato</w:t>
      </w:r>
      <w:r>
        <w:rPr>
          <w:b/>
          <w:bCs/>
          <w:i/>
          <w:iCs/>
          <w:sz w:val="20"/>
          <w:szCs w:val="20"/>
        </w:rPr>
        <w:t>ry Programs in which we have a substantial economic interest, including TRELEGY, our business will be harmed, and the price of our securities could fall.</w:t>
      </w:r>
    </w:p>
    <w:p w:rsidR="00000000" w:rsidRDefault="00E52F77">
      <w:pPr>
        <w:pStyle w:val="a3"/>
        <w:spacing w:before="0" w:beforeAutospacing="0" w:after="200" w:afterAutospacing="0"/>
        <w:ind w:firstLine="720"/>
        <w:divId w:val="1524828236"/>
        <w:rPr>
          <w:sz w:val="20"/>
          <w:szCs w:val="20"/>
        </w:rPr>
      </w:pPr>
      <w:r>
        <w:rPr>
          <w:sz w:val="20"/>
          <w:szCs w:val="20"/>
        </w:rPr>
        <w:t>We have no access to non-public information regarding the development progress of, or plans for, the G</w:t>
      </w:r>
      <w:r>
        <w:rPr>
          <w:sz w:val="20"/>
          <w:szCs w:val="20"/>
        </w:rPr>
        <w:t>SK-Partnered Respiratory Programs, including TRELEGY, and we have little, if any, ability to influence the progress of those programs because our interest in these programs is only through our ownership interest in TRC, which is controlled by Innoviva. How</w:t>
      </w:r>
      <w:r>
        <w:rPr>
          <w:sz w:val="20"/>
          <w:szCs w:val="20"/>
        </w:rPr>
        <w:t>ever, if any of the GSK-Partnered Respiratory Programs in which we have a substantial economic interest encounter delays, do not demonstrate required quality, safety and efficacy, are terminated, or if there are any adverse developments or perceived advers</w:t>
      </w:r>
      <w:r>
        <w:rPr>
          <w:sz w:val="20"/>
          <w:szCs w:val="20"/>
        </w:rPr>
        <w:t>e developments with respect to such programs, our business will be harmed, and the price of our securities could fall. Examples of such adverse developments include, but are not limited to:</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4638"/>
      </w:tblGrid>
      <w:tr w:rsidR="00000000">
        <w:trPr>
          <w:divId w:val="1524828236"/>
        </w:trPr>
        <w:tc>
          <w:tcPr>
            <w:tcW w:w="720" w:type="dxa"/>
            <w:tcMar>
              <w:top w:w="0" w:type="dxa"/>
              <w:left w:w="0" w:type="dxa"/>
              <w:bottom w:w="0" w:type="dxa"/>
              <w:right w:w="0" w:type="dxa"/>
            </w:tcMar>
            <w:vAlign w:val="center"/>
            <w:hideMark/>
          </w:tcPr>
          <w:p w:rsidR="00000000" w:rsidRDefault="00E52F77">
            <w:pPr>
              <w:rPr>
                <w:sz w:val="20"/>
                <w:szCs w:val="20"/>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disappointing or lower than expected sales of TRELEGY;</w:t>
            </w:r>
          </w:p>
        </w:tc>
      </w:tr>
    </w:tbl>
    <w:p w:rsidR="00000000" w:rsidRDefault="00E52F77">
      <w:pPr>
        <w:divId w:val="152482823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24828236"/>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the emergence of new closed triple or other alternative therapies or any developments regarding competitive therapies, including comparative price or efficacy of competitive therapies;</w:t>
            </w:r>
          </w:p>
        </w:tc>
      </w:tr>
    </w:tbl>
    <w:p w:rsidR="00000000" w:rsidRDefault="00E52F77">
      <w:pPr>
        <w:divId w:val="152482823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24828236"/>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disputes between GSK and Innoviva or between us and Innoviva, such</w:t>
            </w:r>
            <w:r>
              <w:rPr>
                <w:sz w:val="20"/>
                <w:szCs w:val="20"/>
              </w:rPr>
              <w:t xml:space="preserve"> as our 2019 arbitration and the arbitration with Innoviva that was completed in early 2021 (See </w:t>
            </w:r>
            <w:r>
              <w:rPr>
                <w:i/>
                <w:iCs/>
                <w:sz w:val="20"/>
                <w:szCs w:val="20"/>
              </w:rPr>
              <w:t>Part II, Item 1 “Legal Proceedings”</w:t>
            </w:r>
            <w:r>
              <w:rPr>
                <w:sz w:val="20"/>
                <w:szCs w:val="20"/>
              </w:rPr>
              <w:t>), each of which concern the withholding of royalty payments we believe are due to us under the TRC LLC Agreement;</w:t>
            </w:r>
          </w:p>
        </w:tc>
      </w:tr>
    </w:tbl>
    <w:p w:rsidR="00000000" w:rsidRDefault="00E52F77">
      <w:pPr>
        <w:divId w:val="152482823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111"/>
      </w:tblGrid>
      <w:tr w:rsidR="00000000">
        <w:trPr>
          <w:divId w:val="1524828236"/>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 xml:space="preserve">GSK </w:t>
            </w:r>
            <w:r>
              <w:rPr>
                <w:sz w:val="20"/>
                <w:szCs w:val="20"/>
              </w:rPr>
              <w:t>deciding to modify, delay or halt the TRELEGY program;</w:t>
            </w:r>
          </w:p>
        </w:tc>
      </w:tr>
    </w:tbl>
    <w:p w:rsidR="00000000" w:rsidRDefault="00E52F77">
      <w:pPr>
        <w:divId w:val="152482823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24828236"/>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the FDA and/or other national or foreign regulatory authorities determining that any of the studies under the TRELEGY program does not demonstrate the required quality, safety or efficacy, or that</w:t>
            </w:r>
            <w:r>
              <w:rPr>
                <w:sz w:val="20"/>
                <w:szCs w:val="20"/>
              </w:rPr>
              <w:t xml:space="preserve"> additional non-clinical or clinical studies are required with respect to the program;</w:t>
            </w:r>
          </w:p>
        </w:tc>
      </w:tr>
    </w:tbl>
    <w:p w:rsidR="00000000" w:rsidRDefault="00E52F77">
      <w:pPr>
        <w:divId w:val="15248282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24828236"/>
        </w:trPr>
        <w:tc>
          <w:tcPr>
            <w:tcW w:w="720" w:type="dxa"/>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rPr>
                <w:rFonts w:eastAsia="Times New Roman"/>
                <w:sz w:val="14"/>
                <w:szCs w:val="14"/>
              </w:rPr>
            </w:pPr>
            <w:r>
              <w:rPr>
                <w:rFonts w:eastAsia="Times New Roman"/>
                <w:sz w:val="14"/>
                <w:szCs w:val="14"/>
              </w:rPr>
              <w:t>●</w:t>
            </w:r>
          </w:p>
        </w:tc>
        <w:tc>
          <w:tcPr>
            <w:tcW w:w="0" w:type="auto"/>
            <w:tcMar>
              <w:top w:w="0" w:type="dxa"/>
              <w:left w:w="0" w:type="dxa"/>
              <w:bottom w:w="0" w:type="dxa"/>
              <w:right w:w="0" w:type="dxa"/>
            </w:tcMar>
            <w:vAlign w:val="center"/>
            <w:hideMark/>
          </w:tcPr>
          <w:p w:rsidR="00000000" w:rsidRDefault="00E52F77">
            <w:pPr>
              <w:rPr>
                <w:rFonts w:eastAsia="Times New Roman"/>
                <w:sz w:val="20"/>
                <w:szCs w:val="20"/>
              </w:rPr>
            </w:pPr>
            <w:r>
              <w:rPr>
                <w:rFonts w:eastAsia="Times New Roman"/>
                <w:sz w:val="20"/>
                <w:szCs w:val="20"/>
              </w:rPr>
              <w:t>any adverse effects resulting from the COVID-19 pandemic;</w:t>
            </w:r>
          </w:p>
        </w:tc>
      </w:tr>
    </w:tbl>
    <w:p w:rsidR="00000000" w:rsidRDefault="00E52F77">
      <w:pPr>
        <w:divId w:val="152482823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24828236"/>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any safety, efficacy or other concerns regarding the TRELEGY program or any GSK-Partnered Respiratory Program in which we have a substantial economic interest; or</w:t>
            </w:r>
          </w:p>
        </w:tc>
      </w:tr>
    </w:tbl>
    <w:p w:rsidR="00000000" w:rsidRDefault="00E52F77">
      <w:pPr>
        <w:divId w:val="152482823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24828236"/>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any particular FDA requirements or changes in FDA policy or guidance regarding the TRELE</w:t>
            </w:r>
            <w:r>
              <w:rPr>
                <w:sz w:val="20"/>
                <w:szCs w:val="20"/>
              </w:rPr>
              <w:t>GY program or any other GSK-Partnered Respiratory Program or any particular regulatory requirements in other jurisdictions or changes in the policies or guidance adopted by foreign regulatory authorities.</w:t>
            </w:r>
          </w:p>
        </w:tc>
      </w:tr>
    </w:tbl>
    <w:p w:rsidR="00000000" w:rsidRDefault="00E52F77">
      <w:pPr>
        <w:pStyle w:val="a3"/>
        <w:spacing w:before="0" w:beforeAutospacing="0" w:after="120" w:afterAutospacing="0"/>
        <w:divId w:val="1524828236"/>
        <w:rPr>
          <w:sz w:val="20"/>
          <w:szCs w:val="20"/>
        </w:rPr>
      </w:pPr>
      <w:r>
        <w:rPr>
          <w:b/>
          <w:bCs/>
          <w:i/>
          <w:iCs/>
          <w:sz w:val="20"/>
          <w:szCs w:val="20"/>
        </w:rPr>
        <w:t xml:space="preserve">Because GSK is a strategic partner of Innoviva, a </w:t>
      </w:r>
      <w:r>
        <w:rPr>
          <w:b/>
          <w:bCs/>
          <w:i/>
          <w:iCs/>
          <w:sz w:val="20"/>
          <w:szCs w:val="20"/>
        </w:rPr>
        <w:t>strategic partner of TRC and a significant shareholder of us, it may take actions that in certain cases are materially harmful to our business and to our other shareholders.</w:t>
      </w:r>
    </w:p>
    <w:p w:rsidR="00000000" w:rsidRDefault="00E52F77">
      <w:pPr>
        <w:pStyle w:val="a3"/>
        <w:spacing w:before="0" w:beforeAutospacing="0" w:after="0" w:afterAutospacing="0"/>
        <w:ind w:firstLine="720"/>
        <w:divId w:val="1524828236"/>
        <w:rPr>
          <w:sz w:val="20"/>
          <w:szCs w:val="20"/>
        </w:rPr>
      </w:pPr>
      <w:r>
        <w:rPr>
          <w:sz w:val="20"/>
          <w:szCs w:val="20"/>
        </w:rPr>
        <w:t>Based on our review of publicly available filings, as of June 30, 2021, GSK benefi</w:t>
      </w:r>
      <w:r>
        <w:rPr>
          <w:sz w:val="20"/>
          <w:szCs w:val="20"/>
        </w:rPr>
        <w:t>cially owned 14.2% of our outstanding ordinary shares (although GSK, through a subsidiary, has issued $280,336,000 of exchangeable senior notes due 2023 (the “GSK Notes”), initially exchangeable into 9,644,792 of our ordinary shares which, as of June 30, 2</w:t>
      </w:r>
      <w:r>
        <w:rPr>
          <w:sz w:val="20"/>
          <w:szCs w:val="20"/>
        </w:rPr>
        <w:t xml:space="preserve">021, represented </w:t>
      </w:r>
    </w:p>
    <w:p w:rsidR="00000000" w:rsidRDefault="00E52F77">
      <w:pPr>
        <w:pStyle w:val="a3"/>
        <w:spacing w:before="360" w:beforeAutospacing="0" w:after="0" w:afterAutospacing="0"/>
        <w:jc w:val="center"/>
        <w:divId w:val="1681853091"/>
        <w:rPr>
          <w:sz w:val="20"/>
          <w:szCs w:val="20"/>
        </w:rPr>
      </w:pPr>
      <w:r>
        <w:rPr>
          <w:sz w:val="20"/>
          <w:szCs w:val="20"/>
        </w:rPr>
        <w:t>43</w:t>
      </w:r>
    </w:p>
    <w:p w:rsidR="00000000" w:rsidRDefault="00E52F77">
      <w:pPr>
        <w:pStyle w:val="a3"/>
        <w:spacing w:before="0" w:beforeAutospacing="0" w:after="600" w:afterAutospacing="0"/>
        <w:divId w:val="2024472882"/>
        <w:rPr>
          <w:sz w:val="20"/>
          <w:szCs w:val="20"/>
        </w:rPr>
      </w:pPr>
      <w:hyperlink w:anchor="TOC" w:history="1">
        <w:r>
          <w:rPr>
            <w:rStyle w:val="a4"/>
            <w:sz w:val="20"/>
            <w:szCs w:val="20"/>
          </w:rPr>
          <w:t>Table of Contents</w:t>
        </w:r>
      </w:hyperlink>
    </w:p>
    <w:p w:rsidR="00000000" w:rsidRDefault="00E52F77">
      <w:pPr>
        <w:pStyle w:val="a3"/>
        <w:spacing w:before="0" w:beforeAutospacing="0" w:after="200" w:afterAutospacing="0"/>
        <w:divId w:val="1810170104"/>
        <w:rPr>
          <w:sz w:val="20"/>
          <w:szCs w:val="20"/>
        </w:rPr>
      </w:pPr>
      <w:r>
        <w:rPr>
          <w:sz w:val="20"/>
          <w:szCs w:val="20"/>
        </w:rPr>
        <w:t>14.2% of our outstanding ordinary shares). GSK is also a strategic partner to Innoviva with rights and obligations under the GSK Agreements, which include the strategic alliance agreement and</w:t>
      </w:r>
      <w:r>
        <w:rPr>
          <w:sz w:val="20"/>
          <w:szCs w:val="20"/>
        </w:rPr>
        <w:t xml:space="preserve"> the collaboration agreement assigned to TRC, that may cause GSK’s interests to differ from our interests and those of our other shareholders. For example, GSK’s commercialization efforts are guided by a portfolio approach across products in which we have </w:t>
      </w:r>
      <w:r>
        <w:rPr>
          <w:sz w:val="20"/>
          <w:szCs w:val="20"/>
        </w:rPr>
        <w:t>an indirect interest through TRC and products in which we have no interest. Accordingly, GSK’s commercialization efforts may have the effect of reducing the value of our interest in TRC. Furthermore, GSK has a substantial respiratory product portfolio in a</w:t>
      </w:r>
      <w:r>
        <w:rPr>
          <w:sz w:val="20"/>
          <w:szCs w:val="20"/>
        </w:rPr>
        <w:t xml:space="preserve">ddition to the products covered by the GSK Agreements. GSK may make respiratory product portfolio decisions or statements about its portfolio which may be, or may be perceived to be, harmful to the respiratory products partnered with Innoviva and TRC. For </w:t>
      </w:r>
      <w:r>
        <w:rPr>
          <w:sz w:val="20"/>
          <w:szCs w:val="20"/>
        </w:rPr>
        <w:t>example, GSK could promote its own respiratory products and/or delay or terminate the development or commercialization of the respiratory programs covered by the GSK Agreements, which include TRELEGY. Also, given the potential future royalty payments GSK m</w:t>
      </w:r>
      <w:r>
        <w:rPr>
          <w:sz w:val="20"/>
          <w:szCs w:val="20"/>
        </w:rPr>
        <w:t>ay be obligated to pay under the GSK Agreements, GSK may seek to acquire us or acquire our interests in TRC in order to effectively reduce those payment obligations and the price at which GSK might seek to acquire us may not reflect our true value. As a re</w:t>
      </w:r>
      <w:r>
        <w:rPr>
          <w:sz w:val="20"/>
          <w:szCs w:val="20"/>
        </w:rPr>
        <w:t>sult of these differing interests, GSK may take actions that it believes are in its best interest but which might not be in the best interests of either us or our other shareholders. In addition, GSK could also seek to challenge our or Innoviva’s post-Spin</w:t>
      </w:r>
      <w:r>
        <w:rPr>
          <w:sz w:val="20"/>
          <w:szCs w:val="20"/>
        </w:rPr>
        <w:t>-Off operations as violating or allowing it to terminate the GSK Agreements, including by violating the confidentiality provisions of those agreements or the master agreement between GSK, Innoviva and us entered into in connection with the Spin-Off (the “M</w:t>
      </w:r>
      <w:r>
        <w:rPr>
          <w:sz w:val="20"/>
          <w:szCs w:val="20"/>
        </w:rPr>
        <w:t>aster Agreement”), or otherwise violating its legal rights. While we believe our operations fully comply with the GSK Agreements, the Master Agreement and applicable law, there can be no assurance that we or Innoviva will prevail against any such claims by</w:t>
      </w:r>
      <w:r>
        <w:rPr>
          <w:sz w:val="20"/>
          <w:szCs w:val="20"/>
        </w:rPr>
        <w:t xml:space="preserve"> GSK. Moreover, regardless of the merit of any claims by GSK, we may incur significant cost and diversion of resources in defending them. In addition, any other action or inaction by either GSK or Innoviva that results in a material dispute, allegation of </w:t>
      </w:r>
      <w:r>
        <w:rPr>
          <w:sz w:val="20"/>
          <w:szCs w:val="20"/>
        </w:rPr>
        <w:t>breach, litigation, arbitration, or significant disagreement between those parties or between us and either of those parties may be interpreted negatively by the market or by our investors, could harm our business and cause the price of our securities to f</w:t>
      </w:r>
      <w:r>
        <w:rPr>
          <w:sz w:val="20"/>
          <w:szCs w:val="20"/>
        </w:rPr>
        <w:t>all. Other examples of these kinds of issues include but are not limited to non-performance of other contractual obligations and allegations of non-performance, disagreements over the relative marketing and sales efforts for Innoviva’s partnered products a</w:t>
      </w:r>
      <w:r>
        <w:rPr>
          <w:sz w:val="20"/>
          <w:szCs w:val="20"/>
        </w:rPr>
        <w:t>nd other GSK respiratory products, disputes over public statements, and similar matters. In general, any uncertainty about respiratory programs partnered with GSK, the enforceability of the GSK Agreements or the relationship/partnership between Innoviva an</w:t>
      </w:r>
      <w:r>
        <w:rPr>
          <w:sz w:val="20"/>
          <w:szCs w:val="20"/>
        </w:rPr>
        <w:t>d GSK or between us and Innoviva could result in significant reduction in the market price of our securities and other material harm to our business.</w:t>
      </w:r>
    </w:p>
    <w:p w:rsidR="00000000" w:rsidRDefault="00E52F77">
      <w:pPr>
        <w:pStyle w:val="a3"/>
        <w:spacing w:before="0" w:beforeAutospacing="0" w:after="120" w:afterAutospacing="0"/>
        <w:divId w:val="1810170104"/>
        <w:rPr>
          <w:sz w:val="20"/>
          <w:szCs w:val="20"/>
        </w:rPr>
      </w:pPr>
      <w:r>
        <w:rPr>
          <w:b/>
          <w:bCs/>
          <w:i/>
          <w:iCs/>
          <w:sz w:val="20"/>
          <w:szCs w:val="20"/>
        </w:rPr>
        <w:t>We do not control the commercialization of TRELEGY and we do not control TRC; accordingly the amount of ro</w:t>
      </w:r>
      <w:r>
        <w:rPr>
          <w:b/>
          <w:bCs/>
          <w:i/>
          <w:iCs/>
          <w:sz w:val="20"/>
          <w:szCs w:val="20"/>
        </w:rPr>
        <w:t>yalties we receive will depend on, among other factors, GSK’s ability to further commercialize TRELEGY and TRC’s decisions concerning use of cash in accordance with the TRC LLC Agreement.</w:t>
      </w:r>
    </w:p>
    <w:p w:rsidR="00000000" w:rsidRDefault="00E52F77">
      <w:pPr>
        <w:pStyle w:val="a3"/>
        <w:spacing w:before="0" w:beforeAutospacing="0" w:after="0" w:afterAutospacing="0"/>
        <w:ind w:firstLine="720"/>
        <w:divId w:val="1810170104"/>
        <w:rPr>
          <w:sz w:val="20"/>
          <w:szCs w:val="20"/>
        </w:rPr>
      </w:pPr>
      <w:r>
        <w:rPr>
          <w:sz w:val="20"/>
          <w:szCs w:val="20"/>
        </w:rPr>
        <w:t xml:space="preserve">We only receive revenues from TRELEGY based on the amount of sales of this product by GSK in the form of our economic interest in the royalties paid by GSK to TRC, which is managed by Innoviva. There are no required minimum future payments associated with </w:t>
      </w:r>
      <w:r>
        <w:rPr>
          <w:sz w:val="20"/>
          <w:szCs w:val="20"/>
        </w:rPr>
        <w:t>the product and any royalties we receive will depend on GSK’s ability to commercialize the product, the future payments, if any, made by GSK to TRC, TRC’s expenses, and the amount of cash, if any, expected to be used by TRC pursuant to the TRC LLC Agreemen</w:t>
      </w:r>
      <w:r>
        <w:rPr>
          <w:sz w:val="20"/>
          <w:szCs w:val="20"/>
        </w:rPr>
        <w:t>t. Following our 2019 arbitration with Innoviva concerning its withholding of certain royalty distributions to the TRC members, the arbitrator ruled, among other things, that in the future if Innoviva desires to invest TRC funds in any initiatives that req</w:t>
      </w:r>
      <w:r>
        <w:rPr>
          <w:sz w:val="20"/>
          <w:szCs w:val="20"/>
        </w:rPr>
        <w:t>uire the consent of GSK under the collaboration agreement, Innoviva must first obtain the consent of GSK. The timeframe for seeking GSK’s consent for these initiatives and the associated dates by which GSK’s consent must be received means that royalty dist</w:t>
      </w:r>
      <w:r>
        <w:rPr>
          <w:sz w:val="20"/>
          <w:szCs w:val="20"/>
        </w:rPr>
        <w:t>ributions could be delayed for several quarters (if GSK ultimately does not consent) or perhaps not made at all until the completion of the initiatives (to the extent that GSK does consent and agrees with TRC that TRC funding will be used for such initiati</w:t>
      </w:r>
      <w:r>
        <w:rPr>
          <w:sz w:val="20"/>
          <w:szCs w:val="20"/>
        </w:rPr>
        <w:t>ves). On June 10, 2020, we disclosed in a Form 8-K that we had formally objected to TRC and Innoviva, as the manager of TRC, regarding their proposed plan to use TRELEGY royalties to invest in certain privately-held companies, funds that would otherwise be</w:t>
      </w:r>
      <w:r>
        <w:rPr>
          <w:sz w:val="20"/>
          <w:szCs w:val="20"/>
        </w:rPr>
        <w:t xml:space="preserve"> available for distribution to us under the terms of the TRC LLC Agreement. In this regard, we initiated an arbitration proceeding in October 2020 against Innoviva and TRC, challenging the authority of Innoviva and TRC to pursue such a business plan rather</w:t>
      </w:r>
      <w:r>
        <w:rPr>
          <w:sz w:val="20"/>
          <w:szCs w:val="20"/>
        </w:rPr>
        <w:t xml:space="preserve"> than distribute such funds to us in a manner that we believe is consistent with the TRC LLC Agreement and our 85% economic interest in TRC. The arbitration hearing was held during the week of February 16, 2021, with post-hearing briefing and arguments tak</w:t>
      </w:r>
      <w:r>
        <w:rPr>
          <w:sz w:val="20"/>
          <w:szCs w:val="20"/>
        </w:rPr>
        <w:t xml:space="preserve">ing place over the following few weeks. On March 30, 2021, the arbitrator ruled that, at its current levels of investment, Innoviva and TRC had not breached the LLC Agreement. The arbitrator further ruled that Innoviva and TRC had not breached the implied </w:t>
      </w:r>
      <w:r>
        <w:rPr>
          <w:sz w:val="20"/>
          <w:szCs w:val="20"/>
        </w:rPr>
        <w:t xml:space="preserve">covenant of good faith and fair dealing; or their fiduciary duties. The arbitrator also ruled that (i) Innoviva is entitled to indemnification from TRC for all legal fees and expenses reasonably incurred in the arbitration and (ii) we are entitled to </w:t>
      </w:r>
    </w:p>
    <w:p w:rsidR="00000000" w:rsidRDefault="00E52F77">
      <w:pPr>
        <w:pStyle w:val="a3"/>
        <w:spacing w:before="360" w:beforeAutospacing="0" w:after="0" w:afterAutospacing="0"/>
        <w:jc w:val="center"/>
        <w:divId w:val="1015421854"/>
        <w:rPr>
          <w:sz w:val="20"/>
          <w:szCs w:val="20"/>
        </w:rPr>
      </w:pPr>
      <w:r>
        <w:rPr>
          <w:sz w:val="20"/>
          <w:szCs w:val="20"/>
        </w:rPr>
        <w:t>44</w:t>
      </w:r>
    </w:p>
    <w:p w:rsidR="00000000" w:rsidRDefault="00E52F77">
      <w:pPr>
        <w:pStyle w:val="a3"/>
        <w:spacing w:before="0" w:beforeAutospacing="0" w:after="600" w:afterAutospacing="0"/>
        <w:divId w:val="1151094527"/>
        <w:rPr>
          <w:sz w:val="20"/>
          <w:szCs w:val="20"/>
        </w:rPr>
      </w:pPr>
      <w:hyperlink w:anchor="TOC" w:history="1">
        <w:r>
          <w:rPr>
            <w:rStyle w:val="a4"/>
            <w:sz w:val="20"/>
            <w:szCs w:val="20"/>
          </w:rPr>
          <w:t>Table of Contents</w:t>
        </w:r>
      </w:hyperlink>
    </w:p>
    <w:p w:rsidR="00000000" w:rsidRDefault="00E52F77">
      <w:pPr>
        <w:pStyle w:val="a3"/>
        <w:spacing w:before="0" w:beforeAutospacing="0" w:after="200" w:afterAutospacing="0"/>
        <w:divId w:val="1963881318"/>
        <w:rPr>
          <w:sz w:val="20"/>
          <w:szCs w:val="20"/>
        </w:rPr>
      </w:pPr>
      <w:r>
        <w:rPr>
          <w:sz w:val="20"/>
          <w:szCs w:val="20"/>
        </w:rPr>
        <w:t>indemnification from TRC for legal fees and costs incurred in defending an action Innoviva brought against us in the Delaware Court of Chancery. The arbitrator noted in the ruling that although we failed to show t</w:t>
      </w:r>
      <w:r>
        <w:rPr>
          <w:sz w:val="20"/>
          <w:szCs w:val="20"/>
        </w:rPr>
        <w:t>hat Innoviva’s investment activities, at the current levels of investment, have or will have a material and adverse effect on our economic interest in TRC, this does not mean that any future investments or actions will not require our consent. The arbitrat</w:t>
      </w:r>
      <w:r>
        <w:rPr>
          <w:sz w:val="20"/>
          <w:szCs w:val="20"/>
        </w:rPr>
        <w:t xml:space="preserve">or noted in the ruling that we may, in the future, have a consent right over the decision to continue this investment strategy or whether to make a particular investment if, for example, Innoviva develops a track record of poor investments, over allocates </w:t>
      </w:r>
      <w:r>
        <w:rPr>
          <w:sz w:val="20"/>
          <w:szCs w:val="20"/>
        </w:rPr>
        <w:t xml:space="preserve">royalties to these investment activities, or fails to distribute sufficient investment returns, and such facts cause the strategy or investment to have a material adverse effect on our economic interest in TRC. </w:t>
      </w:r>
    </w:p>
    <w:p w:rsidR="00000000" w:rsidRDefault="00E52F77">
      <w:pPr>
        <w:pStyle w:val="a3"/>
        <w:spacing w:before="0" w:beforeAutospacing="0" w:after="200" w:afterAutospacing="0"/>
        <w:ind w:firstLine="720"/>
        <w:divId w:val="1963881318"/>
        <w:rPr>
          <w:sz w:val="20"/>
          <w:szCs w:val="20"/>
        </w:rPr>
      </w:pPr>
      <w:r>
        <w:rPr>
          <w:sz w:val="20"/>
          <w:szCs w:val="20"/>
        </w:rPr>
        <w:t>Accordingly, our economic interest in TRC LL</w:t>
      </w:r>
      <w:r>
        <w:rPr>
          <w:sz w:val="20"/>
          <w:szCs w:val="20"/>
        </w:rPr>
        <w:t>C involves a number of risks and uncertainties, including:</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63881318"/>
        </w:trPr>
        <w:tc>
          <w:tcPr>
            <w:tcW w:w="720" w:type="dxa"/>
            <w:tcMar>
              <w:top w:w="0" w:type="dxa"/>
              <w:left w:w="0" w:type="dxa"/>
              <w:bottom w:w="0" w:type="dxa"/>
              <w:right w:w="0" w:type="dxa"/>
            </w:tcMar>
            <w:vAlign w:val="center"/>
            <w:hideMark/>
          </w:tcPr>
          <w:p w:rsidR="00000000" w:rsidRDefault="00E52F77">
            <w:pPr>
              <w:rPr>
                <w:sz w:val="20"/>
                <w:szCs w:val="20"/>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any future withholding by Innoviva or TRC of royalty distributions and decisions made by Innoviva, as TRC’s manager, regarding the timing and amount of distributions;</w:t>
            </w:r>
          </w:p>
        </w:tc>
      </w:tr>
    </w:tbl>
    <w:p w:rsidR="00000000" w:rsidRDefault="00E52F77">
      <w:pPr>
        <w:divId w:val="196388131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63881318"/>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the amount of cash ass</w:t>
            </w:r>
            <w:r>
              <w:rPr>
                <w:sz w:val="20"/>
                <w:szCs w:val="20"/>
              </w:rPr>
              <w:t>ociated with any additional future investments for which Innoviva expends TRC funds;</w:t>
            </w:r>
          </w:p>
        </w:tc>
      </w:tr>
    </w:tbl>
    <w:p w:rsidR="00000000" w:rsidRDefault="00E52F77">
      <w:pPr>
        <w:divId w:val="196388131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216"/>
      </w:tblGrid>
      <w:tr w:rsidR="00000000">
        <w:trPr>
          <w:divId w:val="1963881318"/>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GSK’s ability to have an adequate supply of TRELEGY product;</w:t>
            </w:r>
          </w:p>
        </w:tc>
      </w:tr>
    </w:tbl>
    <w:p w:rsidR="00000000" w:rsidRDefault="00E52F77">
      <w:pPr>
        <w:divId w:val="196388131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63881318"/>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ongoing compliance by GSK or its suppliers with the FDA’s current Good Manufacturing Practice;</w:t>
            </w:r>
          </w:p>
        </w:tc>
      </w:tr>
    </w:tbl>
    <w:p w:rsidR="00000000" w:rsidRDefault="00E52F77">
      <w:pPr>
        <w:divId w:val="196388131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63881318"/>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compliance with other applicable FDA and other regulatory requirements in the US or other foreign jurisdictions, including those described elsewhere in this</w:t>
            </w:r>
            <w:r>
              <w:rPr>
                <w:sz w:val="20"/>
                <w:szCs w:val="20"/>
              </w:rPr>
              <w:t xml:space="preserve"> report;</w:t>
            </w:r>
          </w:p>
        </w:tc>
      </w:tr>
    </w:tbl>
    <w:p w:rsidR="00000000" w:rsidRDefault="00E52F77">
      <w:pPr>
        <w:divId w:val="196388131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63881318"/>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competition, whether from current competitors or new products developed by others in the future;</w:t>
            </w:r>
          </w:p>
        </w:tc>
      </w:tr>
    </w:tbl>
    <w:p w:rsidR="00000000" w:rsidRDefault="00E52F77">
      <w:pPr>
        <w:divId w:val="196388131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111"/>
      </w:tblGrid>
      <w:tr w:rsidR="00000000">
        <w:trPr>
          <w:divId w:val="1963881318"/>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claims relating to intellectual property;</w:t>
            </w:r>
          </w:p>
        </w:tc>
      </w:tr>
    </w:tbl>
    <w:p w:rsidR="00000000" w:rsidRDefault="00E52F77">
      <w:pPr>
        <w:divId w:val="196388131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63881318"/>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any future disruptions in GSK’</w:t>
            </w:r>
            <w:r>
              <w:rPr>
                <w:sz w:val="20"/>
                <w:szCs w:val="20"/>
              </w:rPr>
              <w:t>s business which would affect its ability to commercialize TRELEGY, including, disruptions due to the COVID-19 pandemic;</w:t>
            </w:r>
          </w:p>
        </w:tc>
      </w:tr>
    </w:tbl>
    <w:p w:rsidR="00000000" w:rsidRDefault="00E52F77">
      <w:pPr>
        <w:divId w:val="196388131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63881318"/>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the ability of TRELEGY to achieve wider acceptance among physicians, patients, third-party payors, or the medical community in gen</w:t>
            </w:r>
            <w:r>
              <w:rPr>
                <w:sz w:val="20"/>
                <w:szCs w:val="20"/>
              </w:rPr>
              <w:t>eral;</w:t>
            </w:r>
          </w:p>
        </w:tc>
      </w:tr>
    </w:tbl>
    <w:p w:rsidR="00000000" w:rsidRDefault="00E52F77">
      <w:pPr>
        <w:divId w:val="196388131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63881318"/>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the amount of cash associated with any additional future TRELEGY commercialization initiatives that Innoviva proposes to GSK for TRC to pursue, the time it may take to present those initiatives to GSK for approval and the time it takes for GSK to consent o</w:t>
            </w:r>
            <w:r>
              <w:rPr>
                <w:sz w:val="20"/>
                <w:szCs w:val="20"/>
              </w:rPr>
              <w:t>r not consent;</w:t>
            </w:r>
          </w:p>
        </w:tc>
      </w:tr>
    </w:tbl>
    <w:p w:rsidR="00000000" w:rsidRDefault="00E52F77">
      <w:pPr>
        <w:divId w:val="196388131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267"/>
      </w:tblGrid>
      <w:tr w:rsidR="00000000">
        <w:trPr>
          <w:divId w:val="1963881318"/>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global economic conditions;</w:t>
            </w:r>
          </w:p>
        </w:tc>
      </w:tr>
    </w:tbl>
    <w:p w:rsidR="00000000" w:rsidRDefault="00E52F77">
      <w:pPr>
        <w:divId w:val="196388131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63881318"/>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the resolution of any disputes between Innoviva and TRC, on the one hand, and us, on the other, regarding the timing of distributions, the amount of distributions, and the proper business activities of TRC; and</w:t>
            </w:r>
          </w:p>
        </w:tc>
      </w:tr>
    </w:tbl>
    <w:p w:rsidR="00000000" w:rsidRDefault="00E52F77">
      <w:pPr>
        <w:divId w:val="196388131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321"/>
      </w:tblGrid>
      <w:tr w:rsidR="00000000">
        <w:trPr>
          <w:divId w:val="1963881318"/>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any of the other risks relating to comme</w:t>
            </w:r>
            <w:r>
              <w:rPr>
                <w:sz w:val="20"/>
                <w:szCs w:val="20"/>
              </w:rPr>
              <w:t>rcialization of TRELEGY.</w:t>
            </w:r>
          </w:p>
        </w:tc>
      </w:tr>
    </w:tbl>
    <w:p w:rsidR="00000000" w:rsidRDefault="00E52F77">
      <w:pPr>
        <w:pStyle w:val="a3"/>
        <w:spacing w:before="0" w:beforeAutospacing="0" w:after="200" w:afterAutospacing="0"/>
        <w:ind w:firstLine="720"/>
        <w:divId w:val="1963881318"/>
        <w:rPr>
          <w:sz w:val="20"/>
          <w:szCs w:val="20"/>
        </w:rPr>
      </w:pPr>
      <w:r>
        <w:rPr>
          <w:sz w:val="20"/>
          <w:szCs w:val="20"/>
        </w:rPr>
        <w:t>These risks and uncertainties could materially impact the amount and timing of future royalties or other revenues we may receive from sales of TRELEGY, which could have a material adverse effect on our future revenues, other finan</w:t>
      </w:r>
      <w:r>
        <w:rPr>
          <w:sz w:val="20"/>
          <w:szCs w:val="20"/>
        </w:rPr>
        <w:t>cial results and our financial position and cause the price of our securities to fall.</w:t>
      </w:r>
      <w:r>
        <w:rPr>
          <w:i/>
          <w:iCs/>
          <w:sz w:val="20"/>
          <w:szCs w:val="20"/>
        </w:rPr>
        <w:t xml:space="preserve"> </w:t>
      </w:r>
    </w:p>
    <w:p w:rsidR="00000000" w:rsidRDefault="00E52F77">
      <w:pPr>
        <w:pStyle w:val="a3"/>
        <w:spacing w:before="0" w:beforeAutospacing="0" w:after="200" w:afterAutospacing="0"/>
        <w:divId w:val="1963881318"/>
        <w:rPr>
          <w:sz w:val="20"/>
          <w:szCs w:val="20"/>
        </w:rPr>
      </w:pPr>
      <w:r>
        <w:rPr>
          <w:sz w:val="20"/>
          <w:szCs w:val="20"/>
        </w:rPr>
        <w:t>In the future, Innoviva may cause TRC to withhold funds from distribution to its members, including our affiliates, for purposes consistent with the 2019 and 2021 arbit</w:t>
      </w:r>
      <w:r>
        <w:rPr>
          <w:sz w:val="20"/>
          <w:szCs w:val="20"/>
        </w:rPr>
        <w:t>ration rulings, or otherwise. Accordingly, we cannot predict the amount of the funds that our affiliates would otherwise expect to receive from TRC that TRC may withhold in the future, or the timing of any such withholding.</w:t>
      </w:r>
    </w:p>
    <w:p w:rsidR="00000000" w:rsidRDefault="00E52F77">
      <w:pPr>
        <w:pStyle w:val="a3"/>
        <w:spacing w:before="0" w:beforeAutospacing="0" w:after="0" w:afterAutospacing="0"/>
        <w:ind w:firstLine="720"/>
        <w:divId w:val="1963881318"/>
        <w:rPr>
          <w:sz w:val="20"/>
          <w:szCs w:val="20"/>
        </w:rPr>
      </w:pPr>
      <w:r>
        <w:rPr>
          <w:sz w:val="20"/>
          <w:szCs w:val="20"/>
        </w:rPr>
        <w:t>We may object to the withholding</w:t>
      </w:r>
      <w:r>
        <w:rPr>
          <w:sz w:val="20"/>
          <w:szCs w:val="20"/>
        </w:rPr>
        <w:t xml:space="preserve"> of funds in the future on the basis that such withholding is in violation of the terms of the TRC LLC Agreement, as interpreted by the 2019 and 2021 arbitration rulings, or otherwise, and such objection could result in additional legal proceedings between</w:t>
      </w:r>
      <w:r>
        <w:rPr>
          <w:sz w:val="20"/>
          <w:szCs w:val="20"/>
        </w:rPr>
        <w:t xml:space="preserve"> us, TRC and Innoviva. Any such legal proceedings could divert the attention of management and cause us to incur significant costs, regardless of the outcome, which we cannot predict. An </w:t>
      </w:r>
    </w:p>
    <w:p w:rsidR="00000000" w:rsidRDefault="00E52F77">
      <w:pPr>
        <w:pStyle w:val="a3"/>
        <w:spacing w:before="360" w:beforeAutospacing="0" w:after="0" w:afterAutospacing="0"/>
        <w:jc w:val="center"/>
        <w:divId w:val="1051073784"/>
        <w:rPr>
          <w:sz w:val="20"/>
          <w:szCs w:val="20"/>
        </w:rPr>
      </w:pPr>
      <w:r>
        <w:rPr>
          <w:sz w:val="20"/>
          <w:szCs w:val="20"/>
        </w:rPr>
        <w:t>45</w:t>
      </w:r>
    </w:p>
    <w:p w:rsidR="00000000" w:rsidRDefault="00E52F77">
      <w:pPr>
        <w:pStyle w:val="a3"/>
        <w:spacing w:before="0" w:beforeAutospacing="0" w:after="600" w:afterAutospacing="0"/>
        <w:divId w:val="1625110486"/>
        <w:rPr>
          <w:sz w:val="20"/>
          <w:szCs w:val="20"/>
        </w:rPr>
      </w:pPr>
      <w:hyperlink w:anchor="TOC" w:history="1">
        <w:r>
          <w:rPr>
            <w:rStyle w:val="a4"/>
            <w:sz w:val="20"/>
            <w:szCs w:val="20"/>
          </w:rPr>
          <w:t>Table of Contents</w:t>
        </w:r>
      </w:hyperlink>
    </w:p>
    <w:p w:rsidR="00000000" w:rsidRDefault="00E52F77">
      <w:pPr>
        <w:pStyle w:val="a3"/>
        <w:spacing w:before="0" w:beforeAutospacing="0" w:after="200" w:afterAutospacing="0"/>
        <w:divId w:val="911739670"/>
        <w:rPr>
          <w:sz w:val="20"/>
          <w:szCs w:val="20"/>
        </w:rPr>
      </w:pPr>
      <w:r>
        <w:rPr>
          <w:sz w:val="20"/>
          <w:szCs w:val="20"/>
        </w:rPr>
        <w:t xml:space="preserve">adverse result could </w:t>
      </w:r>
      <w:r>
        <w:rPr>
          <w:sz w:val="20"/>
          <w:szCs w:val="20"/>
        </w:rPr>
        <w:t>materially and adversely affect the funds that our affiliates would otherwise expect to receive from TRC in the future and thus have a material adverse effect on our business, financial condition, and results of operations.</w:t>
      </w:r>
    </w:p>
    <w:p w:rsidR="00000000" w:rsidRDefault="00E52F77">
      <w:pPr>
        <w:pStyle w:val="a3"/>
        <w:spacing w:before="0" w:beforeAutospacing="0" w:after="120" w:afterAutospacing="0"/>
        <w:divId w:val="911739670"/>
        <w:rPr>
          <w:sz w:val="20"/>
          <w:szCs w:val="20"/>
        </w:rPr>
      </w:pPr>
      <w:r>
        <w:rPr>
          <w:b/>
          <w:bCs/>
          <w:i/>
          <w:iCs/>
          <w:sz w:val="20"/>
          <w:szCs w:val="20"/>
        </w:rPr>
        <w:t>Our ongoing drug discovery and d</w:t>
      </w:r>
      <w:r>
        <w:rPr>
          <w:b/>
          <w:bCs/>
          <w:i/>
          <w:iCs/>
          <w:sz w:val="20"/>
          <w:szCs w:val="20"/>
        </w:rPr>
        <w:t>evelopment efforts might not generate additional successful product candidates or approvable drugs.</w:t>
      </w:r>
    </w:p>
    <w:p w:rsidR="00000000" w:rsidRDefault="00E52F77">
      <w:pPr>
        <w:pStyle w:val="a3"/>
        <w:spacing w:before="0" w:beforeAutospacing="0" w:after="200" w:afterAutospacing="0"/>
        <w:ind w:firstLine="720"/>
        <w:divId w:val="911739670"/>
        <w:rPr>
          <w:sz w:val="20"/>
          <w:szCs w:val="20"/>
        </w:rPr>
      </w:pPr>
      <w:r>
        <w:rPr>
          <w:sz w:val="20"/>
          <w:szCs w:val="20"/>
        </w:rPr>
        <w:t>Our compounds in clinical trials and our future leads for potential drug compounds are subject to the risks and failures inherent in the development of phar</w:t>
      </w:r>
      <w:r>
        <w:rPr>
          <w:sz w:val="20"/>
          <w:szCs w:val="20"/>
        </w:rPr>
        <w:t>maceutical products. These risks include, but are not limited to, the inherent difficulty in selecting the right drug and drug target and avoiding unwanted side effects, as well as unanticipated problems relating to product development, testing, enrollment</w:t>
      </w:r>
      <w:r>
        <w:rPr>
          <w:sz w:val="20"/>
          <w:szCs w:val="20"/>
        </w:rPr>
        <w:t>, obtaining regulatory approvals, maintaining regulatory compliance, manufacturing, competition and costs and expenses that may exceed current estimates.</w:t>
      </w:r>
    </w:p>
    <w:p w:rsidR="00000000" w:rsidRDefault="00E52F77">
      <w:pPr>
        <w:pStyle w:val="a3"/>
        <w:spacing w:before="0" w:beforeAutospacing="0" w:after="200" w:afterAutospacing="0"/>
        <w:ind w:firstLine="720"/>
        <w:divId w:val="911739670"/>
        <w:rPr>
          <w:sz w:val="20"/>
          <w:szCs w:val="20"/>
        </w:rPr>
      </w:pPr>
      <w:r>
        <w:rPr>
          <w:sz w:val="20"/>
          <w:szCs w:val="20"/>
        </w:rPr>
        <w:t>Clinical studies involving our product candidates may reveal that those candidates are ineffective, in</w:t>
      </w:r>
      <w:r>
        <w:rPr>
          <w:sz w:val="20"/>
          <w:szCs w:val="20"/>
        </w:rPr>
        <w:t>ferior to existing approved medicines, unacceptably toxic, or that they have other unacceptable side effects. In addition, the results of preclinical studies do not necessarily predict clinical success, and larger and later-stage clinical studies may not p</w:t>
      </w:r>
      <w:r>
        <w:rPr>
          <w:sz w:val="20"/>
          <w:szCs w:val="20"/>
        </w:rPr>
        <w:t>roduce the same results as earlier-stage clinical studies.</w:t>
      </w:r>
    </w:p>
    <w:p w:rsidR="00000000" w:rsidRDefault="00E52F77">
      <w:pPr>
        <w:pStyle w:val="a3"/>
        <w:spacing w:before="0" w:beforeAutospacing="0" w:after="200" w:afterAutospacing="0"/>
        <w:ind w:firstLine="720"/>
        <w:divId w:val="911739670"/>
        <w:rPr>
          <w:sz w:val="20"/>
          <w:szCs w:val="20"/>
        </w:rPr>
      </w:pPr>
      <w:r>
        <w:rPr>
          <w:sz w:val="20"/>
          <w:szCs w:val="20"/>
        </w:rPr>
        <w:t>Frequently, product candidates that have shown promising results in early preclinical or clinical studies have subsequently suffered significant setbacks or failed in later non-clinical or clinical studies. In some instances, there can be significant varia</w:t>
      </w:r>
      <w:r>
        <w:rPr>
          <w:sz w:val="20"/>
          <w:szCs w:val="20"/>
        </w:rPr>
        <w:t>bility in safety and/or efficacy results between different trials of the same product candidate due to numerous factors, including changes in trial protocols, differences in size and type of the patient populations, varying levels of adherence to the dosin</w:t>
      </w:r>
      <w:r>
        <w:rPr>
          <w:sz w:val="20"/>
          <w:szCs w:val="20"/>
        </w:rPr>
        <w:t>g regimen and other trial protocols and the rate of dropout among clinical trial participants. Clinical and non-clinical studies of product candidates often reveal that it is not possible or practical to continue development efforts for these product candi</w:t>
      </w:r>
      <w:r>
        <w:rPr>
          <w:sz w:val="20"/>
          <w:szCs w:val="20"/>
        </w:rPr>
        <w:t>dates. In addition, the design of a clinical trial can determine whether its results will support regulatory approval and flaws in the design of a clinical trial may not become apparent until the clinical trial is well underway or completed. If our clinica</w:t>
      </w:r>
      <w:r>
        <w:rPr>
          <w:sz w:val="20"/>
          <w:szCs w:val="20"/>
        </w:rPr>
        <w:t>l studies for our current product candidates, such as the clinical studies for our JAK inhibitor programs or ampreloxetine in patients with nOH, are substantially delayed or suggest that any of our product candidates may not be efficacious or well tolerate</w:t>
      </w:r>
      <w:r>
        <w:rPr>
          <w:sz w:val="20"/>
          <w:szCs w:val="20"/>
        </w:rPr>
        <w:t>d, we could choose to cease development of these product candidates. In addition, our product candidates may have undesirable side effects or other unexpected characteristics that could cause us or regulatory authorities to interrupt, delay or halt clinica</w:t>
      </w:r>
      <w:r>
        <w:rPr>
          <w:sz w:val="20"/>
          <w:szCs w:val="20"/>
        </w:rPr>
        <w:t>l trials and could result in a more restricted label or the delay or denial of regulatory approval by regulatory authorities.</w:t>
      </w:r>
    </w:p>
    <w:p w:rsidR="00000000" w:rsidRDefault="00E52F77">
      <w:pPr>
        <w:pStyle w:val="a3"/>
        <w:spacing w:before="0" w:beforeAutospacing="0" w:after="120" w:afterAutospacing="0"/>
        <w:divId w:val="911739670"/>
        <w:rPr>
          <w:sz w:val="20"/>
          <w:szCs w:val="20"/>
        </w:rPr>
      </w:pPr>
      <w:r>
        <w:rPr>
          <w:b/>
          <w:bCs/>
          <w:i/>
          <w:iCs/>
          <w:sz w:val="20"/>
          <w:szCs w:val="20"/>
        </w:rPr>
        <w:t>We face substantial competition from companies with more resources and experience than we have, which may result in others discove</w:t>
      </w:r>
      <w:r>
        <w:rPr>
          <w:b/>
          <w:bCs/>
          <w:i/>
          <w:iCs/>
          <w:sz w:val="20"/>
          <w:szCs w:val="20"/>
        </w:rPr>
        <w:t>ring, developing, receiving approval for or commercializing products before or more successfully than we do.</w:t>
      </w:r>
    </w:p>
    <w:p w:rsidR="00000000" w:rsidRDefault="00E52F77">
      <w:pPr>
        <w:pStyle w:val="a3"/>
        <w:spacing w:before="0" w:beforeAutospacing="0" w:after="200" w:afterAutospacing="0"/>
        <w:ind w:firstLine="720"/>
        <w:divId w:val="911739670"/>
        <w:rPr>
          <w:sz w:val="20"/>
          <w:szCs w:val="20"/>
        </w:rPr>
      </w:pPr>
      <w:r>
        <w:rPr>
          <w:sz w:val="20"/>
          <w:szCs w:val="20"/>
        </w:rPr>
        <w:t>Our ability to succeed in the future depends on our ability to demonstrate and maintain a competitive advantage with respect to our approach to the</w:t>
      </w:r>
      <w:r>
        <w:rPr>
          <w:sz w:val="20"/>
          <w:szCs w:val="20"/>
        </w:rPr>
        <w:t xml:space="preserve"> discovery, development and commercialization of medicines. Our objective is to discover, develop and commercialize new small molecule medicines with superior efficacy, convenience, tolerability and/or safety using our proprietary insight in chemistry, bio</w:t>
      </w:r>
      <w:r>
        <w:rPr>
          <w:sz w:val="20"/>
          <w:szCs w:val="20"/>
        </w:rPr>
        <w:t>logy and multivalency, where applicable. We expect that any medicines that we commercialize with or without our collaborative partners will compete with existing or future market-leading medicines.</w:t>
      </w:r>
    </w:p>
    <w:p w:rsidR="00000000" w:rsidRDefault="00E52F77">
      <w:pPr>
        <w:pStyle w:val="a3"/>
        <w:spacing w:before="0" w:beforeAutospacing="0" w:after="200" w:afterAutospacing="0"/>
        <w:ind w:firstLine="720"/>
        <w:divId w:val="911739670"/>
        <w:rPr>
          <w:sz w:val="20"/>
          <w:szCs w:val="20"/>
        </w:rPr>
      </w:pPr>
      <w:r>
        <w:rPr>
          <w:sz w:val="20"/>
          <w:szCs w:val="20"/>
        </w:rPr>
        <w:t>Many of our current and potential competitors have substan</w:t>
      </w:r>
      <w:r>
        <w:rPr>
          <w:sz w:val="20"/>
          <w:szCs w:val="20"/>
        </w:rPr>
        <w:t>tially greater financial, technical and personnel resources than we have. In addition, many of these competitors have significantly greater commercial infrastructures than we have. Our ability to compete successfully will depend largely on our ability to l</w:t>
      </w:r>
      <w:r>
        <w:rPr>
          <w:sz w:val="20"/>
          <w:szCs w:val="20"/>
        </w:rPr>
        <w:t>everage our experience in drug discovery and development, and, more recently, commercialization, to:</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476"/>
      </w:tblGrid>
      <w:tr w:rsidR="00000000">
        <w:trPr>
          <w:divId w:val="911739670"/>
        </w:trPr>
        <w:tc>
          <w:tcPr>
            <w:tcW w:w="720" w:type="dxa"/>
            <w:tcMar>
              <w:top w:w="0" w:type="dxa"/>
              <w:left w:w="0" w:type="dxa"/>
              <w:bottom w:w="0" w:type="dxa"/>
              <w:right w:w="0" w:type="dxa"/>
            </w:tcMar>
            <w:vAlign w:val="center"/>
            <w:hideMark/>
          </w:tcPr>
          <w:p w:rsidR="00000000" w:rsidRDefault="00E52F77">
            <w:pPr>
              <w:rPr>
                <w:sz w:val="20"/>
                <w:szCs w:val="20"/>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discover and develop medicines that are superior to other products in the market;</w:t>
            </w:r>
          </w:p>
        </w:tc>
      </w:tr>
    </w:tbl>
    <w:p w:rsidR="00000000" w:rsidRDefault="00E52F77">
      <w:pPr>
        <w:divId w:val="91173967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988"/>
      </w:tblGrid>
      <w:tr w:rsidR="00000000">
        <w:trPr>
          <w:divId w:val="911739670"/>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attract and retain qualified personnel;</w:t>
            </w:r>
          </w:p>
        </w:tc>
      </w:tr>
    </w:tbl>
    <w:p w:rsidR="00000000" w:rsidRDefault="00E52F77">
      <w:pPr>
        <w:divId w:val="91173967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11739670"/>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obtain and enforce p</w:t>
            </w:r>
            <w:r>
              <w:rPr>
                <w:sz w:val="20"/>
                <w:szCs w:val="20"/>
              </w:rPr>
              <w:t>atent and/or other proprietary protection for our medicines and technologies;</w:t>
            </w:r>
          </w:p>
        </w:tc>
      </w:tr>
    </w:tbl>
    <w:p w:rsidR="00000000" w:rsidRDefault="00E52F77">
      <w:pPr>
        <w:divId w:val="91173967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831"/>
      </w:tblGrid>
      <w:tr w:rsidR="00000000">
        <w:trPr>
          <w:divId w:val="911739670"/>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conduct effective clinical trials and obtain required regulatory approvals;</w:t>
            </w:r>
          </w:p>
        </w:tc>
      </w:tr>
    </w:tbl>
    <w:p w:rsidR="00000000" w:rsidRDefault="00E52F77">
      <w:pPr>
        <w:divId w:val="91173967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11739670"/>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develop and effectively implement commercialization strategies, with or without collaborative partners; and</w:t>
            </w:r>
          </w:p>
        </w:tc>
      </w:tr>
    </w:tbl>
    <w:p w:rsidR="00000000" w:rsidRDefault="00E52F77">
      <w:pPr>
        <w:pStyle w:val="a3"/>
        <w:spacing w:before="360" w:beforeAutospacing="0" w:after="0" w:afterAutospacing="0"/>
        <w:jc w:val="center"/>
        <w:divId w:val="1218394517"/>
        <w:rPr>
          <w:sz w:val="20"/>
          <w:szCs w:val="20"/>
        </w:rPr>
      </w:pPr>
      <w:r>
        <w:rPr>
          <w:sz w:val="20"/>
          <w:szCs w:val="20"/>
        </w:rPr>
        <w:t>46</w:t>
      </w:r>
    </w:p>
    <w:p w:rsidR="00000000" w:rsidRDefault="00E52F77">
      <w:pPr>
        <w:pStyle w:val="a3"/>
        <w:spacing w:before="0" w:beforeAutospacing="0" w:after="600" w:afterAutospacing="0"/>
        <w:divId w:val="641353860"/>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313565008"/>
        </w:trPr>
        <w:tc>
          <w:tcPr>
            <w:tcW w:w="720" w:type="dxa"/>
            <w:tcMar>
              <w:top w:w="0" w:type="dxa"/>
              <w:left w:w="0" w:type="dxa"/>
              <w:bottom w:w="0" w:type="dxa"/>
              <w:right w:w="0" w:type="dxa"/>
            </w:tcMar>
            <w:vAlign w:val="center"/>
            <w:hideMark/>
          </w:tcPr>
          <w:p w:rsidR="00000000" w:rsidRDefault="00E52F77">
            <w:pPr>
              <w:rPr>
                <w:sz w:val="20"/>
                <w:szCs w:val="20"/>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successfully collaborate with pharmaceutical companies in the discovery, development and commerci</w:t>
            </w:r>
            <w:r>
              <w:rPr>
                <w:sz w:val="20"/>
                <w:szCs w:val="20"/>
              </w:rPr>
              <w:t>alization of new medicines.</w:t>
            </w:r>
          </w:p>
        </w:tc>
      </w:tr>
    </w:tbl>
    <w:p w:rsidR="00000000" w:rsidRDefault="00E52F77">
      <w:pPr>
        <w:pStyle w:val="a3"/>
        <w:spacing w:before="0" w:beforeAutospacing="0" w:after="200" w:afterAutospacing="0"/>
        <w:ind w:firstLine="720"/>
        <w:divId w:val="1313565008"/>
        <w:rPr>
          <w:sz w:val="20"/>
          <w:szCs w:val="20"/>
        </w:rPr>
      </w:pPr>
      <w:r>
        <w:rPr>
          <w:sz w:val="20"/>
          <w:szCs w:val="20"/>
        </w:rPr>
        <w:t>Pharmaceutical companies, including companies with which we collaborate, may invest heavily to quickly discover and develop or in-license novel compounds that could make our product candidates obsolete. Accordingly, our competi</w:t>
      </w:r>
      <w:r>
        <w:rPr>
          <w:sz w:val="20"/>
          <w:szCs w:val="20"/>
        </w:rPr>
        <w:t>tors may succeed in obtaining patent protection, receiving FDA or equivalent regulatory approval outside the US or discovering, developing and commercializing medicines before we do. Other companies are engaged in the discovery of medicines that would comp</w:t>
      </w:r>
      <w:r>
        <w:rPr>
          <w:sz w:val="20"/>
          <w:szCs w:val="20"/>
        </w:rPr>
        <w:t>ete with the product candidates that we are developing.</w:t>
      </w:r>
    </w:p>
    <w:p w:rsidR="00000000" w:rsidRDefault="00E52F77">
      <w:pPr>
        <w:pStyle w:val="a3"/>
        <w:spacing w:before="0" w:beforeAutospacing="0" w:after="200" w:afterAutospacing="0"/>
        <w:ind w:firstLine="720"/>
        <w:divId w:val="1313565008"/>
        <w:rPr>
          <w:sz w:val="20"/>
          <w:szCs w:val="20"/>
        </w:rPr>
      </w:pPr>
      <w:r>
        <w:rPr>
          <w:sz w:val="20"/>
          <w:szCs w:val="20"/>
        </w:rPr>
        <w:t>Any new medicine that competes with a generic or proprietary market leading medicine must demonstrate compelling advantages in efficacy, convenience, tolerability and/or safety in order to overcome se</w:t>
      </w:r>
      <w:r>
        <w:rPr>
          <w:sz w:val="20"/>
          <w:szCs w:val="20"/>
        </w:rPr>
        <w:t>vere price competition and be commercially successful. For example, YUPELRI competes predominantly with the nebulized LAMA Lonhal</w:t>
      </w:r>
      <w:r>
        <w:rPr>
          <w:sz w:val="20"/>
          <w:szCs w:val="20"/>
        </w:rPr>
        <w:t>a</w:t>
      </w:r>
      <w:r>
        <w:rPr>
          <w:sz w:val="15"/>
          <w:szCs w:val="15"/>
          <w:vertAlign w:val="superscript"/>
        </w:rPr>
        <w:t>®</w:t>
      </w:r>
      <w:r>
        <w:rPr>
          <w:sz w:val="20"/>
          <w:szCs w:val="20"/>
        </w:rPr>
        <w:t xml:space="preserve"> Magnai</w:t>
      </w:r>
      <w:r>
        <w:rPr>
          <w:sz w:val="20"/>
          <w:szCs w:val="20"/>
        </w:rPr>
        <w:t>r</w:t>
      </w:r>
      <w:r>
        <w:rPr>
          <w:sz w:val="15"/>
          <w:szCs w:val="15"/>
          <w:vertAlign w:val="superscript"/>
        </w:rPr>
        <w:t>®</w:t>
      </w:r>
      <w:r>
        <w:rPr>
          <w:sz w:val="20"/>
          <w:szCs w:val="20"/>
        </w:rPr>
        <w:t xml:space="preserve"> (glycopyrrolate) dosed two times per day and with short acting nebulized bronchodilators that are dosed three to fo</w:t>
      </w:r>
      <w:r>
        <w:rPr>
          <w:sz w:val="20"/>
          <w:szCs w:val="20"/>
        </w:rPr>
        <w:t>ur times per day. If we are not able to compete effectively against our current and future competitors, our business will not grow, our financial condition and operations will suffer and the price of our securities could fall.</w:t>
      </w:r>
    </w:p>
    <w:p w:rsidR="00000000" w:rsidRDefault="00E52F77">
      <w:pPr>
        <w:pStyle w:val="a3"/>
        <w:spacing w:before="0" w:beforeAutospacing="0" w:after="120" w:afterAutospacing="0"/>
        <w:divId w:val="1313565008"/>
        <w:rPr>
          <w:sz w:val="20"/>
          <w:szCs w:val="20"/>
        </w:rPr>
      </w:pPr>
      <w:r>
        <w:rPr>
          <w:b/>
          <w:bCs/>
          <w:i/>
          <w:iCs/>
          <w:sz w:val="20"/>
          <w:szCs w:val="20"/>
        </w:rPr>
        <w:t>If we are unable to enter int</w:t>
      </w:r>
      <w:r>
        <w:rPr>
          <w:b/>
          <w:bCs/>
          <w:i/>
          <w:iCs/>
          <w:sz w:val="20"/>
          <w:szCs w:val="20"/>
        </w:rPr>
        <w:t>o future collaboration arrangements or if any such collaborations with third parties are unsuccessful, we will be unable to fully develop and commercialize all of our product candidates and our business will be adversely affected.</w:t>
      </w:r>
    </w:p>
    <w:p w:rsidR="00000000" w:rsidRDefault="00E52F77">
      <w:pPr>
        <w:pStyle w:val="a3"/>
        <w:spacing w:before="0" w:beforeAutospacing="0" w:after="200" w:afterAutospacing="0"/>
        <w:ind w:firstLine="720"/>
        <w:divId w:val="1313565008"/>
        <w:rPr>
          <w:sz w:val="20"/>
          <w:szCs w:val="20"/>
        </w:rPr>
      </w:pPr>
      <w:r>
        <w:rPr>
          <w:sz w:val="20"/>
          <w:szCs w:val="20"/>
        </w:rPr>
        <w:t>We have collaborations wi</w:t>
      </w:r>
      <w:r>
        <w:rPr>
          <w:sz w:val="20"/>
          <w:szCs w:val="20"/>
        </w:rPr>
        <w:t>th a number of third parties including Janssen for izencitinib and related back-up compounds for inflammatory intestinal diseases, including ulcerative colitis and Crohn’s disease and Viatris for the development and commercialization of a nebulized formula</w:t>
      </w:r>
      <w:r>
        <w:rPr>
          <w:sz w:val="20"/>
          <w:szCs w:val="20"/>
        </w:rPr>
        <w:t>tion of revefenacin, our LAMA compound (including YUPELRI). Also, through our interest in TRC we may participate economically in Innoviva’s collaborations with GSK with respect to the GSK-Partnered Respiratory Programs. Additional collaborations will likel</w:t>
      </w:r>
      <w:r>
        <w:rPr>
          <w:sz w:val="20"/>
          <w:szCs w:val="20"/>
        </w:rPr>
        <w:t>y be needed to fund later-stage development of certain programs that have not been licensed to a collaborator and to commercialize the product candidates in our programs if approved by the necessary regulatory authorities. We evaluate commercial strategy o</w:t>
      </w:r>
      <w:r>
        <w:rPr>
          <w:sz w:val="20"/>
          <w:szCs w:val="20"/>
        </w:rPr>
        <w:t>n a product by product basis either to engage pharmaceutical or other healthcare companies with an existing sales and marketing organization and distribution system to market, sell and distribute our products or to commercialize a product ourselves. Howeve</w:t>
      </w:r>
      <w:r>
        <w:rPr>
          <w:sz w:val="20"/>
          <w:szCs w:val="20"/>
        </w:rPr>
        <w:t>r, we may not be able to establish these sales and distribution relationships on acceptable terms, or at all, or may encounter difficulties in commercializing a product ourselves. For any of our product candidates that receive regulatory approval in the fu</w:t>
      </w:r>
      <w:r>
        <w:rPr>
          <w:sz w:val="20"/>
          <w:szCs w:val="20"/>
        </w:rPr>
        <w:t>ture and are not covered by our current collaboration agreements, we will need a partner in order to commercialize such products unless we establish independent sales, marketing and distribution capabilities with appropriate technical expertise and support</w:t>
      </w:r>
      <w:r>
        <w:rPr>
          <w:sz w:val="20"/>
          <w:szCs w:val="20"/>
        </w:rPr>
        <w:t>ing infrastructure.</w:t>
      </w:r>
    </w:p>
    <w:p w:rsidR="00000000" w:rsidRDefault="00E52F77">
      <w:pPr>
        <w:pStyle w:val="a3"/>
        <w:spacing w:before="0" w:beforeAutospacing="0" w:after="200" w:afterAutospacing="0"/>
        <w:ind w:firstLine="720"/>
        <w:divId w:val="1313565008"/>
        <w:rPr>
          <w:sz w:val="20"/>
          <w:szCs w:val="20"/>
        </w:rPr>
      </w:pPr>
      <w:r>
        <w:rPr>
          <w:sz w:val="20"/>
          <w:szCs w:val="20"/>
        </w:rPr>
        <w:t>Collaborations with third parties regarding our programs may require us to relinquish material rights, including revenue from commercialization of our medicines, or to assume material ongoing development obligations that we would have to fund. These collab</w:t>
      </w:r>
      <w:r>
        <w:rPr>
          <w:sz w:val="20"/>
          <w:szCs w:val="20"/>
        </w:rPr>
        <w:t>oration arrangements are complex and time-consuming to negotiate, and if we are unable to reach agreements with third-party collaborators, we may fail to meet our business objectives and our financial condition may be adversely affected. We face significan</w:t>
      </w:r>
      <w:r>
        <w:rPr>
          <w:sz w:val="20"/>
          <w:szCs w:val="20"/>
        </w:rPr>
        <w:t>t competition in seeking third-party collaborators. We may be unable to find third parties to pursue product collaborations on a timely basis or on acceptable terms. Furthermore, for any collaboration, we may not be able to control the amount of time and r</w:t>
      </w:r>
      <w:r>
        <w:rPr>
          <w:sz w:val="20"/>
          <w:szCs w:val="20"/>
        </w:rPr>
        <w:t>esources that our partners devote to our product candidates and our partners may choose to prioritize alternative programs or otherwise be unsuccessful in their efforts with respect to our products or product candidates. In addition, effective collaboratio</w:t>
      </w:r>
      <w:r>
        <w:rPr>
          <w:sz w:val="20"/>
          <w:szCs w:val="20"/>
        </w:rPr>
        <w:t>n with a partner requires coordination to achieve complex and detail-intensive goals between entities that potentially have different priorities, capabilities and processes and successful navigation of the challenges such coordination entails. For example,</w:t>
      </w:r>
      <w:r>
        <w:rPr>
          <w:sz w:val="20"/>
          <w:szCs w:val="20"/>
        </w:rPr>
        <w:t xml:space="preserve"> Viatris has a substantial existing product portfolio and other considerations that influence its resource allocation, and other priorities and internal organizational processes that differ from our own. As a result of these differing interests and process</w:t>
      </w:r>
      <w:r>
        <w:rPr>
          <w:sz w:val="20"/>
          <w:szCs w:val="20"/>
        </w:rPr>
        <w:t>es, Viatris may take actions that it believes are in its best interest but which might not be in the best interests of either us or our other shareholders. Our inability to successfully collaborate with third parties would increase our development costs an</w:t>
      </w:r>
      <w:r>
        <w:rPr>
          <w:sz w:val="20"/>
          <w:szCs w:val="20"/>
        </w:rPr>
        <w:t xml:space="preserve">d may cause us to choose not to continue development of certain product candidates, would limit the likelihood of successful commercialization of some of our product candidates, may cause us not to continue commercialization of our authorized products and </w:t>
      </w:r>
      <w:r>
        <w:rPr>
          <w:sz w:val="20"/>
          <w:szCs w:val="20"/>
        </w:rPr>
        <w:t>could cause the price of our securities to fall.</w:t>
      </w:r>
    </w:p>
    <w:p w:rsidR="00000000" w:rsidRDefault="00E52F77">
      <w:pPr>
        <w:pStyle w:val="a3"/>
        <w:spacing w:before="360" w:beforeAutospacing="0" w:after="0" w:afterAutospacing="0"/>
        <w:jc w:val="center"/>
        <w:divId w:val="1304192966"/>
        <w:rPr>
          <w:sz w:val="20"/>
          <w:szCs w:val="20"/>
        </w:rPr>
      </w:pPr>
      <w:r>
        <w:rPr>
          <w:sz w:val="20"/>
          <w:szCs w:val="20"/>
        </w:rPr>
        <w:t>47</w:t>
      </w:r>
    </w:p>
    <w:p w:rsidR="00000000" w:rsidRDefault="00E52F77">
      <w:pPr>
        <w:pStyle w:val="a3"/>
        <w:spacing w:before="0" w:beforeAutospacing="0" w:after="600" w:afterAutospacing="0"/>
        <w:divId w:val="991253141"/>
        <w:rPr>
          <w:sz w:val="20"/>
          <w:szCs w:val="20"/>
        </w:rPr>
      </w:pPr>
      <w:hyperlink w:anchor="TOC" w:history="1">
        <w:r>
          <w:rPr>
            <w:rStyle w:val="a4"/>
            <w:sz w:val="20"/>
            <w:szCs w:val="20"/>
          </w:rPr>
          <w:t>Table of Contents</w:t>
        </w:r>
      </w:hyperlink>
    </w:p>
    <w:p w:rsidR="00000000" w:rsidRDefault="00E52F77">
      <w:pPr>
        <w:pStyle w:val="a3"/>
        <w:spacing w:before="0" w:beforeAutospacing="0" w:after="120" w:afterAutospacing="0"/>
        <w:divId w:val="161629943"/>
        <w:rPr>
          <w:sz w:val="20"/>
          <w:szCs w:val="20"/>
        </w:rPr>
      </w:pPr>
      <w:r>
        <w:rPr>
          <w:b/>
          <w:bCs/>
          <w:i/>
          <w:iCs/>
          <w:sz w:val="20"/>
          <w:szCs w:val="20"/>
        </w:rPr>
        <w:t>We depend on third parties in the conduct of our non-clinical and clinical studies for our product candidates.</w:t>
      </w:r>
    </w:p>
    <w:p w:rsidR="00000000" w:rsidRDefault="00E52F77">
      <w:pPr>
        <w:pStyle w:val="a3"/>
        <w:spacing w:before="0" w:beforeAutospacing="0" w:after="200" w:afterAutospacing="0"/>
        <w:ind w:firstLine="720"/>
        <w:divId w:val="161629943"/>
        <w:rPr>
          <w:sz w:val="20"/>
          <w:szCs w:val="20"/>
        </w:rPr>
      </w:pPr>
      <w:r>
        <w:rPr>
          <w:sz w:val="20"/>
          <w:szCs w:val="20"/>
        </w:rPr>
        <w:t xml:space="preserve">We depend on independent clinical investigators, </w:t>
      </w:r>
      <w:r>
        <w:rPr>
          <w:sz w:val="20"/>
          <w:szCs w:val="20"/>
        </w:rPr>
        <w:t>contract research and manufacturing organizations and other third-party service providers in the conduct of our non-clinical and clinical studies for our product candidates. We rely heavily on these parties for execution of our non-clinical and clinical st</w:t>
      </w:r>
      <w:r>
        <w:rPr>
          <w:sz w:val="20"/>
          <w:szCs w:val="20"/>
        </w:rPr>
        <w:t>udies, and control only certain aspects of their activities. Nevertheless, we are responsible for ensuring that our clinical studies are conducted in accordance with good clinical, laboratory and manufacturing practices (“GXPs”) and other regulations as re</w:t>
      </w:r>
      <w:r>
        <w:rPr>
          <w:sz w:val="20"/>
          <w:szCs w:val="20"/>
        </w:rPr>
        <w:t>quired by the FDA and foreign regulatory authorities, and the applicable protocol. Failure by these parties to comply with applicable regulations and practices in conducting studies of our product candidates can result in a delay in our development program</w:t>
      </w:r>
      <w:r>
        <w:rPr>
          <w:sz w:val="20"/>
          <w:szCs w:val="20"/>
        </w:rPr>
        <w:t>s or non-approval of our product candidates by regulatory authorities. Furthermore, to the extent the operations of these third parties are disrupted as result of the COVID-19 pandemic or otherwise, our development programs could be delayed.</w:t>
      </w:r>
    </w:p>
    <w:p w:rsidR="00000000" w:rsidRDefault="00E52F77">
      <w:pPr>
        <w:pStyle w:val="a3"/>
        <w:spacing w:before="0" w:beforeAutospacing="0" w:after="200" w:afterAutospacing="0"/>
        <w:ind w:firstLine="720"/>
        <w:divId w:val="161629943"/>
        <w:rPr>
          <w:sz w:val="20"/>
          <w:szCs w:val="20"/>
        </w:rPr>
      </w:pPr>
      <w:r>
        <w:rPr>
          <w:sz w:val="20"/>
          <w:szCs w:val="20"/>
        </w:rPr>
        <w:t>The FDA, and e</w:t>
      </w:r>
      <w:r>
        <w:rPr>
          <w:sz w:val="20"/>
          <w:szCs w:val="20"/>
        </w:rPr>
        <w:t>quivalent authorities in third countries, enforces GXPs and other regulations through periodic inspections of trial sponsors, clinical research organizations (“CROs”), principal investigators and trial sites. If we or any of the third parties on which we h</w:t>
      </w:r>
      <w:r>
        <w:rPr>
          <w:sz w:val="20"/>
          <w:szCs w:val="20"/>
        </w:rPr>
        <w:t>ave relied to conduct our clinical studies are determined to have failed to comply with GXPs (or other equivalent regulations outside the US), the study protocol or applicable regulations, the clinical data generated in our studies may be deemed unreliable</w:t>
      </w:r>
      <w:r>
        <w:rPr>
          <w:sz w:val="20"/>
          <w:szCs w:val="20"/>
        </w:rPr>
        <w:t>. This could result in non-approval of our product candidates by the FDA, or equivalent authorities in other countries, or we, the FDA, or equivalent authorities in other countries may decide to conduct additional audits or require additional clinical stud</w:t>
      </w:r>
      <w:r>
        <w:rPr>
          <w:sz w:val="20"/>
          <w:szCs w:val="20"/>
        </w:rPr>
        <w:t>ies, which would delay our development programs, could result in significant additional costs and cause the price of our securities to fall.</w:t>
      </w:r>
    </w:p>
    <w:p w:rsidR="00000000" w:rsidRDefault="00E52F77">
      <w:pPr>
        <w:pStyle w:val="a3"/>
        <w:spacing w:before="0" w:beforeAutospacing="0" w:after="120" w:afterAutospacing="0"/>
        <w:divId w:val="161629943"/>
        <w:rPr>
          <w:sz w:val="20"/>
          <w:szCs w:val="20"/>
        </w:rPr>
      </w:pPr>
      <w:r>
        <w:rPr>
          <w:b/>
          <w:bCs/>
          <w:i/>
          <w:iCs/>
          <w:sz w:val="20"/>
          <w:szCs w:val="20"/>
        </w:rPr>
        <w:t>There is a single source of supply for a number of our product candidates and for YUPELRI, and our business will be</w:t>
      </w:r>
      <w:r>
        <w:rPr>
          <w:b/>
          <w:bCs/>
          <w:i/>
          <w:iCs/>
          <w:sz w:val="20"/>
          <w:szCs w:val="20"/>
        </w:rPr>
        <w:t xml:space="preserve"> harmed if any of these single-source manufacturers are not able to satisfy demand and alternative sources are not available.</w:t>
      </w:r>
    </w:p>
    <w:p w:rsidR="00000000" w:rsidRDefault="00E52F77">
      <w:pPr>
        <w:pStyle w:val="a3"/>
        <w:spacing w:before="0" w:beforeAutospacing="0" w:after="120" w:afterAutospacing="0"/>
        <w:divId w:val="161629943"/>
        <w:rPr>
          <w:sz w:val="20"/>
          <w:szCs w:val="20"/>
        </w:rPr>
      </w:pPr>
      <w:r>
        <w:rPr>
          <w:sz w:val="20"/>
          <w:szCs w:val="20"/>
        </w:rPr>
        <w:t>We have limited in-house production capabilities for preclinical and clinical study purposes and depend primarily on a number of t</w:t>
      </w:r>
      <w:r>
        <w:rPr>
          <w:sz w:val="20"/>
          <w:szCs w:val="20"/>
        </w:rPr>
        <w:t>hird-party Active Pharmaceutical Ingredient (“API”) and drug product manufacturers. We may not have long-term agreements with these third parties and our agreements with these parties may be terminable at will by either party at any time. In addition, ther</w:t>
      </w:r>
      <w:r>
        <w:rPr>
          <w:sz w:val="20"/>
          <w:szCs w:val="20"/>
        </w:rPr>
        <w:t>e is a single supplier of YUPELRI API and a single supplier of YUPELRI drug product. If, for any reason, any of these third-party manufacturers are unable or unwilling to perform, or if their performance does not meet regulatory requirements, alternative m</w:t>
      </w:r>
      <w:r>
        <w:rPr>
          <w:sz w:val="20"/>
          <w:szCs w:val="20"/>
        </w:rPr>
        <w:t xml:space="preserve">anufacturers may not be available or may not be available on acceptable terms. Any inability to acquire sufficient quantities of API and drug product in a timely manner from these third parties could delay preclinical and clinical studies, prevent us from </w:t>
      </w:r>
      <w:r>
        <w:rPr>
          <w:sz w:val="20"/>
          <w:szCs w:val="20"/>
        </w:rPr>
        <w:t>developing our product candidates in a cost-effective manner or on a timely basis or adversely impact the commercialization of YUPELRI. In addition, manufacturers of our API and drug product are subject to the FDA’s current Good Manufacturing Practice (“cG</w:t>
      </w:r>
      <w:r>
        <w:rPr>
          <w:sz w:val="20"/>
          <w:szCs w:val="20"/>
        </w:rPr>
        <w:t>MP”) regulations and similar foreign standards and we do not have control over compliance with these regulations by our manufacturers.</w:t>
      </w:r>
    </w:p>
    <w:p w:rsidR="00000000" w:rsidRDefault="00E52F77">
      <w:pPr>
        <w:pStyle w:val="a3"/>
        <w:spacing w:before="0" w:beforeAutospacing="0" w:after="200" w:afterAutospacing="0"/>
        <w:ind w:firstLine="720"/>
        <w:divId w:val="161629943"/>
        <w:rPr>
          <w:sz w:val="20"/>
          <w:szCs w:val="20"/>
        </w:rPr>
      </w:pPr>
      <w:r>
        <w:rPr>
          <w:sz w:val="20"/>
          <w:szCs w:val="20"/>
        </w:rPr>
        <w:t>Our manufacturing strategy presents the following additional risks:</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1629943"/>
        </w:trPr>
        <w:tc>
          <w:tcPr>
            <w:tcW w:w="720" w:type="dxa"/>
            <w:tcMar>
              <w:top w:w="0" w:type="dxa"/>
              <w:left w:w="0" w:type="dxa"/>
              <w:bottom w:w="0" w:type="dxa"/>
              <w:right w:w="0" w:type="dxa"/>
            </w:tcMar>
            <w:vAlign w:val="center"/>
            <w:hideMark/>
          </w:tcPr>
          <w:p w:rsidR="00000000" w:rsidRDefault="00E52F77">
            <w:pPr>
              <w:rPr>
                <w:sz w:val="20"/>
                <w:szCs w:val="20"/>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because of the complex nature of many of our compo</w:t>
            </w:r>
            <w:r>
              <w:rPr>
                <w:sz w:val="20"/>
                <w:szCs w:val="20"/>
              </w:rPr>
              <w:t>unds, our manufacturers may not be able to successfully manufacture our APIs and/or drug products in a cost-effective and/or timely manner and changing manufacturers for our APIs or drug products could involve lengthy technology transfer, validation and re</w:t>
            </w:r>
            <w:r>
              <w:rPr>
                <w:sz w:val="20"/>
                <w:szCs w:val="20"/>
              </w:rPr>
              <w:t>gulatory qualification activities for the new manufacturer;</w:t>
            </w:r>
          </w:p>
        </w:tc>
      </w:tr>
    </w:tbl>
    <w:p w:rsidR="00000000" w:rsidRDefault="00E52F77">
      <w:pPr>
        <w:divId w:val="16162994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1629943"/>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the processes required to manufacture certain of our APIs and drug products are specialized and available only from a limited number of third-party manufacturers;</w:t>
            </w:r>
          </w:p>
        </w:tc>
      </w:tr>
    </w:tbl>
    <w:p w:rsidR="00000000" w:rsidRDefault="00E52F77">
      <w:pPr>
        <w:divId w:val="16162994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1629943"/>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some of the manufacturing processes for our APIs and drug products have not been scaled to quantities needed for continued clinical studies or commercial sales, and delays in scale-up to higher quantities could delay clinical studies, regulatory submission</w:t>
            </w:r>
            <w:r>
              <w:rPr>
                <w:sz w:val="20"/>
                <w:szCs w:val="20"/>
              </w:rPr>
              <w:t>s and commercialization of our product candidates; and</w:t>
            </w:r>
          </w:p>
        </w:tc>
      </w:tr>
    </w:tbl>
    <w:p w:rsidR="00000000" w:rsidRDefault="00E52F77">
      <w:pPr>
        <w:divId w:val="16162994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1629943"/>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because some of the third-party manufacturers are located outside of the US, there may be difficulties in importing our APIs and drug products or their components into the US as a result of, among</w:t>
            </w:r>
            <w:r>
              <w:rPr>
                <w:sz w:val="20"/>
                <w:szCs w:val="20"/>
              </w:rPr>
              <w:t xml:space="preserve"> other things, FDA import inspections, incomplete or inaccurate import documentation or defective packaging.</w:t>
            </w:r>
          </w:p>
        </w:tc>
      </w:tr>
    </w:tbl>
    <w:p w:rsidR="00000000" w:rsidRDefault="00E52F77">
      <w:pPr>
        <w:pStyle w:val="a3"/>
        <w:spacing w:before="360" w:beforeAutospacing="0" w:after="0" w:afterAutospacing="0"/>
        <w:jc w:val="center"/>
        <w:divId w:val="278807163"/>
        <w:rPr>
          <w:sz w:val="20"/>
          <w:szCs w:val="20"/>
        </w:rPr>
      </w:pPr>
      <w:r>
        <w:rPr>
          <w:sz w:val="20"/>
          <w:szCs w:val="20"/>
        </w:rPr>
        <w:t>48</w:t>
      </w:r>
    </w:p>
    <w:p w:rsidR="00000000" w:rsidRDefault="00E52F77">
      <w:pPr>
        <w:pStyle w:val="a3"/>
        <w:spacing w:before="0" w:beforeAutospacing="0" w:after="600" w:afterAutospacing="0"/>
        <w:divId w:val="1317031864"/>
        <w:rPr>
          <w:sz w:val="20"/>
          <w:szCs w:val="20"/>
        </w:rPr>
      </w:pPr>
      <w:hyperlink w:anchor="TOC" w:history="1">
        <w:r>
          <w:rPr>
            <w:rStyle w:val="a4"/>
            <w:sz w:val="20"/>
            <w:szCs w:val="20"/>
          </w:rPr>
          <w:t>Table of Contents</w:t>
        </w:r>
      </w:hyperlink>
    </w:p>
    <w:p w:rsidR="00000000" w:rsidRDefault="00E52F77">
      <w:pPr>
        <w:pStyle w:val="a3"/>
        <w:spacing w:before="0" w:beforeAutospacing="0" w:after="120" w:afterAutospacing="0"/>
        <w:divId w:val="1927493320"/>
        <w:rPr>
          <w:sz w:val="20"/>
          <w:szCs w:val="20"/>
        </w:rPr>
      </w:pPr>
      <w:r>
        <w:rPr>
          <w:b/>
          <w:bCs/>
          <w:i/>
          <w:iCs/>
          <w:sz w:val="20"/>
          <w:szCs w:val="20"/>
        </w:rPr>
        <w:t xml:space="preserve">We have a significant amount of debt, including our Non-Recourse 2035 Notes and Convertible Senior </w:t>
      </w:r>
      <w:r>
        <w:rPr>
          <w:b/>
          <w:bCs/>
          <w:i/>
          <w:iCs/>
          <w:sz w:val="20"/>
          <w:szCs w:val="20"/>
        </w:rPr>
        <w:t xml:space="preserve">2023 Notes, that are senior in capital structure and cash flow, respectively, to holders of our ordinary shares. Satisfying the obligations relating to our debt could adversely affect the amount or timing of distributions to our shareholders. </w:t>
      </w:r>
    </w:p>
    <w:p w:rsidR="00000000" w:rsidRDefault="00E52F77">
      <w:pPr>
        <w:pStyle w:val="a3"/>
        <w:spacing w:before="0" w:beforeAutospacing="0" w:after="200" w:afterAutospacing="0"/>
        <w:ind w:firstLine="720"/>
        <w:divId w:val="1927493320"/>
        <w:rPr>
          <w:sz w:val="20"/>
          <w:szCs w:val="20"/>
        </w:rPr>
      </w:pPr>
      <w:r>
        <w:rPr>
          <w:sz w:val="20"/>
          <w:szCs w:val="20"/>
        </w:rPr>
        <w:t>As of June 3</w:t>
      </w:r>
      <w:r>
        <w:rPr>
          <w:sz w:val="20"/>
          <w:szCs w:val="20"/>
        </w:rPr>
        <w:t>0, 2021, we had $662.5 million in total long-term liabilities outstanding, comprised primarily of $380.0 million in net principal that remains outstanding under the Issuer II’s (defined below) Non-Recourse 2035 Notes and $230.0 million in principal that re</w:t>
      </w:r>
      <w:r>
        <w:rPr>
          <w:sz w:val="20"/>
          <w:szCs w:val="20"/>
        </w:rPr>
        <w:t>mains outstanding under our Convertible Senior 2023 Notes (together with the Non-Recourse 2035 Notes, the “Notes”).</w:t>
      </w:r>
    </w:p>
    <w:p w:rsidR="00000000" w:rsidRDefault="00E52F77">
      <w:pPr>
        <w:pStyle w:val="a3"/>
        <w:spacing w:before="0" w:beforeAutospacing="0" w:after="200" w:afterAutospacing="0"/>
        <w:ind w:firstLine="720"/>
        <w:divId w:val="1927493320"/>
        <w:rPr>
          <w:sz w:val="20"/>
          <w:szCs w:val="20"/>
        </w:rPr>
      </w:pPr>
      <w:r>
        <w:rPr>
          <w:sz w:val="20"/>
          <w:szCs w:val="20"/>
        </w:rPr>
        <w:t>The Convertible Senior 2023 Notes are unsecured debt and are not redeemable by us prior to the maturity date except for certain changes in t</w:t>
      </w:r>
      <w:r>
        <w:rPr>
          <w:sz w:val="20"/>
          <w:szCs w:val="20"/>
        </w:rPr>
        <w:t>ax law. Holders of the Convertible Senior 2023 Notes may require us to purchase all or any portion of their notes at 100% of their principal amount, plus any unpaid interest, upon a fundamental change such as a change of control of us or the termination of</w:t>
      </w:r>
      <w:r>
        <w:rPr>
          <w:sz w:val="20"/>
          <w:szCs w:val="20"/>
        </w:rPr>
        <w:t xml:space="preserve"> trading of our ordinary shares in accordance with the indenture governing the Convertible Senior 2023 Notes.</w:t>
      </w:r>
    </w:p>
    <w:p w:rsidR="00000000" w:rsidRDefault="00E52F77">
      <w:pPr>
        <w:pStyle w:val="a3"/>
        <w:spacing w:before="0" w:beforeAutospacing="0" w:after="200" w:afterAutospacing="0"/>
        <w:ind w:firstLine="720"/>
        <w:divId w:val="1927493320"/>
        <w:rPr>
          <w:sz w:val="20"/>
          <w:szCs w:val="20"/>
        </w:rPr>
      </w:pPr>
      <w:r>
        <w:rPr>
          <w:sz w:val="20"/>
          <w:szCs w:val="20"/>
        </w:rPr>
        <w:t>Until the Non-Recourse 2035 Notes are paid in full, holders of the Non-Recourse 2035 Notes have a perfected security interest in the Issuer II Cla</w:t>
      </w:r>
      <w:r>
        <w:rPr>
          <w:sz w:val="20"/>
          <w:szCs w:val="20"/>
        </w:rPr>
        <w:t>ss C Units that represent a 63.75% economic interest in any future payments that may be made by GSK to TRC under the strategic alliance agreement and under the portion of the collaboration agreement assigned to TRC by Innoviva (net of TRC expenses paid and</w:t>
      </w:r>
      <w:r>
        <w:rPr>
          <w:sz w:val="20"/>
          <w:szCs w:val="20"/>
        </w:rPr>
        <w:t xml:space="preserve"> the amount of cash, if any, expected to be used by TRC pursuant to the TRC LLC Agreement over the next four fiscal quarters) relating to the GSK-Partnered Respiratory Programs, including the TRELEGY program.</w:t>
      </w:r>
    </w:p>
    <w:p w:rsidR="00000000" w:rsidRDefault="00E52F77">
      <w:pPr>
        <w:pStyle w:val="a3"/>
        <w:spacing w:before="0" w:beforeAutospacing="0" w:after="200" w:afterAutospacing="0"/>
        <w:ind w:firstLine="720"/>
        <w:divId w:val="1927493320"/>
        <w:rPr>
          <w:sz w:val="20"/>
          <w:szCs w:val="20"/>
        </w:rPr>
      </w:pPr>
      <w:r>
        <w:rPr>
          <w:sz w:val="20"/>
          <w:szCs w:val="20"/>
        </w:rPr>
        <w:t>Prior to and including the December 5, 2024 pay</w:t>
      </w:r>
      <w:r>
        <w:rPr>
          <w:sz w:val="20"/>
          <w:szCs w:val="20"/>
        </w:rPr>
        <w:t xml:space="preserve">ment date, </w:t>
      </w:r>
      <w:r>
        <w:rPr>
          <w:sz w:val="20"/>
          <w:szCs w:val="20"/>
        </w:rPr>
        <w:t>t</w:t>
      </w:r>
      <w:r>
        <w:rPr>
          <w:sz w:val="20"/>
          <w:szCs w:val="20"/>
        </w:rPr>
        <w:t>he terms of the Non-Recourse 2035 Notes provide that in the event that the distributions received by the Issuer II from TRC in a quarter is less than the interest accrued for that quarter, the principal amount of the Non-Recourse 2035 Notes wil</w:t>
      </w:r>
      <w:r>
        <w:rPr>
          <w:sz w:val="20"/>
          <w:szCs w:val="20"/>
        </w:rPr>
        <w:t>l increase by the interest shortfall amount for that quarter. The terms of the Non-Recourse 2035 Notes also provide that Theravance Biopharma, at its option, may satisfy the quarterly interest payment obligations by making a capital contribution to the Iss</w:t>
      </w:r>
      <w:r>
        <w:rPr>
          <w:sz w:val="20"/>
          <w:szCs w:val="20"/>
        </w:rPr>
        <w:t>uer II.</w:t>
      </w:r>
    </w:p>
    <w:p w:rsidR="00000000" w:rsidRDefault="00E52F77">
      <w:pPr>
        <w:pStyle w:val="a3"/>
        <w:spacing w:before="0" w:beforeAutospacing="0" w:after="200" w:afterAutospacing="0"/>
        <w:ind w:firstLine="720"/>
        <w:divId w:val="1927493320"/>
        <w:rPr>
          <w:sz w:val="20"/>
          <w:szCs w:val="20"/>
        </w:rPr>
      </w:pPr>
      <w:r>
        <w:rPr>
          <w:sz w:val="20"/>
          <w:szCs w:val="20"/>
        </w:rPr>
        <w:t>Satisfying the obligations of these Notes could adversely affect the amount or timing of any distributions to our shareholders. In addition, the Non-Recourse 2035 Notes may be redeemed by Issuer II on and after February 28, 2022, in whole or in par</w:t>
      </w:r>
      <w:r>
        <w:rPr>
          <w:sz w:val="20"/>
          <w:szCs w:val="20"/>
        </w:rPr>
        <w:t xml:space="preserve">t, at specified redemption premiums. We may further choose to satisfy, repurchase, or refinance any Non-Recourse 2035 Notes, to the extent allowable, through public or private equity or debt financings if we deem such financings are available on favorable </w:t>
      </w:r>
      <w:r>
        <w:rPr>
          <w:sz w:val="20"/>
          <w:szCs w:val="20"/>
        </w:rPr>
        <w:t>terms. If any or all of the Convertible Senior 2023 Notes are not converted into our ordinary shares before the maturity date, we will have to pay the holders the full aggregate principal amount of the Convertible Senior 2023 Notes then outstanding. If the</w:t>
      </w:r>
      <w:r>
        <w:rPr>
          <w:sz w:val="20"/>
          <w:szCs w:val="20"/>
        </w:rPr>
        <w:t xml:space="preserve"> Non-Recourse 2035 Notes are not refinanced or paid in full the holders of the Non-Recourse 2035 Notes will have the right to foreclose on the Issuer II Class C Units that represent a 63.75% economic interest in future royalties due on net sales of TRELEGY</w:t>
      </w:r>
      <w:r>
        <w:rPr>
          <w:sz w:val="20"/>
          <w:szCs w:val="20"/>
        </w:rPr>
        <w:t xml:space="preserve"> and related assets. If the Issuer II Class C Units are foreclosed upon, we will lose any right to receive 75% of the future royalty payments made by GSK in connection with the net sales of TRELEGY and related assets. Any of the above payments could have a</w:t>
      </w:r>
      <w:r>
        <w:rPr>
          <w:sz w:val="20"/>
          <w:szCs w:val="20"/>
        </w:rPr>
        <w:t xml:space="preserve"> material adverse effect on our cash position. Our failure to satisfy these obligations may result in a default under the applicable indenture governing these Notes, which could result in a default under certain of our other debt instruments, if any. Any s</w:t>
      </w:r>
      <w:r>
        <w:rPr>
          <w:sz w:val="20"/>
          <w:szCs w:val="20"/>
        </w:rPr>
        <w:t>uch default would harm our business and the price of our securities could fall. For more information, see Part II—Item 7—Management’s Discussion and Analysis of Financial Condition and Results of Operations—Liquidity and Capital Resources</w:t>
      </w:r>
      <w:r>
        <w:rPr>
          <w:b/>
          <w:bCs/>
          <w:sz w:val="20"/>
          <w:szCs w:val="20"/>
        </w:rPr>
        <w:t>.</w:t>
      </w:r>
    </w:p>
    <w:p w:rsidR="00000000" w:rsidRDefault="00E52F77">
      <w:pPr>
        <w:pStyle w:val="a3"/>
        <w:spacing w:before="0" w:beforeAutospacing="0" w:after="120" w:afterAutospacing="0"/>
        <w:divId w:val="1927493320"/>
        <w:rPr>
          <w:sz w:val="20"/>
          <w:szCs w:val="20"/>
        </w:rPr>
      </w:pPr>
      <w:r>
        <w:rPr>
          <w:b/>
          <w:bCs/>
          <w:i/>
          <w:iCs/>
          <w:sz w:val="20"/>
          <w:szCs w:val="20"/>
        </w:rPr>
        <w:t>Servicing our Convertible Senior 2023 Notes requires a significant amount of cash, and we may not have sufficient cash flow from our business to pay our debt. Additionally, holders may require us to repurchase our Convertible Senior 2023 Notes under certai</w:t>
      </w:r>
      <w:r>
        <w:rPr>
          <w:b/>
          <w:bCs/>
          <w:i/>
          <w:iCs/>
          <w:sz w:val="20"/>
          <w:szCs w:val="20"/>
        </w:rPr>
        <w:t xml:space="preserve">n circumstances, and we may not have sufficient cash to do so. </w:t>
      </w:r>
    </w:p>
    <w:p w:rsidR="00000000" w:rsidRDefault="00E52F77">
      <w:pPr>
        <w:pStyle w:val="a3"/>
        <w:spacing w:before="0" w:beforeAutospacing="0" w:after="0" w:afterAutospacing="0"/>
        <w:ind w:firstLine="720"/>
        <w:divId w:val="1927493320"/>
        <w:rPr>
          <w:sz w:val="20"/>
          <w:szCs w:val="20"/>
        </w:rPr>
      </w:pPr>
      <w:r>
        <w:rPr>
          <w:sz w:val="20"/>
          <w:szCs w:val="20"/>
        </w:rPr>
        <w:t>Our ability to make interest or principal payments when due or to refinance the Convertible Senior 2023 Notes depends on our future performance, which is subject to economic, financial, compet</w:t>
      </w:r>
      <w:r>
        <w:rPr>
          <w:sz w:val="20"/>
          <w:szCs w:val="20"/>
        </w:rPr>
        <w:t>itive and other factors beyond our control. Our business may not generate cash flow from operations sufficient to satisfy our obligations under the Convertible Senior 2023 Notes and any future indebtedness we may incur and to make necessary capital expendi</w:t>
      </w:r>
      <w:r>
        <w:rPr>
          <w:sz w:val="20"/>
          <w:szCs w:val="20"/>
        </w:rPr>
        <w:t>tures. In addition, the issuance of the Non-Recourse 2035 Notes reduced the cash available for us to make interest or principal payments on, or to refinance, the Convertible Senior 2023 Notes. We may be required to adopt one or more alternatives, such as r</w:t>
      </w:r>
      <w:r>
        <w:rPr>
          <w:sz w:val="20"/>
          <w:szCs w:val="20"/>
        </w:rPr>
        <w:t>educing or delaying investments or capital expenditures, selling assets, refinancing or obtaining additional equity capital on terms that may be onerous or highly dilutive. Our ability to refinance the Convertible Senior 2023 Notes or future indebtedness w</w:t>
      </w:r>
      <w:r>
        <w:rPr>
          <w:sz w:val="20"/>
          <w:szCs w:val="20"/>
        </w:rPr>
        <w:t xml:space="preserve">ill </w:t>
      </w:r>
    </w:p>
    <w:p w:rsidR="00000000" w:rsidRDefault="00E52F77">
      <w:pPr>
        <w:pStyle w:val="a3"/>
        <w:spacing w:before="360" w:beforeAutospacing="0" w:after="0" w:afterAutospacing="0"/>
        <w:jc w:val="center"/>
        <w:divId w:val="1086078987"/>
        <w:rPr>
          <w:sz w:val="20"/>
          <w:szCs w:val="20"/>
        </w:rPr>
      </w:pPr>
      <w:r>
        <w:rPr>
          <w:sz w:val="20"/>
          <w:szCs w:val="20"/>
        </w:rPr>
        <w:t>49</w:t>
      </w:r>
    </w:p>
    <w:p w:rsidR="00000000" w:rsidRDefault="00E52F77">
      <w:pPr>
        <w:pStyle w:val="a3"/>
        <w:spacing w:before="0" w:beforeAutospacing="0" w:after="600" w:afterAutospacing="0"/>
        <w:divId w:val="23285613"/>
        <w:rPr>
          <w:sz w:val="20"/>
          <w:szCs w:val="20"/>
        </w:rPr>
      </w:pPr>
      <w:hyperlink w:anchor="TOC" w:history="1">
        <w:r>
          <w:rPr>
            <w:rStyle w:val="a4"/>
            <w:sz w:val="20"/>
            <w:szCs w:val="20"/>
          </w:rPr>
          <w:t>Table of Contents</w:t>
        </w:r>
      </w:hyperlink>
    </w:p>
    <w:p w:rsidR="00000000" w:rsidRDefault="00E52F77">
      <w:pPr>
        <w:pStyle w:val="a3"/>
        <w:spacing w:before="0" w:beforeAutospacing="0" w:after="200" w:afterAutospacing="0"/>
        <w:divId w:val="823544090"/>
        <w:rPr>
          <w:sz w:val="20"/>
          <w:szCs w:val="20"/>
        </w:rPr>
      </w:pPr>
      <w:r>
        <w:rPr>
          <w:sz w:val="20"/>
          <w:szCs w:val="20"/>
        </w:rPr>
        <w:t>depend on the capital markets and our financial condition at such time. We may not be able to engage in any of these activities on desirable terms or at all, which could result in a default on the Convert</w:t>
      </w:r>
      <w:r>
        <w:rPr>
          <w:sz w:val="20"/>
          <w:szCs w:val="20"/>
        </w:rPr>
        <w:t>ible Senior 2023 Notes or future indebtedness.</w:t>
      </w:r>
    </w:p>
    <w:p w:rsidR="00000000" w:rsidRDefault="00E52F77">
      <w:pPr>
        <w:pStyle w:val="a3"/>
        <w:spacing w:before="0" w:beforeAutospacing="0" w:after="200" w:afterAutospacing="0"/>
        <w:ind w:firstLine="720"/>
        <w:divId w:val="823544090"/>
        <w:rPr>
          <w:sz w:val="20"/>
          <w:szCs w:val="20"/>
        </w:rPr>
      </w:pPr>
      <w:r>
        <w:rPr>
          <w:sz w:val="20"/>
          <w:szCs w:val="20"/>
        </w:rPr>
        <w:t>The holders of the Convertible Senior 2023 Notes may have the right to require us to repurchase the Convertible Senior 2023 Notes upon the occurrence of a “fundamental change” such as a change of control of ou</w:t>
      </w:r>
      <w:r>
        <w:rPr>
          <w:sz w:val="20"/>
          <w:szCs w:val="20"/>
        </w:rPr>
        <w:t>r Company or the termination of trading of our ordinary shares, as defined in the indenture governing the Convertible Senior 2023 Notes. We may not have sufficient funds to repurchase the Convertible Senior 2023 Notes in cash or have the ability to arrange</w:t>
      </w:r>
      <w:r>
        <w:rPr>
          <w:sz w:val="20"/>
          <w:szCs w:val="20"/>
        </w:rPr>
        <w:t xml:space="preserve"> necessary financing on acceptable terms. Our failure to repurchase the Convertible Senior 2023 Notes when required would result in an event of default with respect to the Convertible Senior 2023 Notes. In addition, any acceleration of the repayment of the</w:t>
      </w:r>
      <w:r>
        <w:rPr>
          <w:sz w:val="20"/>
          <w:szCs w:val="20"/>
        </w:rPr>
        <w:t xml:space="preserve"> Convertible Senior 2023 Notes or future indebtedness after any applicable notice or grace periods could have a material adverse effect on our business, results of operations and financial condition.</w:t>
      </w:r>
    </w:p>
    <w:p w:rsidR="00000000" w:rsidRDefault="00E52F77">
      <w:pPr>
        <w:pStyle w:val="a3"/>
        <w:spacing w:before="0" w:beforeAutospacing="0" w:after="120" w:afterAutospacing="0"/>
        <w:divId w:val="823544090"/>
        <w:rPr>
          <w:sz w:val="20"/>
          <w:szCs w:val="20"/>
        </w:rPr>
      </w:pPr>
      <w:r>
        <w:rPr>
          <w:b/>
          <w:bCs/>
          <w:i/>
          <w:iCs/>
          <w:sz w:val="20"/>
          <w:szCs w:val="20"/>
        </w:rPr>
        <w:t>Our business and operations would suffer in the event of</w:t>
      </w:r>
      <w:r>
        <w:rPr>
          <w:b/>
          <w:bCs/>
          <w:i/>
          <w:iCs/>
          <w:sz w:val="20"/>
          <w:szCs w:val="20"/>
        </w:rPr>
        <w:t xml:space="preserve"> significant disruptions of information technology systems or security breaches.</w:t>
      </w:r>
    </w:p>
    <w:p w:rsidR="00000000" w:rsidRDefault="00E52F77">
      <w:pPr>
        <w:pStyle w:val="a3"/>
        <w:spacing w:before="0" w:beforeAutospacing="0" w:after="200" w:afterAutospacing="0"/>
        <w:ind w:firstLine="720"/>
        <w:divId w:val="823544090"/>
        <w:rPr>
          <w:sz w:val="20"/>
          <w:szCs w:val="20"/>
        </w:rPr>
      </w:pPr>
      <w:r>
        <w:rPr>
          <w:sz w:val="20"/>
          <w:szCs w:val="20"/>
        </w:rPr>
        <w:t xml:space="preserve">We rely extensively on computer systems to maintain information and manage our finances and business. In the ordinary course of business, we collect, store and transmit large </w:t>
      </w:r>
      <w:r>
        <w:rPr>
          <w:sz w:val="20"/>
          <w:szCs w:val="20"/>
        </w:rPr>
        <w:t>amounts of confidential information (including but not limited to trade secrets or other intellectual property, proprietary business information and personal information) and it is critical that we maintain the confidentiality and integrity of such confide</w:t>
      </w:r>
      <w:r>
        <w:rPr>
          <w:sz w:val="20"/>
          <w:szCs w:val="20"/>
        </w:rPr>
        <w:t>ntial information. Although we have security measures in place, our internal information technology systems and those of our CROs and other service providers, including cloud-based and hosted applications, data and services, are vulnerable to service inter</w:t>
      </w:r>
      <w:r>
        <w:rPr>
          <w:sz w:val="20"/>
          <w:szCs w:val="20"/>
        </w:rPr>
        <w:t>ruptions and security breaches from inadvertent or intentional actions by our employees, service providers and/or business partners, from cyber-attacks by malicious third parties, and/or from, natural disasters, terrorism, war and telecommunication and ele</w:t>
      </w:r>
      <w:r>
        <w:rPr>
          <w:sz w:val="20"/>
          <w:szCs w:val="20"/>
        </w:rPr>
        <w:t>ctrical failures. Cyber-attacks are increasing in their frequency, sophistication, and intensity, and have become increasingly difficult to detect. Significant disruptions of information technology systems or security breaches could adversely affect our bu</w:t>
      </w:r>
      <w:r>
        <w:rPr>
          <w:sz w:val="20"/>
          <w:szCs w:val="20"/>
        </w:rPr>
        <w:t>siness operations and result in financial, legal, business and reputational harm to us, including significant liability and/or significant disruption to our business. If a disruption of information technology systems or security breach results in a loss of</w:t>
      </w:r>
      <w:r>
        <w:rPr>
          <w:sz w:val="20"/>
          <w:szCs w:val="20"/>
        </w:rPr>
        <w:t xml:space="preserve"> or damage to our data or regulatory applications, unauthorized access, use, or disclosure of, or the prevention of access to, confidential information, or other harm to our business, we could incur liability and reputational harm, we could be required to </w:t>
      </w:r>
      <w:r>
        <w:rPr>
          <w:sz w:val="20"/>
          <w:szCs w:val="20"/>
        </w:rPr>
        <w:t>comply with federal and/or state breach notification laws and foreign law equivalents, we may incur legal expenses to protect our confidential information, the further development of our product candidates could be delayed and the price of our securities c</w:t>
      </w:r>
      <w:r>
        <w:rPr>
          <w:sz w:val="20"/>
          <w:szCs w:val="20"/>
        </w:rPr>
        <w:t xml:space="preserve">ould fall. For example, the loss of clinical trial data from completed or ongoing clinical trials of our product candidates could result in delays in our regulatory approval efforts and significantly increase our costs to recover or reproduce the data. As </w:t>
      </w:r>
      <w:r>
        <w:rPr>
          <w:sz w:val="20"/>
          <w:szCs w:val="20"/>
        </w:rPr>
        <w:t>another example, we may incur penalties imposed by the competent authorities in the EU Member States in case of breach of the EU rules governing the collection and processing of personal data, including unauthorized access to or disclosure of personal data</w:t>
      </w:r>
      <w:r>
        <w:rPr>
          <w:sz w:val="20"/>
          <w:szCs w:val="20"/>
        </w:rPr>
        <w:t>. Although we have security and fraud prevention measures in place, we have been subject to immaterial payment fraud activity. In 2017, we filed a lawsuit (which has since been resolved) against a former employee for misappropriation of our confidential, p</w:t>
      </w:r>
      <w:r>
        <w:rPr>
          <w:sz w:val="20"/>
          <w:szCs w:val="20"/>
        </w:rPr>
        <w:t>roprietary and trade secret information. Moreover, there can be no assurance that such security measures will prevent service interruptions or security breaches that could adversely affect our business. These same risks also apply to our partners and vendo</w:t>
      </w:r>
      <w:r>
        <w:rPr>
          <w:sz w:val="20"/>
          <w:szCs w:val="20"/>
        </w:rPr>
        <w:t>rs, who similarly hold sensitive and critical information related to our business in computer systems and are similarly potentially vulnerable to attack.</w:t>
      </w:r>
    </w:p>
    <w:p w:rsidR="00000000" w:rsidRDefault="00E52F77">
      <w:pPr>
        <w:pStyle w:val="a3"/>
        <w:spacing w:before="0" w:beforeAutospacing="0" w:after="120" w:afterAutospacing="0"/>
        <w:divId w:val="823544090"/>
        <w:rPr>
          <w:sz w:val="20"/>
          <w:szCs w:val="20"/>
        </w:rPr>
      </w:pPr>
      <w:r>
        <w:rPr>
          <w:b/>
          <w:bCs/>
          <w:i/>
          <w:iCs/>
          <w:sz w:val="20"/>
          <w:szCs w:val="20"/>
        </w:rPr>
        <w:t xml:space="preserve">If we lose key management or scientific personnel, or if we fail to attract and retain key employees, </w:t>
      </w:r>
      <w:r>
        <w:rPr>
          <w:b/>
          <w:bCs/>
          <w:i/>
          <w:iCs/>
          <w:sz w:val="20"/>
          <w:szCs w:val="20"/>
        </w:rPr>
        <w:t>our ability to discover and develop our product candidates and commercialize our products, if any, will be impaired.</w:t>
      </w:r>
    </w:p>
    <w:p w:rsidR="00000000" w:rsidRDefault="00E52F77">
      <w:pPr>
        <w:pStyle w:val="a3"/>
        <w:spacing w:before="0" w:beforeAutospacing="0" w:after="200" w:afterAutospacing="0"/>
        <w:ind w:firstLine="720"/>
        <w:divId w:val="823544090"/>
        <w:rPr>
          <w:sz w:val="20"/>
          <w:szCs w:val="20"/>
        </w:rPr>
      </w:pPr>
      <w:r>
        <w:rPr>
          <w:sz w:val="20"/>
          <w:szCs w:val="20"/>
        </w:rPr>
        <w:t>We are highly dependent on principal members of our management team and scientific staff, and in particular, our Chief Executive Officer, R</w:t>
      </w:r>
      <w:r>
        <w:rPr>
          <w:sz w:val="20"/>
          <w:szCs w:val="20"/>
        </w:rPr>
        <w:t>ick E Winningham, to operate our business. Mr. Winningham has significant pharmaceutical industry experience. The loss of Mr. Winningham’s services could impair our ability to discover, develop and commercialize new medicines.</w:t>
      </w:r>
    </w:p>
    <w:p w:rsidR="00000000" w:rsidRDefault="00E52F77">
      <w:pPr>
        <w:pStyle w:val="a3"/>
        <w:spacing w:before="0" w:beforeAutospacing="0" w:after="200" w:afterAutospacing="0"/>
        <w:ind w:firstLine="720"/>
        <w:divId w:val="823544090"/>
        <w:rPr>
          <w:sz w:val="20"/>
          <w:szCs w:val="20"/>
        </w:rPr>
      </w:pPr>
      <w:r>
        <w:rPr>
          <w:sz w:val="20"/>
          <w:szCs w:val="20"/>
        </w:rPr>
        <w:t>If we fail to retain our qual</w:t>
      </w:r>
      <w:r>
        <w:rPr>
          <w:sz w:val="20"/>
          <w:szCs w:val="20"/>
        </w:rPr>
        <w:t>ified personnel or replace them when they leave, we may be unable to continue our discovery, development and commercialization activities, which may cause the price of our securities to fall.</w:t>
      </w:r>
    </w:p>
    <w:p w:rsidR="00000000" w:rsidRDefault="00E52F77">
      <w:pPr>
        <w:pStyle w:val="a3"/>
        <w:spacing w:before="0" w:beforeAutospacing="0" w:after="0" w:afterAutospacing="0"/>
        <w:ind w:firstLine="720"/>
        <w:divId w:val="823544090"/>
        <w:rPr>
          <w:sz w:val="20"/>
          <w:szCs w:val="20"/>
        </w:rPr>
      </w:pPr>
      <w:r>
        <w:rPr>
          <w:sz w:val="20"/>
          <w:szCs w:val="20"/>
        </w:rPr>
        <w:t xml:space="preserve">In addition, our US operating subsidiary’s facility and most of </w:t>
      </w:r>
      <w:r>
        <w:rPr>
          <w:sz w:val="20"/>
          <w:szCs w:val="20"/>
        </w:rPr>
        <w:t xml:space="preserve">its employees are located in northern California, headquarters to many other biotechnology and biopharmaceutical companies and many academic and research institutions. </w:t>
      </w:r>
    </w:p>
    <w:p w:rsidR="00000000" w:rsidRDefault="00E52F77">
      <w:pPr>
        <w:pStyle w:val="a3"/>
        <w:spacing w:before="360" w:beforeAutospacing="0" w:after="0" w:afterAutospacing="0"/>
        <w:jc w:val="center"/>
        <w:divId w:val="115569234"/>
        <w:rPr>
          <w:sz w:val="20"/>
          <w:szCs w:val="20"/>
        </w:rPr>
      </w:pPr>
      <w:r>
        <w:rPr>
          <w:sz w:val="20"/>
          <w:szCs w:val="20"/>
        </w:rPr>
        <w:t>50</w:t>
      </w:r>
    </w:p>
    <w:p w:rsidR="00000000" w:rsidRDefault="00E52F77">
      <w:pPr>
        <w:pStyle w:val="a3"/>
        <w:spacing w:before="0" w:beforeAutospacing="0" w:after="600" w:afterAutospacing="0"/>
        <w:divId w:val="1696610679"/>
        <w:rPr>
          <w:sz w:val="20"/>
          <w:szCs w:val="20"/>
        </w:rPr>
      </w:pPr>
      <w:hyperlink w:anchor="TOC" w:history="1">
        <w:r>
          <w:rPr>
            <w:rStyle w:val="a4"/>
            <w:sz w:val="20"/>
            <w:szCs w:val="20"/>
          </w:rPr>
          <w:t>Table of Contents</w:t>
        </w:r>
      </w:hyperlink>
    </w:p>
    <w:p w:rsidR="00000000" w:rsidRDefault="00E52F77">
      <w:pPr>
        <w:pStyle w:val="a3"/>
        <w:spacing w:before="0" w:beforeAutospacing="0" w:after="200" w:afterAutospacing="0"/>
        <w:divId w:val="435902279"/>
        <w:rPr>
          <w:sz w:val="20"/>
          <w:szCs w:val="20"/>
        </w:rPr>
      </w:pPr>
      <w:r>
        <w:rPr>
          <w:sz w:val="20"/>
          <w:szCs w:val="20"/>
        </w:rPr>
        <w:t>As a result, competition for certain ski</w:t>
      </w:r>
      <w:r>
        <w:rPr>
          <w:sz w:val="20"/>
          <w:szCs w:val="20"/>
        </w:rPr>
        <w:t>lled personnel in our market is intense. None of our employees have employment commitments for any fixed period of time and they all may leave our employment at will. If we fail to retain our qualified personnel or replace them when they leave, we may be u</w:t>
      </w:r>
      <w:r>
        <w:rPr>
          <w:sz w:val="20"/>
          <w:szCs w:val="20"/>
        </w:rPr>
        <w:t>nable to continue our development and commercialization activities and the price of our securities could fall.</w:t>
      </w:r>
    </w:p>
    <w:p w:rsidR="00000000" w:rsidRDefault="00E52F77">
      <w:pPr>
        <w:pStyle w:val="a3"/>
        <w:spacing w:before="0" w:beforeAutospacing="0" w:after="120" w:afterAutospacing="0"/>
        <w:divId w:val="435902279"/>
        <w:rPr>
          <w:sz w:val="20"/>
          <w:szCs w:val="20"/>
        </w:rPr>
      </w:pPr>
      <w:r>
        <w:rPr>
          <w:b/>
          <w:bCs/>
          <w:i/>
          <w:iCs/>
          <w:sz w:val="20"/>
          <w:szCs w:val="20"/>
        </w:rPr>
        <w:t>Global economic, political and social conditions may harm our ability to do business, increase our costs and negatively affect our stock price.</w:t>
      </w:r>
    </w:p>
    <w:p w:rsidR="00000000" w:rsidRDefault="00E52F77">
      <w:pPr>
        <w:pStyle w:val="a3"/>
        <w:spacing w:before="0" w:beforeAutospacing="0" w:after="200" w:afterAutospacing="0"/>
        <w:ind w:firstLine="720"/>
        <w:divId w:val="435902279"/>
        <w:rPr>
          <w:sz w:val="20"/>
          <w:szCs w:val="20"/>
        </w:rPr>
      </w:pPr>
      <w:r>
        <w:rPr>
          <w:sz w:val="20"/>
          <w:szCs w:val="20"/>
        </w:rPr>
        <w:t>W</w:t>
      </w:r>
      <w:r>
        <w:rPr>
          <w:sz w:val="20"/>
          <w:szCs w:val="20"/>
        </w:rPr>
        <w:t>orldwide economic conditions remain uncertain due to the United Kingdom’s (“UK”) recent withdrawal from the EU (often referred to as “Brexit”), current global economic challenges, the COVID-19 pandemic, and other disruptions to global and regional economie</w:t>
      </w:r>
      <w:r>
        <w:rPr>
          <w:sz w:val="20"/>
          <w:szCs w:val="20"/>
        </w:rPr>
        <w:t>s and markets</w:t>
      </w:r>
      <w:r>
        <w:rPr>
          <w:sz w:val="20"/>
          <w:szCs w:val="20"/>
        </w:rPr>
        <w:t>.</w:t>
      </w:r>
    </w:p>
    <w:p w:rsidR="00000000" w:rsidRDefault="00E52F77">
      <w:pPr>
        <w:pStyle w:val="a3"/>
        <w:spacing w:before="0" w:beforeAutospacing="0" w:after="200" w:afterAutospacing="0"/>
        <w:ind w:firstLine="720"/>
        <w:divId w:val="435902279"/>
        <w:rPr>
          <w:sz w:val="20"/>
          <w:szCs w:val="20"/>
        </w:rPr>
      </w:pPr>
      <w:r>
        <w:rPr>
          <w:sz w:val="20"/>
          <w:szCs w:val="20"/>
        </w:rPr>
        <w:t>Brexit has created significant uncertainty about the future relationship between the UK and the EU, including with respect to the laws and regulations that will apply as the UK determines which EU laws to replace or replicate in the event of</w:t>
      </w:r>
      <w:r>
        <w:rPr>
          <w:sz w:val="20"/>
          <w:szCs w:val="20"/>
        </w:rPr>
        <w:t xml:space="preserve"> a withdrawal. From a regulatory perspective, the UK’s withdrawal bears significant complexity and risks. </w:t>
      </w:r>
    </w:p>
    <w:p w:rsidR="00000000" w:rsidRDefault="00E52F77">
      <w:pPr>
        <w:pStyle w:val="a3"/>
        <w:spacing w:before="0" w:beforeAutospacing="0" w:after="200" w:afterAutospacing="0"/>
        <w:ind w:firstLine="720"/>
        <w:divId w:val="435902279"/>
        <w:rPr>
          <w:sz w:val="20"/>
          <w:szCs w:val="20"/>
        </w:rPr>
      </w:pPr>
      <w:r>
        <w:rPr>
          <w:sz w:val="20"/>
          <w:szCs w:val="20"/>
        </w:rPr>
        <w:t xml:space="preserve">In light of the fact that a significant portion of the regulatory framework in the UK is derived from EU laws, Brexit could materially impact the EU </w:t>
      </w:r>
      <w:r>
        <w:rPr>
          <w:sz w:val="20"/>
          <w:szCs w:val="20"/>
        </w:rPr>
        <w:t>regulatory regime governing development, manufacture, importation, approval and commercialization of our product candidates in the UK or the EU. For example, a marketing authorization for a medicinal product granted by the European Commission or by the com</w:t>
      </w:r>
      <w:r>
        <w:rPr>
          <w:sz w:val="20"/>
          <w:szCs w:val="20"/>
        </w:rPr>
        <w:t>petent authorities of EU member states will no longer encompass the UK. A separate authorization granted by the UK competent authorities will be required to place medicinal products on the UK market. In addition, the UK’s withdrawal from the EU affects man</w:t>
      </w:r>
      <w:r>
        <w:rPr>
          <w:sz w:val="20"/>
          <w:szCs w:val="20"/>
        </w:rPr>
        <w:t>ufacturing sites that hold an EU manufacturing authorization issued by the UK competent authorities which could impact our ability to rely on UK manufacturing sites to supply medicinal products intended for the EU market will depend on. All of these change</w:t>
      </w:r>
      <w:r>
        <w:rPr>
          <w:sz w:val="20"/>
          <w:szCs w:val="20"/>
        </w:rPr>
        <w:t>s could increase our costs and otherwise adversely affect our business. In addition, currency exchange rates for the British Pound and the Euro with respect to each other and to the US dollar have already been, and may continue to be, negatively affected b</w:t>
      </w:r>
      <w:r>
        <w:rPr>
          <w:sz w:val="20"/>
          <w:szCs w:val="20"/>
        </w:rPr>
        <w:t>y Brexit, which could cause volatility in our quarterly financial results.</w:t>
      </w:r>
    </w:p>
    <w:p w:rsidR="00000000" w:rsidRDefault="00E52F77">
      <w:pPr>
        <w:pStyle w:val="a3"/>
        <w:spacing w:before="0" w:beforeAutospacing="0" w:after="200" w:afterAutospacing="0"/>
        <w:ind w:firstLine="720"/>
        <w:divId w:val="435902279"/>
        <w:rPr>
          <w:sz w:val="20"/>
          <w:szCs w:val="20"/>
        </w:rPr>
      </w:pPr>
      <w:r>
        <w:rPr>
          <w:sz w:val="20"/>
          <w:szCs w:val="20"/>
        </w:rPr>
        <w:t>Further, development of our product candidates and/or regulatory approval may be delayed for other political events beyond our control. For example, a US federal government shutdown</w:t>
      </w:r>
      <w:r>
        <w:rPr>
          <w:sz w:val="20"/>
          <w:szCs w:val="20"/>
        </w:rPr>
        <w:t xml:space="preserve"> or budget sequestration, such as ones that occurred during 2013, 2018, and 2019, may result in significant reductions to the FDA’s budget, employees and operations, which may lead to slower response times and longer review periods, potentially affecting o</w:t>
      </w:r>
      <w:r>
        <w:rPr>
          <w:sz w:val="20"/>
          <w:szCs w:val="20"/>
        </w:rPr>
        <w:t>ur ability to progress development of our product candidates or obtain regulatory approval for our product candidates. Further, future government shutdowns could impact our ability to access the public markets and obtain necessary capital in order to prope</w:t>
      </w:r>
      <w:r>
        <w:rPr>
          <w:sz w:val="20"/>
          <w:szCs w:val="20"/>
        </w:rPr>
        <w:t>rly capitalize and continue our operations.</w:t>
      </w:r>
    </w:p>
    <w:p w:rsidR="00000000" w:rsidRDefault="00E52F77">
      <w:pPr>
        <w:pStyle w:val="a3"/>
        <w:spacing w:before="0" w:beforeAutospacing="0" w:after="200" w:afterAutospacing="0"/>
        <w:ind w:firstLine="720"/>
        <w:divId w:val="435902279"/>
        <w:rPr>
          <w:sz w:val="20"/>
          <w:szCs w:val="20"/>
        </w:rPr>
      </w:pPr>
      <w:r>
        <w:rPr>
          <w:sz w:val="20"/>
          <w:szCs w:val="20"/>
        </w:rPr>
        <w:t>Our operations also depend upon favorable trade relations between the US and those foreign countries in which our materials suppliers have operations. A protectionist trade environment in either the US or those f</w:t>
      </w:r>
      <w:r>
        <w:rPr>
          <w:sz w:val="20"/>
          <w:szCs w:val="20"/>
        </w:rPr>
        <w:t>oreign countries in which we do business, such as a change in the current tariff structures, export compliance or other trade policies, may materially and adversely affect our operations.</w:t>
      </w:r>
    </w:p>
    <w:p w:rsidR="00000000" w:rsidRDefault="00E52F77">
      <w:pPr>
        <w:pStyle w:val="a3"/>
        <w:spacing w:before="0" w:beforeAutospacing="0" w:after="200" w:afterAutospacing="0"/>
        <w:ind w:firstLine="720"/>
        <w:divId w:val="435902279"/>
        <w:rPr>
          <w:sz w:val="20"/>
          <w:szCs w:val="20"/>
        </w:rPr>
      </w:pPr>
      <w:r>
        <w:rPr>
          <w:sz w:val="20"/>
          <w:szCs w:val="20"/>
        </w:rPr>
        <w:t xml:space="preserve">External factors, such as potential terrorist attacks, acts of war, </w:t>
      </w:r>
      <w:r>
        <w:rPr>
          <w:sz w:val="20"/>
          <w:szCs w:val="20"/>
        </w:rPr>
        <w:t>geopolitical and social turmoil or similar events in many parts of the world, could also prevent or hinder our ability to do business, increase our costs and negatively affect our stock price. These geopolitical, social and economic conditions could harm o</w:t>
      </w:r>
      <w:r>
        <w:rPr>
          <w:sz w:val="20"/>
          <w:szCs w:val="20"/>
        </w:rPr>
        <w:t>ur business.</w:t>
      </w:r>
    </w:p>
    <w:p w:rsidR="00000000" w:rsidRDefault="00E52F77">
      <w:pPr>
        <w:pStyle w:val="a3"/>
        <w:spacing w:before="0" w:beforeAutospacing="0" w:after="120" w:afterAutospacing="0"/>
        <w:divId w:val="435902279"/>
        <w:rPr>
          <w:sz w:val="20"/>
          <w:szCs w:val="20"/>
        </w:rPr>
      </w:pPr>
      <w:r>
        <w:rPr>
          <w:b/>
          <w:bCs/>
          <w:i/>
          <w:iCs/>
          <w:sz w:val="20"/>
          <w:szCs w:val="20"/>
        </w:rPr>
        <w:t>Our US operating subsidiary’</w:t>
      </w:r>
      <w:r>
        <w:rPr>
          <w:b/>
          <w:bCs/>
          <w:i/>
          <w:iCs/>
          <w:sz w:val="20"/>
          <w:szCs w:val="20"/>
        </w:rPr>
        <w:t>s facility is located near known earthquake fault zones, and the occurrence of an earthquake, extremist attack or other catastrophic disaster could cause damage to our facilities and equipment, which could require us to cease or curtail operations.</w:t>
      </w:r>
    </w:p>
    <w:p w:rsidR="00000000" w:rsidRDefault="00E52F77">
      <w:pPr>
        <w:pStyle w:val="a3"/>
        <w:spacing w:before="0" w:beforeAutospacing="0" w:after="0" w:afterAutospacing="0"/>
        <w:ind w:firstLine="720"/>
        <w:divId w:val="435902279"/>
        <w:rPr>
          <w:sz w:val="20"/>
          <w:szCs w:val="20"/>
        </w:rPr>
      </w:pPr>
      <w:r>
        <w:rPr>
          <w:sz w:val="20"/>
          <w:szCs w:val="20"/>
        </w:rPr>
        <w:t xml:space="preserve">Our US </w:t>
      </w:r>
      <w:r>
        <w:rPr>
          <w:sz w:val="20"/>
          <w:szCs w:val="20"/>
        </w:rPr>
        <w:t>operating subsidiary’s facility is located in the San Francisco Bay Area near known earthquake fault zones and therefore will be vulnerable to damage from earthquakes. In October 1989, a major earthquake struck this area and caused significant property dam</w:t>
      </w:r>
      <w:r>
        <w:rPr>
          <w:sz w:val="20"/>
          <w:szCs w:val="20"/>
        </w:rPr>
        <w:t>age and a number of fatalities. We are also vulnerable to damage from other types of disasters, including power loss, attacks from extremist organizations, fire, floods, communications failures and similar events. If any disaster were to occur, our ability</w:t>
      </w:r>
      <w:r>
        <w:rPr>
          <w:sz w:val="20"/>
          <w:szCs w:val="20"/>
        </w:rPr>
        <w:t xml:space="preserve"> to operate our business could be seriously impaired. In addition, the unique nature of our research activities and of much of our equipment could make it difficult and costly for us to recover from this type of disaster. We may not have adequate insurance</w:t>
      </w:r>
      <w:r>
        <w:rPr>
          <w:sz w:val="20"/>
          <w:szCs w:val="20"/>
        </w:rPr>
        <w:t xml:space="preserve"> to cover our losses resulting from disasters or other similar significant business </w:t>
      </w:r>
    </w:p>
    <w:p w:rsidR="00000000" w:rsidRDefault="00E52F77">
      <w:pPr>
        <w:pStyle w:val="a3"/>
        <w:spacing w:before="360" w:beforeAutospacing="0" w:after="0" w:afterAutospacing="0"/>
        <w:jc w:val="center"/>
        <w:divId w:val="1565489900"/>
        <w:rPr>
          <w:sz w:val="20"/>
          <w:szCs w:val="20"/>
        </w:rPr>
      </w:pPr>
      <w:r>
        <w:rPr>
          <w:sz w:val="20"/>
          <w:szCs w:val="20"/>
        </w:rPr>
        <w:t>51</w:t>
      </w:r>
    </w:p>
    <w:p w:rsidR="00000000" w:rsidRDefault="00E52F77">
      <w:pPr>
        <w:pStyle w:val="a3"/>
        <w:spacing w:before="0" w:beforeAutospacing="0" w:after="600" w:afterAutospacing="0"/>
        <w:divId w:val="1514879176"/>
        <w:rPr>
          <w:sz w:val="20"/>
          <w:szCs w:val="20"/>
        </w:rPr>
      </w:pPr>
      <w:hyperlink w:anchor="TOC" w:history="1">
        <w:r>
          <w:rPr>
            <w:rStyle w:val="a4"/>
            <w:sz w:val="20"/>
            <w:szCs w:val="20"/>
          </w:rPr>
          <w:t>Table of Contents</w:t>
        </w:r>
      </w:hyperlink>
    </w:p>
    <w:p w:rsidR="00000000" w:rsidRDefault="00E52F77">
      <w:pPr>
        <w:pStyle w:val="a3"/>
        <w:spacing w:before="0" w:beforeAutospacing="0" w:after="200" w:afterAutospacing="0"/>
        <w:divId w:val="1096437633"/>
        <w:rPr>
          <w:sz w:val="20"/>
          <w:szCs w:val="20"/>
        </w:rPr>
      </w:pPr>
      <w:r>
        <w:rPr>
          <w:sz w:val="20"/>
          <w:szCs w:val="20"/>
        </w:rPr>
        <w:t>interruptions and we do not plan to purchase additional insurance to cover such losses due to the cost of obtaining such cov</w:t>
      </w:r>
      <w:r>
        <w:rPr>
          <w:sz w:val="20"/>
          <w:szCs w:val="20"/>
        </w:rPr>
        <w:t>erage. Any significant losses that are not recoverable under our insurance policies could seriously impair our business and financial condition, which could cause the price of our securities to fall.</w:t>
      </w:r>
    </w:p>
    <w:p w:rsidR="00000000" w:rsidRDefault="00E52F77">
      <w:pPr>
        <w:pStyle w:val="a3"/>
        <w:spacing w:before="0" w:beforeAutospacing="0" w:after="120" w:afterAutospacing="0"/>
        <w:divId w:val="1096437633"/>
        <w:rPr>
          <w:sz w:val="20"/>
          <w:szCs w:val="20"/>
        </w:rPr>
      </w:pPr>
      <w:r>
        <w:rPr>
          <w:b/>
          <w:bCs/>
          <w:i/>
          <w:iCs/>
          <w:sz w:val="20"/>
          <w:szCs w:val="20"/>
        </w:rPr>
        <w:t>If YUPELRI does not continue to be accepted by physician</w:t>
      </w:r>
      <w:r>
        <w:rPr>
          <w:b/>
          <w:bCs/>
          <w:i/>
          <w:iCs/>
          <w:sz w:val="20"/>
          <w:szCs w:val="20"/>
        </w:rPr>
        <w:t>s, patients, third-party payors, or the medical community in general, we may not receive significant additional revenues from sales of this product.</w:t>
      </w:r>
    </w:p>
    <w:p w:rsidR="00000000" w:rsidRDefault="00E52F77">
      <w:pPr>
        <w:pStyle w:val="a3"/>
        <w:spacing w:before="0" w:beforeAutospacing="0" w:after="200" w:afterAutospacing="0"/>
        <w:ind w:firstLine="720"/>
        <w:divId w:val="1096437633"/>
        <w:rPr>
          <w:sz w:val="20"/>
          <w:szCs w:val="20"/>
        </w:rPr>
      </w:pPr>
      <w:r>
        <w:rPr>
          <w:sz w:val="20"/>
          <w:szCs w:val="20"/>
        </w:rPr>
        <w:t>The commercial success of YUPELRI depends upon its acceptance by physicians, patients, third-party payors a</w:t>
      </w:r>
      <w:r>
        <w:rPr>
          <w:sz w:val="20"/>
          <w:szCs w:val="20"/>
        </w:rPr>
        <w:t>nd the medical community in general. YUPELRI may not continue to be accepted by these parties. YUPELRI competes predominantly with the nebulized LAMA Lonhal</w:t>
      </w:r>
      <w:r>
        <w:rPr>
          <w:sz w:val="20"/>
          <w:szCs w:val="20"/>
        </w:rPr>
        <w:t>a</w:t>
      </w:r>
      <w:r>
        <w:rPr>
          <w:sz w:val="15"/>
          <w:szCs w:val="15"/>
          <w:vertAlign w:val="superscript"/>
        </w:rPr>
        <w:t>®</w:t>
      </w:r>
      <w:r>
        <w:rPr>
          <w:sz w:val="20"/>
          <w:szCs w:val="20"/>
        </w:rPr>
        <w:t xml:space="preserve"> Magnai</w:t>
      </w:r>
      <w:r>
        <w:rPr>
          <w:sz w:val="20"/>
          <w:szCs w:val="20"/>
        </w:rPr>
        <w:t>r</w:t>
      </w:r>
      <w:r>
        <w:rPr>
          <w:sz w:val="15"/>
          <w:szCs w:val="15"/>
          <w:vertAlign w:val="superscript"/>
        </w:rPr>
        <w:t>®</w:t>
      </w:r>
      <w:r>
        <w:rPr>
          <w:sz w:val="20"/>
          <w:szCs w:val="20"/>
        </w:rPr>
        <w:t xml:space="preserve"> (glycopyrrolate) dosed two times per day and with short acting nebulized bronchodilators</w:t>
      </w:r>
      <w:r>
        <w:rPr>
          <w:sz w:val="20"/>
          <w:szCs w:val="20"/>
        </w:rPr>
        <w:t xml:space="preserve"> that are dosed three to four times per day. We have seen increased volatility in sales of YUPELRI coinciding with the suspension of in-person sales calls, having less access to physicians and other healthcare providers and the progression of the COVID-19 </w:t>
      </w:r>
      <w:r>
        <w:rPr>
          <w:sz w:val="20"/>
          <w:szCs w:val="20"/>
        </w:rPr>
        <w:t>pandemic and, if physicians, patients, third-party payors, or the medical community in general believe that nebulized therapy presents a risk of further spreading COVID-19 or that YUPELRI is otherwise not a preferred treatment option for those with COPD, w</w:t>
      </w:r>
      <w:r>
        <w:rPr>
          <w:sz w:val="20"/>
          <w:szCs w:val="20"/>
        </w:rPr>
        <w:t xml:space="preserve">e may see long-term declines. Shifts to novel marketing tactics are being deployed in an effort to keep awareness levels and business generation positive, but these untested and unvalidated tactics may not be effective at maintaining YUPELRI brand growth. </w:t>
      </w:r>
      <w:r>
        <w:rPr>
          <w:sz w:val="20"/>
          <w:szCs w:val="20"/>
        </w:rPr>
        <w:t>If YUPELRI’s acceptance does not continue to grow, or declines from previous levels, our business and financial results could be materially harmed.</w:t>
      </w:r>
    </w:p>
    <w:p w:rsidR="00000000" w:rsidRDefault="00E52F77">
      <w:pPr>
        <w:pStyle w:val="a3"/>
        <w:spacing w:before="0" w:beforeAutospacing="0" w:after="120" w:afterAutospacing="0"/>
        <w:divId w:val="1096437633"/>
        <w:rPr>
          <w:sz w:val="20"/>
          <w:szCs w:val="20"/>
        </w:rPr>
      </w:pPr>
      <w:r>
        <w:rPr>
          <w:b/>
          <w:bCs/>
          <w:i/>
          <w:iCs/>
          <w:sz w:val="20"/>
          <w:szCs w:val="20"/>
        </w:rPr>
        <w:t>In collaboration with Viatris, we are responsible for marketing and sales of YUPELRI in the US, which subjec</w:t>
      </w:r>
      <w:r>
        <w:rPr>
          <w:b/>
          <w:bCs/>
          <w:i/>
          <w:iCs/>
          <w:sz w:val="20"/>
          <w:szCs w:val="20"/>
        </w:rPr>
        <w:t>ts us to certain risks.</w:t>
      </w:r>
    </w:p>
    <w:p w:rsidR="00000000" w:rsidRDefault="00E52F77">
      <w:pPr>
        <w:pStyle w:val="a3"/>
        <w:spacing w:before="0" w:beforeAutospacing="0" w:after="200" w:afterAutospacing="0"/>
        <w:ind w:firstLine="720"/>
        <w:divId w:val="1096437633"/>
        <w:rPr>
          <w:sz w:val="20"/>
          <w:szCs w:val="20"/>
        </w:rPr>
      </w:pPr>
      <w:r>
        <w:rPr>
          <w:sz w:val="20"/>
          <w:szCs w:val="20"/>
        </w:rPr>
        <w:t>We currently maintain a sales force in the US and plan to continue to augment our sales and marketing personnel to support our co-promotion obligations for YUPELRI under our agreement with Viatris. The risks of fulfilling our US co-</w:t>
      </w:r>
      <w:r>
        <w:rPr>
          <w:sz w:val="20"/>
          <w:szCs w:val="20"/>
        </w:rPr>
        <w:t>promotion obligations to Viatris include:</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96437633"/>
        </w:trPr>
        <w:tc>
          <w:tcPr>
            <w:tcW w:w="720" w:type="dxa"/>
            <w:tcMar>
              <w:top w:w="0" w:type="dxa"/>
              <w:left w:w="0" w:type="dxa"/>
              <w:bottom w:w="0" w:type="dxa"/>
              <w:right w:w="0" w:type="dxa"/>
            </w:tcMar>
            <w:vAlign w:val="center"/>
            <w:hideMark/>
          </w:tcPr>
          <w:p w:rsidR="00000000" w:rsidRDefault="00E52F77">
            <w:pPr>
              <w:rPr>
                <w:sz w:val="20"/>
                <w:szCs w:val="20"/>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costs and expenses associated with maintaining an independent sales and marketing organization with appropriate technical expertise and supporting infrastructure, including third-party vendor logistics and consu</w:t>
            </w:r>
            <w:r>
              <w:rPr>
                <w:sz w:val="20"/>
                <w:szCs w:val="20"/>
              </w:rPr>
              <w:t>ltant support, which costs and expenses could, depending on the scope and method of the marketing effort, exceed any product revenue for several years;</w:t>
            </w:r>
          </w:p>
        </w:tc>
      </w:tr>
    </w:tbl>
    <w:p w:rsidR="00000000" w:rsidRDefault="00E52F77">
      <w:pPr>
        <w:divId w:val="109643763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96437633"/>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our ability to retain effective sales and marketing personnel and medical science liaisons in the US;</w:t>
            </w:r>
          </w:p>
        </w:tc>
      </w:tr>
    </w:tbl>
    <w:p w:rsidR="00000000" w:rsidRDefault="00E52F77">
      <w:pPr>
        <w:divId w:val="109643763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96437633"/>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the ability of our sales and marketing personnel to obtain access to and educate adequate numbers of physicians about prescribing YUPELRI, in appropr</w:t>
            </w:r>
            <w:r>
              <w:rPr>
                <w:sz w:val="20"/>
                <w:szCs w:val="20"/>
              </w:rPr>
              <w:t>iate clinical situations; and</w:t>
            </w:r>
          </w:p>
        </w:tc>
      </w:tr>
    </w:tbl>
    <w:p w:rsidR="00000000" w:rsidRDefault="00E52F77">
      <w:pPr>
        <w:divId w:val="109643763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96437633"/>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the lack of complementary products to be offered by sales personnel, which may put us at a competitive disadvantage relative to companies with more extensive product lines.</w:t>
            </w:r>
          </w:p>
        </w:tc>
      </w:tr>
    </w:tbl>
    <w:p w:rsidR="00000000" w:rsidRDefault="00E52F77">
      <w:pPr>
        <w:pStyle w:val="a3"/>
        <w:spacing w:before="0" w:beforeAutospacing="0" w:after="200" w:afterAutospacing="0"/>
        <w:ind w:firstLine="720"/>
        <w:divId w:val="1096437633"/>
        <w:rPr>
          <w:sz w:val="20"/>
          <w:szCs w:val="20"/>
        </w:rPr>
      </w:pPr>
      <w:r>
        <w:rPr>
          <w:sz w:val="20"/>
          <w:szCs w:val="20"/>
        </w:rPr>
        <w:t>If we are not successful in maintaining a sales</w:t>
      </w:r>
      <w:r>
        <w:rPr>
          <w:sz w:val="20"/>
          <w:szCs w:val="20"/>
        </w:rPr>
        <w:t xml:space="preserve"> and marketing organization with appropriate experience, technical expertise, supporting infrastructure and the ability to obtain access to and educate adequate numbers of physicians about prescribing YUPELRI in appropriate clinical situations, we will hav</w:t>
      </w:r>
      <w:r>
        <w:rPr>
          <w:sz w:val="20"/>
          <w:szCs w:val="20"/>
        </w:rPr>
        <w:t>e difficulty maintaining effective commercialization of YUPELRI in the hospital setting, which would adversely affect our business and financial results and the condition and the price of our securities could fall.</w:t>
      </w:r>
    </w:p>
    <w:p w:rsidR="00000000" w:rsidRDefault="00E52F77">
      <w:pPr>
        <w:pStyle w:val="a3"/>
        <w:spacing w:before="0" w:beforeAutospacing="0" w:after="120" w:afterAutospacing="0"/>
        <w:divId w:val="1096437633"/>
        <w:rPr>
          <w:sz w:val="20"/>
          <w:szCs w:val="20"/>
        </w:rPr>
      </w:pPr>
      <w:r>
        <w:rPr>
          <w:b/>
          <w:bCs/>
          <w:i/>
          <w:iCs/>
          <w:sz w:val="20"/>
          <w:szCs w:val="20"/>
        </w:rPr>
        <w:t>We are subject to extensive and ongoing r</w:t>
      </w:r>
      <w:r>
        <w:rPr>
          <w:b/>
          <w:bCs/>
          <w:i/>
          <w:iCs/>
          <w:sz w:val="20"/>
          <w:szCs w:val="20"/>
        </w:rPr>
        <w:t>egulation, oversight and other requirements by the FDA and failure to comply with these regulations and requirements may subject us to penalties that may adversely affect our financial condition or our ability to commercialize any approved products.</w:t>
      </w:r>
    </w:p>
    <w:p w:rsidR="00000000" w:rsidRDefault="00E52F77">
      <w:pPr>
        <w:pStyle w:val="a3"/>
        <w:spacing w:before="0" w:beforeAutospacing="0" w:after="200" w:afterAutospacing="0"/>
        <w:ind w:firstLine="720"/>
        <w:divId w:val="1096437633"/>
        <w:rPr>
          <w:sz w:val="20"/>
          <w:szCs w:val="20"/>
        </w:rPr>
      </w:pPr>
      <w:r>
        <w:rPr>
          <w:sz w:val="20"/>
          <w:szCs w:val="20"/>
        </w:rPr>
        <w:t>Prescr</w:t>
      </w:r>
      <w:r>
        <w:rPr>
          <w:sz w:val="20"/>
          <w:szCs w:val="20"/>
        </w:rPr>
        <w:t>iption drug advertising and promotion are closely scrutinized by the FDA, including substantiation of promotional claims, disclosure of risks and safety information, and the use of themes and imagery in advertising and promotional materials. As with all co</w:t>
      </w:r>
      <w:r>
        <w:rPr>
          <w:sz w:val="20"/>
          <w:szCs w:val="20"/>
        </w:rPr>
        <w:t>mpanies selling and marketing products regulated by the FDA in the US, we are prohibited from promoting any uses of an approved product, such as YUPELRI, that are outside the scope of those uses that have been expressly approved by the FDA as safe and effe</w:t>
      </w:r>
      <w:r>
        <w:rPr>
          <w:sz w:val="20"/>
          <w:szCs w:val="20"/>
        </w:rPr>
        <w:t>ctive on the product’s label.</w:t>
      </w:r>
    </w:p>
    <w:p w:rsidR="00000000" w:rsidRDefault="00E52F77">
      <w:pPr>
        <w:pStyle w:val="a3"/>
        <w:spacing w:before="0" w:beforeAutospacing="0" w:after="0" w:afterAutospacing="0"/>
        <w:ind w:firstLine="720"/>
        <w:divId w:val="1096437633"/>
        <w:rPr>
          <w:sz w:val="20"/>
          <w:szCs w:val="20"/>
        </w:rPr>
      </w:pPr>
      <w:r>
        <w:rPr>
          <w:sz w:val="20"/>
          <w:szCs w:val="20"/>
        </w:rPr>
        <w:t>The manufacturing, labeling, packaging, adverse event reporting, advertising, promotion and recordkeeping for an approved product remain subject to extensive and ongoing regulatory requirements. If we become aware of previousl</w:t>
      </w:r>
      <w:r>
        <w:rPr>
          <w:sz w:val="20"/>
          <w:szCs w:val="20"/>
        </w:rPr>
        <w:t xml:space="preserve">y </w:t>
      </w:r>
    </w:p>
    <w:p w:rsidR="00000000" w:rsidRDefault="00E52F77">
      <w:pPr>
        <w:pStyle w:val="a3"/>
        <w:spacing w:before="360" w:beforeAutospacing="0" w:after="0" w:afterAutospacing="0"/>
        <w:jc w:val="center"/>
        <w:divId w:val="438454646"/>
        <w:rPr>
          <w:sz w:val="20"/>
          <w:szCs w:val="20"/>
        </w:rPr>
      </w:pPr>
      <w:r>
        <w:rPr>
          <w:sz w:val="20"/>
          <w:szCs w:val="20"/>
        </w:rPr>
        <w:t>52</w:t>
      </w:r>
    </w:p>
    <w:p w:rsidR="00000000" w:rsidRDefault="00E52F77">
      <w:pPr>
        <w:pStyle w:val="a3"/>
        <w:spacing w:before="0" w:beforeAutospacing="0" w:after="600" w:afterAutospacing="0"/>
        <w:divId w:val="1578904021"/>
        <w:rPr>
          <w:sz w:val="20"/>
          <w:szCs w:val="20"/>
        </w:rPr>
      </w:pPr>
      <w:hyperlink w:anchor="TOC" w:history="1">
        <w:r>
          <w:rPr>
            <w:rStyle w:val="a4"/>
            <w:sz w:val="20"/>
            <w:szCs w:val="20"/>
          </w:rPr>
          <w:t>Table of Contents</w:t>
        </w:r>
      </w:hyperlink>
    </w:p>
    <w:p w:rsidR="00000000" w:rsidRDefault="00E52F77">
      <w:pPr>
        <w:pStyle w:val="a3"/>
        <w:spacing w:before="0" w:beforeAutospacing="0" w:after="200" w:afterAutospacing="0"/>
        <w:divId w:val="1423992972"/>
        <w:rPr>
          <w:sz w:val="20"/>
          <w:szCs w:val="20"/>
        </w:rPr>
      </w:pPr>
      <w:r>
        <w:rPr>
          <w:sz w:val="20"/>
          <w:szCs w:val="20"/>
        </w:rPr>
        <w:t>unknown problems with an approved product in the US or overseas or at a contract manufacturer’</w:t>
      </w:r>
      <w:r>
        <w:rPr>
          <w:sz w:val="20"/>
          <w:szCs w:val="20"/>
        </w:rPr>
        <w:t>s facilities, a regulatory authority may impose restrictions on the product, the contract manufacturers or on us, including requiring us to reformulate the product, conduct additional clinical studies, change the labeling of the product, withdraw the produ</w:t>
      </w:r>
      <w:r>
        <w:rPr>
          <w:sz w:val="20"/>
          <w:szCs w:val="20"/>
        </w:rPr>
        <w:t>ct from the market or require the contract manufacturer to implement changes to its facilities.</w:t>
      </w:r>
    </w:p>
    <w:p w:rsidR="00000000" w:rsidRDefault="00E52F77">
      <w:pPr>
        <w:pStyle w:val="a3"/>
        <w:spacing w:before="0" w:beforeAutospacing="0" w:after="200" w:afterAutospacing="0"/>
        <w:ind w:firstLine="720"/>
        <w:divId w:val="1423992972"/>
        <w:rPr>
          <w:sz w:val="20"/>
          <w:szCs w:val="20"/>
        </w:rPr>
      </w:pPr>
      <w:r>
        <w:rPr>
          <w:sz w:val="20"/>
          <w:szCs w:val="20"/>
        </w:rPr>
        <w:t>We are also subject to regulation by regional, national, state and local agencies, including the Department of Justice, the Federal Trade Commission, the Office</w:t>
      </w:r>
      <w:r>
        <w:rPr>
          <w:sz w:val="20"/>
          <w:szCs w:val="20"/>
        </w:rPr>
        <w:t xml:space="preserve"> of Inspector General of the US Department of Health and Human Services (“OIG”) and other regulatory bodies with respect to any approved product, such as YUPELRI, as well as governmental authorities in those foreign countries in which any product is approv</w:t>
      </w:r>
      <w:r>
        <w:rPr>
          <w:sz w:val="20"/>
          <w:szCs w:val="20"/>
        </w:rPr>
        <w:t xml:space="preserve">ed for commercialization. The Federal Food, Drug, and Cosmetic Act, the Public Health Service Act and other federal and state statutes and regulations govern to varying degrees the research, development, manufacturing and commercial activities relating to </w:t>
      </w:r>
      <w:r>
        <w:rPr>
          <w:sz w:val="20"/>
          <w:szCs w:val="20"/>
        </w:rPr>
        <w:t>prescription pharmaceutical products, including non-clinical and clinical testing, approval, production, labeling, sale, distribution, import, export, post-market surveillance, advertising, dissemination of information and promotion. If we or any third par</w:t>
      </w:r>
      <w:r>
        <w:rPr>
          <w:sz w:val="20"/>
          <w:szCs w:val="20"/>
        </w:rPr>
        <w:t>ties that provide these services for us are unable to comply, we may be subject to regulatory or civil actions or penalties that could significantly and adversely affect our business.</w:t>
      </w:r>
    </w:p>
    <w:p w:rsidR="00000000" w:rsidRDefault="00E52F77">
      <w:pPr>
        <w:pStyle w:val="a3"/>
        <w:spacing w:before="0" w:beforeAutospacing="0" w:after="200" w:afterAutospacing="0"/>
        <w:ind w:firstLine="720"/>
        <w:divId w:val="1423992972"/>
        <w:rPr>
          <w:sz w:val="20"/>
          <w:szCs w:val="20"/>
        </w:rPr>
      </w:pPr>
      <w:r>
        <w:rPr>
          <w:sz w:val="20"/>
          <w:szCs w:val="20"/>
        </w:rPr>
        <w:t>Regulatory approval for our product candidates, if any, may include simi</w:t>
      </w:r>
      <w:r>
        <w:rPr>
          <w:sz w:val="20"/>
          <w:szCs w:val="20"/>
        </w:rPr>
        <w:t>lar or other limitations on the indicated uses for which we can market our medicines or the patient population that may utilize our medicines, which may limit the market for our medicines or put us at a competitive disadvantage relative to alternative ther</w:t>
      </w:r>
      <w:r>
        <w:rPr>
          <w:sz w:val="20"/>
          <w:szCs w:val="20"/>
        </w:rPr>
        <w:t>apies.</w:t>
      </w:r>
    </w:p>
    <w:p w:rsidR="00000000" w:rsidRDefault="00E52F77">
      <w:pPr>
        <w:pStyle w:val="a3"/>
        <w:spacing w:before="0" w:beforeAutospacing="0" w:after="200" w:afterAutospacing="0"/>
        <w:ind w:firstLine="720"/>
        <w:divId w:val="1423992972"/>
        <w:rPr>
          <w:sz w:val="20"/>
          <w:szCs w:val="20"/>
        </w:rPr>
      </w:pPr>
      <w:r>
        <w:rPr>
          <w:sz w:val="20"/>
          <w:szCs w:val="20"/>
        </w:rPr>
        <w:t>Failure to satisfy required post-approval requirements and/or commitments may have implications for a product’s approval and may carry civil monetary penalties. Any failure to maintain regulatory approval will materially limit the ability to commerc</w:t>
      </w:r>
      <w:r>
        <w:rPr>
          <w:sz w:val="20"/>
          <w:szCs w:val="20"/>
        </w:rPr>
        <w:t>ialize a product or any future product candidates and if we fail to comply with FDA regulations and requirements, the FDA could potentially take a number of enforcement actions against us, including the issuance of untitled letters, warning letters, preven</w:t>
      </w:r>
      <w:r>
        <w:rPr>
          <w:sz w:val="20"/>
          <w:szCs w:val="20"/>
        </w:rPr>
        <w:t xml:space="preserve">ting the introduction or delivery of the product into interstate commerce in the US, misbranding charges, product seizures, injunctions, and civil monetary penalties, which would materially and adversely affect our business and financial condition and may </w:t>
      </w:r>
      <w:r>
        <w:rPr>
          <w:sz w:val="20"/>
          <w:szCs w:val="20"/>
        </w:rPr>
        <w:t>cause the price of our securities to fall.</w:t>
      </w:r>
    </w:p>
    <w:p w:rsidR="00000000" w:rsidRDefault="00E52F77">
      <w:pPr>
        <w:pStyle w:val="a3"/>
        <w:spacing w:before="0" w:beforeAutospacing="0" w:after="200" w:afterAutospacing="0"/>
        <w:ind w:firstLine="720"/>
        <w:divId w:val="1423992972"/>
        <w:rPr>
          <w:sz w:val="20"/>
          <w:szCs w:val="20"/>
        </w:rPr>
      </w:pPr>
      <w:r>
        <w:rPr>
          <w:sz w:val="20"/>
          <w:szCs w:val="20"/>
        </w:rPr>
        <w:t>The risks identified in this risk factor relating to regulatory actions and oversight by agencies in the US and throughout the world also apply to the commercialization of any partnered products by our collaborati</w:t>
      </w:r>
      <w:r>
        <w:rPr>
          <w:sz w:val="20"/>
          <w:szCs w:val="20"/>
        </w:rPr>
        <w:t>on partners and those commercializing products with respect to which we have an economic interest or right to receive royalties, including GSK and Cumberland Pharmaceuticals Inc. (“Cumberland”), and such regulatory actions and oversight may limit those par</w:t>
      </w:r>
      <w:r>
        <w:rPr>
          <w:sz w:val="20"/>
          <w:szCs w:val="20"/>
        </w:rPr>
        <w:t>ties’ ability to commercialize such products, which could materially and adversely affect our business and financial condition, and which may cause the price of our securities to fall.</w:t>
      </w:r>
    </w:p>
    <w:p w:rsidR="00000000" w:rsidRDefault="00E52F77">
      <w:pPr>
        <w:pStyle w:val="a3"/>
        <w:spacing w:before="0" w:beforeAutospacing="0" w:after="120" w:afterAutospacing="0"/>
        <w:divId w:val="1423992972"/>
        <w:rPr>
          <w:sz w:val="20"/>
          <w:szCs w:val="20"/>
        </w:rPr>
      </w:pPr>
      <w:r>
        <w:rPr>
          <w:b/>
          <w:bCs/>
          <w:i/>
          <w:iCs/>
          <w:sz w:val="20"/>
          <w:szCs w:val="20"/>
        </w:rPr>
        <w:t>We and/or our collaboration partners and those commercializing products</w:t>
      </w:r>
      <w:r>
        <w:rPr>
          <w:b/>
          <w:bCs/>
          <w:i/>
          <w:iCs/>
          <w:sz w:val="20"/>
          <w:szCs w:val="20"/>
        </w:rPr>
        <w:t xml:space="preserve"> with respect to which we have an economic interest or right to receive royalties may face competition from companies seeking to market generic versions of any approved products in which we have an interest, such as TRELEGY or YUPELRI.</w:t>
      </w:r>
    </w:p>
    <w:p w:rsidR="00000000" w:rsidRDefault="00E52F77">
      <w:pPr>
        <w:pStyle w:val="a3"/>
        <w:spacing w:before="0" w:beforeAutospacing="0" w:after="200" w:afterAutospacing="0"/>
        <w:ind w:firstLine="720"/>
        <w:divId w:val="1423992972"/>
        <w:rPr>
          <w:sz w:val="20"/>
          <w:szCs w:val="20"/>
        </w:rPr>
      </w:pPr>
      <w:r>
        <w:rPr>
          <w:sz w:val="20"/>
          <w:szCs w:val="20"/>
        </w:rPr>
        <w:t>Under the Drug Price</w:t>
      </w:r>
      <w:r>
        <w:rPr>
          <w:sz w:val="20"/>
          <w:szCs w:val="20"/>
        </w:rPr>
        <w:t xml:space="preserve"> Competition and Patent Term Restoration Act of 1984, a company may submit an abbreviated new drug application (“ANDA”) under section 505(j) of the Federal Food, Drug, and Cosmetic Act to market a generic version of an approved drug. Because a generic appl</w:t>
      </w:r>
      <w:r>
        <w:rPr>
          <w:sz w:val="20"/>
          <w:szCs w:val="20"/>
        </w:rPr>
        <w:t>icant does not conduct its own clinical studies, but instead relies on the FDA’s finding of safety and effectiveness for the approved drug, it is able to introduce a competing product into the market at a cost significantly below that of the original drug.</w:t>
      </w:r>
      <w:r>
        <w:rPr>
          <w:sz w:val="20"/>
          <w:szCs w:val="20"/>
        </w:rPr>
        <w:t xml:space="preserve"> Although we have multiple patents protecting YUPELRI until at least 2025 that are listed in the FDA’s Approved Drug Products with Therapeutic Equivalence Evaluations, commonly known as the Orange Book, and those commercializing products with respect to wh</w:t>
      </w:r>
      <w:r>
        <w:rPr>
          <w:sz w:val="20"/>
          <w:szCs w:val="20"/>
        </w:rPr>
        <w:t>ich we have an economic interest or right to receive royalties similarly have patents protecting their products, such as TRELEGY and VIBATIV, generic applicants could potentially submit “paragraph IV certifications” to FDA stating that such patents are inv</w:t>
      </w:r>
      <w:r>
        <w:rPr>
          <w:sz w:val="20"/>
          <w:szCs w:val="20"/>
        </w:rPr>
        <w:t xml:space="preserve">alid or will not be infringed by the applicant’s product. We have not received any such paragraph IV notifications nor are we aware of any with respect to products in which we have an economic interest or right to receive royalties, but if any competitors </w:t>
      </w:r>
      <w:r>
        <w:rPr>
          <w:sz w:val="20"/>
          <w:szCs w:val="20"/>
        </w:rPr>
        <w:t>successfully challenge the patents related to these products, we and/or our collaboration partners and those commercializing products with respect to which we have an economic interest or right to receive royalties would face substantial competition. If we</w:t>
      </w:r>
      <w:r>
        <w:rPr>
          <w:sz w:val="20"/>
          <w:szCs w:val="20"/>
        </w:rPr>
        <w:t xml:space="preserve"> are not able to compete effectively against such future competition, our business will not grow, our financial condition and operations will suffer and the price of our securities could fall.</w:t>
      </w:r>
    </w:p>
    <w:p w:rsidR="00000000" w:rsidRDefault="00E52F77">
      <w:pPr>
        <w:pStyle w:val="a3"/>
        <w:spacing w:before="360" w:beforeAutospacing="0" w:after="0" w:afterAutospacing="0"/>
        <w:jc w:val="center"/>
        <w:divId w:val="1485319484"/>
        <w:rPr>
          <w:sz w:val="20"/>
          <w:szCs w:val="20"/>
        </w:rPr>
      </w:pPr>
      <w:r>
        <w:rPr>
          <w:sz w:val="20"/>
          <w:szCs w:val="20"/>
        </w:rPr>
        <w:t>53</w:t>
      </w:r>
    </w:p>
    <w:p w:rsidR="00000000" w:rsidRDefault="00E52F77">
      <w:pPr>
        <w:pStyle w:val="a3"/>
        <w:spacing w:before="0" w:beforeAutospacing="0" w:after="600" w:afterAutospacing="0"/>
        <w:divId w:val="332802256"/>
        <w:rPr>
          <w:sz w:val="20"/>
          <w:szCs w:val="20"/>
        </w:rPr>
      </w:pPr>
      <w:hyperlink w:anchor="TOC" w:history="1">
        <w:r>
          <w:rPr>
            <w:rStyle w:val="a4"/>
            <w:sz w:val="20"/>
            <w:szCs w:val="20"/>
          </w:rPr>
          <w:t>Table of Contents</w:t>
        </w:r>
      </w:hyperlink>
    </w:p>
    <w:p w:rsidR="00000000" w:rsidRDefault="00E52F77">
      <w:pPr>
        <w:pStyle w:val="a3"/>
        <w:spacing w:before="0" w:beforeAutospacing="0" w:after="200" w:afterAutospacing="0"/>
        <w:ind w:firstLine="720"/>
        <w:divId w:val="1403675717"/>
        <w:rPr>
          <w:sz w:val="20"/>
          <w:szCs w:val="20"/>
        </w:rPr>
      </w:pPr>
      <w:r>
        <w:rPr>
          <w:sz w:val="20"/>
          <w:szCs w:val="20"/>
        </w:rPr>
        <w:t>For additional discussion of the risk of generic competition to YUPELRI, please see the following risk factor below “</w:t>
      </w:r>
      <w:r>
        <w:rPr>
          <w:i/>
          <w:iCs/>
          <w:sz w:val="20"/>
          <w:szCs w:val="20"/>
        </w:rPr>
        <w:t>If our efforts to protect the proprietary nature of the intellectual property related to our technologies are not adequate, we may not be a</w:t>
      </w:r>
      <w:r>
        <w:rPr>
          <w:i/>
          <w:iCs/>
          <w:sz w:val="20"/>
          <w:szCs w:val="20"/>
        </w:rPr>
        <w:t>ble to compete effectively in our current or future markets</w:t>
      </w:r>
      <w:r>
        <w:rPr>
          <w:sz w:val="20"/>
          <w:szCs w:val="20"/>
        </w:rPr>
        <w:t>.”</w:t>
      </w:r>
    </w:p>
    <w:p w:rsidR="00000000" w:rsidRDefault="00E52F77">
      <w:pPr>
        <w:pStyle w:val="a3"/>
        <w:spacing w:before="0" w:beforeAutospacing="0" w:after="120" w:afterAutospacing="0"/>
        <w:divId w:val="1403675717"/>
        <w:rPr>
          <w:sz w:val="20"/>
          <w:szCs w:val="20"/>
        </w:rPr>
      </w:pPr>
      <w:r>
        <w:rPr>
          <w:b/>
          <w:bCs/>
          <w:i/>
          <w:iCs/>
          <w:sz w:val="20"/>
          <w:szCs w:val="20"/>
        </w:rPr>
        <w:t>We may be treated as a US corporation for US federal income tax purposes.</w:t>
      </w:r>
    </w:p>
    <w:p w:rsidR="00000000" w:rsidRDefault="00E52F77">
      <w:pPr>
        <w:pStyle w:val="a3"/>
        <w:spacing w:before="0" w:beforeAutospacing="0" w:after="200" w:afterAutospacing="0"/>
        <w:ind w:firstLine="720"/>
        <w:divId w:val="1403675717"/>
        <w:rPr>
          <w:sz w:val="20"/>
          <w:szCs w:val="20"/>
        </w:rPr>
      </w:pPr>
      <w:r>
        <w:rPr>
          <w:sz w:val="20"/>
          <w:szCs w:val="20"/>
        </w:rPr>
        <w:t>For US federal income tax purposes, a corporation generally is considered tax resident in the place of its incorporation</w:t>
      </w:r>
      <w:r>
        <w:rPr>
          <w:sz w:val="20"/>
          <w:szCs w:val="20"/>
        </w:rPr>
        <w:t>. Theravance Biopharma is incorporated under Cayman Islands law and established tax residency in Ireland effective July 1, 2015. Therefore, it should be a non-US corporation under this general rule. However, Section 7874 of the Internal Revenue Code of 198</w:t>
      </w:r>
      <w:r>
        <w:rPr>
          <w:sz w:val="20"/>
          <w:szCs w:val="20"/>
        </w:rPr>
        <w:t>6, as amended (the “Code”), contains rules that may result in a foreign corporation being treated as a US corporation for US federal income tax purposes. The application of these rules is complex and there is little guidance regarding certain aspects of th</w:t>
      </w:r>
      <w:r>
        <w:rPr>
          <w:sz w:val="20"/>
          <w:szCs w:val="20"/>
        </w:rPr>
        <w:t>eir application.</w:t>
      </w:r>
    </w:p>
    <w:p w:rsidR="00000000" w:rsidRDefault="00E52F77">
      <w:pPr>
        <w:pStyle w:val="a3"/>
        <w:spacing w:before="0" w:beforeAutospacing="0" w:after="200" w:afterAutospacing="0"/>
        <w:ind w:firstLine="720"/>
        <w:divId w:val="1403675717"/>
        <w:rPr>
          <w:sz w:val="20"/>
          <w:szCs w:val="20"/>
        </w:rPr>
      </w:pPr>
      <w:r>
        <w:rPr>
          <w:sz w:val="20"/>
          <w:szCs w:val="20"/>
        </w:rPr>
        <w:t>Under Section 7874 of the Code, a corporation created or organized outside the US will be treated as a US corporation for US federal tax purposes if (i) the foreign corporation directly or indirectly acquires substantially all of the prope</w:t>
      </w:r>
      <w:r>
        <w:rPr>
          <w:sz w:val="20"/>
          <w:szCs w:val="20"/>
        </w:rPr>
        <w:t>rties held directly or indirectly by a US corporation, (ii) the former shareholders of the acquired US corporation hold at least 80% of the vote or value of the shares of the foreign acquiring corporation by reason of holding stock in the US acquired corpo</w:t>
      </w:r>
      <w:r>
        <w:rPr>
          <w:sz w:val="20"/>
          <w:szCs w:val="20"/>
        </w:rPr>
        <w:t>ration, and (iii) the foreign corporation’s “expanded affiliated group” does not have “substantial business activities” in the foreign corporation’s country of incorporation relative to its expanded affiliated group’s worldwide activities. For this purpose</w:t>
      </w:r>
      <w:r>
        <w:rPr>
          <w:sz w:val="20"/>
          <w:szCs w:val="20"/>
        </w:rPr>
        <w:t>, “expanded affiliated group” generally means the foreign corporation and all subsidiaries in which the foreign corporation, directly or indirectly, owns more than 50% of the stock by vote and value, and “substantial business activities” generally means at</w:t>
      </w:r>
      <w:r>
        <w:rPr>
          <w:sz w:val="20"/>
          <w:szCs w:val="20"/>
        </w:rPr>
        <w:t xml:space="preserve"> least 25% of employees (by number and compensation), assets and gross income of our expanded affiliated group are based, located and derived, respectively, in the country of incorporation.</w:t>
      </w:r>
    </w:p>
    <w:p w:rsidR="00000000" w:rsidRDefault="00E52F77">
      <w:pPr>
        <w:pStyle w:val="a3"/>
        <w:spacing w:before="0" w:beforeAutospacing="0" w:after="200" w:afterAutospacing="0"/>
        <w:ind w:firstLine="720"/>
        <w:divId w:val="1403675717"/>
        <w:rPr>
          <w:sz w:val="20"/>
          <w:szCs w:val="20"/>
        </w:rPr>
      </w:pPr>
      <w:r>
        <w:rPr>
          <w:sz w:val="20"/>
          <w:szCs w:val="20"/>
        </w:rPr>
        <w:t>We do not expect to be treated as a US corporation under Section 7</w:t>
      </w:r>
      <w:r>
        <w:rPr>
          <w:sz w:val="20"/>
          <w:szCs w:val="20"/>
        </w:rPr>
        <w:t>874 of the Code, because we do not believe that the assets contributed to us by Innoviva constituted “substantially all” of the properties of Innoviva (as determined on both a gross and net fair market value basis). However, the Internal Revenue Service ma</w:t>
      </w:r>
      <w:r>
        <w:rPr>
          <w:sz w:val="20"/>
          <w:szCs w:val="20"/>
        </w:rPr>
        <w:t>y disagree with our conclusion on this point and assert that, in its view, the assets contributed to us by Innoviva did constitute “substantially all” of the properties of Innoviva. In addition, there could be legislative proposals to expand the scope of U</w:t>
      </w:r>
      <w:r>
        <w:rPr>
          <w:sz w:val="20"/>
          <w:szCs w:val="20"/>
        </w:rPr>
        <w:t>S corporate tax residence and there could be changes to Section 7874 of the Code or the Treasury Regulations promulgated thereunder that could apply retroactively and could result in Theravance Biopharma being treated as a US corporation.</w:t>
      </w:r>
    </w:p>
    <w:p w:rsidR="00000000" w:rsidRDefault="00E52F77">
      <w:pPr>
        <w:pStyle w:val="a3"/>
        <w:spacing w:before="0" w:beforeAutospacing="0" w:after="200" w:afterAutospacing="0"/>
        <w:ind w:firstLine="720"/>
        <w:divId w:val="1403675717"/>
        <w:rPr>
          <w:sz w:val="20"/>
          <w:szCs w:val="20"/>
        </w:rPr>
      </w:pPr>
      <w:r>
        <w:rPr>
          <w:sz w:val="20"/>
          <w:szCs w:val="20"/>
        </w:rPr>
        <w:t>If it were determ</w:t>
      </w:r>
      <w:r>
        <w:rPr>
          <w:sz w:val="20"/>
          <w:szCs w:val="20"/>
        </w:rPr>
        <w:t>ined that we should be treated as a US corporation for US federal income tax purposes, we could be liable for substantial additional US federal income tax on our post-Spin-Off taxable income. In addition, though we have no current plans to pay any dividend</w:t>
      </w:r>
      <w:r>
        <w:rPr>
          <w:sz w:val="20"/>
          <w:szCs w:val="20"/>
        </w:rPr>
        <w:t>s, payments of any dividends to non-US holders may be subject to US withholding tax.</w:t>
      </w:r>
    </w:p>
    <w:p w:rsidR="00000000" w:rsidRDefault="00E52F77">
      <w:pPr>
        <w:pStyle w:val="a3"/>
        <w:spacing w:before="0" w:beforeAutospacing="0" w:after="120" w:afterAutospacing="0"/>
        <w:divId w:val="1403675717"/>
        <w:rPr>
          <w:sz w:val="20"/>
          <w:szCs w:val="20"/>
        </w:rPr>
      </w:pPr>
      <w:r>
        <w:rPr>
          <w:b/>
          <w:bCs/>
          <w:i/>
          <w:iCs/>
          <w:sz w:val="20"/>
          <w:szCs w:val="20"/>
        </w:rPr>
        <w:t>Future tax reform, including changes in tax rates and imposition of new taxes, could impact our results of operations and financial condition.</w:t>
      </w:r>
    </w:p>
    <w:p w:rsidR="00000000" w:rsidRDefault="00E52F77">
      <w:pPr>
        <w:pStyle w:val="a3"/>
        <w:spacing w:before="0" w:beforeAutospacing="0" w:after="200" w:afterAutospacing="0"/>
        <w:ind w:firstLine="720"/>
        <w:divId w:val="1403675717"/>
        <w:rPr>
          <w:sz w:val="20"/>
          <w:szCs w:val="20"/>
        </w:rPr>
      </w:pPr>
      <w:r>
        <w:rPr>
          <w:sz w:val="20"/>
          <w:szCs w:val="20"/>
        </w:rPr>
        <w:t>We are incorporated in the C</w:t>
      </w:r>
      <w:r>
        <w:rPr>
          <w:sz w:val="20"/>
          <w:szCs w:val="20"/>
        </w:rPr>
        <w:t xml:space="preserve">ayman Islands, maintain subsidiaries in the Cayman Islands (until December 2020), the US, the UK and Ireland, and effective July 1, 2015, we migrated our tax residency from the Cayman Islands to Ireland. We are subject to new, evolving or revised tax laws </w:t>
      </w:r>
      <w:r>
        <w:rPr>
          <w:sz w:val="20"/>
          <w:szCs w:val="20"/>
        </w:rPr>
        <w:t xml:space="preserve">and regulations in such jurisdictions, and the enactment of or increases in taxes, or other changes in the application of existing taxes, in such jurisdictions may have an adverse effect on our business or on our results of operations. Due to economic and </w:t>
      </w:r>
      <w:r>
        <w:rPr>
          <w:sz w:val="20"/>
          <w:szCs w:val="20"/>
        </w:rPr>
        <w:t>political conditions, tax rates in various jurisdictions may be subject to significant change. Our future effective tax rate could be affected by changes in our mix of earnings in countries with differing statutory tax rates, changes in valuation of our de</w:t>
      </w:r>
      <w:r>
        <w:rPr>
          <w:sz w:val="20"/>
          <w:szCs w:val="20"/>
        </w:rPr>
        <w:t>ferred tax assets and liabilities, or changes in tax laws or their interpretation, including possible US tax reform and contemplated changes in other countries of long-standing tax principles. These and other similar changes, if finalized and adopted, coul</w:t>
      </w:r>
      <w:r>
        <w:rPr>
          <w:sz w:val="20"/>
          <w:szCs w:val="20"/>
        </w:rPr>
        <w:t>d have a material impact on our income tax expense and deferred tax balances</w:t>
      </w:r>
      <w:r>
        <w:rPr>
          <w:sz w:val="20"/>
          <w:szCs w:val="20"/>
        </w:rPr>
        <w:t>.</w:t>
      </w:r>
    </w:p>
    <w:p w:rsidR="00000000" w:rsidRDefault="00E52F77">
      <w:pPr>
        <w:pStyle w:val="a3"/>
        <w:spacing w:before="0" w:beforeAutospacing="0" w:after="120" w:afterAutospacing="0"/>
        <w:divId w:val="1403675717"/>
        <w:rPr>
          <w:sz w:val="20"/>
          <w:szCs w:val="20"/>
        </w:rPr>
      </w:pPr>
      <w:r>
        <w:rPr>
          <w:b/>
          <w:bCs/>
          <w:i/>
          <w:iCs/>
          <w:sz w:val="20"/>
          <w:szCs w:val="20"/>
        </w:rPr>
        <w:t>Taxing authorities may challenge our structure and transfer pricing arrangements.</w:t>
      </w:r>
    </w:p>
    <w:p w:rsidR="00000000" w:rsidRDefault="00E52F77">
      <w:pPr>
        <w:pStyle w:val="a3"/>
        <w:spacing w:before="0" w:beforeAutospacing="0" w:after="0" w:afterAutospacing="0"/>
        <w:ind w:firstLine="720"/>
        <w:divId w:val="1403675717"/>
        <w:rPr>
          <w:sz w:val="20"/>
          <w:szCs w:val="20"/>
        </w:rPr>
      </w:pPr>
      <w:r>
        <w:rPr>
          <w:sz w:val="20"/>
          <w:szCs w:val="20"/>
        </w:rPr>
        <w:t>We are incorporated in the Cayman Islands, maintain subsidiaries in the Cayman Islands (until De</w:t>
      </w:r>
      <w:r>
        <w:rPr>
          <w:sz w:val="20"/>
          <w:szCs w:val="20"/>
        </w:rPr>
        <w:t>cember 2020), the US, the UK and Ireland, and effective July 1, 2015, we migrated our tax residency from the Cayman Islands to Ireland. Due to economic and political conditions, various countries are actively considering changes to existing tax laws. We ca</w:t>
      </w:r>
      <w:r>
        <w:rPr>
          <w:sz w:val="20"/>
          <w:szCs w:val="20"/>
        </w:rPr>
        <w:t xml:space="preserve">nnot predict the form or timing of potential legislative changes that could have a material adverse impact on our results of operations. We are aware that Ireland has implemented certain tax law changes, and is expected to implement additional tax </w:t>
      </w:r>
    </w:p>
    <w:p w:rsidR="00000000" w:rsidRDefault="00E52F77">
      <w:pPr>
        <w:pStyle w:val="a3"/>
        <w:spacing w:before="360" w:beforeAutospacing="0" w:after="0" w:afterAutospacing="0"/>
        <w:jc w:val="center"/>
        <w:divId w:val="1147742986"/>
        <w:rPr>
          <w:sz w:val="20"/>
          <w:szCs w:val="20"/>
        </w:rPr>
      </w:pPr>
      <w:r>
        <w:rPr>
          <w:sz w:val="20"/>
          <w:szCs w:val="20"/>
        </w:rPr>
        <w:t>54</w:t>
      </w:r>
    </w:p>
    <w:p w:rsidR="00000000" w:rsidRDefault="00E52F77">
      <w:pPr>
        <w:pStyle w:val="a3"/>
        <w:spacing w:before="0" w:beforeAutospacing="0" w:after="600" w:afterAutospacing="0"/>
        <w:divId w:val="100805968"/>
        <w:rPr>
          <w:sz w:val="20"/>
          <w:szCs w:val="20"/>
        </w:rPr>
      </w:pPr>
      <w:hyperlink w:anchor="TOC" w:history="1">
        <w:r>
          <w:rPr>
            <w:rStyle w:val="a4"/>
            <w:sz w:val="20"/>
            <w:szCs w:val="20"/>
          </w:rPr>
          <w:t>Table of Contents</w:t>
        </w:r>
      </w:hyperlink>
    </w:p>
    <w:p w:rsidR="00000000" w:rsidRDefault="00E52F77">
      <w:pPr>
        <w:pStyle w:val="a3"/>
        <w:spacing w:before="0" w:beforeAutospacing="0" w:after="200" w:afterAutospacing="0"/>
        <w:divId w:val="2013988425"/>
        <w:rPr>
          <w:sz w:val="20"/>
          <w:szCs w:val="20"/>
        </w:rPr>
      </w:pPr>
      <w:r>
        <w:rPr>
          <w:sz w:val="20"/>
          <w:szCs w:val="20"/>
        </w:rPr>
        <w:t>law changes, some of which are to comply with the European Union Anti-Tax Avoidance Directives. We are aware that Ireland will implement further tax law changes to comply with the Anti-Tax Avoidance Directives to inc</w:t>
      </w:r>
      <w:r>
        <w:rPr>
          <w:sz w:val="20"/>
          <w:szCs w:val="20"/>
        </w:rPr>
        <w:t>lude reverse-hybrid mismatch and interest limitation rules. We will evaluate and monitor the applicability of these rules to our operations as and when they are enacted.</w:t>
      </w:r>
    </w:p>
    <w:p w:rsidR="00000000" w:rsidRDefault="00E52F77">
      <w:pPr>
        <w:pStyle w:val="a3"/>
        <w:spacing w:before="0" w:beforeAutospacing="0" w:after="200" w:afterAutospacing="0"/>
        <w:ind w:firstLine="720"/>
        <w:divId w:val="2013988425"/>
        <w:rPr>
          <w:rFonts w:ascii="Calibri" w:hAnsi="Calibri" w:cs="Calibri"/>
          <w:sz w:val="20"/>
          <w:szCs w:val="20"/>
        </w:rPr>
      </w:pPr>
      <w:r>
        <w:rPr>
          <w:sz w:val="20"/>
          <w:szCs w:val="20"/>
        </w:rPr>
        <w:t>In April 2020, we became aware of a withholding tax regulation that could be interpreted to apply to certain of our previous intra-group transactions. Additional draft guidance on this withholding tax regime was released in late 2020 and early 2021, and ba</w:t>
      </w:r>
      <w:r>
        <w:rPr>
          <w:sz w:val="20"/>
          <w:szCs w:val="20"/>
        </w:rPr>
        <w:t>sed on our analysis of this guidance, we do not believe the exposure to be material. We continue to monitor the evolving legislation relating to this matter and will consider its impact on our condensed consolidated financial statements.</w:t>
      </w:r>
    </w:p>
    <w:p w:rsidR="00000000" w:rsidRDefault="00E52F77">
      <w:pPr>
        <w:pStyle w:val="a3"/>
        <w:spacing w:before="0" w:beforeAutospacing="0" w:after="200" w:afterAutospacing="0"/>
        <w:ind w:firstLine="720"/>
        <w:divId w:val="2013988425"/>
        <w:rPr>
          <w:sz w:val="20"/>
          <w:szCs w:val="20"/>
        </w:rPr>
      </w:pPr>
      <w:r>
        <w:rPr>
          <w:sz w:val="20"/>
          <w:szCs w:val="20"/>
        </w:rPr>
        <w:t>In addition, signi</w:t>
      </w:r>
      <w:r>
        <w:rPr>
          <w:sz w:val="20"/>
          <w:szCs w:val="20"/>
        </w:rPr>
        <w:t>ficant judgment is required in determining our worldwide provision for income taxes. Various factors may have favorable or unfavorable effects on our income tax rate including, but not limited to the performance of certain functions and ownership of certai</w:t>
      </w:r>
      <w:r>
        <w:rPr>
          <w:sz w:val="20"/>
          <w:szCs w:val="20"/>
        </w:rPr>
        <w:t xml:space="preserve">n assets in tax-efficient jurisdictions such as the Cayman Islands and Ireland, together with intra-group transfer pricing agreements. Taxing authorities may challenge our structure and transfer pricing arrangements through an audit or lawsuit. Responding </w:t>
      </w:r>
      <w:r>
        <w:rPr>
          <w:sz w:val="20"/>
          <w:szCs w:val="20"/>
        </w:rPr>
        <w:t>to or defending such a challenge could be expensive and consume time and other resources, and divert management’s time and focus from operating our business. We cannot predict whether taxing authorities will conduct an audit or file a lawsuit challenging t</w:t>
      </w:r>
      <w:r>
        <w:rPr>
          <w:sz w:val="20"/>
          <w:szCs w:val="20"/>
        </w:rPr>
        <w:t>his structure, the cost involved in responding to any such audit or lawsuit, or the outcome. We may be required to pay taxes for prior periods, interest, fines or penalties, and may be obligated to pay increased taxes in the future which could result in re</w:t>
      </w:r>
      <w:r>
        <w:rPr>
          <w:sz w:val="20"/>
          <w:szCs w:val="20"/>
        </w:rPr>
        <w:t>duced cash flows and have a material adverse effect on our business, financial condition and growth prospects.</w:t>
      </w:r>
    </w:p>
    <w:p w:rsidR="00000000" w:rsidRDefault="00E52F77">
      <w:pPr>
        <w:pStyle w:val="a3"/>
        <w:spacing w:before="0" w:beforeAutospacing="0" w:after="120" w:afterAutospacing="0"/>
        <w:divId w:val="2013988425"/>
        <w:rPr>
          <w:sz w:val="20"/>
          <w:szCs w:val="20"/>
        </w:rPr>
      </w:pPr>
      <w:r>
        <w:rPr>
          <w:b/>
          <w:bCs/>
          <w:i/>
          <w:iCs/>
          <w:sz w:val="20"/>
          <w:szCs w:val="20"/>
        </w:rPr>
        <w:t>We were a passive foreign investment company, or “PFIC,” for 2014, but we were not a PFIC from 2015 through 2020, and we do not expect to be a PF</w:t>
      </w:r>
      <w:r>
        <w:rPr>
          <w:b/>
          <w:bCs/>
          <w:i/>
          <w:iCs/>
          <w:sz w:val="20"/>
          <w:szCs w:val="20"/>
        </w:rPr>
        <w:t>IC for the foreseeable future.</w:t>
      </w:r>
    </w:p>
    <w:p w:rsidR="00000000" w:rsidRDefault="00E52F77">
      <w:pPr>
        <w:pStyle w:val="a3"/>
        <w:spacing w:before="0" w:beforeAutospacing="0" w:after="240" w:afterAutospacing="0"/>
        <w:ind w:firstLine="720"/>
        <w:divId w:val="2013988425"/>
        <w:rPr>
          <w:sz w:val="20"/>
          <w:szCs w:val="20"/>
        </w:rPr>
      </w:pPr>
      <w:r>
        <w:rPr>
          <w:sz w:val="20"/>
          <w:szCs w:val="20"/>
        </w:rPr>
        <w:t>For US federal income tax purposes, we generally would be classified as a PFIC for any taxable year if either (i) 75% or more of our gross income (including gross income of certain 25% or more owned corporate subsidiaries) is</w:t>
      </w:r>
      <w:r>
        <w:rPr>
          <w:sz w:val="20"/>
          <w:szCs w:val="20"/>
        </w:rPr>
        <w:t xml:space="preserve"> “passive income” (as defined for such purposes) or (ii) the average percentage of our assets (including the assets of certain 25% or more owned corporate subsidiaries) that produce passive income or that are held for the production of passive income is at</w:t>
      </w:r>
      <w:r>
        <w:rPr>
          <w:sz w:val="20"/>
          <w:szCs w:val="20"/>
        </w:rPr>
        <w:t xml:space="preserve"> least 50%. In addition, whether our Company will be a PFIC for any taxable year depends on our assets and income over the course of each such taxable year and, as a result, cannot be predicted with certainty until after the end of the year.</w:t>
      </w:r>
    </w:p>
    <w:p w:rsidR="00000000" w:rsidRDefault="00E52F77">
      <w:pPr>
        <w:pStyle w:val="a3"/>
        <w:spacing w:before="0" w:beforeAutospacing="0" w:after="200" w:afterAutospacing="0"/>
        <w:ind w:firstLine="720"/>
        <w:divId w:val="2013988425"/>
        <w:rPr>
          <w:sz w:val="20"/>
          <w:szCs w:val="20"/>
        </w:rPr>
      </w:pPr>
      <w:r>
        <w:rPr>
          <w:sz w:val="20"/>
          <w:szCs w:val="20"/>
        </w:rPr>
        <w:t>Based upon our</w:t>
      </w:r>
      <w:r>
        <w:rPr>
          <w:sz w:val="20"/>
          <w:szCs w:val="20"/>
        </w:rPr>
        <w:t xml:space="preserve"> assets and income during the course of 2014, we believe that our Company and one of our Company’s wholly-owned subsidiaries, Theravance Biopharma R&amp;D, Inc. was a PFIC for 2014. Based upon our assets and income from 2015 through 2020, we do not believe tha</w:t>
      </w:r>
      <w:r>
        <w:rPr>
          <w:sz w:val="20"/>
          <w:szCs w:val="20"/>
        </w:rPr>
        <w:t>t our Company is a PFIC since 2015. Based on existing tax law, we do not expect to be a PFIC for the foreseeable future based on our current business plans and current business model. For any taxable year (or portion thereof) in which our Company is a PFIC</w:t>
      </w:r>
      <w:r>
        <w:rPr>
          <w:sz w:val="20"/>
          <w:szCs w:val="20"/>
        </w:rPr>
        <w:t xml:space="preserve"> that is included in the holding period of a US holder, the US holder is generally subject to additional US federal income taxes plus an interest charge with respect to certain distributions from Theravance Biopharma or gain recognized on a sale of Therava</w:t>
      </w:r>
      <w:r>
        <w:rPr>
          <w:sz w:val="20"/>
          <w:szCs w:val="20"/>
        </w:rPr>
        <w:t>nce Biopharma shares. Similar rules would apply with respect to distributions from or gain recognized on an indirect sale of Theravance Biopharma Ireland Limited. US holders of our ordinary shares may have filed an election with respect to Company shares h</w:t>
      </w:r>
      <w:r>
        <w:rPr>
          <w:sz w:val="20"/>
          <w:szCs w:val="20"/>
        </w:rPr>
        <w:t>eld at any time during 2014 to be treated as owning an interest in a “qualified electing fund” (“QEF”) or to “mark to market” their ordinary shares to avoid the otherwise applicable interest charge consequences of PFIC treatment with respect to our ordinar</w:t>
      </w:r>
      <w:r>
        <w:rPr>
          <w:sz w:val="20"/>
          <w:szCs w:val="20"/>
        </w:rPr>
        <w:t>y shares. A foreign corporation will not be treated as a QEF for any taxable year in which such foreign corporation is not treated as a PFIC. QEF and mark to market elections generally apply to the taxable year for which the election is made and all subseq</w:t>
      </w:r>
      <w:r>
        <w:rPr>
          <w:sz w:val="20"/>
          <w:szCs w:val="20"/>
        </w:rPr>
        <w:t>uent taxable years unless the election is revoked with consent of the Secretary of Treasury. US holders of our ordinary shares should consult their tax advisers regarding the tax reporting implications with respect to any QEF and mark to market elections m</w:t>
      </w:r>
      <w:r>
        <w:rPr>
          <w:sz w:val="20"/>
          <w:szCs w:val="20"/>
        </w:rPr>
        <w:t>ade with respect to our Company and with respect to their indirect interests in Theravance Biopharma R&amp;D, Inc.</w:t>
      </w:r>
    </w:p>
    <w:p w:rsidR="00000000" w:rsidRDefault="00E52F77">
      <w:pPr>
        <w:pStyle w:val="a3"/>
        <w:spacing w:before="0" w:beforeAutospacing="0" w:after="120" w:afterAutospacing="0"/>
        <w:divId w:val="2013988425"/>
        <w:rPr>
          <w:sz w:val="20"/>
          <w:szCs w:val="20"/>
        </w:rPr>
      </w:pPr>
      <w:r>
        <w:rPr>
          <w:b/>
          <w:bCs/>
          <w:i/>
          <w:iCs/>
          <w:sz w:val="20"/>
          <w:szCs w:val="20"/>
        </w:rPr>
        <w:t>If we are unable to maintain effective internal controls, our business, financial position and results of operations could be adversely affected.</w:t>
      </w:r>
    </w:p>
    <w:p w:rsidR="00000000" w:rsidRDefault="00E52F77">
      <w:pPr>
        <w:pStyle w:val="a3"/>
        <w:spacing w:before="0" w:beforeAutospacing="0" w:after="0" w:afterAutospacing="0"/>
        <w:ind w:firstLine="720"/>
        <w:divId w:val="2013988425"/>
        <w:rPr>
          <w:sz w:val="20"/>
          <w:szCs w:val="20"/>
        </w:rPr>
      </w:pPr>
      <w:r>
        <w:rPr>
          <w:sz w:val="20"/>
          <w:szCs w:val="20"/>
        </w:rPr>
        <w:t>If we are unable to maintain effective internal controls, our business, financial position and results of operations could be adversely affected. We are subject to the reporting and other obligations under the Exchange Act, including the requirements of S</w:t>
      </w:r>
      <w:r>
        <w:rPr>
          <w:sz w:val="20"/>
          <w:szCs w:val="20"/>
        </w:rPr>
        <w:t xml:space="preserve">ection 404 of the Sarbanes-Oxley Act of 2002, which require annual management assessments of the effectiveness of our internal control over financial reporting. Our management is responsible for establishing and maintaining </w:t>
      </w:r>
    </w:p>
    <w:p w:rsidR="00000000" w:rsidRDefault="00E52F77">
      <w:pPr>
        <w:pStyle w:val="a3"/>
        <w:spacing w:before="360" w:beforeAutospacing="0" w:after="0" w:afterAutospacing="0"/>
        <w:jc w:val="center"/>
        <w:divId w:val="506945365"/>
        <w:rPr>
          <w:sz w:val="20"/>
          <w:szCs w:val="20"/>
        </w:rPr>
      </w:pPr>
      <w:r>
        <w:rPr>
          <w:sz w:val="20"/>
          <w:szCs w:val="20"/>
        </w:rPr>
        <w:t>55</w:t>
      </w:r>
    </w:p>
    <w:p w:rsidR="00000000" w:rsidRDefault="00E52F77">
      <w:pPr>
        <w:pStyle w:val="a3"/>
        <w:spacing w:before="0" w:beforeAutospacing="0" w:after="600" w:afterAutospacing="0"/>
        <w:divId w:val="998534804"/>
        <w:rPr>
          <w:sz w:val="20"/>
          <w:szCs w:val="20"/>
        </w:rPr>
      </w:pPr>
      <w:hyperlink w:anchor="TOC" w:history="1">
        <w:r>
          <w:rPr>
            <w:rStyle w:val="a4"/>
            <w:sz w:val="20"/>
            <w:szCs w:val="20"/>
          </w:rPr>
          <w:t>Ta</w:t>
        </w:r>
        <w:r>
          <w:rPr>
            <w:rStyle w:val="a4"/>
            <w:sz w:val="20"/>
            <w:szCs w:val="20"/>
          </w:rPr>
          <w:t>ble of Contents</w:t>
        </w:r>
      </w:hyperlink>
    </w:p>
    <w:p w:rsidR="00000000" w:rsidRDefault="00E52F77">
      <w:pPr>
        <w:pStyle w:val="a3"/>
        <w:spacing w:before="0" w:beforeAutospacing="0" w:after="200" w:afterAutospacing="0"/>
        <w:divId w:val="1313604868"/>
        <w:rPr>
          <w:sz w:val="20"/>
          <w:szCs w:val="20"/>
        </w:rPr>
      </w:pPr>
      <w:r>
        <w:rPr>
          <w:sz w:val="20"/>
          <w:szCs w:val="20"/>
        </w:rPr>
        <w:t>adequate internal control over financial reporting as defined in Rules 13a-15(f) under the Exchange Act. Our internal control over financial reporting is a process designed to provide reasonable assurance regarding the reliability of financ</w:t>
      </w:r>
      <w:r>
        <w:rPr>
          <w:sz w:val="20"/>
          <w:szCs w:val="20"/>
        </w:rPr>
        <w:t>ial reporting and the preparation of financial statements for external purposes in accordance with accounting principles generally accepted in the US. Any failure to achieve and maintain effective internal controls could have an adverse effect on our busin</w:t>
      </w:r>
      <w:r>
        <w:rPr>
          <w:sz w:val="20"/>
          <w:szCs w:val="20"/>
        </w:rPr>
        <w:t>ess, financial position and results of operations. In addition, our independent registered public accounting firm is required to attest to the effectiveness of our internal control over financial reporting annually. If our independent registered public acc</w:t>
      </w:r>
      <w:r>
        <w:rPr>
          <w:sz w:val="20"/>
          <w:szCs w:val="20"/>
        </w:rPr>
        <w:t>ounting firm is unable to attest to the effectiveness of our internal control over financial reporting, investor confidence in our reported results will be harmed and the price of our securities may fall. These reporting and other obligations place signifi</w:t>
      </w:r>
      <w:r>
        <w:rPr>
          <w:sz w:val="20"/>
          <w:szCs w:val="20"/>
        </w:rPr>
        <w:t>cant demands on our management and administrative and operational resources, including accounting resources.</w:t>
      </w:r>
    </w:p>
    <w:p w:rsidR="00000000" w:rsidRDefault="00E52F77">
      <w:pPr>
        <w:pStyle w:val="a3"/>
        <w:spacing w:before="0" w:beforeAutospacing="0" w:after="120" w:afterAutospacing="0"/>
        <w:divId w:val="1313604868"/>
        <w:rPr>
          <w:sz w:val="20"/>
          <w:szCs w:val="20"/>
        </w:rPr>
      </w:pPr>
      <w:r>
        <w:rPr>
          <w:b/>
          <w:bCs/>
          <w:i/>
          <w:iCs/>
          <w:sz w:val="20"/>
          <w:szCs w:val="20"/>
        </w:rPr>
        <w:t>Agreements entered into with or for the benefit of GSK in connection with the Spin-Off may significantly restrict our business and affairs.</w:t>
      </w:r>
    </w:p>
    <w:p w:rsidR="00000000" w:rsidRDefault="00E52F77">
      <w:pPr>
        <w:pStyle w:val="a3"/>
        <w:spacing w:before="0" w:beforeAutospacing="0" w:after="200" w:afterAutospacing="0"/>
        <w:ind w:firstLine="720"/>
        <w:divId w:val="1313604868"/>
        <w:rPr>
          <w:sz w:val="20"/>
          <w:szCs w:val="20"/>
        </w:rPr>
      </w:pPr>
      <w:r>
        <w:rPr>
          <w:sz w:val="20"/>
          <w:szCs w:val="20"/>
        </w:rPr>
        <w:t>On Marc</w:t>
      </w:r>
      <w:r>
        <w:rPr>
          <w:sz w:val="20"/>
          <w:szCs w:val="20"/>
        </w:rPr>
        <w:t xml:space="preserve">h 3, 2014, in connection with the Spin-Off, we, Innoviva and GSK entered into a number of agreements that may significantly restrict our business and affairs. In particular, we, Innoviva and GSK entered into the Master Agreement which, among other things, </w:t>
      </w:r>
      <w:r>
        <w:rPr>
          <w:sz w:val="20"/>
          <w:szCs w:val="20"/>
        </w:rPr>
        <w:t>requires GSK’s consent to make any changes to (i) a Separation and Distribution Agreement and ancillary agreements that would, individually or in the aggregate, reasonably be expected to adversely affect GSK in any material respect or (ii) the TRC LLC Agre</w:t>
      </w:r>
      <w:r>
        <w:rPr>
          <w:sz w:val="20"/>
          <w:szCs w:val="20"/>
        </w:rPr>
        <w:t>ement, which consent is not to be unreasonably withheld, conditioned or delayed, provided that GSK may withhold, condition or delay such consent in its sole discretion with respect to certain sections of the TRC LLC Agreement and any changes to the governa</w:t>
      </w:r>
      <w:r>
        <w:rPr>
          <w:sz w:val="20"/>
          <w:szCs w:val="20"/>
        </w:rPr>
        <w:t>nce structure of TRC, the confidentiality restrictions, the consent rights, and the transfer restrictions in the TRC LLC Agreement. We and GSK also entered into (i) the Governance Agreement that expired on December 31, 2017, (ii) a registration rights agre</w:t>
      </w:r>
      <w:r>
        <w:rPr>
          <w:sz w:val="20"/>
          <w:szCs w:val="20"/>
        </w:rPr>
        <w:t>ement that gives GSK certain registration rights with respect to our ordinary shares held by GSK and (iii) an extension agreement that extends to us certain restrictive covenants similar to those applicable to Innoviva under the GSK Agreements. There can b</w:t>
      </w:r>
      <w:r>
        <w:rPr>
          <w:sz w:val="20"/>
          <w:szCs w:val="20"/>
        </w:rPr>
        <w:t>e no assurance that these restrictions will not materially harm our business, particularly given that GSK’s interests may not be aligned with the interests of our business or our other shareholders.</w:t>
      </w:r>
    </w:p>
    <w:p w:rsidR="00000000" w:rsidRDefault="00E52F77">
      <w:pPr>
        <w:pStyle w:val="a3"/>
        <w:spacing w:before="0" w:beforeAutospacing="0" w:after="120" w:afterAutospacing="0"/>
        <w:divId w:val="1313604868"/>
        <w:rPr>
          <w:sz w:val="20"/>
          <w:szCs w:val="20"/>
        </w:rPr>
      </w:pPr>
      <w:r>
        <w:rPr>
          <w:b/>
          <w:bCs/>
          <w:i/>
          <w:iCs/>
          <w:sz w:val="20"/>
          <w:szCs w:val="20"/>
        </w:rPr>
        <w:t xml:space="preserve">Certain of our directors and officers may have actual or </w:t>
      </w:r>
      <w:r>
        <w:rPr>
          <w:b/>
          <w:bCs/>
          <w:i/>
          <w:iCs/>
          <w:sz w:val="20"/>
          <w:szCs w:val="20"/>
        </w:rPr>
        <w:t>potential conflicts of interest because of their equity ownership in Innoviva, which actual or potential conflicts may harm our business, prospects and financial condition and result in the diversion of corporate opportunities to Innoviva.</w:t>
      </w:r>
    </w:p>
    <w:p w:rsidR="00000000" w:rsidRDefault="00E52F77">
      <w:pPr>
        <w:pStyle w:val="a3"/>
        <w:spacing w:before="0" w:beforeAutospacing="0" w:after="200" w:afterAutospacing="0"/>
        <w:ind w:firstLine="720"/>
        <w:divId w:val="1313604868"/>
        <w:rPr>
          <w:sz w:val="20"/>
          <w:szCs w:val="20"/>
        </w:rPr>
      </w:pPr>
      <w:r>
        <w:rPr>
          <w:sz w:val="20"/>
          <w:szCs w:val="20"/>
        </w:rPr>
        <w:t>Certain of our d</w:t>
      </w:r>
      <w:r>
        <w:rPr>
          <w:sz w:val="20"/>
          <w:szCs w:val="20"/>
        </w:rPr>
        <w:t>irectors and officers hold shares of Innoviva’s common stock or rights to acquire such shares, and these holdings may be significant for some of these individuals compared to their total assets. This ownership of Innoviva common stock by certain of our dir</w:t>
      </w:r>
      <w:r>
        <w:rPr>
          <w:sz w:val="20"/>
          <w:szCs w:val="20"/>
        </w:rPr>
        <w:t>ectors and officers may create, or may create the appearance of, conflicts of interest when these directors and officers are faced with decisions that could have different implications for Innoviva and for us. For example, potential or actual conflicts cou</w:t>
      </w:r>
      <w:r>
        <w:rPr>
          <w:sz w:val="20"/>
          <w:szCs w:val="20"/>
        </w:rPr>
        <w:t>ld arise relating to: our relationship with Innoviva, including Innoviva’s and our respective rights and obligations under agreements entered into in connection with the Spin-Off; Innoviva’s management of TRC, particularly given that we and Innoviva have d</w:t>
      </w:r>
      <w:r>
        <w:rPr>
          <w:sz w:val="20"/>
          <w:szCs w:val="20"/>
        </w:rPr>
        <w:t>ifferent economic interests in TRC; and corporate opportunities that may be available to both companies in the future. Although we and Innoviva have implemented policies and procedures to identify and properly address such potential and actual conflicts of</w:t>
      </w:r>
      <w:r>
        <w:rPr>
          <w:sz w:val="20"/>
          <w:szCs w:val="20"/>
        </w:rPr>
        <w:t xml:space="preserve"> interest, there can be no assurance that, when such conflicts are resolved in accordance with applicable laws, such conflicts of interest will not harm our business, prospects and financial condition and result in the diversion of corporate opportunities </w:t>
      </w:r>
      <w:r>
        <w:rPr>
          <w:sz w:val="20"/>
          <w:szCs w:val="20"/>
        </w:rPr>
        <w:t>to Innoviva.</w:t>
      </w:r>
    </w:p>
    <w:p w:rsidR="00000000" w:rsidRDefault="00E52F77">
      <w:pPr>
        <w:pStyle w:val="a3"/>
        <w:spacing w:before="0" w:beforeAutospacing="0" w:after="120" w:afterAutospacing="0"/>
        <w:divId w:val="1313604868"/>
        <w:rPr>
          <w:sz w:val="20"/>
          <w:szCs w:val="20"/>
        </w:rPr>
      </w:pPr>
      <w:r>
        <w:rPr>
          <w:b/>
          <w:bCs/>
          <w:i/>
          <w:iCs/>
          <w:sz w:val="20"/>
          <w:szCs w:val="20"/>
        </w:rPr>
        <w:t>If we are required to indemnify Innoviva or Cumberland, or if we are not able to enforce our indemnification rights against Innoviva or Cumberland, our business prospects and financial condition may be harmed.</w:t>
      </w:r>
    </w:p>
    <w:p w:rsidR="00000000" w:rsidRDefault="00E52F77">
      <w:pPr>
        <w:pStyle w:val="a3"/>
        <w:spacing w:before="0" w:beforeAutospacing="0" w:after="0" w:afterAutospacing="0"/>
        <w:ind w:firstLine="720"/>
        <w:divId w:val="1313604868"/>
        <w:rPr>
          <w:sz w:val="20"/>
          <w:szCs w:val="20"/>
        </w:rPr>
      </w:pPr>
      <w:r>
        <w:rPr>
          <w:sz w:val="20"/>
          <w:szCs w:val="20"/>
        </w:rPr>
        <w:t>We agreed to indemnify Innoviva f</w:t>
      </w:r>
      <w:r>
        <w:rPr>
          <w:sz w:val="20"/>
          <w:szCs w:val="20"/>
        </w:rPr>
        <w:t xml:space="preserve">rom and after the Spin-Off with respect to (i) all debts, liabilities and obligations transferred to us in connection with the Spin-Off (including our failure to pay, perform or otherwise promptly discharge any such debts, liabilities or obligations after </w:t>
      </w:r>
      <w:r>
        <w:rPr>
          <w:sz w:val="20"/>
          <w:szCs w:val="20"/>
        </w:rPr>
        <w:t>the Spin-Off), (ii) any misstatement or omission of a material fact resulting in a misleading statement in our Information Statement distributed to Innoviva stockholders in connection with the Spin-Off and (iii) any breach by us of certain agreements enter</w:t>
      </w:r>
      <w:r>
        <w:rPr>
          <w:sz w:val="20"/>
          <w:szCs w:val="20"/>
        </w:rPr>
        <w:t>ed into with Innoviva in connection with the Spin-Off (namely, the Separation and Distribution Agreement, a Transition Services Agreement, an Employee Matters Agreement, a Tax Matters Agreement, and a Facility Sublease Agreement). We are not aware of any e</w:t>
      </w:r>
      <w:r>
        <w:rPr>
          <w:sz w:val="20"/>
          <w:szCs w:val="20"/>
        </w:rPr>
        <w:t>xisting indemnification obligations at this time, but any such indemnification obligations that may arise could be significant. Under the terms of the Separation and Distribution Agreement, Innoviva agreed to indemnify us from and after the Spin-Off with r</w:t>
      </w:r>
      <w:r>
        <w:rPr>
          <w:sz w:val="20"/>
          <w:szCs w:val="20"/>
        </w:rPr>
        <w:t xml:space="preserve">espect to (i) all debts, liabilities and obligations retained by Innoviva after the Spin-Off (including its failure to pay, perform or otherwise promptly discharge </w:t>
      </w:r>
    </w:p>
    <w:p w:rsidR="00000000" w:rsidRDefault="00E52F77">
      <w:pPr>
        <w:pStyle w:val="a3"/>
        <w:spacing w:before="360" w:beforeAutospacing="0" w:after="0" w:afterAutospacing="0"/>
        <w:jc w:val="center"/>
        <w:divId w:val="55974319"/>
        <w:rPr>
          <w:sz w:val="20"/>
          <w:szCs w:val="20"/>
        </w:rPr>
      </w:pPr>
      <w:r>
        <w:rPr>
          <w:sz w:val="20"/>
          <w:szCs w:val="20"/>
        </w:rPr>
        <w:t>56</w:t>
      </w:r>
    </w:p>
    <w:p w:rsidR="00000000" w:rsidRDefault="00E52F77">
      <w:pPr>
        <w:pStyle w:val="a3"/>
        <w:spacing w:before="0" w:beforeAutospacing="0" w:after="600" w:afterAutospacing="0"/>
        <w:divId w:val="1332218378"/>
        <w:rPr>
          <w:sz w:val="20"/>
          <w:szCs w:val="20"/>
        </w:rPr>
      </w:pPr>
      <w:hyperlink w:anchor="TOC" w:history="1">
        <w:r>
          <w:rPr>
            <w:rStyle w:val="a4"/>
            <w:sz w:val="20"/>
            <w:szCs w:val="20"/>
          </w:rPr>
          <w:t>Table of Contents</w:t>
        </w:r>
      </w:hyperlink>
    </w:p>
    <w:p w:rsidR="00000000" w:rsidRDefault="00E52F77">
      <w:pPr>
        <w:pStyle w:val="a3"/>
        <w:spacing w:before="0" w:beforeAutospacing="0" w:after="200" w:afterAutospacing="0"/>
        <w:divId w:val="530651589"/>
        <w:rPr>
          <w:sz w:val="20"/>
          <w:szCs w:val="20"/>
        </w:rPr>
      </w:pPr>
      <w:r>
        <w:rPr>
          <w:sz w:val="20"/>
          <w:szCs w:val="20"/>
        </w:rPr>
        <w:t>any such debts, liabilities or obligations a</w:t>
      </w:r>
      <w:r>
        <w:rPr>
          <w:sz w:val="20"/>
          <w:szCs w:val="20"/>
        </w:rPr>
        <w:t>fter the Spin-Off) and (ii) any breach by Innoviva of the Separation and Distribution Agreement, the Transition Services Agreement, the Employee Matters Agreement, the Tax Matters Agreement, and the Facility Sublease Agreement. Our and Innoviva’s ability t</w:t>
      </w:r>
      <w:r>
        <w:rPr>
          <w:sz w:val="20"/>
          <w:szCs w:val="20"/>
        </w:rPr>
        <w:t>o satisfy these indemnities, if called upon to do so, will depend upon our and Innoviva’s future financial strength. If we are required to indemnify Innoviva, or if we are not able to enforce our indemnification rights against Innoviva, our business prospe</w:t>
      </w:r>
      <w:r>
        <w:rPr>
          <w:sz w:val="20"/>
          <w:szCs w:val="20"/>
        </w:rPr>
        <w:t>cts and financial condition may be harmed.</w:t>
      </w:r>
    </w:p>
    <w:p w:rsidR="00000000" w:rsidRDefault="00E52F77">
      <w:pPr>
        <w:pStyle w:val="a3"/>
        <w:spacing w:before="0" w:beforeAutospacing="0" w:after="200" w:afterAutospacing="0"/>
        <w:ind w:firstLine="720"/>
        <w:divId w:val="530651589"/>
        <w:rPr>
          <w:sz w:val="20"/>
          <w:szCs w:val="20"/>
        </w:rPr>
      </w:pPr>
      <w:r>
        <w:rPr>
          <w:sz w:val="20"/>
          <w:szCs w:val="20"/>
        </w:rPr>
        <w:t>In addition, the agreement relating to the sale of VIBATIV to Cumberland contains indemnification obligations of both us and Cumberland. If we are required to indemnify Cumberland or if we are unable to enforce ou</w:t>
      </w:r>
      <w:r>
        <w:rPr>
          <w:sz w:val="20"/>
          <w:szCs w:val="20"/>
        </w:rPr>
        <w:t>r indemnification rights against Cumberland for any reason, our business and financial condition may be harmed.</w:t>
      </w:r>
    </w:p>
    <w:p w:rsidR="00000000" w:rsidRDefault="00E52F77">
      <w:pPr>
        <w:pStyle w:val="a3"/>
        <w:spacing w:before="0" w:beforeAutospacing="0" w:after="0" w:afterAutospacing="0"/>
        <w:ind w:hanging="202"/>
        <w:divId w:val="530651589"/>
        <w:rPr>
          <w:sz w:val="20"/>
          <w:szCs w:val="20"/>
        </w:rPr>
      </w:pPr>
      <w:r>
        <w:rPr>
          <w:b/>
          <w:bCs/>
          <w:sz w:val="20"/>
          <w:szCs w:val="20"/>
        </w:rPr>
        <w:t xml:space="preserve">RISKS RELATED TO LEGAL AND REGULATORY UNCERTAINTY </w:t>
      </w:r>
    </w:p>
    <w:p w:rsidR="00000000" w:rsidRDefault="00E52F77">
      <w:pPr>
        <w:pStyle w:val="a3"/>
        <w:spacing w:before="0" w:beforeAutospacing="0" w:after="0" w:afterAutospacing="0"/>
        <w:ind w:hanging="202"/>
        <w:divId w:val="530651589"/>
        <w:rPr>
          <w:sz w:val="20"/>
          <w:szCs w:val="20"/>
        </w:rPr>
      </w:pPr>
      <w:r>
        <w:rPr>
          <w:sz w:val="20"/>
          <w:szCs w:val="20"/>
        </w:rPr>
        <w:t>​</w:t>
      </w:r>
    </w:p>
    <w:p w:rsidR="00000000" w:rsidRDefault="00E52F77">
      <w:pPr>
        <w:pStyle w:val="a3"/>
        <w:spacing w:before="0" w:beforeAutospacing="0" w:after="120" w:afterAutospacing="0"/>
        <w:divId w:val="530651589"/>
        <w:rPr>
          <w:sz w:val="20"/>
          <w:szCs w:val="20"/>
        </w:rPr>
      </w:pPr>
      <w:r>
        <w:rPr>
          <w:b/>
          <w:bCs/>
          <w:i/>
          <w:iCs/>
          <w:sz w:val="20"/>
          <w:szCs w:val="20"/>
        </w:rPr>
        <w:t>If our efforts to protect the proprietary nature of the intellectual property related to our technologies are not adequate, we may not be able to compete effectively in our current or future markets.</w:t>
      </w:r>
    </w:p>
    <w:p w:rsidR="00000000" w:rsidRDefault="00E52F77">
      <w:pPr>
        <w:pStyle w:val="a3"/>
        <w:spacing w:before="0" w:beforeAutospacing="0" w:after="200" w:afterAutospacing="0"/>
        <w:ind w:firstLine="720"/>
        <w:divId w:val="530651589"/>
        <w:rPr>
          <w:sz w:val="20"/>
          <w:szCs w:val="20"/>
        </w:rPr>
      </w:pPr>
      <w:r>
        <w:rPr>
          <w:sz w:val="20"/>
          <w:szCs w:val="20"/>
        </w:rPr>
        <w:t>We rely upon a combination of patents, patent applicatio</w:t>
      </w:r>
      <w:r>
        <w:rPr>
          <w:sz w:val="20"/>
          <w:szCs w:val="20"/>
        </w:rPr>
        <w:t>ns, trade secret protection and confidentiality agreements to protect the intellectual property related to our technologies. Any involuntary disclosure to or misappropriation by third parties of this proprietary information could enable competitors to quic</w:t>
      </w:r>
      <w:r>
        <w:rPr>
          <w:sz w:val="20"/>
          <w:szCs w:val="20"/>
        </w:rPr>
        <w:t>kly duplicate or surpass our technological achievements, thus eroding our competitive position in our market. The status of patents in the biotechnology and pharmaceutical field involves complex legal and scientific questions and is very uncertain. As of J</w:t>
      </w:r>
      <w:r>
        <w:rPr>
          <w:sz w:val="20"/>
          <w:szCs w:val="20"/>
        </w:rPr>
        <w:t>une 30, 2021, we owned 519 issued US patents and 2,307 granted foreign patents, as well as additional pending US and foreign patent applications. Our patent applications may be challenged or fail to result in issued patents and our existing or future paten</w:t>
      </w:r>
      <w:r>
        <w:rPr>
          <w:sz w:val="20"/>
          <w:szCs w:val="20"/>
        </w:rPr>
        <w:t>ts may be invalidated or be too narrow to prevent third parties from developing or designing around these patents. If the sufficiency of the breadth or strength of protection provided by our patents with respect to a product candidate is threatened, it cou</w:t>
      </w:r>
      <w:r>
        <w:rPr>
          <w:sz w:val="20"/>
          <w:szCs w:val="20"/>
        </w:rPr>
        <w:t>ld dissuade companies from collaborating with us to develop product candidates and threaten our ability to commercialize products. Further, if we encounter delays in our clinical trials or in obtaining regulatory approval of our product candidates, the pat</w:t>
      </w:r>
      <w:r>
        <w:rPr>
          <w:sz w:val="20"/>
          <w:szCs w:val="20"/>
        </w:rPr>
        <w:t>ent lives of the related product candidates would be reduced.</w:t>
      </w:r>
    </w:p>
    <w:p w:rsidR="00000000" w:rsidRDefault="00E52F77">
      <w:pPr>
        <w:pStyle w:val="a3"/>
        <w:spacing w:before="0" w:beforeAutospacing="0" w:after="200" w:afterAutospacing="0"/>
        <w:ind w:firstLine="720"/>
        <w:divId w:val="530651589"/>
        <w:rPr>
          <w:sz w:val="20"/>
          <w:szCs w:val="20"/>
        </w:rPr>
      </w:pPr>
      <w:r>
        <w:rPr>
          <w:sz w:val="20"/>
          <w:szCs w:val="20"/>
        </w:rPr>
        <w:t>In addition, we rely on trade secret protection and confidentiality agreements to protect proprietary know-how that is not patentable, for processes for which patents are difficult to enforce an</w:t>
      </w:r>
      <w:r>
        <w:rPr>
          <w:sz w:val="20"/>
          <w:szCs w:val="20"/>
        </w:rPr>
        <w:t>d for any other elements of our drug discovery and development processes that involve proprietary know-how, information and technology that is not covered by patent applications. Although we require our employees, consultants, advisors and any third partie</w:t>
      </w:r>
      <w:r>
        <w:rPr>
          <w:sz w:val="20"/>
          <w:szCs w:val="20"/>
        </w:rPr>
        <w:t>s who have access to our proprietary know-how, information and technology to enter into confidentiality agreements, we cannot be certain that this know-how, information and technology will not be misappropriated, disclosed or used for unauthorized purposes</w:t>
      </w:r>
      <w:r>
        <w:rPr>
          <w:sz w:val="20"/>
          <w:szCs w:val="20"/>
        </w:rPr>
        <w:t xml:space="preserve"> or that competitors will not otherwise gain access to our trade secrets or independently develop substantially equivalent information and techniques. Further, the laws of some foreign countries do not protect proprietary rights to the same extent as the l</w:t>
      </w:r>
      <w:r>
        <w:rPr>
          <w:sz w:val="20"/>
          <w:szCs w:val="20"/>
        </w:rPr>
        <w:t>aws of the US. As a result, we may encounter significant problems in protecting and defending our intellectual property both in the US and abroad. If we are unable to prevent material disclosure of the intellectual property related to our technologies to t</w:t>
      </w:r>
      <w:r>
        <w:rPr>
          <w:sz w:val="20"/>
          <w:szCs w:val="20"/>
        </w:rPr>
        <w:t>hird parties, we will not be able to establish or, if established, maintain a competitive advantage in our market, which could materially adversely affect our business, financial condition and results of operations, which could cause the price of our secur</w:t>
      </w:r>
      <w:r>
        <w:rPr>
          <w:sz w:val="20"/>
          <w:szCs w:val="20"/>
        </w:rPr>
        <w:t>ities to fall.</w:t>
      </w:r>
    </w:p>
    <w:p w:rsidR="00000000" w:rsidRDefault="00E52F77">
      <w:pPr>
        <w:pStyle w:val="a3"/>
        <w:spacing w:before="0" w:beforeAutospacing="0" w:after="120" w:afterAutospacing="0"/>
        <w:divId w:val="530651589"/>
        <w:rPr>
          <w:sz w:val="20"/>
          <w:szCs w:val="20"/>
        </w:rPr>
      </w:pPr>
      <w:r>
        <w:rPr>
          <w:b/>
          <w:bCs/>
          <w:i/>
          <w:iCs/>
          <w:sz w:val="20"/>
          <w:szCs w:val="20"/>
        </w:rPr>
        <w:t>Litigation to protect or defend our intellectual property or third-party claims of intellectual property infringement would require us to divert resources and may prevent or delay our drug discovery and development efforts.</w:t>
      </w:r>
    </w:p>
    <w:p w:rsidR="00000000" w:rsidRDefault="00E52F77">
      <w:pPr>
        <w:pStyle w:val="a3"/>
        <w:spacing w:before="0" w:beforeAutospacing="0" w:after="200" w:afterAutospacing="0"/>
        <w:ind w:firstLine="720"/>
        <w:divId w:val="530651589"/>
        <w:rPr>
          <w:sz w:val="20"/>
          <w:szCs w:val="20"/>
        </w:rPr>
      </w:pPr>
      <w:r>
        <w:rPr>
          <w:sz w:val="20"/>
          <w:szCs w:val="20"/>
        </w:rPr>
        <w:t>Our commercial su</w:t>
      </w:r>
      <w:r>
        <w:rPr>
          <w:sz w:val="20"/>
          <w:szCs w:val="20"/>
        </w:rPr>
        <w:t>ccess depends in part on us and our partners not infringing the patents and proprietary rights of third parties. Third parties may assert that we or our partners are using their proprietary rights without authorization. There are third-party patents that m</w:t>
      </w:r>
      <w:r>
        <w:rPr>
          <w:sz w:val="20"/>
          <w:szCs w:val="20"/>
        </w:rPr>
        <w:t>ay cover materials or methods for treatment related to our product candidates. At present, we are not aware of any patent infringement claims with merit that would adversely and materially affect our ability to develop our product candidates, but neverthel</w:t>
      </w:r>
      <w:r>
        <w:rPr>
          <w:sz w:val="20"/>
          <w:szCs w:val="20"/>
        </w:rPr>
        <w:t>ess the possibility of third-party allegations cannot be ruled out. In addition, third parties may obtain patents in the future and claim that use of our technologies infringes upon these patents. Furthermore, parties making claims against us or our partne</w:t>
      </w:r>
      <w:r>
        <w:rPr>
          <w:sz w:val="20"/>
          <w:szCs w:val="20"/>
        </w:rPr>
        <w:t>rs may obtain injunctive or other equitable relief, which could effectively block our ability to further develop and commercialize one or more of our product candidates. Defense against these claims, regardless of their merit, would involve substantial lit</w:t>
      </w:r>
      <w:r>
        <w:rPr>
          <w:sz w:val="20"/>
          <w:szCs w:val="20"/>
        </w:rPr>
        <w:t>igation expense and would be a substantial diversion of employee resources from our business.</w:t>
      </w:r>
    </w:p>
    <w:p w:rsidR="00000000" w:rsidRDefault="00E52F77">
      <w:pPr>
        <w:pStyle w:val="a3"/>
        <w:spacing w:before="360" w:beforeAutospacing="0" w:after="0" w:afterAutospacing="0"/>
        <w:jc w:val="center"/>
        <w:divId w:val="716704347"/>
        <w:rPr>
          <w:sz w:val="20"/>
          <w:szCs w:val="20"/>
        </w:rPr>
      </w:pPr>
      <w:r>
        <w:rPr>
          <w:sz w:val="20"/>
          <w:szCs w:val="20"/>
        </w:rPr>
        <w:t>57</w:t>
      </w:r>
    </w:p>
    <w:p w:rsidR="00000000" w:rsidRDefault="00E52F77">
      <w:pPr>
        <w:pStyle w:val="a3"/>
        <w:spacing w:before="0" w:beforeAutospacing="0" w:after="600" w:afterAutospacing="0"/>
        <w:divId w:val="725643531"/>
        <w:rPr>
          <w:sz w:val="20"/>
          <w:szCs w:val="20"/>
        </w:rPr>
      </w:pPr>
      <w:hyperlink w:anchor="TOC" w:history="1">
        <w:r>
          <w:rPr>
            <w:rStyle w:val="a4"/>
            <w:sz w:val="20"/>
            <w:szCs w:val="20"/>
          </w:rPr>
          <w:t>Table of Contents</w:t>
        </w:r>
      </w:hyperlink>
    </w:p>
    <w:p w:rsidR="00000000" w:rsidRDefault="00E52F77">
      <w:pPr>
        <w:pStyle w:val="a3"/>
        <w:spacing w:before="0" w:beforeAutospacing="0" w:after="200" w:afterAutospacing="0"/>
        <w:ind w:firstLine="720"/>
        <w:divId w:val="1777678101"/>
        <w:rPr>
          <w:sz w:val="20"/>
          <w:szCs w:val="20"/>
        </w:rPr>
      </w:pPr>
      <w:r>
        <w:rPr>
          <w:sz w:val="20"/>
          <w:szCs w:val="20"/>
        </w:rPr>
        <w:t>In the event of a successful claim of infringement against us, we may have to pay substantial damages, obtain one o</w:t>
      </w:r>
      <w:r>
        <w:rPr>
          <w:sz w:val="20"/>
          <w:szCs w:val="20"/>
        </w:rPr>
        <w:t>r more licenses from third parties or pay royalties. In addition, even in the absence of litigation, we may need to obtain licenses from third parties to advance our research or allow commercialization of our product candidates, and we have done so from ti</w:t>
      </w:r>
      <w:r>
        <w:rPr>
          <w:sz w:val="20"/>
          <w:szCs w:val="20"/>
        </w:rPr>
        <w:t>me to time. We may fail to obtain any of these licenses at a reasonable cost or on reasonable terms, if at all. In that event, we would be unable to further develop and commercialize one or more of our product candidates, which could harm our business sign</w:t>
      </w:r>
      <w:r>
        <w:rPr>
          <w:sz w:val="20"/>
          <w:szCs w:val="20"/>
        </w:rPr>
        <w:t>ificantly.</w:t>
      </w:r>
    </w:p>
    <w:p w:rsidR="00000000" w:rsidRDefault="00E52F77">
      <w:pPr>
        <w:pStyle w:val="a3"/>
        <w:spacing w:before="0" w:beforeAutospacing="0" w:after="200" w:afterAutospacing="0"/>
        <w:ind w:firstLine="720"/>
        <w:divId w:val="1777678101"/>
        <w:rPr>
          <w:sz w:val="20"/>
          <w:szCs w:val="20"/>
        </w:rPr>
      </w:pPr>
      <w:r>
        <w:rPr>
          <w:sz w:val="20"/>
          <w:szCs w:val="20"/>
        </w:rPr>
        <w:t>In addition, in the future we could be required to initiate litigation to enforce our proprietary rights against infringement by third parties, prevent the unauthorized use or disclosure of our trade secrets and confidential information, or defe</w:t>
      </w:r>
      <w:r>
        <w:rPr>
          <w:sz w:val="20"/>
          <w:szCs w:val="20"/>
        </w:rPr>
        <w:t xml:space="preserve">nd the validity of our patents. For example, in 2017, we filed a lawsuit against a former employee for misappropriation of certain of our confidential, proprietary and trade secret information. While this litigation has since been resolved, prosecution of </w:t>
      </w:r>
      <w:r>
        <w:rPr>
          <w:sz w:val="20"/>
          <w:szCs w:val="20"/>
        </w:rPr>
        <w:t>claims to enforce or defend our rights against others involve substantial litigation expenses and divert substantial employee resources from our business but may not result in adequate remedy to us or sufficiently mitigate the harm to our business caused b</w:t>
      </w:r>
      <w:r>
        <w:rPr>
          <w:sz w:val="20"/>
          <w:szCs w:val="20"/>
        </w:rPr>
        <w:t>y any intellectual property infringement, unauthorized access, use or disclosure of trade secrets. If we fail to effectively enforce our proprietary rights against others, our business will be harmed and the price of our securities could fall.</w:t>
      </w:r>
    </w:p>
    <w:p w:rsidR="00000000" w:rsidRDefault="00E52F77">
      <w:pPr>
        <w:pStyle w:val="a3"/>
        <w:spacing w:before="0" w:beforeAutospacing="0" w:after="120" w:afterAutospacing="0"/>
        <w:divId w:val="1777678101"/>
        <w:rPr>
          <w:sz w:val="20"/>
          <w:szCs w:val="20"/>
        </w:rPr>
      </w:pPr>
      <w:r>
        <w:rPr>
          <w:b/>
          <w:bCs/>
          <w:i/>
          <w:iCs/>
          <w:sz w:val="20"/>
          <w:szCs w:val="20"/>
        </w:rPr>
        <w:t>If the effor</w:t>
      </w:r>
      <w:r>
        <w:rPr>
          <w:b/>
          <w:bCs/>
          <w:i/>
          <w:iCs/>
          <w:sz w:val="20"/>
          <w:szCs w:val="20"/>
        </w:rPr>
        <w:t>ts of our partners or future partners to protect the proprietary nature of the intellectual property related to collaboration assets are not adequate, the future commercialization of any medicines resulting from collaborations could be delayed or prevented</w:t>
      </w:r>
      <w:r>
        <w:rPr>
          <w:b/>
          <w:bCs/>
          <w:i/>
          <w:iCs/>
          <w:sz w:val="20"/>
          <w:szCs w:val="20"/>
        </w:rPr>
        <w:t>, which would materially harm our business and could cause the price of our securities to fall.</w:t>
      </w:r>
    </w:p>
    <w:p w:rsidR="00000000" w:rsidRDefault="00E52F77">
      <w:pPr>
        <w:pStyle w:val="a3"/>
        <w:spacing w:before="0" w:beforeAutospacing="0" w:after="200" w:afterAutospacing="0"/>
        <w:ind w:firstLine="720"/>
        <w:divId w:val="1777678101"/>
        <w:rPr>
          <w:sz w:val="20"/>
          <w:szCs w:val="20"/>
        </w:rPr>
      </w:pPr>
      <w:r>
        <w:rPr>
          <w:sz w:val="20"/>
          <w:szCs w:val="20"/>
        </w:rPr>
        <w:t xml:space="preserve">The risks identified in the two preceding risk factors may also apply to the intellectual property protection efforts of our partners or future partners and to </w:t>
      </w:r>
      <w:r>
        <w:rPr>
          <w:sz w:val="20"/>
          <w:szCs w:val="20"/>
        </w:rPr>
        <w:t xml:space="preserve">GSK with respect to the GSK-Partnered Respiratory Programs in which we hold an economic interest. To the extent the intellectual property protection of any partnered assets is successfully challenged or encounters problems with the US Patent and Trademark </w:t>
      </w:r>
      <w:r>
        <w:rPr>
          <w:sz w:val="20"/>
          <w:szCs w:val="20"/>
        </w:rPr>
        <w:t>Office or other comparable agencies throughout the world, the future commercialization of these potential medicines could be delayed or prevented. Any challenge to the intellectual property protection of a late-stage development asset, particularly those o</w:t>
      </w:r>
      <w:r>
        <w:rPr>
          <w:sz w:val="20"/>
          <w:szCs w:val="20"/>
        </w:rPr>
        <w:t>f the GSK-Partnered Respiratory Programs in which we hold an economic interest, could harm our business and cause the price of our securities to fall.</w:t>
      </w:r>
    </w:p>
    <w:p w:rsidR="00000000" w:rsidRDefault="00E52F77">
      <w:pPr>
        <w:pStyle w:val="a3"/>
        <w:spacing w:before="0" w:beforeAutospacing="0" w:after="120" w:afterAutospacing="0"/>
        <w:divId w:val="1777678101"/>
        <w:rPr>
          <w:sz w:val="20"/>
          <w:szCs w:val="20"/>
        </w:rPr>
      </w:pPr>
      <w:r>
        <w:rPr>
          <w:b/>
          <w:bCs/>
          <w:i/>
          <w:iCs/>
          <w:sz w:val="20"/>
          <w:szCs w:val="20"/>
        </w:rPr>
        <w:t>Product liability and other lawsuits could divert our resources, result in substantial liabilities and re</w:t>
      </w:r>
      <w:r>
        <w:rPr>
          <w:b/>
          <w:bCs/>
          <w:i/>
          <w:iCs/>
          <w:sz w:val="20"/>
          <w:szCs w:val="20"/>
        </w:rPr>
        <w:t>duce the commercial potential of our medicines.</w:t>
      </w:r>
    </w:p>
    <w:p w:rsidR="00000000" w:rsidRDefault="00E52F77">
      <w:pPr>
        <w:pStyle w:val="a3"/>
        <w:spacing w:before="0" w:beforeAutospacing="0" w:after="200" w:afterAutospacing="0"/>
        <w:ind w:firstLine="720"/>
        <w:divId w:val="1777678101"/>
        <w:rPr>
          <w:sz w:val="20"/>
          <w:szCs w:val="20"/>
        </w:rPr>
      </w:pPr>
      <w:r>
        <w:rPr>
          <w:sz w:val="20"/>
          <w:szCs w:val="20"/>
        </w:rPr>
        <w:t xml:space="preserve">The risk that we may be sued on product liability claims is inherent in the development and commercialization of pharmaceutical products. Side effects of, or manufacturing defects in, products that we or our </w:t>
      </w:r>
      <w:r>
        <w:rPr>
          <w:sz w:val="20"/>
          <w:szCs w:val="20"/>
        </w:rPr>
        <w:t>partners develop or commercialize could result in the deterioration of a patient’s condition, injury or even death. Once a product is approved for sale and commercialized, the likelihood of product liability lawsuits tends to increase. Claims may be brough</w:t>
      </w:r>
      <w:r>
        <w:rPr>
          <w:sz w:val="20"/>
          <w:szCs w:val="20"/>
        </w:rPr>
        <w:t xml:space="preserve">t by individuals seeking relief for themselves or by individuals or groups seeking to represent a class, asserting injuries based both on potential adverse effects described in the label as well as adverse events not yet observed. We also face an inherent </w:t>
      </w:r>
      <w:r>
        <w:rPr>
          <w:sz w:val="20"/>
          <w:szCs w:val="20"/>
        </w:rPr>
        <w:t>risk of product liability exposure related to the testing of our product candidates in human clinical trials. In addition, changes in laws outside the US are expanding our potential liability for injuries that occur during clinical trials. Product liabilit</w:t>
      </w:r>
      <w:r>
        <w:rPr>
          <w:sz w:val="20"/>
          <w:szCs w:val="20"/>
        </w:rPr>
        <w:t>y claims could harm our reputation, regardless of the merit or ultimate success of the claim, which may adversely affect our and our partners’ ability to commercialize our products and cause the price of our securities to fall. These lawsuits may divert ou</w:t>
      </w:r>
      <w:r>
        <w:rPr>
          <w:sz w:val="20"/>
          <w:szCs w:val="20"/>
        </w:rPr>
        <w:t xml:space="preserve">r management from pursuing our business strategy and may be costly to defend. In addition, if we are held liable in any of these lawsuits, we may incur substantial liabilities and may be forced to limit or forgo further commercialization of the applicable </w:t>
      </w:r>
      <w:r>
        <w:rPr>
          <w:sz w:val="20"/>
          <w:szCs w:val="20"/>
        </w:rPr>
        <w:t>products.</w:t>
      </w:r>
    </w:p>
    <w:p w:rsidR="00000000" w:rsidRDefault="00E52F77">
      <w:pPr>
        <w:pStyle w:val="a3"/>
        <w:spacing w:before="0" w:beforeAutospacing="0" w:after="200" w:afterAutospacing="0"/>
        <w:ind w:firstLine="720"/>
        <w:divId w:val="1777678101"/>
        <w:rPr>
          <w:sz w:val="20"/>
          <w:szCs w:val="20"/>
        </w:rPr>
      </w:pPr>
      <w:r>
        <w:rPr>
          <w:sz w:val="20"/>
          <w:szCs w:val="20"/>
        </w:rPr>
        <w:t>Although we maintain general liability and product liability insurance, this insurance may not fully cover potential liabilities and we cannot be sure that our insurer will not disclaim coverage as to a future claim. In addition, inability to obt</w:t>
      </w:r>
      <w:r>
        <w:rPr>
          <w:sz w:val="20"/>
          <w:szCs w:val="20"/>
        </w:rPr>
        <w:t>ain or maintain sufficient insurance coverage at an acceptable cost or to otherwise protect against potential product liability claims could prevent or inhibit the commercial production and sale of our products, which could adversely affect our business.</w:t>
      </w:r>
    </w:p>
    <w:p w:rsidR="00000000" w:rsidRDefault="00E52F77">
      <w:pPr>
        <w:pStyle w:val="a3"/>
        <w:spacing w:before="0" w:beforeAutospacing="0" w:after="200" w:afterAutospacing="0"/>
        <w:ind w:firstLine="720"/>
        <w:divId w:val="1777678101"/>
        <w:rPr>
          <w:sz w:val="20"/>
          <w:szCs w:val="20"/>
        </w:rPr>
      </w:pPr>
      <w:r>
        <w:rPr>
          <w:sz w:val="20"/>
          <w:szCs w:val="20"/>
        </w:rPr>
        <w:t>W</w:t>
      </w:r>
      <w:r>
        <w:rPr>
          <w:sz w:val="20"/>
          <w:szCs w:val="20"/>
        </w:rPr>
        <w:t>e may also be required to prosecute or defend general commercial, intellectual property, securities and other lawsuits. Litigation typically involves substantial expenses and diverts substantial employee resources from our business. The cost of defending a</w:t>
      </w:r>
      <w:r>
        <w:rPr>
          <w:sz w:val="20"/>
          <w:szCs w:val="20"/>
        </w:rPr>
        <w:t>ny product liability litigation or engaging in any other legal proceeding, even if resolved in our favor, could be substantial and uncertainties resulting from the initiation and continuation of the litigation or other proceedings could have a material adv</w:t>
      </w:r>
      <w:r>
        <w:rPr>
          <w:sz w:val="20"/>
          <w:szCs w:val="20"/>
        </w:rPr>
        <w:t>erse effect on our ability to compete in the marketplace and achieve our business goals.</w:t>
      </w:r>
    </w:p>
    <w:p w:rsidR="00000000" w:rsidRDefault="00E52F77">
      <w:pPr>
        <w:pStyle w:val="a3"/>
        <w:spacing w:before="360" w:beforeAutospacing="0" w:after="0" w:afterAutospacing="0"/>
        <w:jc w:val="center"/>
        <w:divId w:val="918053087"/>
        <w:rPr>
          <w:sz w:val="20"/>
          <w:szCs w:val="20"/>
        </w:rPr>
      </w:pPr>
      <w:r>
        <w:rPr>
          <w:sz w:val="20"/>
          <w:szCs w:val="20"/>
        </w:rPr>
        <w:t>58</w:t>
      </w:r>
    </w:p>
    <w:p w:rsidR="00000000" w:rsidRDefault="00E52F77">
      <w:pPr>
        <w:pStyle w:val="a3"/>
        <w:spacing w:before="0" w:beforeAutospacing="0" w:after="600" w:afterAutospacing="0"/>
        <w:divId w:val="1074936608"/>
        <w:rPr>
          <w:sz w:val="20"/>
          <w:szCs w:val="20"/>
        </w:rPr>
      </w:pPr>
      <w:hyperlink w:anchor="TOC" w:history="1">
        <w:r>
          <w:rPr>
            <w:rStyle w:val="a4"/>
            <w:sz w:val="20"/>
            <w:szCs w:val="20"/>
          </w:rPr>
          <w:t>Table of Contents</w:t>
        </w:r>
      </w:hyperlink>
    </w:p>
    <w:p w:rsidR="00000000" w:rsidRDefault="00E52F77">
      <w:pPr>
        <w:pStyle w:val="a3"/>
        <w:spacing w:before="0" w:beforeAutospacing="0" w:after="120" w:afterAutospacing="0"/>
        <w:divId w:val="1711303244"/>
        <w:rPr>
          <w:sz w:val="20"/>
          <w:szCs w:val="20"/>
        </w:rPr>
      </w:pPr>
      <w:r>
        <w:rPr>
          <w:b/>
          <w:bCs/>
          <w:i/>
          <w:iCs/>
          <w:sz w:val="20"/>
          <w:szCs w:val="20"/>
        </w:rPr>
        <w:t>If we fail to comply with data protection laws and regulations, we could be subject to government enforcement actions (w</w:t>
      </w:r>
      <w:r>
        <w:rPr>
          <w:b/>
          <w:bCs/>
          <w:i/>
          <w:iCs/>
          <w:sz w:val="20"/>
          <w:szCs w:val="20"/>
        </w:rPr>
        <w:t>hich could include civil or criminal penalties), private litigation and/or adverse publicity, which could negatively affect our operating results and business.</w:t>
      </w:r>
    </w:p>
    <w:p w:rsidR="00000000" w:rsidRDefault="00E52F77">
      <w:pPr>
        <w:pStyle w:val="a3"/>
        <w:spacing w:before="0" w:beforeAutospacing="0" w:after="200" w:afterAutospacing="0"/>
        <w:ind w:firstLine="720"/>
        <w:divId w:val="1711303244"/>
        <w:rPr>
          <w:sz w:val="20"/>
          <w:szCs w:val="20"/>
        </w:rPr>
      </w:pPr>
      <w:r>
        <w:rPr>
          <w:sz w:val="20"/>
          <w:szCs w:val="20"/>
        </w:rPr>
        <w:t xml:space="preserve">We are subject to data protection laws and regulations (i.e., laws and regulations that address </w:t>
      </w:r>
      <w:r>
        <w:rPr>
          <w:sz w:val="20"/>
          <w:szCs w:val="20"/>
        </w:rPr>
        <w:t>privacy and data security). In the US, numerous federal and state laws and regulations, including state data breach notification laws, state health information privacy laws, and federal and state consumer protection laws (e.g., Section 5 of the FTC Act), g</w:t>
      </w:r>
      <w:r>
        <w:rPr>
          <w:sz w:val="20"/>
          <w:szCs w:val="20"/>
        </w:rPr>
        <w:t>overn the collection, use, disclosure, and protection of health related and other personal information. In California, the California Consumer Privacy Act (“CCPA”) took effect on January 1, 2020. The CCPA establishes certain requirements for data use and s</w:t>
      </w:r>
      <w:r>
        <w:rPr>
          <w:sz w:val="20"/>
          <w:szCs w:val="20"/>
        </w:rPr>
        <w:t>haring transparency, and provides California residents certain rights concerning the use, disclosure, and retention of their personal data. Similarly, there are a number of legislative proposals in the United States, at both the federal and state level, th</w:t>
      </w:r>
      <w:r>
        <w:rPr>
          <w:sz w:val="20"/>
          <w:szCs w:val="20"/>
        </w:rPr>
        <w:t xml:space="preserve">at could impose new obligations or limitations in areas affecting our business. These laws and regulations are evolving and subject to interpretation, and may impose limitations on our activities or otherwise adversely affect our business. The obligations </w:t>
      </w:r>
      <w:r>
        <w:rPr>
          <w:sz w:val="20"/>
          <w:szCs w:val="20"/>
        </w:rPr>
        <w:t>to comply with the CCPA and evolving legislation require us, among other things, to update our notices and develop new processes internally and with our partners. We may be subject to fines, penalties, or private actions in the event of non-compliance with</w:t>
      </w:r>
      <w:r>
        <w:rPr>
          <w:sz w:val="20"/>
          <w:szCs w:val="20"/>
        </w:rPr>
        <w:t xml:space="preserve"> the such laws. Failure to comply with data protection laws and regulations could result in unfavorable outcomes, including increased compliance costs, delays or impediments in the development of new products, increased operating costs, diversion of manage</w:t>
      </w:r>
      <w:r>
        <w:rPr>
          <w:sz w:val="20"/>
          <w:szCs w:val="20"/>
        </w:rPr>
        <w:t xml:space="preserve">ment time and attention, government enforcement actions and create liability for us (which could include civil and/or criminal penalties), private litigation and/or adverse publicity that could negatively affect our operating results and business. </w:t>
      </w:r>
    </w:p>
    <w:p w:rsidR="00000000" w:rsidRDefault="00E52F77">
      <w:pPr>
        <w:pStyle w:val="a3"/>
        <w:spacing w:before="0" w:beforeAutospacing="0" w:after="200" w:afterAutospacing="0"/>
        <w:ind w:firstLine="720"/>
        <w:divId w:val="1711303244"/>
        <w:rPr>
          <w:sz w:val="20"/>
          <w:szCs w:val="20"/>
        </w:rPr>
      </w:pPr>
      <w:r>
        <w:rPr>
          <w:sz w:val="20"/>
          <w:szCs w:val="20"/>
        </w:rPr>
        <w:t>In addi</w:t>
      </w:r>
      <w:r>
        <w:rPr>
          <w:sz w:val="20"/>
          <w:szCs w:val="20"/>
        </w:rPr>
        <w:t>tion, we may obtain health information from third parties (e.g., healthcare providers who prescribe our products) that are subject to privacy and security requirements under the Health Insurance Portability and Accountability Act of 1996, and its implement</w:t>
      </w:r>
      <w:r>
        <w:rPr>
          <w:sz w:val="20"/>
          <w:szCs w:val="20"/>
        </w:rPr>
        <w:t>ing regulations, (collectively, “HIPAA”). Although we are not directly subject to HIPAA—other than with respect to providing certain employee benefits—we could be subject to criminal penalties if we knowingly obtain, use, or disclose individually identifia</w:t>
      </w:r>
      <w:r>
        <w:rPr>
          <w:sz w:val="20"/>
          <w:szCs w:val="20"/>
        </w:rPr>
        <w:t>ble health information maintained by a HIPAA covered entity in a manner that is not authorized or permitted by HIPAA. HIPAA generally requires that healthcare providers and other covered entities obtain written authorizations from patients prior to disclos</w:t>
      </w:r>
      <w:r>
        <w:rPr>
          <w:sz w:val="20"/>
          <w:szCs w:val="20"/>
        </w:rPr>
        <w:t>ing protected health information of the patient (unless an exception to the authorization requirement applies). If authorization is required and the patient fails to execute an authorization or the authorization fails to contain all required provisions, th</w:t>
      </w:r>
      <w:r>
        <w:rPr>
          <w:sz w:val="20"/>
          <w:szCs w:val="20"/>
        </w:rPr>
        <w:t>en we may not be allowed access to and use of the patient’s information and our research efforts could be impaired or delayed. Furthermore, use of protected health information that is provided to us pursuant to a valid patient authorization is subject to t</w:t>
      </w:r>
      <w:r>
        <w:rPr>
          <w:sz w:val="20"/>
          <w:szCs w:val="20"/>
        </w:rPr>
        <w:t>he limits set forth in the authorization (e.g., for use in research and in submissions to regulatory authorities for product approvals). In addition, HIPAA does not replace federal, state, international or other laws that may grant individuals even greater</w:t>
      </w:r>
      <w:r>
        <w:rPr>
          <w:sz w:val="20"/>
          <w:szCs w:val="20"/>
        </w:rPr>
        <w:t xml:space="preserve"> privacy protections.</w:t>
      </w:r>
    </w:p>
    <w:p w:rsidR="00000000" w:rsidRDefault="00E52F77">
      <w:pPr>
        <w:pStyle w:val="a3"/>
        <w:spacing w:before="0" w:beforeAutospacing="0" w:after="200" w:afterAutospacing="0"/>
        <w:ind w:firstLine="720"/>
        <w:divId w:val="1711303244"/>
        <w:rPr>
          <w:sz w:val="20"/>
          <w:szCs w:val="20"/>
        </w:rPr>
      </w:pPr>
      <w:r>
        <w:rPr>
          <w:sz w:val="20"/>
          <w:szCs w:val="20"/>
        </w:rPr>
        <w:t>EU Member States and other jurisdictions where we operate have adopted data protection laws and regulations, which impose significant compliance obligations. For example, the General Data Protection Regulation (“GDPR”) which became ap</w:t>
      </w:r>
      <w:r>
        <w:rPr>
          <w:sz w:val="20"/>
          <w:szCs w:val="20"/>
        </w:rPr>
        <w:t>plicable on May 25, 2018, replacing the EU Data Protection Directive, imposes strict obligations and restrictions on the ability to collect, analyze and transfer personal data, including health data from clinical trials and adverse event reporting.</w:t>
      </w:r>
    </w:p>
    <w:p w:rsidR="00000000" w:rsidRDefault="00E52F77">
      <w:pPr>
        <w:pStyle w:val="a3"/>
        <w:spacing w:before="0" w:beforeAutospacing="0" w:after="200" w:afterAutospacing="0"/>
        <w:ind w:firstLine="720"/>
        <w:divId w:val="1711303244"/>
        <w:rPr>
          <w:sz w:val="20"/>
          <w:szCs w:val="20"/>
        </w:rPr>
      </w:pPr>
      <w:r>
        <w:rPr>
          <w:sz w:val="20"/>
          <w:szCs w:val="20"/>
        </w:rPr>
        <w:t>Switzerland has adopted laws that impose restrictions and obligations similar to the GDPR. These obligations and restrictions concern, in particular, the consent of the individuals to whom the personal data relate, the information provided to the individua</w:t>
      </w:r>
      <w:r>
        <w:rPr>
          <w:sz w:val="20"/>
          <w:szCs w:val="20"/>
        </w:rPr>
        <w:t>ls, the transfer of personal data out of the European Economic Area (“EEA”) or Switzerland, security breach notifications, security and confidentiality of the personal data, as well as substantial potential fines for breaches of the data protection obligat</w:t>
      </w:r>
      <w:r>
        <w:rPr>
          <w:sz w:val="20"/>
          <w:szCs w:val="20"/>
        </w:rPr>
        <w:t>ions. Data protection authorities from the different EU Member States may interpret the GDPR and applicable related national laws differently and impose requirements additional to those provided in the GDPR. In addition, guidance on implementation and comp</w:t>
      </w:r>
      <w:r>
        <w:rPr>
          <w:sz w:val="20"/>
          <w:szCs w:val="20"/>
        </w:rPr>
        <w:t xml:space="preserve">liance practices may be updated or otherwise revised, which adds to the complexity of processing personal data in the EU. When processing personal data of subjects in the EU, we have to comply with the applicable data protection laws. In particular, as we </w:t>
      </w:r>
      <w:r>
        <w:rPr>
          <w:sz w:val="20"/>
          <w:szCs w:val="20"/>
        </w:rPr>
        <w:t xml:space="preserve">rely on service providers processing personal data of subjects in the EU, we have to enter into suitable contract terms with such providers and receive sufficient guarantees that such providers meet the requirements of the applicable data protection laws, </w:t>
      </w:r>
      <w:r>
        <w:rPr>
          <w:sz w:val="20"/>
          <w:szCs w:val="20"/>
        </w:rPr>
        <w:t>particularly the GDPR which imposes specific and relevant obligations.</w:t>
      </w:r>
    </w:p>
    <w:p w:rsidR="00000000" w:rsidRDefault="00E52F77">
      <w:pPr>
        <w:pStyle w:val="a3"/>
        <w:spacing w:before="360" w:beforeAutospacing="0" w:after="0" w:afterAutospacing="0"/>
        <w:jc w:val="center"/>
        <w:divId w:val="86969986"/>
        <w:rPr>
          <w:sz w:val="20"/>
          <w:szCs w:val="20"/>
        </w:rPr>
      </w:pPr>
      <w:r>
        <w:rPr>
          <w:sz w:val="20"/>
          <w:szCs w:val="20"/>
        </w:rPr>
        <w:t>59</w:t>
      </w:r>
    </w:p>
    <w:p w:rsidR="00000000" w:rsidRDefault="00E52F77">
      <w:pPr>
        <w:pStyle w:val="a3"/>
        <w:spacing w:before="0" w:beforeAutospacing="0" w:after="600" w:afterAutospacing="0"/>
        <w:divId w:val="888614561"/>
        <w:rPr>
          <w:sz w:val="20"/>
          <w:szCs w:val="20"/>
        </w:rPr>
      </w:pPr>
      <w:hyperlink w:anchor="TOC" w:history="1">
        <w:r>
          <w:rPr>
            <w:rStyle w:val="a4"/>
            <w:sz w:val="20"/>
            <w:szCs w:val="20"/>
          </w:rPr>
          <w:t>Table of Contents</w:t>
        </w:r>
      </w:hyperlink>
    </w:p>
    <w:p w:rsidR="00000000" w:rsidRDefault="00E52F77">
      <w:pPr>
        <w:pStyle w:val="a3"/>
        <w:spacing w:before="0" w:beforeAutospacing="0" w:after="200" w:afterAutospacing="0"/>
        <w:ind w:firstLine="720"/>
        <w:divId w:val="1901361017"/>
        <w:rPr>
          <w:sz w:val="20"/>
          <w:szCs w:val="20"/>
        </w:rPr>
      </w:pPr>
      <w:r>
        <w:rPr>
          <w:sz w:val="20"/>
          <w:szCs w:val="20"/>
        </w:rPr>
        <w:t xml:space="preserve">Legal mechanisms to allow for the transfer of personal data from the EEA to the US have been challenged in the European Court of Justice, </w:t>
      </w:r>
      <w:r>
        <w:rPr>
          <w:sz w:val="20"/>
          <w:szCs w:val="20"/>
        </w:rPr>
        <w:t>which generally increases uncertainty around compliance with EU privacy law requirements as these relate to transfer of data from the EU to the US. In 2016, the European Commission and the US Department of Commerce (“DOC”) put in place the EU US “Privacy S</w:t>
      </w:r>
      <w:r>
        <w:rPr>
          <w:sz w:val="20"/>
          <w:szCs w:val="20"/>
        </w:rPr>
        <w:t xml:space="preserve">hield,” which has been relied on by some US companies since that time to transfer data to the US, and, in its third annual review of the Privacy Shield in October 2019, the European Commission concluded that the US continues to ensure an adequate level of </w:t>
      </w:r>
      <w:r>
        <w:rPr>
          <w:sz w:val="20"/>
          <w:szCs w:val="20"/>
        </w:rPr>
        <w:t>protection for personal data transferred under the Privacy Shield. However, on July 16, 2020, the European Court of Justice ruled that the Privacy Shield is invalid. As a result, from July 16, 2020 companies may no longer rely on the Privacy Shield as a ba</w:t>
      </w:r>
      <w:r>
        <w:rPr>
          <w:sz w:val="20"/>
          <w:szCs w:val="20"/>
        </w:rPr>
        <w:t>sis on which to transfer personal data from the EU to the US. US-based companies are permitted to rely on other authorized means and procedures to transfer personal data provided by the GDPR. However, the most common authorized procedure to transfer person</w:t>
      </w:r>
      <w:r>
        <w:rPr>
          <w:sz w:val="20"/>
          <w:szCs w:val="20"/>
        </w:rPr>
        <w:t>al data out of the EU, the European Commission’s Standard Contractual Clauses, may, as a result of the Court judgement of July 16, 2020, also come under increased scrutiny. Following the Court’s ruling, the European Data Protection Board issued a statement</w:t>
      </w:r>
      <w:r>
        <w:rPr>
          <w:sz w:val="20"/>
          <w:szCs w:val="20"/>
        </w:rPr>
        <w:t xml:space="preserve"> providing among other things that it is a primary responsibility of the exporter and the importer, when considering whether to rely on Standard Contractual Clauses to export data from the EU to third countries, to ensure that these third countries maintai</w:t>
      </w:r>
      <w:r>
        <w:rPr>
          <w:sz w:val="20"/>
          <w:szCs w:val="20"/>
        </w:rPr>
        <w:t>n a level of protection that is essentially equivalent to that guaranteed by the GDPR in light of the EU Charter of Human Rights. Companies may need to revise their Standard Contractual Clauses in light of the July 16, 2020 judgement. Companies that have n</w:t>
      </w:r>
      <w:r>
        <w:rPr>
          <w:sz w:val="20"/>
          <w:szCs w:val="20"/>
        </w:rPr>
        <w:t>ot taken steps to demonstrate that their Standard Contractual Clauses and personal data recipients in the US are suitable to transfer to receive the personal data may be subject to enforcement actions by competent authorities in the EU for failure to compl</w:t>
      </w:r>
      <w:r>
        <w:rPr>
          <w:sz w:val="20"/>
          <w:szCs w:val="20"/>
        </w:rPr>
        <w:t xml:space="preserve">y with related data privacy rules. </w:t>
      </w:r>
    </w:p>
    <w:p w:rsidR="00000000" w:rsidRDefault="00E52F77">
      <w:pPr>
        <w:pStyle w:val="a3"/>
        <w:spacing w:before="0" w:beforeAutospacing="0" w:after="200" w:afterAutospacing="0"/>
        <w:ind w:firstLine="720"/>
        <w:divId w:val="1901361017"/>
        <w:rPr>
          <w:sz w:val="20"/>
          <w:szCs w:val="20"/>
        </w:rPr>
      </w:pPr>
      <w:r>
        <w:rPr>
          <w:sz w:val="20"/>
          <w:szCs w:val="20"/>
        </w:rPr>
        <w:t>In addition, the privacy and data security landscape in the EU continues to remain in flux. The agreement that has been concluded between the EU and the UK following the UK’s withdrawal from the EU on January 31, 2020 ma</w:t>
      </w:r>
      <w:r>
        <w:rPr>
          <w:sz w:val="20"/>
          <w:szCs w:val="20"/>
        </w:rPr>
        <w:t>y require organizations to revisit the way they transfer personal data from and to the UK from the EU. The Trade and Cooperation Agreement concluded between the EU and the UK provides for a transition period of six months starting January 1, 2021. During t</w:t>
      </w:r>
      <w:r>
        <w:rPr>
          <w:sz w:val="20"/>
          <w:szCs w:val="20"/>
        </w:rPr>
        <w:t>his period personal data may, in accordance with the requirements of the GDPR, flow from the EEA to the UK and from the UK to the EEA. If the European Commission does not adopt an Adequacy Decision concerning the level of data protection in the UK within t</w:t>
      </w:r>
      <w:r>
        <w:rPr>
          <w:sz w:val="20"/>
          <w:szCs w:val="20"/>
        </w:rPr>
        <w:t>his six month period, any potential flows of personal data between the EEA and the UK will subsequently be subject to the same restrictions as those imposed on other third countries.</w:t>
      </w:r>
    </w:p>
    <w:p w:rsidR="00000000" w:rsidRDefault="00E52F77">
      <w:pPr>
        <w:pStyle w:val="a3"/>
        <w:spacing w:before="0" w:beforeAutospacing="0" w:after="200" w:afterAutospacing="0"/>
        <w:ind w:firstLine="720"/>
        <w:divId w:val="1901361017"/>
        <w:rPr>
          <w:sz w:val="20"/>
          <w:szCs w:val="20"/>
        </w:rPr>
      </w:pPr>
      <w:r>
        <w:rPr>
          <w:sz w:val="20"/>
          <w:szCs w:val="20"/>
        </w:rPr>
        <w:t>If we or our vendors fail to comply with applicable data privacy laws, or</w:t>
      </w:r>
      <w:r>
        <w:rPr>
          <w:sz w:val="20"/>
          <w:szCs w:val="20"/>
        </w:rPr>
        <w:t xml:space="preserve"> if the legal mechanisms we or our vendors rely upon to allow for the transfer of personal data from the EEA or Switzerland to the US (or other countries not considered by the European Commission to provide an adequate level of data protection) are not con</w:t>
      </w:r>
      <w:r>
        <w:rPr>
          <w:sz w:val="20"/>
          <w:szCs w:val="20"/>
        </w:rPr>
        <w:t>sidered adequate, we could be subject to government enforcement actions, including an order to stop transferring the personal data outside of the EEA and significant penalties against us. Moreover, our business could be adversely impacted if our ability to</w:t>
      </w:r>
      <w:r>
        <w:rPr>
          <w:sz w:val="20"/>
          <w:szCs w:val="20"/>
        </w:rPr>
        <w:t xml:space="preserve"> transfer personal data out of the EEA or Switzerland to the US is restricted, which could adversely impact our operating results.</w:t>
      </w:r>
    </w:p>
    <w:p w:rsidR="00000000" w:rsidRDefault="00E52F77">
      <w:pPr>
        <w:pStyle w:val="a3"/>
        <w:spacing w:before="0" w:beforeAutospacing="0" w:after="120" w:afterAutospacing="0"/>
        <w:divId w:val="1901361017"/>
        <w:rPr>
          <w:sz w:val="20"/>
          <w:szCs w:val="20"/>
        </w:rPr>
      </w:pPr>
      <w:r>
        <w:rPr>
          <w:b/>
          <w:bCs/>
          <w:i/>
          <w:iCs/>
          <w:sz w:val="20"/>
          <w:szCs w:val="20"/>
        </w:rPr>
        <w:t>Changes in healthcare law and implementing regulations, including government restrictions on pricing and reimbursement, as we</w:t>
      </w:r>
      <w:r>
        <w:rPr>
          <w:b/>
          <w:bCs/>
          <w:i/>
          <w:iCs/>
          <w:sz w:val="20"/>
          <w:szCs w:val="20"/>
        </w:rPr>
        <w:t>ll as healthcare policy and other healthcare payor cost-containment initiatives, may negatively impact us, our collaboration partners, or those commercializing products with respect to which we have an economic interest or right to receive royalties.</w:t>
      </w:r>
    </w:p>
    <w:p w:rsidR="00000000" w:rsidRDefault="00E52F77">
      <w:pPr>
        <w:pStyle w:val="a3"/>
        <w:spacing w:before="0" w:beforeAutospacing="0" w:after="200" w:afterAutospacing="0"/>
        <w:ind w:firstLine="720"/>
        <w:divId w:val="1901361017"/>
        <w:rPr>
          <w:sz w:val="20"/>
          <w:szCs w:val="20"/>
        </w:rPr>
      </w:pPr>
      <w:r>
        <w:rPr>
          <w:sz w:val="20"/>
          <w:szCs w:val="20"/>
        </w:rPr>
        <w:t>The c</w:t>
      </w:r>
      <w:r>
        <w:rPr>
          <w:sz w:val="20"/>
          <w:szCs w:val="20"/>
        </w:rPr>
        <w:t>ontinuing efforts of the government, insurance companies, managed care organizations and other payors of health care costs to contain or reduce costs of health care may adversely affect us, our collaboration partners, or those commercializing products with</w:t>
      </w:r>
      <w:r>
        <w:rPr>
          <w:sz w:val="20"/>
          <w:szCs w:val="20"/>
        </w:rPr>
        <w:t xml:space="preserve"> respect to which we have an economic interest or right to receive royalties in regard to one or more of the following:</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948"/>
      </w:tblGrid>
      <w:tr w:rsidR="00000000">
        <w:trPr>
          <w:divId w:val="1901361017"/>
        </w:trPr>
        <w:tc>
          <w:tcPr>
            <w:tcW w:w="720" w:type="dxa"/>
            <w:tcMar>
              <w:top w:w="0" w:type="dxa"/>
              <w:left w:w="0" w:type="dxa"/>
              <w:bottom w:w="0" w:type="dxa"/>
              <w:right w:w="0" w:type="dxa"/>
            </w:tcMar>
            <w:vAlign w:val="center"/>
            <w:hideMark/>
          </w:tcPr>
          <w:p w:rsidR="00000000" w:rsidRDefault="00E52F77">
            <w:pPr>
              <w:rPr>
                <w:sz w:val="20"/>
                <w:szCs w:val="20"/>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the ability to set and collect a price believed to be reasonable for products;</w:t>
            </w:r>
          </w:p>
        </w:tc>
      </w:tr>
    </w:tbl>
    <w:p w:rsidR="00000000" w:rsidRDefault="00E52F77">
      <w:pPr>
        <w:divId w:val="190136101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4899"/>
      </w:tblGrid>
      <w:tr w:rsidR="00000000">
        <w:trPr>
          <w:divId w:val="1901361017"/>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the ability to generate revenues and achieve profitability; and</w:t>
            </w:r>
          </w:p>
        </w:tc>
      </w:tr>
    </w:tbl>
    <w:p w:rsidR="00000000" w:rsidRDefault="00E52F77">
      <w:pPr>
        <w:divId w:val="190136101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044"/>
      </w:tblGrid>
      <w:tr w:rsidR="00000000">
        <w:trPr>
          <w:divId w:val="1901361017"/>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the availability of capital.</w:t>
            </w:r>
          </w:p>
        </w:tc>
      </w:tr>
    </w:tbl>
    <w:p w:rsidR="00000000" w:rsidRDefault="00E52F77">
      <w:pPr>
        <w:pStyle w:val="a3"/>
        <w:spacing w:before="0" w:beforeAutospacing="0" w:after="0" w:afterAutospacing="0"/>
        <w:ind w:firstLine="720"/>
        <w:divId w:val="1901361017"/>
        <w:rPr>
          <w:sz w:val="20"/>
          <w:szCs w:val="20"/>
        </w:rPr>
      </w:pPr>
      <w:r>
        <w:rPr>
          <w:sz w:val="20"/>
          <w:szCs w:val="20"/>
        </w:rPr>
        <w:t>The pricing and reimbursement environment for products may change in the future and become more challenging due to, among other reasons, policies advanced by the current or new presidential administrations, federal agencies, new healthcare legislation pass</w:t>
      </w:r>
      <w:r>
        <w:rPr>
          <w:sz w:val="20"/>
          <w:szCs w:val="20"/>
        </w:rPr>
        <w:t xml:space="preserve">ed by Congress or fiscal challenges faced by all levels of government health administration authorities. Among policy makers and payors in the US and elsewhere, there is significant interest in promoting changes in </w:t>
      </w:r>
    </w:p>
    <w:p w:rsidR="00000000" w:rsidRDefault="00E52F77">
      <w:pPr>
        <w:pStyle w:val="a3"/>
        <w:spacing w:before="360" w:beforeAutospacing="0" w:after="0" w:afterAutospacing="0"/>
        <w:jc w:val="center"/>
        <w:divId w:val="58721256"/>
        <w:rPr>
          <w:sz w:val="20"/>
          <w:szCs w:val="20"/>
        </w:rPr>
      </w:pPr>
      <w:r>
        <w:rPr>
          <w:sz w:val="20"/>
          <w:szCs w:val="20"/>
        </w:rPr>
        <w:t>60</w:t>
      </w:r>
    </w:p>
    <w:p w:rsidR="00000000" w:rsidRDefault="00E52F77">
      <w:pPr>
        <w:pStyle w:val="a3"/>
        <w:spacing w:before="0" w:beforeAutospacing="0" w:after="600" w:afterAutospacing="0"/>
        <w:divId w:val="1318265184"/>
        <w:rPr>
          <w:sz w:val="20"/>
          <w:szCs w:val="20"/>
        </w:rPr>
      </w:pPr>
      <w:hyperlink w:anchor="TOC" w:history="1">
        <w:r>
          <w:rPr>
            <w:rStyle w:val="a4"/>
            <w:sz w:val="20"/>
            <w:szCs w:val="20"/>
          </w:rPr>
          <w:t>Table of Co</w:t>
        </w:r>
        <w:r>
          <w:rPr>
            <w:rStyle w:val="a4"/>
            <w:sz w:val="20"/>
            <w:szCs w:val="20"/>
          </w:rPr>
          <w:t>ntents</w:t>
        </w:r>
      </w:hyperlink>
    </w:p>
    <w:p w:rsidR="00000000" w:rsidRDefault="00E52F77">
      <w:pPr>
        <w:pStyle w:val="a3"/>
        <w:spacing w:before="0" w:beforeAutospacing="0" w:after="200" w:afterAutospacing="0"/>
        <w:divId w:val="2058041157"/>
        <w:rPr>
          <w:sz w:val="20"/>
          <w:szCs w:val="20"/>
        </w:rPr>
      </w:pPr>
      <w:r>
        <w:rPr>
          <w:sz w:val="20"/>
          <w:szCs w:val="20"/>
        </w:rPr>
        <w:t xml:space="preserve">healthcare systems with the stated goals of containing healthcare costs, improving quality and expanding access to healthcare. In the US, the pharmaceutical industry has been a particular focus of these efforts and has been and may in the future be </w:t>
      </w:r>
      <w:r>
        <w:rPr>
          <w:sz w:val="20"/>
          <w:szCs w:val="20"/>
        </w:rPr>
        <w:t>significantly affected by major regulatory or legislative initiatives. For instance, while Medicare Part B payment for most drugs has been established at the average sales price of the drug plus 6% (reduced to 4.3% as a result of sequestration), a regulato</w:t>
      </w:r>
      <w:r>
        <w:rPr>
          <w:sz w:val="20"/>
          <w:szCs w:val="20"/>
        </w:rPr>
        <w:t>ry change may alter the level of payment for some drugs. In a November 20, 2020 interim final rule, Center for Medicare and Medical Services (“CMS”) established a “Most Favored Nation” demonstration model that would lower Medicare Part B reimbursement of c</w:t>
      </w:r>
      <w:r>
        <w:rPr>
          <w:sz w:val="20"/>
          <w:szCs w:val="20"/>
        </w:rPr>
        <w:t>ertain drugs based on international reference prices. The rule has become subject to judicial challenges, and federal courts have enjoined the rule at this time. There is also proposed legislation pending that would establish an international reference pri</w:t>
      </w:r>
      <w:r>
        <w:rPr>
          <w:sz w:val="20"/>
          <w:szCs w:val="20"/>
        </w:rPr>
        <w:t>ce-based payment methodology. We expect we, our collaboration partners or those commercializing products with respect to which we have an economic interest or right to receive royalties may experience pricing pressures in connection with the sale of drug p</w:t>
      </w:r>
      <w:r>
        <w:rPr>
          <w:sz w:val="20"/>
          <w:szCs w:val="20"/>
        </w:rPr>
        <w:t>roducts, due to the trend toward managed healthcare, the increasing influence of health maintenance organizations and additional legislative enactments.</w:t>
      </w:r>
    </w:p>
    <w:p w:rsidR="00000000" w:rsidRDefault="00E52F77">
      <w:pPr>
        <w:pStyle w:val="a3"/>
        <w:spacing w:before="0" w:beforeAutospacing="0" w:after="200" w:afterAutospacing="0"/>
        <w:ind w:firstLine="720"/>
        <w:divId w:val="2058041157"/>
        <w:rPr>
          <w:sz w:val="20"/>
          <w:szCs w:val="20"/>
        </w:rPr>
      </w:pPr>
      <w:r>
        <w:rPr>
          <w:sz w:val="20"/>
          <w:szCs w:val="20"/>
        </w:rPr>
        <w:t>The Patient Protection and Affordable Care Act, as amended by the Health Care and Education Reconciliat</w:t>
      </w:r>
      <w:r>
        <w:rPr>
          <w:sz w:val="20"/>
          <w:szCs w:val="20"/>
        </w:rPr>
        <w:t>ion Act of 2010 (together the “Healthcare Reform Act”), is a sweeping measure intended to expand healthcare coverage within the US, primarily through the imposition of health insurance mandates on employers and individuals, the provision of subsidies to el</w:t>
      </w:r>
      <w:r>
        <w:rPr>
          <w:sz w:val="20"/>
          <w:szCs w:val="20"/>
        </w:rPr>
        <w:t>igible individuals enrolled in plans offered on the health insurance exchanges, and expansion of the Medicaid program. This law has substantially changed the way healthcare is financed by both governmental and private insurers and has significantly impacte</w:t>
      </w:r>
      <w:r>
        <w:rPr>
          <w:sz w:val="20"/>
          <w:szCs w:val="20"/>
        </w:rPr>
        <w:t>d the pharmaceutical industry. The Healthcare Reform Act contains a number of provisions that impact our business and operations, including those governing enrollment in federal healthcare programs, reimbursement changes, benefits for patients within a cov</w:t>
      </w:r>
      <w:r>
        <w:rPr>
          <w:sz w:val="20"/>
          <w:szCs w:val="20"/>
        </w:rPr>
        <w:t>erage gap in the Medicare Part D prescription drug program (commonly known as the “donut hole”), rules regarding prescription drug benefits under the health insurance exchanges, changes to the Medicare Drug Rebate program, expansion of the Public Health Se</w:t>
      </w:r>
      <w:r>
        <w:rPr>
          <w:sz w:val="20"/>
          <w:szCs w:val="20"/>
        </w:rPr>
        <w:t>rvice Act’s 340B drug pricing program, fraud and abuse and enforcement. These changes have impacted previously existing government healthcare programs and have resulted in the development of new programs, including Medicare payment for performance initiati</w:t>
      </w:r>
      <w:r>
        <w:rPr>
          <w:sz w:val="20"/>
          <w:szCs w:val="20"/>
        </w:rPr>
        <w:t>ves and improvements to the physician quality reporting system and feedback program.</w:t>
      </w:r>
    </w:p>
    <w:p w:rsidR="00000000" w:rsidRDefault="00E52F77">
      <w:pPr>
        <w:pStyle w:val="a3"/>
        <w:spacing w:before="0" w:beforeAutospacing="0" w:after="200" w:afterAutospacing="0"/>
        <w:ind w:firstLine="720"/>
        <w:divId w:val="2058041157"/>
        <w:rPr>
          <w:sz w:val="20"/>
          <w:szCs w:val="20"/>
        </w:rPr>
      </w:pPr>
      <w:r>
        <w:rPr>
          <w:sz w:val="20"/>
          <w:szCs w:val="20"/>
        </w:rPr>
        <w:t>In particular, CMS issued final regulations to implement the changes to the Medicaid Drug Rebate program under the Healthcare Reform Act. These regulations became effectiv</w:t>
      </w:r>
      <w:r>
        <w:rPr>
          <w:sz w:val="20"/>
          <w:szCs w:val="20"/>
        </w:rPr>
        <w:t>e on April 1, 2016. Congress could enact additional legislation that further increases Medicaid drug rebates or other costs and charges associated with participating in the Medicaid Drug Rebate program. On December 21, 2020, CMS issued a final regulation t</w:t>
      </w:r>
      <w:r>
        <w:rPr>
          <w:sz w:val="20"/>
          <w:szCs w:val="20"/>
        </w:rPr>
        <w:t>hat modified prior Medicaid Drug Rebate program regulations to permit reporting multiple best price figures with regard to value-based purchasing arrangements (beginning in 2022); provide definitions for “line extension,” “new formulation,” and related ter</w:t>
      </w:r>
      <w:r>
        <w:rPr>
          <w:sz w:val="20"/>
          <w:szCs w:val="20"/>
        </w:rPr>
        <w:t xml:space="preserve">ms, with the practical effect of expanding the scope of drugs considered to be line extensions that are subject to an alternative rebate formula (beginning in 2022); and revise best price and average manufacturer price exclusions of manufacturer-sponsored </w:t>
      </w:r>
      <w:r>
        <w:rPr>
          <w:sz w:val="20"/>
          <w:szCs w:val="20"/>
        </w:rPr>
        <w:t>patient benefit programs, specifically regarding applicability of such exclusions in the context of pharmacy benefit manager “accumulator” programs (beginning in 2023). It is currently unclear whether the Biden administration will delay or suspend implemen</w:t>
      </w:r>
      <w:r>
        <w:rPr>
          <w:sz w:val="20"/>
          <w:szCs w:val="20"/>
        </w:rPr>
        <w:t>tation of this final rule. The issuance of regulations and coverage expansion by various governmental agencies relating to the Medicaid Drug Rebate program has increased and will continue to increase the costs and the complexity of compliance, has been and</w:t>
      </w:r>
      <w:r>
        <w:rPr>
          <w:sz w:val="20"/>
          <w:szCs w:val="20"/>
        </w:rPr>
        <w:t xml:space="preserve"> will be time-consuming to implement, and could have a material adverse effect on results of operations for us, our collaboration partners, or those commercializing products with respect to which we have an economic interest or right to receive royalties, </w:t>
      </w:r>
      <w:r>
        <w:rPr>
          <w:sz w:val="20"/>
          <w:szCs w:val="20"/>
        </w:rPr>
        <w:t>particularly if CMS challenges the approach we take in our implementation of the final regulation.</w:t>
      </w:r>
    </w:p>
    <w:p w:rsidR="00000000" w:rsidRDefault="00E52F77">
      <w:pPr>
        <w:pStyle w:val="a3"/>
        <w:spacing w:before="0" w:beforeAutospacing="0" w:after="200" w:afterAutospacing="0"/>
        <w:ind w:firstLine="720"/>
        <w:divId w:val="2058041157"/>
        <w:rPr>
          <w:sz w:val="20"/>
          <w:szCs w:val="20"/>
        </w:rPr>
      </w:pPr>
      <w:r>
        <w:rPr>
          <w:sz w:val="20"/>
          <w:szCs w:val="20"/>
        </w:rPr>
        <w:t>Some states have elected not to expand their Medicaid programs by raising the income limit to 133% of the federal poverty level, as is permitted under the He</w:t>
      </w:r>
      <w:r>
        <w:rPr>
          <w:sz w:val="20"/>
          <w:szCs w:val="20"/>
        </w:rPr>
        <w:t>althcare Reform Act. For each state that does not choose to expand its Medicaid program, there may be fewer insured patients overall, which could impact the sales, business and financial condition of us, our collaboration partners, or those commercializing</w:t>
      </w:r>
      <w:r>
        <w:rPr>
          <w:sz w:val="20"/>
          <w:szCs w:val="20"/>
        </w:rPr>
        <w:t xml:space="preserve"> products with respect to which we have an economic interest or right to receive royalties. Where Medicaid patients receive insurance coverage under any of the new options made available through the Healthcare Reform Act, manufacturers may be required to p</w:t>
      </w:r>
      <w:r>
        <w:rPr>
          <w:sz w:val="20"/>
          <w:szCs w:val="20"/>
        </w:rPr>
        <w:t>ay Medicaid rebates on drugs used under these circumstances, which could impact manufacturer revenues.</w:t>
      </w:r>
    </w:p>
    <w:p w:rsidR="00000000" w:rsidRDefault="00E52F77">
      <w:pPr>
        <w:pStyle w:val="a3"/>
        <w:spacing w:before="0" w:beforeAutospacing="0" w:after="0" w:afterAutospacing="0"/>
        <w:ind w:firstLine="720"/>
        <w:divId w:val="2058041157"/>
        <w:rPr>
          <w:sz w:val="20"/>
          <w:szCs w:val="20"/>
        </w:rPr>
      </w:pPr>
      <w:r>
        <w:rPr>
          <w:sz w:val="20"/>
          <w:szCs w:val="20"/>
        </w:rPr>
        <w:t>Certain provisions of the Healthcare Reform Act have been subject to judicial challenges as well as efforts to repeal or replace them or to alter their i</w:t>
      </w:r>
      <w:r>
        <w:rPr>
          <w:sz w:val="20"/>
          <w:szCs w:val="20"/>
        </w:rPr>
        <w:t>nterpretation or implementation. For example, the Tax Cuts and Jobs Act enacted on December 22, 2017 (the “Tax Act”), eliminated the shared responsibility payment for individuals who fail to maintain minimum essential coverage under section 5000A of the In</w:t>
      </w:r>
      <w:r>
        <w:rPr>
          <w:sz w:val="20"/>
          <w:szCs w:val="20"/>
        </w:rPr>
        <w:t xml:space="preserve">ternal Revenue Code of 1986, commonly referred to as the </w:t>
      </w:r>
    </w:p>
    <w:p w:rsidR="00000000" w:rsidRDefault="00E52F77">
      <w:pPr>
        <w:pStyle w:val="a3"/>
        <w:spacing w:before="360" w:beforeAutospacing="0" w:after="0" w:afterAutospacing="0"/>
        <w:jc w:val="center"/>
        <w:divId w:val="1997613498"/>
        <w:rPr>
          <w:sz w:val="20"/>
          <w:szCs w:val="20"/>
        </w:rPr>
      </w:pPr>
      <w:r>
        <w:rPr>
          <w:sz w:val="20"/>
          <w:szCs w:val="20"/>
        </w:rPr>
        <w:t>61</w:t>
      </w:r>
    </w:p>
    <w:p w:rsidR="00000000" w:rsidRDefault="00E52F77">
      <w:pPr>
        <w:pStyle w:val="a3"/>
        <w:spacing w:before="0" w:beforeAutospacing="0" w:after="600" w:afterAutospacing="0"/>
        <w:divId w:val="561330081"/>
        <w:rPr>
          <w:sz w:val="20"/>
          <w:szCs w:val="20"/>
        </w:rPr>
      </w:pPr>
      <w:hyperlink w:anchor="TOC" w:history="1">
        <w:r>
          <w:rPr>
            <w:rStyle w:val="a4"/>
            <w:sz w:val="20"/>
            <w:szCs w:val="20"/>
          </w:rPr>
          <w:t>Table of Contents</w:t>
        </w:r>
      </w:hyperlink>
    </w:p>
    <w:p w:rsidR="00000000" w:rsidRDefault="00E52F77">
      <w:pPr>
        <w:pStyle w:val="a3"/>
        <w:spacing w:before="0" w:beforeAutospacing="0" w:after="200" w:afterAutospacing="0"/>
        <w:divId w:val="1104379404"/>
        <w:rPr>
          <w:sz w:val="20"/>
          <w:szCs w:val="20"/>
        </w:rPr>
      </w:pPr>
      <w:r>
        <w:rPr>
          <w:sz w:val="20"/>
          <w:szCs w:val="20"/>
        </w:rPr>
        <w:t>individual mandate, effective January 1, 2019. Currently, the Supreme Court is considering whether the Healthcare Reform Act’s individual mandate, post</w:t>
      </w:r>
      <w:r>
        <w:rPr>
          <w:sz w:val="20"/>
          <w:szCs w:val="20"/>
        </w:rPr>
        <w:t>-repeal of its associated tax penalty, is unconstitutional, and, if so, whether the remaining provisions of the Healthcare Reform Act are inseverable from the mandate. A ruling is expected by mid-2021 and could produce any of a number of results, including</w:t>
      </w:r>
      <w:r>
        <w:rPr>
          <w:sz w:val="20"/>
          <w:szCs w:val="20"/>
        </w:rPr>
        <w:t xml:space="preserve"> invalidation of the Healthcare Reform Act in its entirety if there is a finding of inseverability. It is unclear how the ultimate decision in this case, or other efforts to repeal, replace, or invalidate the Healthcare Reform Act or its implementing regul</w:t>
      </w:r>
      <w:r>
        <w:rPr>
          <w:sz w:val="20"/>
          <w:szCs w:val="20"/>
        </w:rPr>
        <w:t>ations, or portions thereof, will affect the Healthcare Reform Act or our business. Additional legislative changes to and regulatory changes under the Healthcare Reform Act remain possible, but the nature and extent of such potential additional changes are</w:t>
      </w:r>
      <w:r>
        <w:rPr>
          <w:sz w:val="20"/>
          <w:szCs w:val="20"/>
        </w:rPr>
        <w:t xml:space="preserve"> uncertain at this time. We expect that the Healthcare Reform Act, its implementation, efforts to repeal or replace, or invalidate the Healthcare Reform Act, or portions thereof, and other healthcare reform measures that may be adopted in the future, could</w:t>
      </w:r>
      <w:r>
        <w:rPr>
          <w:sz w:val="20"/>
          <w:szCs w:val="20"/>
        </w:rPr>
        <w:t xml:space="preserve"> have a material adverse effect on our industry generally and on the ability of us, our collaboration partners, or those commercializing products with respect to which we have an economic interest or right to receive royalties to maintain or increase sales</w:t>
      </w:r>
      <w:r>
        <w:rPr>
          <w:sz w:val="20"/>
          <w:szCs w:val="20"/>
        </w:rPr>
        <w:t xml:space="preserve"> of existing products or to successfully commercialize product candidates, if approved.</w:t>
      </w:r>
    </w:p>
    <w:p w:rsidR="00000000" w:rsidRDefault="00E52F77">
      <w:pPr>
        <w:pStyle w:val="a3"/>
        <w:spacing w:before="0" w:beforeAutospacing="0" w:after="200" w:afterAutospacing="0"/>
        <w:ind w:firstLine="720"/>
        <w:divId w:val="1104379404"/>
        <w:rPr>
          <w:sz w:val="20"/>
          <w:szCs w:val="20"/>
        </w:rPr>
      </w:pPr>
      <w:r>
        <w:rPr>
          <w:sz w:val="20"/>
          <w:szCs w:val="20"/>
        </w:rPr>
        <w:t xml:space="preserve">The Bipartisan Budget Act of 2018, among other things, amended the Healthcare Reform Act to increase the point-of-sale discounts that manufacturers must agree to offer </w:t>
      </w:r>
      <w:r>
        <w:rPr>
          <w:sz w:val="20"/>
          <w:szCs w:val="20"/>
        </w:rPr>
        <w:t>under the Medicare Part D coverage discount program from 50% to 70% off negotiated prices of applicable brand drugs to eligible beneficiaries during their coverage gap period, as a condition for the manufacturer’s outpatient drugs to be covered under Medic</w:t>
      </w:r>
      <w:r>
        <w:rPr>
          <w:sz w:val="20"/>
          <w:szCs w:val="20"/>
        </w:rPr>
        <w:t>are Part D. Additionally, in November 2020, the U.S. Department of Health and Human Services finalized a previously abandoned proposal to amend the discount safe harbor regulation of the federal anti-kickback statute in a purported effort to create incenti</w:t>
      </w:r>
      <w:r>
        <w:rPr>
          <w:sz w:val="20"/>
          <w:szCs w:val="20"/>
        </w:rPr>
        <w:t>ves to manufacturers to lower their list prices, and to lower federal program beneficiary out-of-pocket costs. The rule, which takes full effect January 1, 2022, revises the discount safe harbor to exclude manufacturer rebates to Medicare Part D plans, eit</w:t>
      </w:r>
      <w:r>
        <w:rPr>
          <w:sz w:val="20"/>
          <w:szCs w:val="20"/>
        </w:rPr>
        <w:t xml:space="preserve">her directly or through pharmacy benefit managers (“PBMs”), creates a new safe harbor for point-of-sale price reductions that are set in advance and are available to the beneficiary at the point-of-sale, and creates a new safe harbor for service fees paid </w:t>
      </w:r>
      <w:r>
        <w:rPr>
          <w:sz w:val="20"/>
          <w:szCs w:val="20"/>
        </w:rPr>
        <w:t>by manufacturers to PBMs for services rendered to the manufacturer. It is too early to know what the effect of the rule will be on negotiations of coverage for our products with Medicare Part D plans, or whether the rule will affect our coverage arrangemen</w:t>
      </w:r>
      <w:r>
        <w:rPr>
          <w:sz w:val="20"/>
          <w:szCs w:val="20"/>
        </w:rPr>
        <w:t xml:space="preserve">ts with commercial insurers. It is also unclear whether the rule will have the intended effect of reducing net prices and beneficiary out-of-pocket costs without also increasing Medicare Part D premiums, which may impact the willingness of Part D plans to </w:t>
      </w:r>
      <w:r>
        <w:rPr>
          <w:sz w:val="20"/>
          <w:szCs w:val="20"/>
        </w:rPr>
        <w:t>cover our products and the price concessions or other terms the plans or their PBMs may seek from us. There have been other proposals to modify the Medicare Part D benefit, including by imposing federally mandated rebates on all drugs dispensed to Medicare</w:t>
      </w:r>
      <w:r>
        <w:rPr>
          <w:sz w:val="20"/>
          <w:szCs w:val="20"/>
        </w:rPr>
        <w:t xml:space="preserve"> Part D enrollees or on only those drugs dispensed to certain groups of lower income beneficiaries. If any of these proposals are adopted including any that result in additional rebates, this could have a negative impact on revenues for our collaboration p</w:t>
      </w:r>
      <w:r>
        <w:rPr>
          <w:sz w:val="20"/>
          <w:szCs w:val="20"/>
        </w:rPr>
        <w:t>artners, or those commercializing products with respect to which we have an economic interest or right to receive royalties, which could impact our revenues.</w:t>
      </w:r>
    </w:p>
    <w:p w:rsidR="00000000" w:rsidRDefault="00E52F77">
      <w:pPr>
        <w:pStyle w:val="a3"/>
        <w:spacing w:before="0" w:beforeAutospacing="0" w:after="200" w:afterAutospacing="0"/>
        <w:ind w:firstLine="720"/>
        <w:divId w:val="1104379404"/>
        <w:rPr>
          <w:sz w:val="20"/>
          <w:szCs w:val="20"/>
        </w:rPr>
      </w:pPr>
      <w:r>
        <w:rPr>
          <w:sz w:val="20"/>
          <w:szCs w:val="20"/>
        </w:rPr>
        <w:t>On August 2, 2011, the Budget Control Act of 2011, among other things, created the Joint Select Co</w:t>
      </w:r>
      <w:r>
        <w:rPr>
          <w:sz w:val="20"/>
          <w:szCs w:val="20"/>
        </w:rPr>
        <w:t>mmittee on Deficit Reduction to recommend to Congress proposals for spending reductions. The Joint Select Committee did not achieve a targeted deficit reduction, which triggered the legislation’s automatic reductions. In concert with subsequent legislation</w:t>
      </w:r>
      <w:r>
        <w:rPr>
          <w:sz w:val="20"/>
          <w:szCs w:val="20"/>
        </w:rPr>
        <w:t>, this has resulted in aggregate reductions to Medicare payments to providers of, on average, 2% per fiscal year through 2030 (with the exception of a temporary suspension from May 1, 2020 through March 31, 2021) unless Congress takes additional action. As</w:t>
      </w:r>
      <w:r>
        <w:rPr>
          <w:sz w:val="20"/>
          <w:szCs w:val="20"/>
        </w:rPr>
        <w:t xml:space="preserve"> long as these cuts remain in effect, they could adversely impact payment for any products that are reimbursed under Medicare. </w:t>
      </w:r>
    </w:p>
    <w:p w:rsidR="00000000" w:rsidRDefault="00E52F77">
      <w:pPr>
        <w:pStyle w:val="a3"/>
        <w:spacing w:before="0" w:beforeAutospacing="0" w:after="200" w:afterAutospacing="0"/>
        <w:ind w:firstLine="720"/>
        <w:divId w:val="1104379404"/>
        <w:rPr>
          <w:sz w:val="20"/>
          <w:szCs w:val="20"/>
        </w:rPr>
      </w:pPr>
      <w:r>
        <w:rPr>
          <w:sz w:val="20"/>
          <w:szCs w:val="20"/>
        </w:rPr>
        <w:t>Individual states in the United States have also increasingly passed legislation and implemented regulations designed to control</w:t>
      </w:r>
      <w:r>
        <w:rPr>
          <w:sz w:val="20"/>
          <w:szCs w:val="20"/>
        </w:rPr>
        <w:t xml:space="preserve"> pharmaceutical and biological product pricing, including price or patient reimbursement limitations, marketing cost disclosure and transparency measures, and, in some cases, measures designed to encourage importation from other countries and bulk purchasi</w:t>
      </w:r>
      <w:r>
        <w:rPr>
          <w:sz w:val="20"/>
          <w:szCs w:val="20"/>
        </w:rPr>
        <w:t>ng. For example, California has enacted a prescription drug price transparency law requiring prescription drug manufacturers to provide advance notice and explanation for price increases of certain drugs with prices that exceed a specified threshold, and t</w:t>
      </w:r>
      <w:r>
        <w:rPr>
          <w:sz w:val="20"/>
          <w:szCs w:val="20"/>
        </w:rPr>
        <w:t>o report new prescription drugs introduced to the market at a wholesale acquisition cost exceeding the Medicare Part D specialty drug threshold.</w:t>
      </w:r>
      <w:r>
        <w:rPr>
          <w:sz w:val="20"/>
          <w:szCs w:val="20"/>
        </w:rPr>
        <w:t xml:space="preserve"> </w:t>
      </w:r>
    </w:p>
    <w:p w:rsidR="00000000" w:rsidRDefault="00E52F77">
      <w:pPr>
        <w:pStyle w:val="a3"/>
        <w:spacing w:before="0" w:beforeAutospacing="0" w:after="200" w:afterAutospacing="0"/>
        <w:ind w:firstLine="720"/>
        <w:divId w:val="1104379404"/>
        <w:rPr>
          <w:sz w:val="20"/>
          <w:szCs w:val="20"/>
        </w:rPr>
      </w:pPr>
      <w:r>
        <w:rPr>
          <w:sz w:val="20"/>
          <w:szCs w:val="20"/>
        </w:rPr>
        <w:t>We expect that additional state and federal healthcare reform measures will be adopted in the future, any of which could limit the amounts that federal and state governments will pay for healthcare products and services, which could result in reduced deman</w:t>
      </w:r>
      <w:r>
        <w:rPr>
          <w:sz w:val="20"/>
          <w:szCs w:val="20"/>
        </w:rPr>
        <w:t>d for product or additional pricing pressures for our collaboration partners, or those commercializing products with respect to which we have an economic interest or right to receive royalties, which could impact our revenues.</w:t>
      </w:r>
    </w:p>
    <w:p w:rsidR="00000000" w:rsidRDefault="00E52F77">
      <w:pPr>
        <w:pStyle w:val="a3"/>
        <w:spacing w:before="360" w:beforeAutospacing="0" w:after="0" w:afterAutospacing="0"/>
        <w:jc w:val="center"/>
        <w:divId w:val="1368214348"/>
        <w:rPr>
          <w:sz w:val="20"/>
          <w:szCs w:val="20"/>
        </w:rPr>
      </w:pPr>
      <w:r>
        <w:rPr>
          <w:sz w:val="20"/>
          <w:szCs w:val="20"/>
        </w:rPr>
        <w:t>62</w:t>
      </w:r>
    </w:p>
    <w:p w:rsidR="00000000" w:rsidRDefault="00E52F77">
      <w:pPr>
        <w:pStyle w:val="a3"/>
        <w:spacing w:before="0" w:beforeAutospacing="0" w:after="600" w:afterAutospacing="0"/>
        <w:divId w:val="1541744082"/>
        <w:rPr>
          <w:sz w:val="20"/>
          <w:szCs w:val="20"/>
        </w:rPr>
      </w:pPr>
      <w:hyperlink w:anchor="TOC" w:history="1">
        <w:r>
          <w:rPr>
            <w:rStyle w:val="a4"/>
            <w:sz w:val="20"/>
            <w:szCs w:val="20"/>
          </w:rPr>
          <w:t>Table of Contents</w:t>
        </w:r>
      </w:hyperlink>
    </w:p>
    <w:p w:rsidR="00000000" w:rsidRDefault="00E52F77">
      <w:pPr>
        <w:pStyle w:val="a3"/>
        <w:spacing w:before="0" w:beforeAutospacing="0" w:after="120" w:afterAutospacing="0"/>
        <w:divId w:val="2056083772"/>
        <w:rPr>
          <w:sz w:val="20"/>
          <w:szCs w:val="20"/>
        </w:rPr>
      </w:pPr>
      <w:r>
        <w:rPr>
          <w:b/>
          <w:bCs/>
          <w:i/>
          <w:iCs/>
          <w:sz w:val="20"/>
          <w:szCs w:val="20"/>
        </w:rPr>
        <w:t>If we failed to comply with our reporting and payment obligations under the Medicaid Drug Rebate program or other governmental pricing programs, we could be subject to additional reimbursement requirements, penalties, sanctions and fines,</w:t>
      </w:r>
      <w:r>
        <w:rPr>
          <w:b/>
          <w:bCs/>
          <w:i/>
          <w:iCs/>
          <w:sz w:val="20"/>
          <w:szCs w:val="20"/>
        </w:rPr>
        <w:t xml:space="preserve"> which could have a material adverse effect on our business, financial condition, results of operations and growth prospects.</w:t>
      </w:r>
    </w:p>
    <w:p w:rsidR="00000000" w:rsidRDefault="00E52F77">
      <w:pPr>
        <w:pStyle w:val="a3"/>
        <w:spacing w:before="0" w:beforeAutospacing="0" w:after="200" w:afterAutospacing="0"/>
        <w:ind w:firstLine="720"/>
        <w:divId w:val="2056083772"/>
        <w:rPr>
          <w:sz w:val="20"/>
          <w:szCs w:val="20"/>
        </w:rPr>
      </w:pPr>
      <w:r>
        <w:rPr>
          <w:sz w:val="20"/>
          <w:szCs w:val="20"/>
        </w:rPr>
        <w:t>Prior to the sale of VIBATIV to Cumberland, we had certain price reporting obligations to the Medicaid Drug Rebate program and oth</w:t>
      </w:r>
      <w:r>
        <w:rPr>
          <w:sz w:val="20"/>
          <w:szCs w:val="20"/>
        </w:rPr>
        <w:t>er governmental pricing programs, and we had obligations to report average sales price under the Medicare program. Following the consummation of the transaction with Cumberland, our price reporting obligations related to VIBATIV have been transitioned to C</w:t>
      </w:r>
      <w:r>
        <w:rPr>
          <w:sz w:val="20"/>
          <w:szCs w:val="20"/>
        </w:rPr>
        <w:t>umberland, and price reporting obligations for YUPELRI reside with Viatris. However, we retain liability related to price reporting for VIBATIV for historic periods.</w:t>
      </w:r>
    </w:p>
    <w:p w:rsidR="00000000" w:rsidRDefault="00E52F77">
      <w:pPr>
        <w:pStyle w:val="a3"/>
        <w:spacing w:before="0" w:beforeAutospacing="0" w:after="200" w:afterAutospacing="0"/>
        <w:ind w:firstLine="720"/>
        <w:divId w:val="2056083772"/>
        <w:rPr>
          <w:sz w:val="20"/>
          <w:szCs w:val="20"/>
        </w:rPr>
      </w:pPr>
      <w:r>
        <w:rPr>
          <w:sz w:val="20"/>
          <w:szCs w:val="20"/>
        </w:rPr>
        <w:t>Under the Medicaid Drug Rebate program, a manufacturer is required to pay a rebate to each</w:t>
      </w:r>
      <w:r>
        <w:rPr>
          <w:sz w:val="20"/>
          <w:szCs w:val="20"/>
        </w:rPr>
        <w:t xml:space="preserve"> state Medicaid program for its covered outpatient drugs that are dispensed to Medicaid beneficiaries and paid for by a state Medicaid program as a condition of having federal funds being made available to the states for our drugs under Medicaid and Medica</w:t>
      </w:r>
      <w:r>
        <w:rPr>
          <w:sz w:val="20"/>
          <w:szCs w:val="20"/>
        </w:rPr>
        <w:t>re Part B. Those rebates are based on pricing data reported by the manufacturer on a monthly and quarterly basis to CMS, the federal agency that administers the Medicaid Drug Rebate program. These data include the average manufacturer price and, in the cas</w:t>
      </w:r>
      <w:r>
        <w:rPr>
          <w:sz w:val="20"/>
          <w:szCs w:val="20"/>
        </w:rPr>
        <w:t>e of innovator products, the best price for each drug which, in general, represents the lowest price available from the manufacturer to any entity in the US in any pricing structure, calculated to include all sales and associated rebates, discounts and oth</w:t>
      </w:r>
      <w:r>
        <w:rPr>
          <w:sz w:val="20"/>
          <w:szCs w:val="20"/>
        </w:rPr>
        <w:t>er price concessions.</w:t>
      </w:r>
    </w:p>
    <w:p w:rsidR="00000000" w:rsidRDefault="00E52F77">
      <w:pPr>
        <w:pStyle w:val="a3"/>
        <w:spacing w:before="0" w:beforeAutospacing="0" w:after="200" w:afterAutospacing="0"/>
        <w:ind w:firstLine="720"/>
        <w:divId w:val="2056083772"/>
        <w:rPr>
          <w:sz w:val="20"/>
          <w:szCs w:val="20"/>
        </w:rPr>
      </w:pPr>
      <w:r>
        <w:rPr>
          <w:sz w:val="20"/>
          <w:szCs w:val="20"/>
        </w:rPr>
        <w:t>Federal law requires that any company that participates in the Medicaid Drug Rebate program also participate in the Public Health Service’s 340B drug pricing program in order for federal funds to be available for the manufacturer’s dr</w:t>
      </w:r>
      <w:r>
        <w:rPr>
          <w:sz w:val="20"/>
          <w:szCs w:val="20"/>
        </w:rPr>
        <w:t>ugs under Medicaid and Medicare Part B. The 340B program requires participating manufacturers to agree to charge no more than the 340B “ceiling price” for the manufacturer’s covered outpatient drugs to a variety of community health clinics and other entiti</w:t>
      </w:r>
      <w:r>
        <w:rPr>
          <w:sz w:val="20"/>
          <w:szCs w:val="20"/>
        </w:rPr>
        <w:t>es that receive health services grants from the Public Health Service, as well as hospitals that serve a disproportionate share of low-income patients. Manufacturers also are required to report their 340B ceiling prices to HRSA on a quarterly basis, and HR</w:t>
      </w:r>
      <w:r>
        <w:rPr>
          <w:sz w:val="20"/>
          <w:szCs w:val="20"/>
        </w:rPr>
        <w:t>SA then publishes them to 340B covered entities. A final regulation regarding the calculation of the 340B ceiling price and the imposition of civil monetary penalties on manufacturers that knowingly and intentionally overcharge covered entities became effe</w:t>
      </w:r>
      <w:r>
        <w:rPr>
          <w:sz w:val="20"/>
          <w:szCs w:val="20"/>
        </w:rPr>
        <w:t>ctive on January 1, 2019. Moreover, under a final regulation effective January 13, 2021, HRSA newly established an administrative dispute resolution (“ADR”) process for claims by covered entities that a manufacturer has engaged in overcharging, and by manu</w:t>
      </w:r>
      <w:r>
        <w:rPr>
          <w:sz w:val="20"/>
          <w:szCs w:val="20"/>
        </w:rPr>
        <w:t>facturers that a covered entity violated the prohibitions against diversion or duplicate discounts. Such claims are to be resolved through an ADR panel of government officials rendering a decision that could be appealed only in federal court. An ADR procee</w:t>
      </w:r>
      <w:r>
        <w:rPr>
          <w:sz w:val="20"/>
          <w:szCs w:val="20"/>
        </w:rPr>
        <w:t>ding could subject us to onerous procedural requirements and could result in additional liability.</w:t>
      </w:r>
    </w:p>
    <w:p w:rsidR="00000000" w:rsidRDefault="00E52F77">
      <w:pPr>
        <w:pStyle w:val="a3"/>
        <w:spacing w:before="0" w:beforeAutospacing="0" w:after="200" w:afterAutospacing="0"/>
        <w:ind w:firstLine="720"/>
        <w:divId w:val="2056083772"/>
        <w:rPr>
          <w:sz w:val="20"/>
          <w:szCs w:val="20"/>
        </w:rPr>
      </w:pPr>
      <w:r>
        <w:rPr>
          <w:sz w:val="20"/>
          <w:szCs w:val="20"/>
        </w:rPr>
        <w:t>Federal law also requires that a company that participates in the Medicaid Drug Rebate program report average sales price information each quarter to CMS for</w:t>
      </w:r>
      <w:r>
        <w:rPr>
          <w:sz w:val="20"/>
          <w:szCs w:val="20"/>
        </w:rPr>
        <w:t xml:space="preserve"> certain categories of drugs that are paid under the Medicare Part B program. Manufacturers calculate the average sales price based on a statutorily defined formula as well as regulations and interpretations of the statute by CMS. CMS uses these submission</w:t>
      </w:r>
      <w:r>
        <w:rPr>
          <w:sz w:val="20"/>
          <w:szCs w:val="20"/>
        </w:rPr>
        <w:t>s to determine payment rates for drugs under Medicare Part B.</w:t>
      </w:r>
    </w:p>
    <w:p w:rsidR="00000000" w:rsidRDefault="00E52F77">
      <w:pPr>
        <w:pStyle w:val="a3"/>
        <w:spacing w:before="0" w:beforeAutospacing="0" w:after="200" w:afterAutospacing="0"/>
        <w:ind w:firstLine="720"/>
        <w:divId w:val="2056083772"/>
        <w:rPr>
          <w:sz w:val="20"/>
          <w:szCs w:val="20"/>
        </w:rPr>
      </w:pPr>
      <w:r>
        <w:rPr>
          <w:sz w:val="20"/>
          <w:szCs w:val="20"/>
        </w:rPr>
        <w:t>Pricing and rebate calculations vary across products and programs, are complex, and are often subject to interpretation by the manufacturer, governmental or regulatory agencies and the courts. A</w:t>
      </w:r>
      <w:r>
        <w:rPr>
          <w:sz w:val="20"/>
          <w:szCs w:val="20"/>
        </w:rPr>
        <w:t xml:space="preserve"> manufacturer that becomes aware that its Medicaid reporting for a prior quarter was incorrect, or has changed as a result of recalculation of the pricing data, is obligated to resubmit the corrected data for up to three years after those data originally w</w:t>
      </w:r>
      <w:r>
        <w:rPr>
          <w:sz w:val="20"/>
          <w:szCs w:val="20"/>
        </w:rPr>
        <w:t>ere due. Such restatements and recalculations increase the costs for complying with the laws and regulations governing the Medicaid Drug Rebate program and could result in an overage or underage in our rebate liability for past quarters. Price recalculatio</w:t>
      </w:r>
      <w:r>
        <w:rPr>
          <w:sz w:val="20"/>
          <w:szCs w:val="20"/>
        </w:rPr>
        <w:t>ns also may affect the 340B ceiling price.</w:t>
      </w:r>
    </w:p>
    <w:p w:rsidR="00000000" w:rsidRDefault="00E52F77">
      <w:pPr>
        <w:pStyle w:val="a3"/>
        <w:spacing w:before="0" w:beforeAutospacing="0" w:after="0" w:afterAutospacing="0"/>
        <w:ind w:firstLine="720"/>
        <w:divId w:val="2056083772"/>
        <w:rPr>
          <w:sz w:val="20"/>
          <w:szCs w:val="20"/>
        </w:rPr>
      </w:pPr>
      <w:r>
        <w:rPr>
          <w:sz w:val="20"/>
          <w:szCs w:val="20"/>
        </w:rPr>
        <w:t>We are liable for errors associated with our submission of pricing data. In addition to retroactive rebates and the potential for 340B program refunds, if we are found to have knowingly submitted any false price i</w:t>
      </w:r>
      <w:r>
        <w:rPr>
          <w:sz w:val="20"/>
          <w:szCs w:val="20"/>
        </w:rPr>
        <w:t>nformation to the government, we may be liable for significant civil monetary penalties per item of false information. If we are found to have made a misrepresentation in the reporting of our average sales price, the Medicare statute provides for significa</w:t>
      </w:r>
      <w:r>
        <w:rPr>
          <w:sz w:val="20"/>
          <w:szCs w:val="20"/>
        </w:rPr>
        <w:t>nt civil monetary penalties for each misrepresentation for each day in which the misrepresentation was applied. If we are found to have charged 340B covered entities more than the statutorily mandated ceiling price, we could be subject to significant civil</w:t>
      </w:r>
      <w:r>
        <w:rPr>
          <w:sz w:val="20"/>
          <w:szCs w:val="20"/>
        </w:rPr>
        <w:t xml:space="preserve"> </w:t>
      </w:r>
    </w:p>
    <w:p w:rsidR="00000000" w:rsidRDefault="00E52F77">
      <w:pPr>
        <w:pStyle w:val="a3"/>
        <w:spacing w:before="360" w:beforeAutospacing="0" w:after="0" w:afterAutospacing="0"/>
        <w:jc w:val="center"/>
        <w:divId w:val="2138572088"/>
        <w:rPr>
          <w:sz w:val="20"/>
          <w:szCs w:val="20"/>
        </w:rPr>
      </w:pPr>
      <w:r>
        <w:rPr>
          <w:sz w:val="20"/>
          <w:szCs w:val="20"/>
        </w:rPr>
        <w:t>63</w:t>
      </w:r>
    </w:p>
    <w:p w:rsidR="00000000" w:rsidRDefault="00E52F77">
      <w:pPr>
        <w:pStyle w:val="a3"/>
        <w:spacing w:before="0" w:beforeAutospacing="0" w:after="600" w:afterAutospacing="0"/>
        <w:divId w:val="338198369"/>
        <w:rPr>
          <w:sz w:val="20"/>
          <w:szCs w:val="20"/>
        </w:rPr>
      </w:pPr>
      <w:hyperlink w:anchor="TOC" w:history="1">
        <w:r>
          <w:rPr>
            <w:rStyle w:val="a4"/>
            <w:sz w:val="20"/>
            <w:szCs w:val="20"/>
          </w:rPr>
          <w:t>Table of Contents</w:t>
        </w:r>
      </w:hyperlink>
    </w:p>
    <w:p w:rsidR="00000000" w:rsidRDefault="00E52F77">
      <w:pPr>
        <w:pStyle w:val="a3"/>
        <w:spacing w:before="0" w:beforeAutospacing="0" w:after="200" w:afterAutospacing="0"/>
        <w:divId w:val="216357162"/>
        <w:rPr>
          <w:sz w:val="20"/>
          <w:szCs w:val="20"/>
        </w:rPr>
      </w:pPr>
      <w:r>
        <w:rPr>
          <w:sz w:val="20"/>
          <w:szCs w:val="20"/>
        </w:rPr>
        <w:t>monetary penalties. Our failure to submit the required price data on a timely basis could result in a significant civil monetary penalty per day for each day the information is late beyond the due date. Such</w:t>
      </w:r>
      <w:r>
        <w:rPr>
          <w:sz w:val="20"/>
          <w:szCs w:val="20"/>
        </w:rPr>
        <w:t xml:space="preserve"> failure also could be grounds for CMS to terminate our Medicaid drug rebate agreement, pursuant to which we participate in the Medicaid program. In the event that CMS terminates our rebate agreement, federal payments may not be available under Medicaid or</w:t>
      </w:r>
      <w:r>
        <w:rPr>
          <w:sz w:val="20"/>
          <w:szCs w:val="20"/>
        </w:rPr>
        <w:t xml:space="preserve"> Medicare Part B for our covered outpatient drugs.</w:t>
      </w:r>
    </w:p>
    <w:p w:rsidR="00000000" w:rsidRDefault="00E52F77">
      <w:pPr>
        <w:pStyle w:val="a3"/>
        <w:spacing w:before="0" w:beforeAutospacing="0" w:after="200" w:afterAutospacing="0"/>
        <w:ind w:firstLine="720"/>
        <w:divId w:val="216357162"/>
        <w:rPr>
          <w:sz w:val="20"/>
          <w:szCs w:val="20"/>
        </w:rPr>
      </w:pPr>
      <w:r>
        <w:rPr>
          <w:sz w:val="20"/>
          <w:szCs w:val="20"/>
        </w:rPr>
        <w:t>In order to be eligible to have its products paid for with federal funds under the Medicaid and Medicare Part B programs and purchased by the Department of Veterans Affairs (“VA”), Department of Defense (“</w:t>
      </w:r>
      <w:r>
        <w:rPr>
          <w:sz w:val="20"/>
          <w:szCs w:val="20"/>
        </w:rPr>
        <w:t xml:space="preserve">DoD”), Public Health Service, and Coast Guard (the “Big Four agencies”) and certain federal grantees, a manufacturer is required to participate in the VA Federal Supply Schedule (“FSS”) pricing program, established under Section 603 of the Veterans Health </w:t>
      </w:r>
      <w:r>
        <w:rPr>
          <w:sz w:val="20"/>
          <w:szCs w:val="20"/>
        </w:rPr>
        <w:t>Care Act of 1992. Under this program, the manufacturer is obligated to make its covered drugs available for procurement on an FSS contract and charge a price to the Big Four agencies that is no higher than the Federal Ceiling Price (“FCP”), which is a pric</w:t>
      </w:r>
      <w:r>
        <w:rPr>
          <w:sz w:val="20"/>
          <w:szCs w:val="20"/>
        </w:rPr>
        <w:t>e calculated pursuant to a statutory formula. The FCP is derived from a calculated price point called the “non-federal average manufacturer price” (“Non-FAMP”), which the manufacturer calculates and reports to the VA on a quarterly and annual basis. Pursua</w:t>
      </w:r>
      <w:r>
        <w:rPr>
          <w:sz w:val="20"/>
          <w:szCs w:val="20"/>
        </w:rPr>
        <w:t xml:space="preserve">nt to applicable law, knowing provision of false information in connection with a Non-FAMP filing can subject a manufacturer to significant penalties for each item of false information. The FSS contract also contains extensive disclosure and certification </w:t>
      </w:r>
      <w:r>
        <w:rPr>
          <w:sz w:val="20"/>
          <w:szCs w:val="20"/>
        </w:rPr>
        <w:t>requirements.</w:t>
      </w:r>
    </w:p>
    <w:p w:rsidR="00000000" w:rsidRDefault="00E52F77">
      <w:pPr>
        <w:pStyle w:val="a3"/>
        <w:spacing w:before="0" w:beforeAutospacing="0" w:after="200" w:afterAutospacing="0"/>
        <w:ind w:firstLine="720"/>
        <w:divId w:val="216357162"/>
        <w:rPr>
          <w:sz w:val="20"/>
          <w:szCs w:val="20"/>
        </w:rPr>
      </w:pPr>
      <w:r>
        <w:rPr>
          <w:sz w:val="20"/>
          <w:szCs w:val="20"/>
        </w:rPr>
        <w:t>Under Section 703 of the National Defense Authorization Act for FY 2008, the manufacturer is required to pay quarterly rebates to DoD on utilization of its innovator products that are dispensed through DoD’s Tricare network pharmacies to Tric</w:t>
      </w:r>
      <w:r>
        <w:rPr>
          <w:sz w:val="20"/>
          <w:szCs w:val="20"/>
        </w:rPr>
        <w:t>are beneficiaries. The rebates are calculated as the difference between the annual Non-FAMP and FCP for the calendar year that the product was dispensed. A manufacturer that overcharges the government in connection with the FSS contract or Tricare Retail P</w:t>
      </w:r>
      <w:r>
        <w:rPr>
          <w:sz w:val="20"/>
          <w:szCs w:val="20"/>
        </w:rPr>
        <w:t xml:space="preserve">harmacy Rebate Program, whether due to a misstated FCP or otherwise, is required to refund the difference to the government. Failure to make necessary disclosures and/or to identify contract overcharges can result in allegations against us under the False </w:t>
      </w:r>
      <w:r>
        <w:rPr>
          <w:sz w:val="20"/>
          <w:szCs w:val="20"/>
        </w:rPr>
        <w:t>Claims Act and other laws and regulations.</w:t>
      </w:r>
    </w:p>
    <w:p w:rsidR="00000000" w:rsidRDefault="00E52F77">
      <w:pPr>
        <w:pStyle w:val="a3"/>
        <w:spacing w:before="0" w:beforeAutospacing="0" w:after="200" w:afterAutospacing="0"/>
        <w:ind w:firstLine="720"/>
        <w:divId w:val="216357162"/>
        <w:rPr>
          <w:sz w:val="20"/>
          <w:szCs w:val="20"/>
        </w:rPr>
      </w:pPr>
      <w:r>
        <w:rPr>
          <w:sz w:val="20"/>
          <w:szCs w:val="20"/>
        </w:rPr>
        <w:t>Individual states in the United States, as noted, have also passed legislation and implemented regulations designed to control pharmaceutical and biological product pricing, including marketing cost disclosure and</w:t>
      </w:r>
      <w:r>
        <w:rPr>
          <w:sz w:val="20"/>
          <w:szCs w:val="20"/>
        </w:rPr>
        <w:t xml:space="preserve"> transparency measures. Some states require the submission of reports related to pricing information, including based on the introduction of new prescription drugs, certain increases in wholesale acquisition cost of prescription drugs, marketing of prescri</w:t>
      </w:r>
      <w:r>
        <w:rPr>
          <w:sz w:val="20"/>
          <w:szCs w:val="20"/>
        </w:rPr>
        <w:t xml:space="preserve">ption drugs within the state, and sales of prescription drugs in or into the state. Some states may pursue available enforcement measures, including imposition of civil monetary penalties, for a manufacturer’s failure to report such information. </w:t>
      </w:r>
    </w:p>
    <w:p w:rsidR="00000000" w:rsidRDefault="00E52F77">
      <w:pPr>
        <w:pStyle w:val="a3"/>
        <w:spacing w:before="0" w:beforeAutospacing="0" w:after="120" w:afterAutospacing="0"/>
        <w:divId w:val="216357162"/>
        <w:rPr>
          <w:sz w:val="20"/>
          <w:szCs w:val="20"/>
        </w:rPr>
      </w:pPr>
      <w:r>
        <w:rPr>
          <w:b/>
          <w:bCs/>
          <w:i/>
          <w:iCs/>
          <w:sz w:val="20"/>
          <w:szCs w:val="20"/>
        </w:rPr>
        <w:t>Our relat</w:t>
      </w:r>
      <w:r>
        <w:rPr>
          <w:b/>
          <w:bCs/>
          <w:i/>
          <w:iCs/>
          <w:sz w:val="20"/>
          <w:szCs w:val="20"/>
        </w:rPr>
        <w:t>ionships with customers and third-party payors are subject to applicable anti-kickback, fraud and abuse, transparency and other healthcare laws and regulations, which could expose us to criminal sanctions, civil penalties, exclusion, contractual damages, r</w:t>
      </w:r>
      <w:r>
        <w:rPr>
          <w:b/>
          <w:bCs/>
          <w:i/>
          <w:iCs/>
          <w:sz w:val="20"/>
          <w:szCs w:val="20"/>
        </w:rPr>
        <w:t>eputational harm and diminished profits and future earnings.</w:t>
      </w:r>
    </w:p>
    <w:p w:rsidR="00000000" w:rsidRDefault="00E52F77">
      <w:pPr>
        <w:pStyle w:val="a3"/>
        <w:spacing w:before="0" w:beforeAutospacing="0" w:after="200" w:afterAutospacing="0"/>
        <w:ind w:firstLine="720"/>
        <w:divId w:val="216357162"/>
        <w:rPr>
          <w:sz w:val="20"/>
          <w:szCs w:val="20"/>
        </w:rPr>
      </w:pPr>
      <w:r>
        <w:rPr>
          <w:sz w:val="20"/>
          <w:szCs w:val="20"/>
        </w:rPr>
        <w:t>Healthcare providers, physicians, distributors and third-party payors play a primary role in the distribution, recommendation and prescription of any pharmaceutical product for which we obtain ma</w:t>
      </w:r>
      <w:r>
        <w:rPr>
          <w:sz w:val="20"/>
          <w:szCs w:val="20"/>
        </w:rPr>
        <w:t>rketing approval. Our arrangements with third-party payors and customers expose us to broadly applicable fraud and abuse and other healthcare laws and regulations that may constrain the business or financial arrangements through which we market, sell and d</w:t>
      </w:r>
      <w:r>
        <w:rPr>
          <w:sz w:val="20"/>
          <w:szCs w:val="20"/>
        </w:rPr>
        <w:t>istribute any products for which we have obtained or may obtain marketing approval. Restrictions under applicable federal and state healthcare laws and regulations include the following:</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16357162"/>
        </w:trPr>
        <w:tc>
          <w:tcPr>
            <w:tcW w:w="720" w:type="dxa"/>
            <w:tcMar>
              <w:top w:w="0" w:type="dxa"/>
              <w:left w:w="0" w:type="dxa"/>
              <w:bottom w:w="0" w:type="dxa"/>
              <w:right w:w="0" w:type="dxa"/>
            </w:tcMar>
            <w:vAlign w:val="center"/>
            <w:hideMark/>
          </w:tcPr>
          <w:p w:rsidR="00000000" w:rsidRDefault="00E52F77">
            <w:pPr>
              <w:rPr>
                <w:sz w:val="20"/>
                <w:szCs w:val="20"/>
              </w:rPr>
            </w:pPr>
          </w:p>
        </w:tc>
        <w:tc>
          <w:tcPr>
            <w:tcW w:w="360" w:type="dxa"/>
            <w:noWrap/>
            <w:tcMar>
              <w:top w:w="0" w:type="dxa"/>
              <w:left w:w="0" w:type="dxa"/>
              <w:bottom w:w="0" w:type="dxa"/>
              <w:right w:w="0" w:type="dxa"/>
            </w:tcMar>
            <w:hideMark/>
          </w:tcPr>
          <w:p w:rsidR="00000000" w:rsidRDefault="00E52F77">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0" w:afterAutospacing="0"/>
              <w:rPr>
                <w:sz w:val="20"/>
                <w:szCs w:val="20"/>
              </w:rPr>
            </w:pPr>
            <w:r>
              <w:rPr>
                <w:sz w:val="20"/>
                <w:szCs w:val="20"/>
              </w:rPr>
              <w:t>The US federal healthcare Anti-Kickback Statute prohibits any person from, among other things, knowingly and willfully offering, paying, soliciting, or receiving remuneration, directly or indirectly, in cash or in kind, to induce or reward either the refer</w:t>
            </w:r>
            <w:r>
              <w:rPr>
                <w:sz w:val="20"/>
                <w:szCs w:val="20"/>
              </w:rPr>
              <w:t>ral of an individual for, or the purchasing, leasing, ordering or arranging for or recommending of any good or service for which payment may be made, in whole or in part, under federal and state healthcare programs such as Medicare and Medicaid. The term “</w:t>
            </w:r>
            <w:r>
              <w:rPr>
                <w:sz w:val="20"/>
                <w:szCs w:val="20"/>
              </w:rPr>
              <w:t>remuneration” has been broadly interpreted to include anything of value. The Anti-Kickback Statute is subject to evolving interpretation and has been applied by government enforcement officials to a number of common business arrangements in the pharmaceuti</w:t>
            </w:r>
            <w:r>
              <w:rPr>
                <w:sz w:val="20"/>
                <w:szCs w:val="20"/>
              </w:rPr>
              <w:t>cal industry. The government can establish a violation of the Anti-Kickback Statute without proving that a person or entity had actual knowledge of the statute or specific intent to violate it. There are a number of statutory exemptions and regulatory safe</w:t>
            </w:r>
            <w:r>
              <w:rPr>
                <w:sz w:val="20"/>
                <w:szCs w:val="20"/>
              </w:rPr>
              <w:t xml:space="preserve"> harbors protecting some common activities from prosecution; however, those exceptions and safe harbors are drawn narrowly. Failure to meet all of the </w:t>
            </w:r>
          </w:p>
        </w:tc>
      </w:tr>
    </w:tbl>
    <w:p w:rsidR="00000000" w:rsidRDefault="00E52F77">
      <w:pPr>
        <w:pStyle w:val="a3"/>
        <w:spacing w:before="360" w:beforeAutospacing="0" w:after="0" w:afterAutospacing="0"/>
        <w:jc w:val="center"/>
        <w:divId w:val="902519293"/>
        <w:rPr>
          <w:sz w:val="20"/>
          <w:szCs w:val="20"/>
        </w:rPr>
      </w:pPr>
      <w:r>
        <w:rPr>
          <w:sz w:val="20"/>
          <w:szCs w:val="20"/>
        </w:rPr>
        <w:t>64</w:t>
      </w:r>
    </w:p>
    <w:p w:rsidR="00000000" w:rsidRDefault="00E52F77">
      <w:pPr>
        <w:pStyle w:val="a3"/>
        <w:spacing w:before="0" w:beforeAutospacing="0" w:after="600" w:afterAutospacing="0"/>
        <w:divId w:val="1043794967"/>
        <w:rPr>
          <w:sz w:val="20"/>
          <w:szCs w:val="20"/>
        </w:rPr>
      </w:pPr>
      <w:hyperlink w:anchor="TOC" w:history="1">
        <w:r>
          <w:rPr>
            <w:rStyle w:val="a4"/>
            <w:sz w:val="20"/>
            <w:szCs w:val="20"/>
          </w:rPr>
          <w:t>Table of Contents</w:t>
        </w:r>
      </w:hyperlink>
    </w:p>
    <w:p w:rsidR="00000000" w:rsidRDefault="00E52F77">
      <w:pPr>
        <w:pStyle w:val="a3"/>
        <w:spacing w:before="0" w:beforeAutospacing="0" w:after="200" w:afterAutospacing="0"/>
        <w:ind w:left="1080"/>
        <w:divId w:val="379523540"/>
        <w:rPr>
          <w:sz w:val="20"/>
          <w:szCs w:val="20"/>
        </w:rPr>
      </w:pPr>
      <w:r>
        <w:rPr>
          <w:sz w:val="20"/>
          <w:szCs w:val="20"/>
        </w:rPr>
        <w:t>requirements of a particular statutory exception or regu</w:t>
      </w:r>
      <w:r>
        <w:rPr>
          <w:sz w:val="20"/>
          <w:szCs w:val="20"/>
        </w:rPr>
        <w:t>latory safe harbor does not make the conduct per se illegal under the Anti-Kickback Statute, but the legality of the arrangement will be evaluated on a case-by-case basis based on the totality of the facts and circumstances. We seek to comply with the avai</w:t>
      </w:r>
      <w:r>
        <w:rPr>
          <w:sz w:val="20"/>
          <w:szCs w:val="20"/>
        </w:rPr>
        <w:t>lable statutory exemptions and safe harbors whenever possible, but our practices may not in all cases meet all of the criteria for safe harbor protection from anti-kickback liability. Moreover, there are no safe harbors for many common practices, such as e</w:t>
      </w:r>
      <w:r>
        <w:rPr>
          <w:sz w:val="20"/>
          <w:szCs w:val="20"/>
        </w:rPr>
        <w:t xml:space="preserve">ducational and research grants or patient or product assistance programs. </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379523540"/>
        </w:trPr>
        <w:tc>
          <w:tcPr>
            <w:tcW w:w="720" w:type="dxa"/>
            <w:tcMar>
              <w:top w:w="0" w:type="dxa"/>
              <w:left w:w="0" w:type="dxa"/>
              <w:bottom w:w="0" w:type="dxa"/>
              <w:right w:w="0" w:type="dxa"/>
            </w:tcMar>
            <w:vAlign w:val="center"/>
            <w:hideMark/>
          </w:tcPr>
          <w:p w:rsidR="00000000" w:rsidRDefault="00E52F77">
            <w:pPr>
              <w:rPr>
                <w:sz w:val="20"/>
                <w:szCs w:val="20"/>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The federal civil False Claims Act prohibits, among other things, knowingly presenting, or causing to be presented, claims for payment of government funds that are false or fraud</w:t>
            </w:r>
            <w:r>
              <w:rPr>
                <w:sz w:val="20"/>
                <w:szCs w:val="20"/>
              </w:rPr>
              <w:t>ulent, or knowingly making, or using or causing to be made or used, a false record or statement material to a false or fraudulent claim to avoid, decrease, or conceal an obligation to pay money to the federal government. Private individuals, commonly known</w:t>
            </w:r>
            <w:r>
              <w:rPr>
                <w:sz w:val="20"/>
                <w:szCs w:val="20"/>
              </w:rPr>
              <w:t xml:space="preserve"> as “whistleblowers,” can bring civil False Claims Act </w:t>
            </w:r>
            <w:r>
              <w:rPr>
                <w:i/>
                <w:iCs/>
                <w:sz w:val="20"/>
                <w:szCs w:val="20"/>
              </w:rPr>
              <w:t>qui tam</w:t>
            </w:r>
            <w:r>
              <w:rPr>
                <w:sz w:val="20"/>
                <w:szCs w:val="20"/>
              </w:rPr>
              <w:t xml:space="preserve"> actions, on behalf of the government and such individuals and may share in amounts paid by the entity to the government in recovery or settlement. In recent years, several pharmaceutical and ot</w:t>
            </w:r>
            <w:r>
              <w:rPr>
                <w:sz w:val="20"/>
                <w:szCs w:val="20"/>
              </w:rPr>
              <w:t>her healthcare companies have faced enforcement actions under the federal False Claims Act for, among other things, allegedly submitting false or misleading pricing information to government health care programs and providing free product to customers with</w:t>
            </w:r>
            <w:r>
              <w:rPr>
                <w:sz w:val="20"/>
                <w:szCs w:val="20"/>
              </w:rPr>
              <w:t xml:space="preserve"> the expectation that the customers would bill federal programs for the product. Federal enforcement agencies also have showed increased interest in pharmaceutical companies’ product and patient assistance programs, including reimbursement and co-pay suppo</w:t>
            </w:r>
            <w:r>
              <w:rPr>
                <w:sz w:val="20"/>
                <w:szCs w:val="20"/>
              </w:rPr>
              <w:t>rt services, and a number of investigations into these programs have resulted in significant civil and criminal settlements. Other companies have faced enforcement actions for causing false claims to be submitted because of the companies’ marketing the pro</w:t>
            </w:r>
            <w:r>
              <w:rPr>
                <w:sz w:val="20"/>
                <w:szCs w:val="20"/>
              </w:rPr>
              <w:t>duct for unapproved, and thus non-reimbursable, uses. In addition, a claim including items or services resulting from a violation of the federal Anti-Kickback Statute constitutes a false or fraudulent claim for purposes of the federal civil False Claims Ac</w:t>
            </w:r>
            <w:r>
              <w:rPr>
                <w:sz w:val="20"/>
                <w:szCs w:val="20"/>
              </w:rPr>
              <w:t>t. False Claims Act liability is potentially significant in the healthcare industry because the statute provides for treble damages and significant mandatory penalties per false claim or statement for violations. Because of the potential for large monetary</w:t>
            </w:r>
            <w:r>
              <w:rPr>
                <w:sz w:val="20"/>
                <w:szCs w:val="20"/>
              </w:rPr>
              <w:t xml:space="preserve"> exposure, healthcare and pharmaceutical companies often resolve allegations without admissions of liability for significant and material amounts to avoid the uncertainty of treble damages and per claim penalties that may be awarded in litigation proceedin</w:t>
            </w:r>
            <w:r>
              <w:rPr>
                <w:sz w:val="20"/>
                <w:szCs w:val="20"/>
              </w:rPr>
              <w:t>gs. Companies may be required, however, to enter into corporate integrity agreements with the government, which may impose substantial costs on companies to ensure compliance. Criminal penalties, including imprisonment and criminal fines, are also possible</w:t>
            </w:r>
            <w:r>
              <w:rPr>
                <w:sz w:val="20"/>
                <w:szCs w:val="20"/>
              </w:rPr>
              <w:t xml:space="preserve"> for making or presenting a false, fictitious or fraudulent claim to the federal government.</w:t>
            </w:r>
          </w:p>
        </w:tc>
      </w:tr>
    </w:tbl>
    <w:p w:rsidR="00000000" w:rsidRDefault="00E52F77">
      <w:pPr>
        <w:divId w:val="37952354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379523540"/>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HIPAA, among other things, imposes criminal and civil liability for knowingly and willfully executing a scheme to defraud any healthcare benefit program, incl</w:t>
            </w:r>
            <w:r>
              <w:rPr>
                <w:sz w:val="20"/>
                <w:szCs w:val="20"/>
              </w:rPr>
              <w:t>uding private third-party payors, and also imposes obligations, including mandatory contractual terms, with respect to safeguarding the privacy, security and transmission of individually identifiable health information. HIPAA also prohibits knowingly and w</w:t>
            </w:r>
            <w:r>
              <w:rPr>
                <w:sz w:val="20"/>
                <w:szCs w:val="20"/>
              </w:rPr>
              <w:t>illfully falsifying, concealing or covering up a material fact or making any materially false, fictitious or fraudulent statement or representation, or making or using any false writing or document knowing the same to contain any materially false fictitiou</w:t>
            </w:r>
            <w:r>
              <w:rPr>
                <w:sz w:val="20"/>
                <w:szCs w:val="20"/>
              </w:rPr>
              <w:t>s or fraudulent statement or entry in connection with the delivery of or payment for healthcare benefits, items or services. Similar to the federal healthcare Anti-Kickback Statute, a person or entity does not need to have actual knowledge of the statute o</w:t>
            </w:r>
            <w:r>
              <w:rPr>
                <w:sz w:val="20"/>
                <w:szCs w:val="20"/>
              </w:rPr>
              <w:t>r specific intent to violate it to have committed a violation.</w:t>
            </w:r>
          </w:p>
        </w:tc>
      </w:tr>
    </w:tbl>
    <w:p w:rsidR="00000000" w:rsidRDefault="00E52F77">
      <w:pPr>
        <w:divId w:val="37952354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379523540"/>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The federal Physician Payment Sunshine Act, being implemented as the Open Payments Program, requires certain manufacturers of drugs, devices, biologics, and medical supplies for which paym</w:t>
            </w:r>
            <w:r>
              <w:rPr>
                <w:sz w:val="20"/>
                <w:szCs w:val="20"/>
              </w:rPr>
              <w:t>ent is available under Medicare, Medicaid or the Children’s Health Insurance Program (with certain exceptions) to report annually to the US Department of Health and Human Services, Centers for Medicare and Medicaid Services, information related to payments</w:t>
            </w:r>
            <w:r>
              <w:rPr>
                <w:sz w:val="20"/>
                <w:szCs w:val="20"/>
              </w:rPr>
              <w:t xml:space="preserve"> and other transfers of value, directly or indirectly, to physicians (defined to include doctors, dentists, optometrists, podiatrists, and chiropractors) and teaching hospitals, as well as ownership and investment interests held by physicians and their imm</w:t>
            </w:r>
            <w:r>
              <w:rPr>
                <w:sz w:val="20"/>
                <w:szCs w:val="20"/>
              </w:rPr>
              <w:t>ediate family members. Beginning in 2022, applicable manufacturers also will be required to report information regarding payments and transfers of value provided to physician assistants, nurse practitioners, clinical nurse specialists, certified nurse anes</w:t>
            </w:r>
            <w:r>
              <w:rPr>
                <w:sz w:val="20"/>
                <w:szCs w:val="20"/>
              </w:rPr>
              <w:t>thetists, and certified nurse-midwives. A manufacturer’s failure to submit timely, accurately and completely the required information for all payments, transfers of value or ownership or investment interests may result in civil monetary penalties.</w:t>
            </w:r>
          </w:p>
        </w:tc>
      </w:tr>
    </w:tbl>
    <w:p w:rsidR="00000000" w:rsidRDefault="00E52F77">
      <w:pPr>
        <w:pStyle w:val="a3"/>
        <w:spacing w:before="360" w:beforeAutospacing="0" w:after="0" w:afterAutospacing="0"/>
        <w:jc w:val="center"/>
        <w:divId w:val="46801127"/>
        <w:rPr>
          <w:sz w:val="20"/>
          <w:szCs w:val="20"/>
        </w:rPr>
      </w:pPr>
      <w:r>
        <w:rPr>
          <w:sz w:val="20"/>
          <w:szCs w:val="20"/>
        </w:rPr>
        <w:t>65</w:t>
      </w:r>
    </w:p>
    <w:p w:rsidR="00000000" w:rsidRDefault="00E52F77">
      <w:pPr>
        <w:pStyle w:val="a3"/>
        <w:spacing w:before="0" w:beforeAutospacing="0" w:after="600" w:afterAutospacing="0"/>
        <w:divId w:val="701977422"/>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78633613"/>
        </w:trPr>
        <w:tc>
          <w:tcPr>
            <w:tcW w:w="720" w:type="dxa"/>
            <w:tcMar>
              <w:top w:w="0" w:type="dxa"/>
              <w:left w:w="0" w:type="dxa"/>
              <w:bottom w:w="0" w:type="dxa"/>
              <w:right w:w="0" w:type="dxa"/>
            </w:tcMar>
            <w:vAlign w:val="center"/>
            <w:hideMark/>
          </w:tcPr>
          <w:p w:rsidR="00000000" w:rsidRDefault="00E52F77">
            <w:pPr>
              <w:rPr>
                <w:sz w:val="20"/>
                <w:szCs w:val="20"/>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Analogous state laws and regulations, such as state anti-kickback and false claims laws, may apply to sales or marketing arrangements and claims involving healthcare items or services reimbursed by any third-p</w:t>
            </w:r>
            <w:r>
              <w:rPr>
                <w:sz w:val="20"/>
                <w:szCs w:val="20"/>
              </w:rPr>
              <w:t>arty payors, including private insurers or patients. Several states also require pharmaceutical companies to report expenses relating to the marketing and promotion of pharmaceutical products in those states and to report gifts and payments to individual h</w:t>
            </w:r>
            <w:r>
              <w:rPr>
                <w:sz w:val="20"/>
                <w:szCs w:val="20"/>
              </w:rPr>
              <w:t>ealth care providers in those states. Some of these states also prohibit certain marketing-related activities, including the provision of gifts, meals, or other items to certain health care providers, and restrict the ability of manufacturers to offer co-p</w:t>
            </w:r>
            <w:r>
              <w:rPr>
                <w:sz w:val="20"/>
                <w:szCs w:val="20"/>
              </w:rPr>
              <w:t>ay support to patients for certain prescription drugs. Some states require the posting of information relating to clinical studies and their outcomes. Some states and cities require identification or licensing of sales representatives. In addition, several</w:t>
            </w:r>
            <w:r>
              <w:rPr>
                <w:sz w:val="20"/>
                <w:szCs w:val="20"/>
              </w:rPr>
              <w:t xml:space="preserve"> states require pharmaceutical companies to implement compliance programs or marketing codes.</w:t>
            </w:r>
          </w:p>
        </w:tc>
      </w:tr>
    </w:tbl>
    <w:p w:rsidR="00000000" w:rsidRDefault="00E52F77">
      <w:pPr>
        <w:divId w:val="157863361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78633613"/>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Similar restrictions are imposed on the promotion and marketing of medicinal products in the EU Member States and other countries, including restrictions pro</w:t>
            </w:r>
            <w:r>
              <w:rPr>
                <w:sz w:val="20"/>
                <w:szCs w:val="20"/>
              </w:rPr>
              <w:t>hibiting the promotion of a compound prior to its approval. Laws (including those governing promotion, marketing and anti-kickback provisions), industry regulations and professional codes of conduct often are strictly enforced. Even in those countries wher</w:t>
            </w:r>
            <w:r>
              <w:rPr>
                <w:sz w:val="20"/>
                <w:szCs w:val="20"/>
              </w:rPr>
              <w:t>e we may decide not to directly promote or market our products, inappropriate activity by our international distribution partners could have implications for us.</w:t>
            </w:r>
          </w:p>
        </w:tc>
      </w:tr>
    </w:tbl>
    <w:p w:rsidR="00000000" w:rsidRDefault="00E52F77">
      <w:pPr>
        <w:pStyle w:val="a3"/>
        <w:spacing w:before="0" w:beforeAutospacing="0" w:after="200" w:afterAutospacing="0"/>
        <w:ind w:firstLine="720"/>
        <w:divId w:val="1578633613"/>
        <w:rPr>
          <w:sz w:val="20"/>
          <w:szCs w:val="20"/>
        </w:rPr>
      </w:pPr>
      <w:r>
        <w:rPr>
          <w:sz w:val="20"/>
          <w:szCs w:val="20"/>
        </w:rPr>
        <w:t xml:space="preserve">The shifting commercial compliance environment and the need to build and maintain robust and </w:t>
      </w:r>
      <w:r>
        <w:rPr>
          <w:sz w:val="20"/>
          <w:szCs w:val="20"/>
        </w:rPr>
        <w:t>expandable systems to comply with different compliance or reporting requirements in multiple jurisdictions increase the possibility that we or our partners may fail to comply fully with one or more of these requirements. Efforts to ensure that our business</w:t>
      </w:r>
      <w:r>
        <w:rPr>
          <w:sz w:val="20"/>
          <w:szCs w:val="20"/>
        </w:rPr>
        <w:t xml:space="preserve"> arrangements with third parties will comply with applicable healthcare laws and regulations may involve substantial costs. It is possible that governmental authorities will conclude that our business practices may not comply with applicable fraud and abus</w:t>
      </w:r>
      <w:r>
        <w:rPr>
          <w:sz w:val="20"/>
          <w:szCs w:val="20"/>
        </w:rPr>
        <w:t>e or other healthcare laws and regulations or guidance. If our operations are found to be in violation of any of these laws or any other governmental regulations that may apply to us, we may be subject to significant civil, criminal and administrative pena</w:t>
      </w:r>
      <w:r>
        <w:rPr>
          <w:sz w:val="20"/>
          <w:szCs w:val="20"/>
        </w:rPr>
        <w:t>lties, damages, fines, disgorgement, exclusion from government funded healthcare programs, such as Medicare and Medicaid in the US and similar programs outside the US, contractual damages, diminished profits and future earnings, and the curtailment or rest</w:t>
      </w:r>
      <w:r>
        <w:rPr>
          <w:sz w:val="20"/>
          <w:szCs w:val="20"/>
        </w:rPr>
        <w:t>ructuring of our operations, any of which could adversely affect our ability to operate our business and our financial results. If any of the physicians or other providers or entities with whom we do or expect to do business are found to not be in complian</w:t>
      </w:r>
      <w:r>
        <w:rPr>
          <w:sz w:val="20"/>
          <w:szCs w:val="20"/>
        </w:rPr>
        <w:t>ce with applicable laws, they may be subject to criminal, civil or administrative sanctions, including exclusions from government funded healthcare programs. Even if we are not determined to have violated these laws, government investigations into these is</w:t>
      </w:r>
      <w:r>
        <w:rPr>
          <w:sz w:val="20"/>
          <w:szCs w:val="20"/>
        </w:rPr>
        <w:t>sues typically require the expenditure of significant resources and generate negative publicity, which could harm our financial condition and divert resources and the attention of our management from operating our business.</w:t>
      </w:r>
    </w:p>
    <w:p w:rsidR="00000000" w:rsidRDefault="00E52F77">
      <w:pPr>
        <w:pStyle w:val="a3"/>
        <w:spacing w:before="0" w:beforeAutospacing="0" w:after="120" w:afterAutospacing="0"/>
        <w:divId w:val="1578633613"/>
        <w:rPr>
          <w:sz w:val="20"/>
          <w:szCs w:val="20"/>
        </w:rPr>
      </w:pPr>
      <w:r>
        <w:rPr>
          <w:b/>
          <w:bCs/>
          <w:i/>
          <w:iCs/>
          <w:sz w:val="20"/>
          <w:szCs w:val="20"/>
        </w:rPr>
        <w:t>Our business and operations, inc</w:t>
      </w:r>
      <w:r>
        <w:rPr>
          <w:b/>
          <w:bCs/>
          <w:i/>
          <w:iCs/>
          <w:sz w:val="20"/>
          <w:szCs w:val="20"/>
        </w:rPr>
        <w:t>luding the use of hazardous and biological materials may result in liabilities with respect to environmental, health and safety matters.</w:t>
      </w:r>
    </w:p>
    <w:p w:rsidR="00000000" w:rsidRDefault="00E52F77">
      <w:pPr>
        <w:pStyle w:val="a3"/>
        <w:spacing w:before="0" w:beforeAutospacing="0" w:after="200" w:afterAutospacing="0"/>
        <w:ind w:firstLine="720"/>
        <w:divId w:val="1578633613"/>
        <w:rPr>
          <w:sz w:val="20"/>
          <w:szCs w:val="20"/>
        </w:rPr>
      </w:pPr>
      <w:r>
        <w:rPr>
          <w:sz w:val="20"/>
          <w:szCs w:val="20"/>
        </w:rPr>
        <w:t>Our research and development activities involve the controlled use of potentially hazardous substances, including chemi</w:t>
      </w:r>
      <w:r>
        <w:rPr>
          <w:sz w:val="20"/>
          <w:szCs w:val="20"/>
        </w:rPr>
        <w:t>cal, biological and radioactive materials. In addition, our operations produce hazardous waste products, including hazardous waste. Federal, state and local laws and regulations govern the use, manufacture, management, storage, handling and disposal of haz</w:t>
      </w:r>
      <w:r>
        <w:rPr>
          <w:sz w:val="20"/>
          <w:szCs w:val="20"/>
        </w:rPr>
        <w:t>ardous materials and wastes. We may incur significant additional costs or liabilities to comply with, or for violations of, these and other applicable laws in the future. Also, even if we are in compliance with applicable laws, we cannot completely elimina</w:t>
      </w:r>
      <w:r>
        <w:rPr>
          <w:sz w:val="20"/>
          <w:szCs w:val="20"/>
        </w:rPr>
        <w:t>te the risk of contamination or injury resulting from hazardous materials and we may incur liability as a result of any such contamination or injury. Further, in the event of a release of or exposure to hazardous materials, including at the sites we curren</w:t>
      </w:r>
      <w:r>
        <w:rPr>
          <w:sz w:val="20"/>
          <w:szCs w:val="20"/>
        </w:rPr>
        <w:t>tly or formerly operate or at sites such as landfills where we send wastes for disposal, we could be held liable for cleanup costs or damages or subject to other costs or penalties and such liability could exceed our resources. We do not have any insurance</w:t>
      </w:r>
      <w:r>
        <w:rPr>
          <w:sz w:val="20"/>
          <w:szCs w:val="20"/>
        </w:rPr>
        <w:t xml:space="preserve"> for liabilities arising from hazardous materials or under environmental laws. Compliance with or liability under applicable environmental laws and regulations or with respect to hazardous materials may be expensive, and current or future environmental reg</w:t>
      </w:r>
      <w:r>
        <w:rPr>
          <w:sz w:val="20"/>
          <w:szCs w:val="20"/>
        </w:rPr>
        <w:t>ulations may impair our research, development and production efforts, which could harm our business, which could cause the price of our securities to fall.</w:t>
      </w:r>
    </w:p>
    <w:p w:rsidR="00000000" w:rsidRDefault="00E52F77">
      <w:pPr>
        <w:pStyle w:val="a3"/>
        <w:spacing w:before="360" w:beforeAutospacing="0" w:after="0" w:afterAutospacing="0"/>
        <w:jc w:val="center"/>
        <w:divId w:val="2031711427"/>
        <w:rPr>
          <w:sz w:val="20"/>
          <w:szCs w:val="20"/>
        </w:rPr>
      </w:pPr>
      <w:r>
        <w:rPr>
          <w:sz w:val="20"/>
          <w:szCs w:val="20"/>
        </w:rPr>
        <w:t>66</w:t>
      </w:r>
    </w:p>
    <w:p w:rsidR="00000000" w:rsidRDefault="00E52F77">
      <w:pPr>
        <w:pStyle w:val="a3"/>
        <w:spacing w:before="0" w:beforeAutospacing="0" w:after="600" w:afterAutospacing="0"/>
        <w:divId w:val="2033147954"/>
        <w:rPr>
          <w:sz w:val="20"/>
          <w:szCs w:val="20"/>
        </w:rPr>
      </w:pPr>
      <w:hyperlink w:anchor="TOC" w:history="1">
        <w:r>
          <w:rPr>
            <w:rStyle w:val="a4"/>
            <w:sz w:val="20"/>
            <w:szCs w:val="20"/>
          </w:rPr>
          <w:t>Table of Contents</w:t>
        </w:r>
      </w:hyperlink>
    </w:p>
    <w:p w:rsidR="00000000" w:rsidRDefault="00E52F77">
      <w:pPr>
        <w:pStyle w:val="a3"/>
        <w:spacing w:before="0" w:beforeAutospacing="0" w:after="0" w:afterAutospacing="0"/>
        <w:divId w:val="707952109"/>
        <w:rPr>
          <w:rFonts w:ascii="Times" w:hAnsi="Times"/>
          <w:b/>
          <w:bCs/>
          <w:sz w:val="20"/>
          <w:szCs w:val="20"/>
        </w:rPr>
      </w:pPr>
      <w:r>
        <w:rPr>
          <w:b/>
          <w:bCs/>
          <w:sz w:val="20"/>
          <w:szCs w:val="20"/>
        </w:rPr>
        <w:t xml:space="preserve">RISKS RELATING TO OUR ORDINARY SHARES </w:t>
      </w:r>
    </w:p>
    <w:p w:rsidR="00000000" w:rsidRDefault="00E52F77">
      <w:pPr>
        <w:pStyle w:val="a3"/>
        <w:spacing w:before="0" w:beforeAutospacing="0" w:after="0" w:afterAutospacing="0"/>
        <w:divId w:val="707952109"/>
        <w:rPr>
          <w:rFonts w:ascii="Times" w:hAnsi="Times"/>
          <w:b/>
          <w:bCs/>
          <w:sz w:val="20"/>
          <w:szCs w:val="20"/>
        </w:rPr>
      </w:pPr>
      <w:r>
        <w:rPr>
          <w:b/>
          <w:bCs/>
          <w:sz w:val="20"/>
          <w:szCs w:val="20"/>
        </w:rPr>
        <w:t>​</w:t>
      </w:r>
    </w:p>
    <w:p w:rsidR="00000000" w:rsidRDefault="00E52F77">
      <w:pPr>
        <w:pStyle w:val="a3"/>
        <w:spacing w:before="0" w:beforeAutospacing="0" w:after="120" w:afterAutospacing="0"/>
        <w:divId w:val="707952109"/>
        <w:rPr>
          <w:sz w:val="20"/>
          <w:szCs w:val="20"/>
        </w:rPr>
      </w:pPr>
      <w:r>
        <w:rPr>
          <w:b/>
          <w:bCs/>
          <w:i/>
          <w:iCs/>
          <w:sz w:val="20"/>
          <w:szCs w:val="20"/>
        </w:rPr>
        <w:t>The market price for our shares has and may continue to fluctuate widely and may result in substantial losses for purchasers of our ordinary shares.</w:t>
      </w:r>
    </w:p>
    <w:p w:rsidR="00000000" w:rsidRDefault="00E52F77">
      <w:pPr>
        <w:pStyle w:val="a3"/>
        <w:spacing w:before="0" w:beforeAutospacing="0" w:after="200" w:afterAutospacing="0"/>
        <w:ind w:firstLine="720"/>
        <w:divId w:val="707952109"/>
        <w:rPr>
          <w:sz w:val="20"/>
          <w:szCs w:val="20"/>
        </w:rPr>
      </w:pPr>
      <w:r>
        <w:rPr>
          <w:sz w:val="20"/>
          <w:szCs w:val="20"/>
        </w:rPr>
        <w:t>The market price for our shares has and may continue to fluctuate widely and may result in substantial loss</w:t>
      </w:r>
      <w:r>
        <w:rPr>
          <w:sz w:val="20"/>
          <w:szCs w:val="20"/>
        </w:rPr>
        <w:t>es for purchasers of our ordinary shares. To the extent that low trading volumes for our ordinary shares continues, our stock price may fluctuate significantly more than the stock market as a whole or the stock prices of similar companies. Without a larger</w:t>
      </w:r>
      <w:r>
        <w:rPr>
          <w:sz w:val="20"/>
          <w:szCs w:val="20"/>
        </w:rPr>
        <w:t xml:space="preserve"> public float of actively traded shares, our ordinary shares are likely to be more sensitive to changes in sales volumes, market fluctuations and events or perceived events with respect to our business, than the shares of common stock of companies with bro</w:t>
      </w:r>
      <w:r>
        <w:rPr>
          <w:sz w:val="20"/>
          <w:szCs w:val="20"/>
        </w:rPr>
        <w:t>ader public ownership, and as a result, the trading prices for our ordinary shares may be more volatile. Among other things, trading of a relatively small volume of ordinary shares may have a greater effect on the trading price than would be the case if ou</w:t>
      </w:r>
      <w:r>
        <w:rPr>
          <w:sz w:val="20"/>
          <w:szCs w:val="20"/>
        </w:rPr>
        <w:t>r public float of actively traded shares were larger. In addition, as further described below under the risk factor entitled “—</w:t>
      </w:r>
      <w:r>
        <w:rPr>
          <w:i/>
          <w:iCs/>
          <w:sz w:val="20"/>
          <w:szCs w:val="20"/>
        </w:rPr>
        <w:t>Concentration of ownership will limit your ability to influence corporate matters,”</w:t>
      </w:r>
      <w:r>
        <w:rPr>
          <w:sz w:val="20"/>
          <w:szCs w:val="20"/>
        </w:rPr>
        <w:t xml:space="preserve"> a number of shareholders hold large concentra</w:t>
      </w:r>
      <w:r>
        <w:rPr>
          <w:sz w:val="20"/>
          <w:szCs w:val="20"/>
        </w:rPr>
        <w:t>tions of our shares which, if sold within a relatively short timeframe, could cause the price of our shares to drop significantly. In addition, as a result of the exchangeable note offering by GSK, up to 9,644,792 ordinary shares held by GSK could become f</w:t>
      </w:r>
      <w:r>
        <w:rPr>
          <w:sz w:val="20"/>
          <w:szCs w:val="20"/>
        </w:rPr>
        <w:t>reely tradeable after September 1, 2020, if holders of the GSK Notes were to exchange their notes for our ordinary shares.</w:t>
      </w:r>
    </w:p>
    <w:p w:rsidR="00000000" w:rsidRDefault="00E52F77">
      <w:pPr>
        <w:pStyle w:val="a3"/>
        <w:spacing w:before="0" w:beforeAutospacing="0" w:after="200" w:afterAutospacing="0"/>
        <w:ind w:firstLine="720"/>
        <w:divId w:val="707952109"/>
        <w:rPr>
          <w:sz w:val="20"/>
          <w:szCs w:val="20"/>
        </w:rPr>
      </w:pPr>
      <w:r>
        <w:rPr>
          <w:sz w:val="20"/>
          <w:szCs w:val="20"/>
        </w:rPr>
        <w:t>Market prices for securities of biotechnology and biopharmaceutical companies have been highly volatile, and we expect such volatilit</w:t>
      </w:r>
      <w:r>
        <w:rPr>
          <w:sz w:val="20"/>
          <w:szCs w:val="20"/>
        </w:rPr>
        <w:t>y to continue for the foreseeable future, so that investment in our ordinary shares involves substantial risk. Additionally, the stock market from time to time has experienced significant price and volume fluctuations unrelated to the operating performance</w:t>
      </w:r>
      <w:r>
        <w:rPr>
          <w:sz w:val="20"/>
          <w:szCs w:val="20"/>
        </w:rPr>
        <w:t xml:space="preserve"> of particular companies.</w:t>
      </w:r>
    </w:p>
    <w:p w:rsidR="00000000" w:rsidRDefault="00E52F77">
      <w:pPr>
        <w:pStyle w:val="a3"/>
        <w:spacing w:before="0" w:beforeAutospacing="0" w:after="200" w:afterAutospacing="0"/>
        <w:ind w:firstLine="720"/>
        <w:divId w:val="707952109"/>
        <w:rPr>
          <w:sz w:val="20"/>
          <w:szCs w:val="20"/>
        </w:rPr>
      </w:pPr>
      <w:r>
        <w:rPr>
          <w:sz w:val="20"/>
          <w:szCs w:val="20"/>
        </w:rPr>
        <w:t>The following are some of the factors that may have a significant effect on the market price of our ordinary shares:</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07952109"/>
        </w:trPr>
        <w:tc>
          <w:tcPr>
            <w:tcW w:w="720" w:type="dxa"/>
            <w:tcMar>
              <w:top w:w="0" w:type="dxa"/>
              <w:left w:w="0" w:type="dxa"/>
              <w:bottom w:w="0" w:type="dxa"/>
              <w:right w:w="0" w:type="dxa"/>
            </w:tcMar>
            <w:vAlign w:val="center"/>
            <w:hideMark/>
          </w:tcPr>
          <w:p w:rsidR="00000000" w:rsidRDefault="00E52F77">
            <w:pPr>
              <w:rPr>
                <w:sz w:val="20"/>
                <w:szCs w:val="20"/>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any adverse developments or results or perceived adverse developments or results with respect to YUPELRI, incl</w:t>
            </w:r>
            <w:r>
              <w:rPr>
                <w:sz w:val="20"/>
                <w:szCs w:val="20"/>
              </w:rPr>
              <w:t>uding without limitation, lower than expected sales of YUPELRI, difficulties or delays encountered with regard to the FDA or other regulatory authorities in this program or any indication from clinical or non-clinical studies that YUPELRI is not safe or ef</w:t>
            </w:r>
            <w:r>
              <w:rPr>
                <w:sz w:val="20"/>
                <w:szCs w:val="20"/>
              </w:rPr>
              <w:t>ficacious;</w:t>
            </w:r>
          </w:p>
        </w:tc>
      </w:tr>
    </w:tbl>
    <w:p w:rsidR="00000000" w:rsidRDefault="00E52F77">
      <w:pPr>
        <w:divId w:val="70795210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07952109"/>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 xml:space="preserve">any adverse developments or results or perceived adverse developments or results with respect to the GSK Partnered Respiratory Programs including, without limitation, lower than expected sales of TRELEGY, difficulties or delays encountered </w:t>
            </w:r>
            <w:r>
              <w:rPr>
                <w:sz w:val="20"/>
                <w:szCs w:val="20"/>
              </w:rPr>
              <w:t>with regard to the FDA or other regulatory authorities in these programs or any indication from clinical or non-clinical studies that the compounds in such programs are not safe or efficacious;</w:t>
            </w:r>
          </w:p>
        </w:tc>
      </w:tr>
    </w:tbl>
    <w:p w:rsidR="00000000" w:rsidRDefault="00E52F77">
      <w:pPr>
        <w:divId w:val="70795210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07952109"/>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 xml:space="preserve">any adverse developments or results or perceived adverse </w:t>
            </w:r>
            <w:r>
              <w:rPr>
                <w:sz w:val="20"/>
                <w:szCs w:val="20"/>
              </w:rPr>
              <w:t>developments or results with respect to our key clinical development programs, for example our JAK inhibitor program or ampreloxetine, including, without limitation, any delays in development in these programs, any halting of development in these programs,</w:t>
            </w:r>
            <w:r>
              <w:rPr>
                <w:sz w:val="20"/>
                <w:szCs w:val="20"/>
              </w:rPr>
              <w:t xml:space="preserve"> any difficulties or delays encountered with regard to the FDA or other regulatory authorities in these programs (including any class-based risks that emerge as a FDA or other regulatory agency focus), or any indication from clinical or non-clinical studie</w:t>
            </w:r>
            <w:r>
              <w:rPr>
                <w:sz w:val="20"/>
                <w:szCs w:val="20"/>
              </w:rPr>
              <w:t>s that the compounds in such programs are not safe or efficacious;</w:t>
            </w:r>
          </w:p>
        </w:tc>
      </w:tr>
    </w:tbl>
    <w:p w:rsidR="00000000" w:rsidRDefault="00E52F77">
      <w:pPr>
        <w:divId w:val="70795210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07952109"/>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any announcements of developments with, or comments by, the FDA or other regulatory authorities with respect to products we or our partners have under development, are manufacturing or have commercialized;</w:t>
            </w:r>
          </w:p>
        </w:tc>
      </w:tr>
    </w:tbl>
    <w:p w:rsidR="00000000" w:rsidRDefault="00E52F77">
      <w:pPr>
        <w:divId w:val="70795210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07952109"/>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 xml:space="preserve">any adverse developments or disagreements or </w:t>
            </w:r>
            <w:r>
              <w:rPr>
                <w:sz w:val="20"/>
                <w:szCs w:val="20"/>
              </w:rPr>
              <w:t>perceived adverse developments or disagreements with respect to our relationship with Innoviva, such as our 2019 and 2021 arbitration proceedings with them concerning their use of TRC funds, or the relationship of Innoviva or TRC on the one hand and GSK on</w:t>
            </w:r>
            <w:r>
              <w:rPr>
                <w:sz w:val="20"/>
                <w:szCs w:val="20"/>
              </w:rPr>
              <w:t xml:space="preserve"> the other hand, including any such developments or disagreements resulting from or relating to the TRC LLC Agreement or to the Spin-Off;</w:t>
            </w:r>
          </w:p>
        </w:tc>
      </w:tr>
    </w:tbl>
    <w:p w:rsidR="00000000" w:rsidRDefault="00E52F77">
      <w:pPr>
        <w:divId w:val="70795210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07952109"/>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any adverse developments or perceived adverse developments with respect to our relationship with any of our resea</w:t>
            </w:r>
            <w:r>
              <w:rPr>
                <w:sz w:val="20"/>
                <w:szCs w:val="20"/>
              </w:rPr>
              <w:t>rch, development or commercialization partners, including, without limitation, disagreements that may arise between us and any of those partners;</w:t>
            </w:r>
          </w:p>
        </w:tc>
      </w:tr>
    </w:tbl>
    <w:p w:rsidR="00000000" w:rsidRDefault="00E52F77">
      <w:pPr>
        <w:pStyle w:val="a3"/>
        <w:spacing w:before="360" w:beforeAutospacing="0" w:after="0" w:afterAutospacing="0"/>
        <w:jc w:val="center"/>
        <w:divId w:val="355421969"/>
        <w:rPr>
          <w:sz w:val="20"/>
          <w:szCs w:val="20"/>
        </w:rPr>
      </w:pPr>
      <w:r>
        <w:rPr>
          <w:sz w:val="20"/>
          <w:szCs w:val="20"/>
        </w:rPr>
        <w:t>67</w:t>
      </w:r>
    </w:p>
    <w:p w:rsidR="00000000" w:rsidRDefault="00E52F77">
      <w:pPr>
        <w:pStyle w:val="a3"/>
        <w:spacing w:before="0" w:beforeAutospacing="0" w:after="600" w:afterAutospacing="0"/>
        <w:divId w:val="645162885"/>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82886948"/>
        </w:trPr>
        <w:tc>
          <w:tcPr>
            <w:tcW w:w="720" w:type="dxa"/>
            <w:tcMar>
              <w:top w:w="0" w:type="dxa"/>
              <w:left w:w="0" w:type="dxa"/>
              <w:bottom w:w="0" w:type="dxa"/>
              <w:right w:w="0" w:type="dxa"/>
            </w:tcMar>
            <w:vAlign w:val="center"/>
            <w:hideMark/>
          </w:tcPr>
          <w:p w:rsidR="00000000" w:rsidRDefault="00E52F77">
            <w:pPr>
              <w:rPr>
                <w:sz w:val="20"/>
                <w:szCs w:val="20"/>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 xml:space="preserve">any adverse developments or perceived adverse developments </w:t>
            </w:r>
            <w:r>
              <w:rPr>
                <w:sz w:val="20"/>
                <w:szCs w:val="20"/>
              </w:rPr>
              <w:t>in our programs with respect to partnering efforts or otherwise;</w:t>
            </w:r>
          </w:p>
        </w:tc>
      </w:tr>
    </w:tbl>
    <w:p w:rsidR="00000000" w:rsidRDefault="00E52F77">
      <w:pPr>
        <w:divId w:val="14828869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82886948"/>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announcements of patent issuances or denials, technological innovations or new commercial products by us or our competitors;</w:t>
            </w:r>
          </w:p>
        </w:tc>
      </w:tr>
    </w:tbl>
    <w:p w:rsidR="00000000" w:rsidRDefault="00E52F77">
      <w:pPr>
        <w:divId w:val="14828869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82886948"/>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publicity regarding actual or potential study results or the outcome of regulatory review relating to products under developme</w:t>
            </w:r>
            <w:r>
              <w:rPr>
                <w:sz w:val="20"/>
                <w:szCs w:val="20"/>
              </w:rPr>
              <w:t>nt by us, our partners or our competitors;</w:t>
            </w:r>
          </w:p>
        </w:tc>
      </w:tr>
    </w:tbl>
    <w:p w:rsidR="00000000" w:rsidRDefault="00E52F77">
      <w:pPr>
        <w:divId w:val="14828869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4594"/>
      </w:tblGrid>
      <w:tr w:rsidR="00000000">
        <w:trPr>
          <w:divId w:val="1482886948"/>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regulatory developments in the US and foreign countries;</w:t>
            </w:r>
          </w:p>
        </w:tc>
      </w:tr>
    </w:tbl>
    <w:p w:rsidR="00000000" w:rsidRDefault="00E52F77">
      <w:pPr>
        <w:divId w:val="14828869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026"/>
      </w:tblGrid>
      <w:tr w:rsidR="00000000">
        <w:trPr>
          <w:divId w:val="1482886948"/>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announcements with respect to governmental or private insurer reimbursement policies;</w:t>
            </w:r>
          </w:p>
        </w:tc>
      </w:tr>
    </w:tbl>
    <w:p w:rsidR="00000000" w:rsidRDefault="00E52F77">
      <w:pPr>
        <w:divId w:val="14828869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561"/>
      </w:tblGrid>
      <w:tr w:rsidR="00000000">
        <w:trPr>
          <w:divId w:val="1482886948"/>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announcements of equity or debt financings;</w:t>
            </w:r>
          </w:p>
        </w:tc>
      </w:tr>
    </w:tbl>
    <w:p w:rsidR="00000000" w:rsidRDefault="00E52F77">
      <w:pPr>
        <w:divId w:val="14828869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255"/>
      </w:tblGrid>
      <w:tr w:rsidR="00000000">
        <w:trPr>
          <w:divId w:val="1482886948"/>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possible impairment charges on non-marketable equity securities;</w:t>
            </w:r>
          </w:p>
        </w:tc>
      </w:tr>
    </w:tbl>
    <w:p w:rsidR="00000000" w:rsidRDefault="00E52F77">
      <w:pPr>
        <w:divId w:val="14828869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82886948"/>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economic and other external factors beyond our control, such as the COVID-19 pandemic and fluctuations in interest rates;</w:t>
            </w:r>
          </w:p>
        </w:tc>
      </w:tr>
    </w:tbl>
    <w:p w:rsidR="00000000" w:rsidRDefault="00E52F77">
      <w:pPr>
        <w:divId w:val="14828869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1750"/>
      </w:tblGrid>
      <w:tr w:rsidR="00000000">
        <w:trPr>
          <w:divId w:val="1482886948"/>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loss of ke</w:t>
            </w:r>
            <w:r>
              <w:rPr>
                <w:sz w:val="20"/>
                <w:szCs w:val="20"/>
              </w:rPr>
              <w:t>y personnel;</w:t>
            </w:r>
          </w:p>
        </w:tc>
      </w:tr>
    </w:tbl>
    <w:p w:rsidR="00000000" w:rsidRDefault="00E52F77">
      <w:pPr>
        <w:divId w:val="14828869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82886948"/>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likelihood of our ordinary shares to be more sensitive to changes in sales volume, market fluctuations and events or perceived events with respect to our business due to our small public float;</w:t>
            </w:r>
          </w:p>
        </w:tc>
      </w:tr>
    </w:tbl>
    <w:p w:rsidR="00000000" w:rsidRDefault="00E52F77">
      <w:pPr>
        <w:divId w:val="14828869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82886948"/>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low public market trading volumes for our ordinary shares related in part to the concentration of ownership of our shares;</w:t>
            </w:r>
          </w:p>
        </w:tc>
      </w:tr>
    </w:tbl>
    <w:p w:rsidR="00000000" w:rsidRDefault="00E52F77">
      <w:pPr>
        <w:divId w:val="14828869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82886948"/>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the sale of large concentrations of our shares, which may be more likely to occur due to the concentration of ownership of our s</w:t>
            </w:r>
            <w:r>
              <w:rPr>
                <w:sz w:val="20"/>
                <w:szCs w:val="20"/>
              </w:rPr>
              <w:t>hares, such as what we experienced when our largest shareholder, Woodford Investment Management Limited, divested its holdings in 2019 or which may occur as a result of the exchangeable note offering by GSK if holders of the GSK Notes were to exchange thei</w:t>
            </w:r>
            <w:r>
              <w:rPr>
                <w:sz w:val="20"/>
                <w:szCs w:val="20"/>
              </w:rPr>
              <w:t>r notes for our ordinary shares;</w:t>
            </w:r>
          </w:p>
        </w:tc>
      </w:tr>
    </w:tbl>
    <w:p w:rsidR="00000000" w:rsidRDefault="00E52F77">
      <w:pPr>
        <w:divId w:val="14828869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171"/>
      </w:tblGrid>
      <w:tr w:rsidR="00000000">
        <w:trPr>
          <w:divId w:val="1482886948"/>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developments or disputes as to patent or other proprietary rights;</w:t>
            </w:r>
          </w:p>
        </w:tc>
      </w:tr>
    </w:tbl>
    <w:p w:rsidR="00000000" w:rsidRDefault="00E52F77">
      <w:pPr>
        <w:divId w:val="14828869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249"/>
      </w:tblGrid>
      <w:tr w:rsidR="00000000">
        <w:trPr>
          <w:divId w:val="1482886948"/>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approval or introduction of competing products and technologies;</w:t>
            </w:r>
          </w:p>
        </w:tc>
      </w:tr>
    </w:tbl>
    <w:p w:rsidR="00000000" w:rsidRDefault="00E52F77">
      <w:pPr>
        <w:divId w:val="14828869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1883"/>
      </w:tblGrid>
      <w:tr w:rsidR="00000000">
        <w:trPr>
          <w:divId w:val="1482886948"/>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results of clinical trials;</w:t>
            </w:r>
          </w:p>
        </w:tc>
      </w:tr>
    </w:tbl>
    <w:p w:rsidR="00000000" w:rsidRDefault="00E52F77">
      <w:pPr>
        <w:divId w:val="14828869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82886948"/>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failures or unexpected delays in timelines for our potential products in development, including the obtaining of regulatory approvals;</w:t>
            </w:r>
          </w:p>
        </w:tc>
      </w:tr>
    </w:tbl>
    <w:p w:rsidR="00000000" w:rsidRDefault="00E52F77">
      <w:pPr>
        <w:divId w:val="14828869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298"/>
      </w:tblGrid>
      <w:tr w:rsidR="00000000">
        <w:trPr>
          <w:divId w:val="1482886948"/>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delays in manufacturing adversely affecting clinical or commercial operations;</w:t>
            </w:r>
          </w:p>
        </w:tc>
      </w:tr>
    </w:tbl>
    <w:p w:rsidR="00000000" w:rsidRDefault="00E52F77">
      <w:pPr>
        <w:divId w:val="14828869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900"/>
      </w:tblGrid>
      <w:tr w:rsidR="00000000">
        <w:trPr>
          <w:divId w:val="1482886948"/>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fluctuations in our operating re</w:t>
            </w:r>
            <w:r>
              <w:rPr>
                <w:sz w:val="20"/>
                <w:szCs w:val="20"/>
              </w:rPr>
              <w:t>sults;</w:t>
            </w:r>
          </w:p>
        </w:tc>
      </w:tr>
    </w:tbl>
    <w:p w:rsidR="00000000" w:rsidRDefault="00E52F77">
      <w:pPr>
        <w:divId w:val="14828869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104"/>
      </w:tblGrid>
      <w:tr w:rsidR="00000000">
        <w:trPr>
          <w:divId w:val="1482886948"/>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market reaction to announcements by other biotechnology or pharmaceutical companies;</w:t>
            </w:r>
          </w:p>
        </w:tc>
      </w:tr>
    </w:tbl>
    <w:p w:rsidR="00000000" w:rsidRDefault="00E52F77">
      <w:pPr>
        <w:divId w:val="14828869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82886948"/>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initiation, termination or modification of agreements with our collaborators or disputes or disagreements with collaborators;</w:t>
            </w:r>
          </w:p>
        </w:tc>
      </w:tr>
    </w:tbl>
    <w:p w:rsidR="00000000" w:rsidRDefault="00E52F77">
      <w:pPr>
        <w:divId w:val="14828869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783"/>
      </w:tblGrid>
      <w:tr w:rsidR="00000000">
        <w:trPr>
          <w:divId w:val="1482886948"/>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litigation or the threat of litigation;</w:t>
            </w:r>
          </w:p>
        </w:tc>
      </w:tr>
    </w:tbl>
    <w:p w:rsidR="00000000" w:rsidRDefault="00E52F77">
      <w:pPr>
        <w:divId w:val="14828869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020"/>
      </w:tblGrid>
      <w:tr w:rsidR="00000000">
        <w:trPr>
          <w:divId w:val="1482886948"/>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 xml:space="preserve">public concern as to the safety of product candidates or medicines developed by </w:t>
            </w:r>
            <w:r>
              <w:rPr>
                <w:sz w:val="20"/>
                <w:szCs w:val="20"/>
              </w:rPr>
              <w:t>us; and</w:t>
            </w:r>
          </w:p>
        </w:tc>
      </w:tr>
    </w:tbl>
    <w:p w:rsidR="00000000" w:rsidRDefault="00E52F77">
      <w:pPr>
        <w:divId w:val="14828869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271"/>
      </w:tblGrid>
      <w:tr w:rsidR="00000000">
        <w:trPr>
          <w:divId w:val="1482886948"/>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comments and expectations of results made by securities analysts or investors.</w:t>
            </w:r>
          </w:p>
        </w:tc>
      </w:tr>
    </w:tbl>
    <w:p w:rsidR="00000000" w:rsidRDefault="00E52F77">
      <w:pPr>
        <w:pStyle w:val="a3"/>
        <w:spacing w:before="360" w:beforeAutospacing="0" w:after="0" w:afterAutospacing="0"/>
        <w:jc w:val="center"/>
        <w:divId w:val="1395809142"/>
        <w:rPr>
          <w:sz w:val="20"/>
          <w:szCs w:val="20"/>
        </w:rPr>
      </w:pPr>
      <w:r>
        <w:rPr>
          <w:sz w:val="20"/>
          <w:szCs w:val="20"/>
        </w:rPr>
        <w:t>68</w:t>
      </w:r>
    </w:p>
    <w:p w:rsidR="00000000" w:rsidRDefault="00E52F77">
      <w:pPr>
        <w:pStyle w:val="a3"/>
        <w:spacing w:before="0" w:beforeAutospacing="0" w:after="600" w:afterAutospacing="0"/>
        <w:divId w:val="1886866035"/>
        <w:rPr>
          <w:sz w:val="20"/>
          <w:szCs w:val="20"/>
        </w:rPr>
      </w:pPr>
      <w:hyperlink w:anchor="TOC" w:history="1">
        <w:r>
          <w:rPr>
            <w:rStyle w:val="a4"/>
            <w:sz w:val="20"/>
            <w:szCs w:val="20"/>
          </w:rPr>
          <w:t>Table of Contents</w:t>
        </w:r>
      </w:hyperlink>
    </w:p>
    <w:p w:rsidR="00000000" w:rsidRDefault="00E52F77">
      <w:pPr>
        <w:pStyle w:val="a3"/>
        <w:spacing w:before="0" w:beforeAutospacing="0" w:after="200" w:afterAutospacing="0"/>
        <w:ind w:firstLine="720"/>
        <w:divId w:val="1880194742"/>
        <w:rPr>
          <w:sz w:val="20"/>
          <w:szCs w:val="20"/>
        </w:rPr>
      </w:pPr>
      <w:r>
        <w:rPr>
          <w:sz w:val="20"/>
          <w:szCs w:val="20"/>
        </w:rPr>
        <w:t>If any of these factors causes us to fail to meet the expectations of securities analysts or investors, or if advers</w:t>
      </w:r>
      <w:r>
        <w:rPr>
          <w:sz w:val="20"/>
          <w:szCs w:val="20"/>
        </w:rPr>
        <w:t xml:space="preserve">e conditions prevail or are perceived to prevail with respect to our business, the price of the ordinary shares would likely drop significantly. A significant drop in the price of a company’s securities often leads to the filing of securities class action </w:t>
      </w:r>
      <w:r>
        <w:rPr>
          <w:sz w:val="20"/>
          <w:szCs w:val="20"/>
        </w:rPr>
        <w:t>litigation against the company. This type of litigation against us could result in substantial costs and a diversion of management’s attention and resources.</w:t>
      </w:r>
    </w:p>
    <w:p w:rsidR="00000000" w:rsidRDefault="00E52F77">
      <w:pPr>
        <w:pStyle w:val="a3"/>
        <w:spacing w:before="0" w:beforeAutospacing="0" w:after="120" w:afterAutospacing="0"/>
        <w:divId w:val="1880194742"/>
        <w:rPr>
          <w:rFonts w:ascii="Times" w:hAnsi="Times"/>
          <w:b/>
          <w:bCs/>
          <w:i/>
          <w:iCs/>
          <w:sz w:val="20"/>
          <w:szCs w:val="20"/>
        </w:rPr>
      </w:pPr>
      <w:r>
        <w:rPr>
          <w:b/>
          <w:bCs/>
          <w:i/>
          <w:iCs/>
          <w:sz w:val="20"/>
          <w:szCs w:val="20"/>
        </w:rPr>
        <w:t xml:space="preserve">Concentration of ownership will limit your ability to influence corporate matters. </w:t>
      </w:r>
    </w:p>
    <w:p w:rsidR="00000000" w:rsidRDefault="00E52F77">
      <w:pPr>
        <w:pStyle w:val="a3"/>
        <w:spacing w:before="0" w:beforeAutospacing="0" w:after="200" w:afterAutospacing="0"/>
        <w:ind w:firstLine="720"/>
        <w:divId w:val="1880194742"/>
        <w:rPr>
          <w:sz w:val="20"/>
          <w:szCs w:val="20"/>
        </w:rPr>
      </w:pPr>
      <w:r>
        <w:rPr>
          <w:sz w:val="20"/>
          <w:szCs w:val="20"/>
        </w:rPr>
        <w:t>Based on our review of publicly available filings, as of June 30, 2021, our three largest shareholders collectively owned 43.9% of our outstanding ordinary shares. These sh</w:t>
      </w:r>
      <w:r>
        <w:rPr>
          <w:sz w:val="20"/>
          <w:szCs w:val="20"/>
        </w:rPr>
        <w:t>areholders could control the outcome of actions taken by us that require shareholder approval, including a transaction in which shareholders might receive a premium over the prevailing market price for their shares.</w:t>
      </w:r>
    </w:p>
    <w:p w:rsidR="00000000" w:rsidRDefault="00E52F77">
      <w:pPr>
        <w:pStyle w:val="a3"/>
        <w:spacing w:before="0" w:beforeAutospacing="0" w:after="120" w:afterAutospacing="0"/>
        <w:divId w:val="1880194742"/>
        <w:rPr>
          <w:sz w:val="20"/>
          <w:szCs w:val="20"/>
        </w:rPr>
      </w:pPr>
      <w:r>
        <w:rPr>
          <w:b/>
          <w:bCs/>
          <w:i/>
          <w:iCs/>
          <w:sz w:val="20"/>
          <w:szCs w:val="20"/>
        </w:rPr>
        <w:t>Certain provisions in our constitutional</w:t>
      </w:r>
      <w:r>
        <w:rPr>
          <w:b/>
          <w:bCs/>
          <w:i/>
          <w:iCs/>
          <w:sz w:val="20"/>
          <w:szCs w:val="20"/>
        </w:rPr>
        <w:t xml:space="preserve"> and other documents may discourage our acquisition by a third-party, which could limit your opportunity to sell shares at a premium.</w:t>
      </w:r>
    </w:p>
    <w:p w:rsidR="00000000" w:rsidRDefault="00E52F77">
      <w:pPr>
        <w:pStyle w:val="a3"/>
        <w:spacing w:before="0" w:beforeAutospacing="0" w:after="200" w:afterAutospacing="0"/>
        <w:ind w:firstLine="720"/>
        <w:divId w:val="1880194742"/>
        <w:rPr>
          <w:sz w:val="20"/>
          <w:szCs w:val="20"/>
        </w:rPr>
      </w:pPr>
      <w:r>
        <w:rPr>
          <w:sz w:val="20"/>
          <w:szCs w:val="20"/>
        </w:rPr>
        <w:t>Our constitutional documents include provisions that could limit the ability of others to acquire control of us, modify ou</w:t>
      </w:r>
      <w:r>
        <w:rPr>
          <w:sz w:val="20"/>
          <w:szCs w:val="20"/>
        </w:rPr>
        <w:t>r structure or cause us to engage in change-of-control transactions, including, among other things, provisions that: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80194742"/>
        </w:trPr>
        <w:tc>
          <w:tcPr>
            <w:tcW w:w="720" w:type="dxa"/>
            <w:tcMar>
              <w:top w:w="0" w:type="dxa"/>
              <w:left w:w="0" w:type="dxa"/>
              <w:bottom w:w="0" w:type="dxa"/>
              <w:right w:w="0" w:type="dxa"/>
            </w:tcMar>
            <w:vAlign w:val="center"/>
            <w:hideMark/>
          </w:tcPr>
          <w:p w:rsidR="00000000" w:rsidRDefault="00E52F77">
            <w:pPr>
              <w:rPr>
                <w:sz w:val="20"/>
                <w:szCs w:val="20"/>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require supermajority shareholder voting to effect certain amendments to our amended and restated memorandum and articles of association</w:t>
            </w:r>
            <w:r>
              <w:rPr>
                <w:sz w:val="20"/>
                <w:szCs w:val="20"/>
              </w:rPr>
              <w:t>;</w:t>
            </w:r>
          </w:p>
        </w:tc>
      </w:tr>
    </w:tbl>
    <w:p w:rsidR="00000000" w:rsidRDefault="00E52F77">
      <w:pPr>
        <w:divId w:val="188019474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172"/>
      </w:tblGrid>
      <w:tr w:rsidR="00000000">
        <w:trPr>
          <w:divId w:val="1880194742"/>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establish a classified board of directors;</w:t>
            </w:r>
          </w:p>
        </w:tc>
      </w:tr>
    </w:tbl>
    <w:p w:rsidR="00000000" w:rsidRDefault="00E52F77">
      <w:pPr>
        <w:divId w:val="188019474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80194742"/>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restrict our shareholders from calling meetings or acting by written consent in lieu of a meeting;</w:t>
            </w:r>
          </w:p>
        </w:tc>
      </w:tr>
    </w:tbl>
    <w:p w:rsidR="00000000" w:rsidRDefault="00E52F77">
      <w:pPr>
        <w:divId w:val="188019474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916"/>
      </w:tblGrid>
      <w:tr w:rsidR="00000000">
        <w:trPr>
          <w:divId w:val="1880194742"/>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limit the ability of our shareholders to propose actions at duly convened meetings; and</w:t>
            </w:r>
          </w:p>
        </w:tc>
      </w:tr>
    </w:tbl>
    <w:p w:rsidR="00000000" w:rsidRDefault="00E52F77">
      <w:pPr>
        <w:divId w:val="188019474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80194742"/>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authorize our board of directors, without action by our shareholders, to issue preferred shares and additional ordinary shares.</w:t>
            </w:r>
          </w:p>
        </w:tc>
      </w:tr>
    </w:tbl>
    <w:p w:rsidR="00000000" w:rsidRDefault="00E52F77">
      <w:pPr>
        <w:pStyle w:val="a3"/>
        <w:spacing w:before="0" w:beforeAutospacing="0" w:after="200" w:afterAutospacing="0"/>
        <w:ind w:firstLine="720"/>
        <w:divId w:val="1880194742"/>
        <w:rPr>
          <w:sz w:val="20"/>
          <w:szCs w:val="20"/>
        </w:rPr>
      </w:pPr>
      <w:r>
        <w:rPr>
          <w:sz w:val="20"/>
          <w:szCs w:val="20"/>
        </w:rPr>
        <w:t>In addition, in May 2018, our shareholders approved a resolution authorizing our board of directors to adopt a shareholder righ</w:t>
      </w:r>
      <w:r>
        <w:rPr>
          <w:sz w:val="20"/>
          <w:szCs w:val="20"/>
        </w:rPr>
        <w:t>ts plan in the future intended to deter any person from acquiring more than 19.9% of our outstanding ordinary shares without the approval of our board of directors.</w:t>
      </w:r>
    </w:p>
    <w:p w:rsidR="00000000" w:rsidRDefault="00E52F77">
      <w:pPr>
        <w:pStyle w:val="a3"/>
        <w:spacing w:before="0" w:beforeAutospacing="0" w:after="200" w:afterAutospacing="0"/>
        <w:ind w:firstLine="720"/>
        <w:divId w:val="1880194742"/>
        <w:rPr>
          <w:sz w:val="20"/>
          <w:szCs w:val="20"/>
        </w:rPr>
      </w:pPr>
      <w:r>
        <w:rPr>
          <w:sz w:val="20"/>
          <w:szCs w:val="20"/>
        </w:rPr>
        <w:t>These provisions could have the effect of depriving you of an opportunity to sell your ordi</w:t>
      </w:r>
      <w:r>
        <w:rPr>
          <w:sz w:val="20"/>
          <w:szCs w:val="20"/>
        </w:rPr>
        <w:t>nary shares at a premium over prevailing market prices by discouraging third parties from seeking to acquire control of us in a tender offer or similar transaction.</w:t>
      </w:r>
    </w:p>
    <w:p w:rsidR="00000000" w:rsidRDefault="00E52F77">
      <w:pPr>
        <w:pStyle w:val="a3"/>
        <w:spacing w:before="0" w:beforeAutospacing="0" w:after="120" w:afterAutospacing="0"/>
        <w:divId w:val="1880194742"/>
        <w:rPr>
          <w:sz w:val="20"/>
          <w:szCs w:val="20"/>
        </w:rPr>
      </w:pPr>
      <w:r>
        <w:rPr>
          <w:b/>
          <w:bCs/>
          <w:i/>
          <w:iCs/>
          <w:sz w:val="20"/>
          <w:szCs w:val="20"/>
        </w:rPr>
        <w:t>Our shareholders may face difficulties in protecting their interests because we are incorpo</w:t>
      </w:r>
      <w:r>
        <w:rPr>
          <w:b/>
          <w:bCs/>
          <w:i/>
          <w:iCs/>
          <w:sz w:val="20"/>
          <w:szCs w:val="20"/>
        </w:rPr>
        <w:t>rated under Cayman Islands law.</w:t>
      </w:r>
    </w:p>
    <w:p w:rsidR="00000000" w:rsidRDefault="00E52F77">
      <w:pPr>
        <w:pStyle w:val="a3"/>
        <w:spacing w:before="0" w:beforeAutospacing="0" w:after="200" w:afterAutospacing="0"/>
        <w:ind w:firstLine="720"/>
        <w:divId w:val="1880194742"/>
        <w:rPr>
          <w:sz w:val="20"/>
          <w:szCs w:val="20"/>
        </w:rPr>
      </w:pPr>
      <w:r>
        <w:rPr>
          <w:sz w:val="20"/>
          <w:szCs w:val="20"/>
        </w:rPr>
        <w:t>Our corporate affairs are governed by our amended and restated memorandum and articles of association, by the Companies Law (2020 Revision) of the Cayman Islands and by the common law of the Cayman Islands. The rights of our</w:t>
      </w:r>
      <w:r>
        <w:rPr>
          <w:sz w:val="20"/>
          <w:szCs w:val="20"/>
        </w:rPr>
        <w:t xml:space="preserve"> shareholders and the fiduciary responsibilities of our directors under the laws of the Cayman Islands are different from those under statutes or judicial precedent in existence in jurisdictions in the US. Therefore, you may have more difficulty in protect</w:t>
      </w:r>
      <w:r>
        <w:rPr>
          <w:sz w:val="20"/>
          <w:szCs w:val="20"/>
        </w:rPr>
        <w:t>ing your interests than would shareholders of a corporation incorporated in a jurisdiction in the US, due to the different nature of Cayman Islands law in this area.</w:t>
      </w:r>
    </w:p>
    <w:p w:rsidR="00000000" w:rsidRDefault="00E52F77">
      <w:pPr>
        <w:pStyle w:val="a3"/>
        <w:spacing w:before="0" w:beforeAutospacing="0" w:after="200" w:afterAutospacing="0"/>
        <w:ind w:firstLine="720"/>
        <w:divId w:val="1880194742"/>
        <w:rPr>
          <w:sz w:val="20"/>
          <w:szCs w:val="20"/>
        </w:rPr>
      </w:pPr>
      <w:r>
        <w:rPr>
          <w:sz w:val="20"/>
          <w:szCs w:val="20"/>
        </w:rPr>
        <w:t>Shareholders of Cayman Islands exempted companies such as our company have no general righ</w:t>
      </w:r>
      <w:r>
        <w:rPr>
          <w:sz w:val="20"/>
          <w:szCs w:val="20"/>
        </w:rPr>
        <w:t>ts under Cayman Islands law to inspect corporate records and accounts or to obtain copies of lists of shareholders. Our directors have discretion under our amended and restated memorandum and articles of association to determine whether or not, and under w</w:t>
      </w:r>
      <w:r>
        <w:rPr>
          <w:sz w:val="20"/>
          <w:szCs w:val="20"/>
        </w:rPr>
        <w:t>hat conditions, our corporate records may be inspected by our shareholders, but are not obliged to make them available to our shareholders. This may make it more difficult for you to obtain the information needed to establish any facts necessary for a shar</w:t>
      </w:r>
      <w:r>
        <w:rPr>
          <w:sz w:val="20"/>
          <w:szCs w:val="20"/>
        </w:rPr>
        <w:t>eholder motion or to solicit proxies from other shareholders in connection with a proxy contest.</w:t>
      </w:r>
    </w:p>
    <w:p w:rsidR="00000000" w:rsidRDefault="00E52F77">
      <w:pPr>
        <w:pStyle w:val="a3"/>
        <w:spacing w:before="360" w:beforeAutospacing="0" w:after="0" w:afterAutospacing="0"/>
        <w:jc w:val="center"/>
        <w:divId w:val="865168840"/>
        <w:rPr>
          <w:sz w:val="20"/>
          <w:szCs w:val="20"/>
        </w:rPr>
      </w:pPr>
      <w:r>
        <w:rPr>
          <w:sz w:val="20"/>
          <w:szCs w:val="20"/>
        </w:rPr>
        <w:t>69</w:t>
      </w:r>
    </w:p>
    <w:p w:rsidR="00000000" w:rsidRDefault="00E52F77">
      <w:pPr>
        <w:pStyle w:val="a3"/>
        <w:spacing w:before="0" w:beforeAutospacing="0" w:after="600" w:afterAutospacing="0"/>
        <w:divId w:val="1045373625"/>
        <w:rPr>
          <w:sz w:val="20"/>
          <w:szCs w:val="20"/>
        </w:rPr>
      </w:pPr>
      <w:hyperlink w:anchor="TOC" w:history="1">
        <w:r>
          <w:rPr>
            <w:rStyle w:val="a4"/>
            <w:sz w:val="20"/>
            <w:szCs w:val="20"/>
          </w:rPr>
          <w:t>Table of Contents</w:t>
        </w:r>
      </w:hyperlink>
    </w:p>
    <w:p w:rsidR="00000000" w:rsidRDefault="00E52F77">
      <w:pPr>
        <w:pStyle w:val="a3"/>
        <w:spacing w:before="0" w:beforeAutospacing="0" w:after="200" w:afterAutospacing="0"/>
        <w:ind w:firstLine="720"/>
        <w:divId w:val="224143638"/>
        <w:rPr>
          <w:sz w:val="20"/>
          <w:szCs w:val="20"/>
        </w:rPr>
      </w:pPr>
      <w:r>
        <w:rPr>
          <w:sz w:val="20"/>
          <w:szCs w:val="20"/>
        </w:rPr>
        <w:t xml:space="preserve">Our Cayman Islands counsel, Maples and Calder, is not aware of any reported class action having been brought in </w:t>
      </w:r>
      <w:r>
        <w:rPr>
          <w:sz w:val="20"/>
          <w:szCs w:val="20"/>
        </w:rPr>
        <w:t>a Cayman Islands court. Derivative actions have been brought in the Cayman Islands courts, and the Cayman Islands courts have confirmed the availability for such actions. In most cases, the Company will be the proper plaintiff in any claim based on a breac</w:t>
      </w:r>
      <w:r>
        <w:rPr>
          <w:sz w:val="20"/>
          <w:szCs w:val="20"/>
        </w:rPr>
        <w:t xml:space="preserve">h of duty owed to it, and a claim against (for example) our officers or directors usually may not be brought by a shareholder. However, based on English authorities, which would in all likelihood be of persuasive authority and be applied by a court in the </w:t>
      </w:r>
      <w:r>
        <w:rPr>
          <w:sz w:val="20"/>
          <w:szCs w:val="20"/>
        </w:rPr>
        <w:t>Cayman Islands, exceptions to the foregoing principle apply in circumstances in which:</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893"/>
      </w:tblGrid>
      <w:tr w:rsidR="00000000">
        <w:trPr>
          <w:divId w:val="224143638"/>
        </w:trPr>
        <w:tc>
          <w:tcPr>
            <w:tcW w:w="720" w:type="dxa"/>
            <w:tcMar>
              <w:top w:w="0" w:type="dxa"/>
              <w:left w:w="0" w:type="dxa"/>
              <w:bottom w:w="0" w:type="dxa"/>
              <w:right w:w="0" w:type="dxa"/>
            </w:tcMar>
            <w:vAlign w:val="center"/>
            <w:hideMark/>
          </w:tcPr>
          <w:p w:rsidR="00000000" w:rsidRDefault="00E52F77">
            <w:pPr>
              <w:rPr>
                <w:sz w:val="20"/>
                <w:szCs w:val="20"/>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a company is acting, or proposing to act, illegally or beyond the scope of its authority;</w:t>
            </w:r>
          </w:p>
        </w:tc>
      </w:tr>
    </w:tbl>
    <w:p w:rsidR="00000000" w:rsidRDefault="00E52F77">
      <w:pPr>
        <w:divId w:val="22414363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24143638"/>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 xml:space="preserve">the act complained of, although not beyond the scope of the authority, could be effected if duly authorized by more than the number of votes which have actually </w:t>
            </w:r>
            <w:r>
              <w:rPr>
                <w:sz w:val="20"/>
                <w:szCs w:val="20"/>
              </w:rPr>
              <w:t>been obtained; or</w:t>
            </w:r>
          </w:p>
        </w:tc>
      </w:tr>
    </w:tbl>
    <w:p w:rsidR="00000000" w:rsidRDefault="00E52F77">
      <w:pPr>
        <w:divId w:val="22414363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943"/>
      </w:tblGrid>
      <w:tr w:rsidR="00000000">
        <w:trPr>
          <w:divId w:val="224143638"/>
        </w:trPr>
        <w:tc>
          <w:tcPr>
            <w:tcW w:w="720" w:type="dxa"/>
            <w:tcMar>
              <w:top w:w="0" w:type="dxa"/>
              <w:left w:w="0" w:type="dxa"/>
              <w:bottom w:w="0" w:type="dxa"/>
              <w:right w:w="0" w:type="dxa"/>
            </w:tcMar>
            <w:vAlign w:val="center"/>
            <w:hideMark/>
          </w:tcPr>
          <w:p w:rsidR="00000000" w:rsidRDefault="00E52F77">
            <w:pPr>
              <w:rPr>
                <w:rFonts w:eastAsia="Times New Roman"/>
              </w:rPr>
            </w:pPr>
          </w:p>
        </w:tc>
        <w:tc>
          <w:tcPr>
            <w:tcW w:w="360" w:type="dxa"/>
            <w:noWrap/>
            <w:tcMar>
              <w:top w:w="0" w:type="dxa"/>
              <w:left w:w="0" w:type="dxa"/>
              <w:bottom w:w="0" w:type="dxa"/>
              <w:right w:w="0" w:type="dxa"/>
            </w:tcMar>
            <w:hideMark/>
          </w:tcPr>
          <w:p w:rsidR="00000000" w:rsidRDefault="00E52F77">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52F77">
            <w:pPr>
              <w:pStyle w:val="a3"/>
              <w:spacing w:before="0" w:beforeAutospacing="0" w:after="200" w:afterAutospacing="0"/>
              <w:rPr>
                <w:sz w:val="20"/>
                <w:szCs w:val="20"/>
              </w:rPr>
            </w:pPr>
            <w:r>
              <w:rPr>
                <w:sz w:val="20"/>
                <w:szCs w:val="20"/>
              </w:rPr>
              <w:t>those who control the company are perpetrating a “fraud on the minority.”</w:t>
            </w:r>
          </w:p>
        </w:tc>
      </w:tr>
    </w:tbl>
    <w:p w:rsidR="00000000" w:rsidRDefault="00E52F77">
      <w:pPr>
        <w:pStyle w:val="a3"/>
        <w:spacing w:before="0" w:beforeAutospacing="0" w:after="200" w:afterAutospacing="0"/>
        <w:ind w:firstLine="720"/>
        <w:divId w:val="224143638"/>
        <w:rPr>
          <w:sz w:val="20"/>
          <w:szCs w:val="20"/>
        </w:rPr>
      </w:pPr>
      <w:r>
        <w:rPr>
          <w:sz w:val="20"/>
          <w:szCs w:val="20"/>
        </w:rPr>
        <w:t>A shareholder may have a direct right of action against the company where the individual rights of that shareholder have been infringed or are about to be inf</w:t>
      </w:r>
      <w:r>
        <w:rPr>
          <w:sz w:val="20"/>
          <w:szCs w:val="20"/>
        </w:rPr>
        <w:t>ringed.</w:t>
      </w:r>
    </w:p>
    <w:p w:rsidR="00000000" w:rsidRDefault="00E52F77">
      <w:pPr>
        <w:pStyle w:val="a3"/>
        <w:spacing w:before="0" w:beforeAutospacing="0" w:after="120" w:afterAutospacing="0"/>
        <w:divId w:val="224143638"/>
        <w:rPr>
          <w:sz w:val="20"/>
          <w:szCs w:val="20"/>
        </w:rPr>
      </w:pPr>
      <w:r>
        <w:rPr>
          <w:b/>
          <w:bCs/>
          <w:i/>
          <w:iCs/>
          <w:sz w:val="20"/>
          <w:szCs w:val="20"/>
        </w:rPr>
        <w:t>There is uncertainty as to shareholders’ ability to enforce certain foreign civil liabilities in the Cayman Islands.</w:t>
      </w:r>
    </w:p>
    <w:p w:rsidR="00000000" w:rsidRDefault="00E52F77">
      <w:pPr>
        <w:pStyle w:val="a3"/>
        <w:spacing w:before="0" w:beforeAutospacing="0" w:after="200" w:afterAutospacing="0"/>
        <w:ind w:firstLine="720"/>
        <w:divId w:val="224143638"/>
        <w:rPr>
          <w:sz w:val="20"/>
          <w:szCs w:val="20"/>
        </w:rPr>
      </w:pPr>
      <w:r>
        <w:rPr>
          <w:sz w:val="20"/>
          <w:szCs w:val="20"/>
        </w:rPr>
        <w:t>We are incorporated as an exempted company limited by shares with limited liability under the laws of the Cayman Islands. A materia</w:t>
      </w:r>
      <w:r>
        <w:rPr>
          <w:sz w:val="20"/>
          <w:szCs w:val="20"/>
        </w:rPr>
        <w:t>l portion of our assets are located outside of the US. As a result, it may be difficult for our shareholders to enforce judgments against us or judgments obtained in US courts predicated upon the civil liability provisions of the federal securities laws of</w:t>
      </w:r>
      <w:r>
        <w:rPr>
          <w:sz w:val="20"/>
          <w:szCs w:val="20"/>
        </w:rPr>
        <w:t xml:space="preserve"> the US or any state of the US.</w:t>
      </w:r>
    </w:p>
    <w:p w:rsidR="00000000" w:rsidRDefault="00E52F77">
      <w:pPr>
        <w:pStyle w:val="a3"/>
        <w:spacing w:before="0" w:beforeAutospacing="0" w:after="200" w:afterAutospacing="0"/>
        <w:ind w:firstLine="720"/>
        <w:divId w:val="224143638"/>
        <w:rPr>
          <w:sz w:val="20"/>
          <w:szCs w:val="20"/>
        </w:rPr>
      </w:pPr>
      <w:r>
        <w:rPr>
          <w:sz w:val="20"/>
          <w:szCs w:val="20"/>
        </w:rPr>
        <w:t>We understand that the courts of the Cayman Islands are unlikely (i) to recognize or enforce against Theravance Biopharma judgments of courts of the US predicated upon the civil liability provisions of the securities laws of</w:t>
      </w:r>
      <w:r>
        <w:rPr>
          <w:sz w:val="20"/>
          <w:szCs w:val="20"/>
        </w:rPr>
        <w:t xml:space="preserve"> the US or any State; and (ii) in original actions brought in the Cayman Islands, to impose liabilities against Theravance Biopharma predicated upon the civil liability provisions of the securities laws of the US or any State, on the grounds that such prov</w:t>
      </w:r>
      <w:r>
        <w:rPr>
          <w:sz w:val="20"/>
          <w:szCs w:val="20"/>
        </w:rPr>
        <w:t>isions are penal in nature. However, in the case of laws that are not penal in nature, although there is no statutory enforcement in the Cayman Islands of judgments obtained in the US, the courts of the Cayman Islands will recognize and enforce a foreign m</w:t>
      </w:r>
      <w:r>
        <w:rPr>
          <w:sz w:val="20"/>
          <w:szCs w:val="20"/>
        </w:rPr>
        <w:t>oney judgment of a foreign court of competent jurisdiction without retrial on the merits based on the principle that a judgment of a competent foreign court imposes upon the judgment debtor an obligation to pay the sum for which judgment has been given pro</w:t>
      </w:r>
      <w:r>
        <w:rPr>
          <w:sz w:val="20"/>
          <w:szCs w:val="20"/>
        </w:rPr>
        <w:t>vided certain conditions are met. For a foreign judgment to be enforced in the Cayman Islands, such judgment must be final and conclusive and for a liquidated sum, and must not be in respect of taxes or a fine or penalty, inconsistent with a Cayman Islands</w:t>
      </w:r>
      <w:r>
        <w:rPr>
          <w:sz w:val="20"/>
          <w:szCs w:val="20"/>
        </w:rPr>
        <w:t>’ judgment in respect of the same matter, impeachable on the grounds of fraud or obtained in a manner, and or be of a kind the enforcement of which is, contrary to natural justice or the public policy of the Cayman Islands (awards of punitive or multiple d</w:t>
      </w:r>
      <w:r>
        <w:rPr>
          <w:sz w:val="20"/>
          <w:szCs w:val="20"/>
        </w:rPr>
        <w:t>amages may well be held to be contrary to public policy). A Cayman Islands court, including the Grand Court of the Cayman Islands, may stay proceedings if concurrent proceedings are being brought elsewhere, which would delay proceedings and make it more di</w:t>
      </w:r>
      <w:r>
        <w:rPr>
          <w:sz w:val="20"/>
          <w:szCs w:val="20"/>
        </w:rPr>
        <w:t>fficult for our shareholders to bring action against us.</w:t>
      </w:r>
    </w:p>
    <w:p w:rsidR="00000000" w:rsidRDefault="00E52F77">
      <w:pPr>
        <w:pStyle w:val="a3"/>
        <w:spacing w:before="0" w:beforeAutospacing="0" w:after="120" w:afterAutospacing="0"/>
        <w:divId w:val="224143638"/>
        <w:rPr>
          <w:sz w:val="20"/>
          <w:szCs w:val="20"/>
        </w:rPr>
      </w:pPr>
      <w:r>
        <w:rPr>
          <w:b/>
          <w:bCs/>
          <w:i/>
          <w:iCs/>
          <w:sz w:val="20"/>
          <w:szCs w:val="20"/>
        </w:rPr>
        <w:t>If securities or industry analysts cease coverage of us or do not publish research, or publish inaccurate or unfavorable research, about our business, the price of our ordinary shares and trading vol</w:t>
      </w:r>
      <w:r>
        <w:rPr>
          <w:b/>
          <w:bCs/>
          <w:i/>
          <w:iCs/>
          <w:sz w:val="20"/>
          <w:szCs w:val="20"/>
        </w:rPr>
        <w:t>ume could decline.</w:t>
      </w:r>
    </w:p>
    <w:p w:rsidR="00000000" w:rsidRDefault="00E52F77">
      <w:pPr>
        <w:pStyle w:val="a3"/>
        <w:spacing w:before="0" w:beforeAutospacing="0" w:after="200" w:afterAutospacing="0"/>
        <w:ind w:firstLine="720"/>
        <w:divId w:val="224143638"/>
        <w:rPr>
          <w:sz w:val="20"/>
          <w:szCs w:val="20"/>
        </w:rPr>
      </w:pPr>
      <w:r>
        <w:rPr>
          <w:sz w:val="20"/>
          <w:szCs w:val="20"/>
        </w:rPr>
        <w:t>The trading market for our ordinary shares depends in part on the research and reports that securities or industry analysts publish about us or our business. If few securities analysts commence coverage of us, or if industry analysts cea</w:t>
      </w:r>
      <w:r>
        <w:rPr>
          <w:sz w:val="20"/>
          <w:szCs w:val="20"/>
        </w:rPr>
        <w:t xml:space="preserve">se coverage of us, the trading price for our ordinary shares could be negatively affected. If one or more of the analysts who cover us downgrade our ordinary shares or publish inaccurate or unfavorable research about our business or if our results fail to </w:t>
      </w:r>
      <w:r>
        <w:rPr>
          <w:sz w:val="20"/>
          <w:szCs w:val="20"/>
        </w:rPr>
        <w:t>meet the expectations of these analysts, the price of our ordinary shares would likely decline. If one or more of these analysts cease coverage of us or fail to publish reports on us regularly, demand for our ordinary shares could decrease, which might cau</w:t>
      </w:r>
      <w:r>
        <w:rPr>
          <w:sz w:val="20"/>
          <w:szCs w:val="20"/>
        </w:rPr>
        <w:t>se our share price and trading volume to decline.</w:t>
      </w:r>
    </w:p>
    <w:p w:rsidR="00000000" w:rsidRDefault="00E52F77">
      <w:pPr>
        <w:pStyle w:val="a3"/>
        <w:spacing w:before="360" w:beforeAutospacing="0" w:after="0" w:afterAutospacing="0"/>
        <w:jc w:val="center"/>
        <w:divId w:val="1260479687"/>
        <w:rPr>
          <w:sz w:val="20"/>
          <w:szCs w:val="20"/>
        </w:rPr>
      </w:pPr>
      <w:r>
        <w:rPr>
          <w:sz w:val="20"/>
          <w:szCs w:val="20"/>
        </w:rPr>
        <w:t>70</w:t>
      </w:r>
    </w:p>
    <w:p w:rsidR="00000000" w:rsidRDefault="00E52F77">
      <w:pPr>
        <w:pStyle w:val="a3"/>
        <w:spacing w:before="0" w:beforeAutospacing="0" w:after="600" w:afterAutospacing="0"/>
        <w:divId w:val="273513788"/>
        <w:rPr>
          <w:sz w:val="20"/>
          <w:szCs w:val="20"/>
        </w:rPr>
      </w:pPr>
      <w:hyperlink w:anchor="TOC" w:history="1">
        <w:r>
          <w:rPr>
            <w:rStyle w:val="a4"/>
            <w:sz w:val="20"/>
            <w:szCs w:val="20"/>
          </w:rPr>
          <w:t>Table of Contents</w:t>
        </w:r>
      </w:hyperlink>
    </w:p>
    <w:p w:rsidR="00000000" w:rsidRDefault="00E52F77">
      <w:pPr>
        <w:pStyle w:val="a3"/>
        <w:spacing w:before="0" w:beforeAutospacing="0" w:after="120" w:afterAutospacing="0"/>
        <w:divId w:val="379213979"/>
        <w:rPr>
          <w:sz w:val="20"/>
          <w:szCs w:val="20"/>
        </w:rPr>
      </w:pPr>
      <w:r>
        <w:rPr>
          <w:b/>
          <w:bCs/>
          <w:i/>
          <w:iCs/>
          <w:sz w:val="20"/>
          <w:szCs w:val="20"/>
        </w:rPr>
        <w:t>We do not anticipate paying any cash dividends on our capital shares in the foreseeable future; as a result, capital appreciation, if any, of our ordinary shares will be your sole source of gain for the foreseeable future.</w:t>
      </w:r>
    </w:p>
    <w:p w:rsidR="00000000" w:rsidRDefault="00E52F77">
      <w:pPr>
        <w:pStyle w:val="a3"/>
        <w:spacing w:before="0" w:beforeAutospacing="0" w:after="120" w:afterAutospacing="0"/>
        <w:divId w:val="379213979"/>
        <w:rPr>
          <w:sz w:val="20"/>
          <w:szCs w:val="20"/>
        </w:rPr>
      </w:pPr>
      <w:r>
        <w:rPr>
          <w:sz w:val="20"/>
          <w:szCs w:val="20"/>
        </w:rPr>
        <w:t>We have never declared or paid ca</w:t>
      </w:r>
      <w:r>
        <w:rPr>
          <w:sz w:val="20"/>
          <w:szCs w:val="20"/>
        </w:rPr>
        <w:t>sh dividends on our capital shares. We do not anticipate paying any cash dividends on our capital shares in the foreseeable future. We currently intend to retain all available funds and any future earnings to fund the development and growth of our business</w:t>
      </w:r>
      <w:r>
        <w:rPr>
          <w:sz w:val="20"/>
          <w:szCs w:val="20"/>
        </w:rPr>
        <w:t xml:space="preserve">. In addition, the terms of any future debt financing arrangement may contain terms prohibiting or limiting the amount of dividends that may be declared or paid on our ordinary shares. As a result, capital appreciation, if any, of our ordinary shares will </w:t>
      </w:r>
      <w:r>
        <w:rPr>
          <w:sz w:val="20"/>
          <w:szCs w:val="20"/>
        </w:rPr>
        <w:t>be your sole source of gain for the foreseeable future.</w:t>
      </w:r>
    </w:p>
    <w:p w:rsidR="00000000" w:rsidRDefault="00E52F77">
      <w:pPr>
        <w:pStyle w:val="a3"/>
        <w:spacing w:before="0" w:beforeAutospacing="0" w:after="0" w:afterAutospacing="0"/>
        <w:divId w:val="379213979"/>
        <w:rPr>
          <w:sz w:val="20"/>
          <w:szCs w:val="20"/>
        </w:rPr>
      </w:pPr>
      <w:r>
        <w:rPr>
          <w:sz w:val="20"/>
          <w:szCs w:val="20"/>
        </w:rPr>
        <w:t>​</w:t>
      </w:r>
    </w:p>
    <w:p w:rsidR="00000000" w:rsidRDefault="00E52F77">
      <w:pPr>
        <w:pStyle w:val="a3"/>
        <w:spacing w:before="0" w:beforeAutospacing="0" w:after="0" w:afterAutospacing="0"/>
        <w:divId w:val="379213979"/>
        <w:rPr>
          <w:sz w:val="20"/>
          <w:szCs w:val="20"/>
        </w:rPr>
      </w:pPr>
      <w:r>
        <w:rPr>
          <w:b/>
          <w:bCs/>
          <w:sz w:val="20"/>
          <w:szCs w:val="20"/>
        </w:rPr>
        <w:t>ITEM 2.   UNREGISTERED SALES OF EQUITY SECURITIES AND USE OF PROCEEDS</w:t>
      </w:r>
    </w:p>
    <w:p w:rsidR="00000000" w:rsidRDefault="00E52F77">
      <w:pPr>
        <w:pStyle w:val="a3"/>
        <w:spacing w:before="0" w:beforeAutospacing="0" w:after="0" w:afterAutospacing="0"/>
        <w:divId w:val="379213979"/>
        <w:rPr>
          <w:sz w:val="20"/>
          <w:szCs w:val="20"/>
        </w:rPr>
      </w:pPr>
      <w:r>
        <w:rPr>
          <w:sz w:val="20"/>
          <w:szCs w:val="20"/>
        </w:rPr>
        <w:t>​</w:t>
      </w:r>
    </w:p>
    <w:p w:rsidR="00000000" w:rsidRDefault="00E52F77">
      <w:pPr>
        <w:pStyle w:val="a3"/>
        <w:spacing w:before="0" w:beforeAutospacing="0" w:after="0" w:afterAutospacing="0"/>
        <w:ind w:firstLine="720"/>
        <w:divId w:val="379213979"/>
        <w:rPr>
          <w:sz w:val="20"/>
          <w:szCs w:val="20"/>
        </w:rPr>
      </w:pPr>
      <w:r>
        <w:rPr>
          <w:sz w:val="20"/>
          <w:szCs w:val="20"/>
        </w:rPr>
        <w:t>None.</w:t>
      </w:r>
    </w:p>
    <w:p w:rsidR="00000000" w:rsidRDefault="00E52F77">
      <w:pPr>
        <w:pStyle w:val="a3"/>
        <w:spacing w:before="0" w:beforeAutospacing="0" w:after="0" w:afterAutospacing="0"/>
        <w:divId w:val="379213979"/>
        <w:rPr>
          <w:sz w:val="20"/>
          <w:szCs w:val="20"/>
        </w:rPr>
      </w:pPr>
      <w:r>
        <w:rPr>
          <w:b/>
          <w:bCs/>
          <w:sz w:val="20"/>
          <w:szCs w:val="20"/>
        </w:rPr>
        <w:t>​</w:t>
      </w:r>
    </w:p>
    <w:p w:rsidR="00000000" w:rsidRDefault="00E52F77">
      <w:pPr>
        <w:pStyle w:val="a3"/>
        <w:spacing w:before="0" w:beforeAutospacing="0" w:after="0" w:afterAutospacing="0"/>
        <w:divId w:val="379213979"/>
        <w:rPr>
          <w:sz w:val="20"/>
          <w:szCs w:val="20"/>
        </w:rPr>
      </w:pPr>
      <w:r>
        <w:rPr>
          <w:b/>
          <w:bCs/>
          <w:sz w:val="20"/>
          <w:szCs w:val="20"/>
        </w:rPr>
        <w:t>​</w:t>
      </w:r>
    </w:p>
    <w:p w:rsidR="00000000" w:rsidRDefault="00E52F77">
      <w:pPr>
        <w:pStyle w:val="a3"/>
        <w:spacing w:before="360" w:beforeAutospacing="0" w:after="0" w:afterAutospacing="0"/>
        <w:jc w:val="center"/>
        <w:divId w:val="1660309738"/>
        <w:rPr>
          <w:sz w:val="20"/>
          <w:szCs w:val="20"/>
        </w:rPr>
      </w:pPr>
      <w:r>
        <w:rPr>
          <w:sz w:val="20"/>
          <w:szCs w:val="20"/>
        </w:rPr>
        <w:t>71</w:t>
      </w:r>
    </w:p>
    <w:p w:rsidR="00000000" w:rsidRDefault="00E52F77">
      <w:pPr>
        <w:pStyle w:val="a3"/>
        <w:spacing w:before="0" w:beforeAutospacing="0" w:after="600" w:afterAutospacing="0"/>
        <w:divId w:val="1095630987"/>
        <w:rPr>
          <w:sz w:val="20"/>
          <w:szCs w:val="20"/>
        </w:rPr>
      </w:pPr>
      <w:hyperlink w:anchor="TOC" w:history="1">
        <w:r>
          <w:rPr>
            <w:rStyle w:val="a4"/>
            <w:sz w:val="20"/>
            <w:szCs w:val="20"/>
          </w:rPr>
          <w:t>Table of Contents</w:t>
        </w:r>
      </w:hyperlink>
    </w:p>
    <w:p w:rsidR="00000000" w:rsidRDefault="00E52F77">
      <w:pPr>
        <w:pStyle w:val="a3"/>
        <w:spacing w:before="0" w:beforeAutospacing="0" w:after="0" w:afterAutospacing="0"/>
        <w:divId w:val="569081282"/>
        <w:rPr>
          <w:sz w:val="20"/>
          <w:szCs w:val="20"/>
        </w:rPr>
      </w:pPr>
      <w:r>
        <w:rPr>
          <w:b/>
          <w:bCs/>
          <w:sz w:val="20"/>
          <w:szCs w:val="20"/>
        </w:rPr>
        <w:t>ITEM 6.   EXHIBITS</w:t>
      </w:r>
    </w:p>
    <w:p w:rsidR="00000000" w:rsidRDefault="00E52F77">
      <w:pPr>
        <w:pStyle w:val="a3"/>
        <w:spacing w:before="0" w:beforeAutospacing="0" w:after="0" w:afterAutospacing="0"/>
        <w:divId w:val="56908128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77"/>
        <w:gridCol w:w="204"/>
        <w:gridCol w:w="3822"/>
        <w:gridCol w:w="204"/>
        <w:gridCol w:w="1027"/>
        <w:gridCol w:w="205"/>
        <w:gridCol w:w="994"/>
        <w:gridCol w:w="205"/>
        <w:gridCol w:w="1068"/>
      </w:tblGrid>
      <w:tr w:rsidR="00000000">
        <w:trPr>
          <w:divId w:val="569081282"/>
          <w:trHeight w:val="20"/>
        </w:trPr>
        <w:tc>
          <w:tcPr>
            <w:tcW w:w="350" w:type="pct"/>
            <w:tcMar>
              <w:top w:w="0" w:type="dxa"/>
              <w:left w:w="0" w:type="dxa"/>
              <w:bottom w:w="0" w:type="dxa"/>
              <w:right w:w="0" w:type="dxa"/>
            </w:tcMar>
            <w:vAlign w:val="bottom"/>
            <w:hideMark/>
          </w:tcPr>
          <w:p w:rsidR="00000000" w:rsidRDefault="00E52F77">
            <w:pPr>
              <w:rPr>
                <w:sz w:val="20"/>
                <w:szCs w:val="20"/>
              </w:rPr>
            </w:pPr>
          </w:p>
        </w:tc>
        <w:tc>
          <w:tcPr>
            <w:tcW w:w="125" w:type="pct"/>
            <w:tcMar>
              <w:top w:w="0" w:type="dxa"/>
              <w:left w:w="0" w:type="dxa"/>
              <w:bottom w:w="0" w:type="dxa"/>
              <w:right w:w="0" w:type="dxa"/>
            </w:tcMar>
            <w:vAlign w:val="bottom"/>
            <w:hideMark/>
          </w:tcPr>
          <w:p w:rsidR="00000000" w:rsidRDefault="00E52F77">
            <w:pPr>
              <w:rPr>
                <w:rFonts w:eastAsia="Times New Roman"/>
                <w:sz w:val="20"/>
                <w:szCs w:val="20"/>
              </w:rPr>
            </w:pPr>
          </w:p>
        </w:tc>
        <w:tc>
          <w:tcPr>
            <w:tcW w:w="2302" w:type="pct"/>
            <w:tcMar>
              <w:top w:w="0" w:type="dxa"/>
              <w:left w:w="0" w:type="dxa"/>
              <w:bottom w:w="0" w:type="dxa"/>
              <w:right w:w="0" w:type="dxa"/>
            </w:tcMar>
            <w:vAlign w:val="bottom"/>
            <w:hideMark/>
          </w:tcPr>
          <w:p w:rsidR="00000000" w:rsidRDefault="00E52F77">
            <w:pPr>
              <w:rPr>
                <w:rFonts w:eastAsia="Times New Roman"/>
                <w:sz w:val="20"/>
                <w:szCs w:val="20"/>
              </w:rPr>
            </w:pPr>
          </w:p>
        </w:tc>
        <w:tc>
          <w:tcPr>
            <w:tcW w:w="125" w:type="pct"/>
            <w:tcMar>
              <w:top w:w="0" w:type="dxa"/>
              <w:left w:w="0" w:type="dxa"/>
              <w:bottom w:w="0" w:type="dxa"/>
              <w:right w:w="0" w:type="dxa"/>
            </w:tcMar>
            <w:vAlign w:val="bottom"/>
            <w:hideMark/>
          </w:tcPr>
          <w:p w:rsidR="00000000" w:rsidRDefault="00E52F77">
            <w:pPr>
              <w:rPr>
                <w:rFonts w:eastAsia="Times New Roman"/>
                <w:sz w:val="20"/>
                <w:szCs w:val="20"/>
              </w:rPr>
            </w:pPr>
          </w:p>
        </w:tc>
        <w:tc>
          <w:tcPr>
            <w:tcW w:w="600" w:type="pct"/>
            <w:tcMar>
              <w:top w:w="0" w:type="dxa"/>
              <w:left w:w="0" w:type="dxa"/>
              <w:bottom w:w="0" w:type="dxa"/>
              <w:right w:w="0" w:type="dxa"/>
            </w:tcMar>
            <w:vAlign w:val="bottom"/>
            <w:hideMark/>
          </w:tcPr>
          <w:p w:rsidR="00000000" w:rsidRDefault="00E52F77">
            <w:pPr>
              <w:rPr>
                <w:rFonts w:eastAsia="Times New Roman"/>
                <w:sz w:val="20"/>
                <w:szCs w:val="20"/>
              </w:rPr>
            </w:pPr>
          </w:p>
        </w:tc>
        <w:tc>
          <w:tcPr>
            <w:tcW w:w="125" w:type="pct"/>
            <w:tcMar>
              <w:top w:w="0" w:type="dxa"/>
              <w:left w:w="0" w:type="dxa"/>
              <w:bottom w:w="0" w:type="dxa"/>
              <w:right w:w="0" w:type="dxa"/>
            </w:tcMar>
            <w:vAlign w:val="bottom"/>
            <w:hideMark/>
          </w:tcPr>
          <w:p w:rsidR="00000000" w:rsidRDefault="00E52F77">
            <w:pPr>
              <w:rPr>
                <w:rFonts w:eastAsia="Times New Roman"/>
                <w:sz w:val="20"/>
                <w:szCs w:val="20"/>
              </w:rPr>
            </w:pPr>
          </w:p>
        </w:tc>
        <w:tc>
          <w:tcPr>
            <w:tcW w:w="600" w:type="pct"/>
            <w:tcMar>
              <w:top w:w="0" w:type="dxa"/>
              <w:left w:w="0" w:type="dxa"/>
              <w:bottom w:w="0" w:type="dxa"/>
              <w:right w:w="0" w:type="dxa"/>
            </w:tcMar>
            <w:vAlign w:val="bottom"/>
            <w:hideMark/>
          </w:tcPr>
          <w:p w:rsidR="00000000" w:rsidRDefault="00E52F77">
            <w:pPr>
              <w:rPr>
                <w:rFonts w:eastAsia="Times New Roman"/>
                <w:sz w:val="20"/>
                <w:szCs w:val="20"/>
              </w:rPr>
            </w:pPr>
          </w:p>
        </w:tc>
        <w:tc>
          <w:tcPr>
            <w:tcW w:w="125" w:type="pct"/>
            <w:tcMar>
              <w:top w:w="0" w:type="dxa"/>
              <w:left w:w="0" w:type="dxa"/>
              <w:bottom w:w="0" w:type="dxa"/>
              <w:right w:w="0" w:type="dxa"/>
            </w:tcMar>
            <w:vAlign w:val="bottom"/>
            <w:hideMark/>
          </w:tcPr>
          <w:p w:rsidR="00000000" w:rsidRDefault="00E52F77">
            <w:pPr>
              <w:rPr>
                <w:rFonts w:eastAsia="Times New Roman"/>
                <w:sz w:val="20"/>
                <w:szCs w:val="20"/>
              </w:rPr>
            </w:pPr>
          </w:p>
        </w:tc>
        <w:tc>
          <w:tcPr>
            <w:tcW w:w="644" w:type="pct"/>
            <w:tcMar>
              <w:top w:w="0" w:type="dxa"/>
              <w:left w:w="0" w:type="dxa"/>
              <w:bottom w:w="0" w:type="dxa"/>
              <w:right w:w="0" w:type="dxa"/>
            </w:tcMar>
            <w:vAlign w:val="bottom"/>
            <w:hideMark/>
          </w:tcPr>
          <w:p w:rsidR="00000000" w:rsidRDefault="00E52F77">
            <w:pPr>
              <w:rPr>
                <w:rFonts w:eastAsia="Times New Roman"/>
                <w:sz w:val="20"/>
                <w:szCs w:val="20"/>
              </w:rPr>
            </w:pPr>
          </w:p>
        </w:tc>
      </w:tr>
      <w:tr w:rsidR="00000000">
        <w:trPr>
          <w:divId w:val="569081282"/>
        </w:trPr>
        <w:tc>
          <w:tcPr>
            <w:tcW w:w="350"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16"/>
                <w:szCs w:val="16"/>
              </w:rPr>
              <w:t>​</w:t>
            </w:r>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2302" w:type="pct"/>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600" w:type="pct"/>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16"/>
                <w:szCs w:val="16"/>
              </w:rPr>
              <w:t>​</w:t>
            </w:r>
          </w:p>
        </w:tc>
        <w:tc>
          <w:tcPr>
            <w:tcW w:w="1370" w:type="pct"/>
            <w:gridSpan w:val="3"/>
            <w:tcBorders>
              <w:bottom w:val="single" w:sz="6" w:space="0" w:color="000000"/>
            </w:tcBorders>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Incorporated by </w:t>
            </w:r>
            <w:r>
              <w:rPr>
                <w:b/>
                <w:bCs/>
                <w:sz w:val="16"/>
                <w:szCs w:val="16"/>
              </w:rPr>
              <w:t>Reference</w:t>
            </w:r>
          </w:p>
        </w:tc>
      </w:tr>
      <w:tr w:rsidR="00000000">
        <w:trPr>
          <w:divId w:val="569081282"/>
        </w:trPr>
        <w:tc>
          <w:tcPr>
            <w:tcW w:w="350" w:type="pct"/>
            <w:tcBorders>
              <w:bottom w:val="single" w:sz="6" w:space="0" w:color="000000"/>
            </w:tcBorders>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Exhibit</w:t>
            </w:r>
            <w:r>
              <w:rPr>
                <w:sz w:val="16"/>
                <w:szCs w:val="16"/>
              </w:rPr>
              <w:br/>
            </w:r>
            <w:r>
              <w:rPr>
                <w:b/>
                <w:bCs/>
                <w:sz w:val="16"/>
                <w:szCs w:val="16"/>
              </w:rPr>
              <w:t>Number</w:t>
            </w:r>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2302" w:type="pct"/>
            <w:tcBorders>
              <w:bottom w:val="single" w:sz="6" w:space="0" w:color="000000"/>
            </w:tcBorders>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Exhibit Description</w:t>
            </w:r>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600" w:type="pct"/>
            <w:tcBorders>
              <w:bottom w:val="single" w:sz="6" w:space="0" w:color="000000"/>
            </w:tcBorders>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Filed Herewith</w:t>
            </w:r>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600" w:type="pct"/>
            <w:tcBorders>
              <w:bottom w:val="single" w:sz="6" w:space="0" w:color="000000"/>
            </w:tcBorders>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Form</w:t>
            </w:r>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rPr>
                <w:sz w:val="16"/>
                <w:szCs w:val="16"/>
              </w:rPr>
            </w:pPr>
            <w:r>
              <w:rPr>
                <w:b/>
                <w:bCs/>
                <w:sz w:val="16"/>
                <w:szCs w:val="16"/>
              </w:rPr>
              <w:t>    </w:t>
            </w:r>
          </w:p>
        </w:tc>
        <w:tc>
          <w:tcPr>
            <w:tcW w:w="644" w:type="pct"/>
            <w:tcBorders>
              <w:bottom w:val="single" w:sz="6" w:space="0" w:color="000000"/>
            </w:tcBorders>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16"/>
                <w:szCs w:val="16"/>
              </w:rPr>
            </w:pPr>
            <w:r>
              <w:rPr>
                <w:b/>
                <w:bCs/>
                <w:sz w:val="16"/>
                <w:szCs w:val="16"/>
              </w:rPr>
              <w:t>Filing</w:t>
            </w:r>
            <w:r>
              <w:rPr>
                <w:sz w:val="16"/>
                <w:szCs w:val="16"/>
              </w:rPr>
              <w:br/>
            </w:r>
            <w:r>
              <w:rPr>
                <w:b/>
                <w:bCs/>
                <w:sz w:val="16"/>
                <w:szCs w:val="16"/>
              </w:rPr>
              <w:t>Date/Period</w:t>
            </w:r>
            <w:r>
              <w:rPr>
                <w:sz w:val="16"/>
                <w:szCs w:val="16"/>
              </w:rPr>
              <w:br/>
            </w:r>
            <w:r>
              <w:rPr>
                <w:b/>
                <w:bCs/>
                <w:sz w:val="16"/>
                <w:szCs w:val="16"/>
              </w:rPr>
              <w:t>End Date</w:t>
            </w:r>
          </w:p>
        </w:tc>
      </w:tr>
      <w:tr w:rsidR="00000000">
        <w:trPr>
          <w:divId w:val="569081282"/>
        </w:trPr>
        <w:tc>
          <w:tcPr>
            <w:tcW w:w="350"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b/>
                <w:bCs/>
                <w:sz w:val="20"/>
                <w:szCs w:val="20"/>
              </w:rPr>
              <w:t>​</w:t>
            </w:r>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20"/>
                <w:szCs w:val="20"/>
              </w:rPr>
              <w:t>​</w:t>
            </w:r>
          </w:p>
        </w:tc>
        <w:tc>
          <w:tcPr>
            <w:tcW w:w="2302" w:type="pct"/>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20"/>
                <w:szCs w:val="20"/>
              </w:rPr>
              <w:t>​</w:t>
            </w:r>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20"/>
                <w:szCs w:val="20"/>
              </w:rPr>
              <w:t>​</w:t>
            </w:r>
          </w:p>
        </w:tc>
        <w:tc>
          <w:tcPr>
            <w:tcW w:w="600" w:type="pct"/>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20"/>
                <w:szCs w:val="20"/>
              </w:rPr>
              <w:t>​</w:t>
            </w:r>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20"/>
                <w:szCs w:val="20"/>
              </w:rPr>
              <w:t>​</w:t>
            </w:r>
          </w:p>
        </w:tc>
        <w:tc>
          <w:tcPr>
            <w:tcW w:w="600" w:type="pct"/>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20"/>
                <w:szCs w:val="20"/>
              </w:rPr>
              <w:t>​</w:t>
            </w:r>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20"/>
                <w:szCs w:val="20"/>
              </w:rPr>
              <w:t>​</w:t>
            </w:r>
          </w:p>
        </w:tc>
        <w:tc>
          <w:tcPr>
            <w:tcW w:w="644" w:type="pct"/>
            <w:tcMar>
              <w:top w:w="0" w:type="dxa"/>
              <w:left w:w="0" w:type="dxa"/>
              <w:bottom w:w="0" w:type="dxa"/>
              <w:right w:w="0" w:type="dxa"/>
            </w:tcMar>
            <w:vAlign w:val="bottom"/>
            <w:hideMark/>
          </w:tcPr>
          <w:p w:rsidR="00000000" w:rsidRDefault="00E52F77">
            <w:pPr>
              <w:pStyle w:val="a3"/>
              <w:spacing w:before="0" w:beforeAutospacing="0" w:after="0" w:afterAutospacing="0"/>
              <w:jc w:val="center"/>
              <w:rPr>
                <w:sz w:val="20"/>
                <w:szCs w:val="20"/>
              </w:rPr>
            </w:pPr>
            <w:r>
              <w:rPr>
                <w:b/>
                <w:bCs/>
                <w:sz w:val="20"/>
                <w:szCs w:val="20"/>
              </w:rPr>
              <w:t>​</w:t>
            </w:r>
          </w:p>
        </w:tc>
      </w:tr>
      <w:tr w:rsidR="00000000">
        <w:trPr>
          <w:divId w:val="569081282"/>
        </w:trPr>
        <w:tc>
          <w:tcPr>
            <w:tcW w:w="350" w:type="pct"/>
            <w:tcMar>
              <w:top w:w="0" w:type="dxa"/>
              <w:left w:w="0" w:type="dxa"/>
              <w:bottom w:w="0" w:type="dxa"/>
              <w:right w:w="0" w:type="dxa"/>
            </w:tcMar>
            <w:hideMark/>
          </w:tcPr>
          <w:p w:rsidR="00000000" w:rsidRDefault="00E52F77">
            <w:pPr>
              <w:pStyle w:val="a3"/>
              <w:spacing w:before="0" w:beforeAutospacing="0" w:after="0" w:afterAutospacing="0"/>
              <w:ind w:hanging="202"/>
              <w:jc w:val="right"/>
              <w:rPr>
                <w:sz w:val="20"/>
                <w:szCs w:val="20"/>
              </w:rPr>
            </w:pPr>
            <w:r>
              <w:rPr>
                <w:sz w:val="20"/>
                <w:szCs w:val="20"/>
              </w:rPr>
              <w:t>31.1</w:t>
            </w:r>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2302"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hyperlink r:id="rId4" w:history="1">
              <w:r>
                <w:rPr>
                  <w:rStyle w:val="a4"/>
                  <w:sz w:val="20"/>
                  <w:szCs w:val="20"/>
                </w:rPr>
                <w:t>Certification of Chief Executive Officer Pursuant to Rules 13a-14(a) and 15d-14(a) promulgated pursuant to the Securities Exchange Act of 1934, as amended</w:t>
              </w:r>
            </w:hyperlink>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600" w:type="pct"/>
            <w:tcMar>
              <w:top w:w="0" w:type="dxa"/>
              <w:left w:w="0" w:type="dxa"/>
              <w:bottom w:w="0" w:type="dxa"/>
              <w:right w:w="0" w:type="dxa"/>
            </w:tcMar>
            <w:hideMark/>
          </w:tcPr>
          <w:p w:rsidR="00000000" w:rsidRDefault="00E52F77">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600" w:type="pct"/>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w:t>
            </w:r>
          </w:p>
        </w:tc>
      </w:tr>
      <w:tr w:rsidR="00000000">
        <w:trPr>
          <w:divId w:val="569081282"/>
        </w:trPr>
        <w:tc>
          <w:tcPr>
            <w:tcW w:w="350" w:type="pct"/>
            <w:tcMar>
              <w:top w:w="0" w:type="dxa"/>
              <w:left w:w="0" w:type="dxa"/>
              <w:bottom w:w="0" w:type="dxa"/>
              <w:right w:w="0" w:type="dxa"/>
            </w:tcMar>
            <w:hideMark/>
          </w:tcPr>
          <w:p w:rsidR="00000000" w:rsidRDefault="00E52F77">
            <w:pPr>
              <w:pStyle w:val="a3"/>
              <w:spacing w:before="0" w:beforeAutospacing="0" w:after="0" w:afterAutospacing="0"/>
              <w:ind w:hanging="202"/>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2302"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600" w:type="pct"/>
            <w:tcMar>
              <w:top w:w="0" w:type="dxa"/>
              <w:left w:w="0" w:type="dxa"/>
              <w:bottom w:w="0" w:type="dxa"/>
              <w:right w:w="0" w:type="dxa"/>
            </w:tcMar>
            <w:hideMark/>
          </w:tcPr>
          <w:p w:rsidR="00000000" w:rsidRDefault="00E52F77">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600" w:type="pct"/>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w:t>
            </w:r>
          </w:p>
        </w:tc>
      </w:tr>
      <w:tr w:rsidR="00000000">
        <w:trPr>
          <w:divId w:val="569081282"/>
        </w:trPr>
        <w:tc>
          <w:tcPr>
            <w:tcW w:w="350" w:type="pct"/>
            <w:tcMar>
              <w:top w:w="0" w:type="dxa"/>
              <w:left w:w="0" w:type="dxa"/>
              <w:bottom w:w="0" w:type="dxa"/>
              <w:right w:w="0" w:type="dxa"/>
            </w:tcMar>
            <w:hideMark/>
          </w:tcPr>
          <w:p w:rsidR="00000000" w:rsidRDefault="00E52F77">
            <w:pPr>
              <w:pStyle w:val="a3"/>
              <w:spacing w:before="0" w:beforeAutospacing="0" w:after="0" w:afterAutospacing="0"/>
              <w:ind w:hanging="202"/>
              <w:jc w:val="right"/>
              <w:rPr>
                <w:sz w:val="20"/>
                <w:szCs w:val="20"/>
              </w:rPr>
            </w:pPr>
            <w:r>
              <w:rPr>
                <w:sz w:val="20"/>
                <w:szCs w:val="20"/>
              </w:rPr>
              <w:t>31.2</w:t>
            </w:r>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2302"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hyperlink r:id="rId5" w:history="1">
              <w:r>
                <w:rPr>
                  <w:rStyle w:val="a4"/>
                  <w:sz w:val="20"/>
                  <w:szCs w:val="20"/>
                </w:rPr>
                <w:t>Certification of Chief Financial Officer Pursuant to Rules 13a-14(a) and 15d-14(a) promulgated pursuant to the Securities Exchange Act of 1934, as amended</w:t>
              </w:r>
            </w:hyperlink>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600" w:type="pct"/>
            <w:tcMar>
              <w:top w:w="0" w:type="dxa"/>
              <w:left w:w="0" w:type="dxa"/>
              <w:bottom w:w="0" w:type="dxa"/>
              <w:right w:w="0" w:type="dxa"/>
            </w:tcMar>
            <w:hideMark/>
          </w:tcPr>
          <w:p w:rsidR="00000000" w:rsidRDefault="00E52F77">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600" w:type="pct"/>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w:t>
            </w:r>
          </w:p>
        </w:tc>
      </w:tr>
      <w:tr w:rsidR="00000000">
        <w:trPr>
          <w:divId w:val="569081282"/>
        </w:trPr>
        <w:tc>
          <w:tcPr>
            <w:tcW w:w="350" w:type="pct"/>
            <w:tcMar>
              <w:top w:w="0" w:type="dxa"/>
              <w:left w:w="0" w:type="dxa"/>
              <w:bottom w:w="0" w:type="dxa"/>
              <w:right w:w="0" w:type="dxa"/>
            </w:tcMar>
            <w:hideMark/>
          </w:tcPr>
          <w:p w:rsidR="00000000" w:rsidRDefault="00E52F77">
            <w:pPr>
              <w:pStyle w:val="a3"/>
              <w:spacing w:before="0" w:beforeAutospacing="0" w:after="0" w:afterAutospacing="0"/>
              <w:ind w:hanging="202"/>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2302"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600" w:type="pct"/>
            <w:tcMar>
              <w:top w:w="0" w:type="dxa"/>
              <w:left w:w="0" w:type="dxa"/>
              <w:bottom w:w="0" w:type="dxa"/>
              <w:right w:w="0" w:type="dxa"/>
            </w:tcMar>
            <w:hideMark/>
          </w:tcPr>
          <w:p w:rsidR="00000000" w:rsidRDefault="00E52F77">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600" w:type="pct"/>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w:t>
            </w:r>
          </w:p>
        </w:tc>
      </w:tr>
      <w:tr w:rsidR="00000000">
        <w:trPr>
          <w:divId w:val="569081282"/>
        </w:trPr>
        <w:tc>
          <w:tcPr>
            <w:tcW w:w="350" w:type="pct"/>
            <w:tcMar>
              <w:top w:w="0" w:type="dxa"/>
              <w:left w:w="0" w:type="dxa"/>
              <w:bottom w:w="0" w:type="dxa"/>
              <w:right w:w="0" w:type="dxa"/>
            </w:tcMar>
            <w:hideMark/>
          </w:tcPr>
          <w:p w:rsidR="00000000" w:rsidRDefault="00E52F77">
            <w:pPr>
              <w:pStyle w:val="a3"/>
              <w:spacing w:before="0" w:beforeAutospacing="0" w:after="0" w:afterAutospacing="0"/>
              <w:ind w:hanging="202"/>
              <w:jc w:val="right"/>
              <w:rPr>
                <w:sz w:val="20"/>
                <w:szCs w:val="20"/>
              </w:rPr>
            </w:pPr>
            <w:r>
              <w:rPr>
                <w:sz w:val="20"/>
                <w:szCs w:val="20"/>
              </w:rPr>
              <w:t>3</w:t>
            </w:r>
            <w:r>
              <w:rPr>
                <w:sz w:val="20"/>
                <w:szCs w:val="20"/>
              </w:rPr>
              <w:t>2</w:t>
            </w:r>
            <w:r>
              <w:rPr>
                <w:sz w:val="17"/>
                <w:szCs w:val="17"/>
                <w:vertAlign w:val="superscript"/>
              </w:rPr>
              <w:t>(1)</w:t>
            </w:r>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2302"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hyperlink r:id="rId6" w:history="1">
              <w:r>
                <w:rPr>
                  <w:rStyle w:val="a4"/>
                  <w:sz w:val="20"/>
                  <w:szCs w:val="20"/>
                </w:rPr>
                <w:t>Certifications of Chief Executive Officer and Chief Financial Officer pursuant to 18 U.S.C. Section 1350, as adopted pursuant to Section 906 of the Sarbanes-Oxley Act of 2002</w:t>
              </w:r>
            </w:hyperlink>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600" w:type="pct"/>
            <w:tcMar>
              <w:top w:w="0" w:type="dxa"/>
              <w:left w:w="0" w:type="dxa"/>
              <w:bottom w:w="0" w:type="dxa"/>
              <w:right w:w="0" w:type="dxa"/>
            </w:tcMar>
            <w:hideMark/>
          </w:tcPr>
          <w:p w:rsidR="00000000" w:rsidRDefault="00E52F77">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600" w:type="pct"/>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w:t>
            </w:r>
          </w:p>
        </w:tc>
      </w:tr>
      <w:tr w:rsidR="00000000">
        <w:trPr>
          <w:divId w:val="569081282"/>
        </w:trPr>
        <w:tc>
          <w:tcPr>
            <w:tcW w:w="350" w:type="pct"/>
            <w:tcMar>
              <w:top w:w="0" w:type="dxa"/>
              <w:left w:w="0" w:type="dxa"/>
              <w:bottom w:w="0" w:type="dxa"/>
              <w:right w:w="0" w:type="dxa"/>
            </w:tcMar>
            <w:hideMark/>
          </w:tcPr>
          <w:p w:rsidR="00000000" w:rsidRDefault="00E52F77">
            <w:pPr>
              <w:pStyle w:val="a3"/>
              <w:spacing w:before="0" w:beforeAutospacing="0" w:after="0" w:afterAutospacing="0"/>
              <w:ind w:hanging="202"/>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2302"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600" w:type="pct"/>
            <w:tcMar>
              <w:top w:w="0" w:type="dxa"/>
              <w:left w:w="0" w:type="dxa"/>
              <w:bottom w:w="0" w:type="dxa"/>
              <w:right w:w="0" w:type="dxa"/>
            </w:tcMar>
            <w:hideMark/>
          </w:tcPr>
          <w:p w:rsidR="00000000" w:rsidRDefault="00E52F77">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600" w:type="pct"/>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w:t>
            </w:r>
          </w:p>
        </w:tc>
      </w:tr>
      <w:tr w:rsidR="00000000">
        <w:trPr>
          <w:divId w:val="569081282"/>
        </w:trPr>
        <w:tc>
          <w:tcPr>
            <w:tcW w:w="350" w:type="pct"/>
            <w:tcMar>
              <w:top w:w="0" w:type="dxa"/>
              <w:left w:w="0" w:type="dxa"/>
              <w:bottom w:w="0" w:type="dxa"/>
              <w:right w:w="0" w:type="dxa"/>
            </w:tcMar>
            <w:hideMark/>
          </w:tcPr>
          <w:p w:rsidR="00000000" w:rsidRDefault="00E52F77">
            <w:pPr>
              <w:pStyle w:val="a3"/>
              <w:spacing w:before="0" w:beforeAutospacing="0" w:after="0" w:afterAutospacing="0"/>
              <w:ind w:hanging="202"/>
              <w:jc w:val="right"/>
              <w:rPr>
                <w:sz w:val="20"/>
                <w:szCs w:val="20"/>
              </w:rPr>
            </w:pPr>
            <w:r>
              <w:rPr>
                <w:sz w:val="20"/>
                <w:szCs w:val="20"/>
              </w:rPr>
              <w:t>101</w:t>
            </w:r>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2302"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Financial statements from the quarterly report on Form 10-Q of the Company for the quarter ended June 30, 2021, formatted in iXBRL: (i) the Condensed Consolidated Balance Sheets, (ii) the Condensed Consolidated Statements of Operations and Comprehensive Lo</w:t>
            </w:r>
            <w:r>
              <w:rPr>
                <w:sz w:val="20"/>
                <w:szCs w:val="20"/>
              </w:rPr>
              <w:t>ss, (iii) Condensed Consolidated Statements of Shareholders’ Deficit, (iv) the Condensed Consolidated Statements of Cash Flows, and (v) the Notes to the Condensed Consolidated Financial Statements</w:t>
            </w:r>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600" w:type="pct"/>
            <w:tcMar>
              <w:top w:w="0" w:type="dxa"/>
              <w:left w:w="0" w:type="dxa"/>
              <w:bottom w:w="0" w:type="dxa"/>
              <w:right w:w="0" w:type="dxa"/>
            </w:tcMar>
            <w:hideMark/>
          </w:tcPr>
          <w:p w:rsidR="00000000" w:rsidRDefault="00E52F77">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600" w:type="pct"/>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w:t>
            </w:r>
          </w:p>
        </w:tc>
      </w:tr>
      <w:tr w:rsidR="00000000">
        <w:trPr>
          <w:divId w:val="569081282"/>
        </w:trPr>
        <w:tc>
          <w:tcPr>
            <w:tcW w:w="350" w:type="pct"/>
            <w:tcMar>
              <w:top w:w="0" w:type="dxa"/>
              <w:left w:w="0" w:type="dxa"/>
              <w:bottom w:w="0" w:type="dxa"/>
              <w:right w:w="0" w:type="dxa"/>
            </w:tcMar>
            <w:hideMark/>
          </w:tcPr>
          <w:p w:rsidR="00000000" w:rsidRDefault="00E52F77">
            <w:pPr>
              <w:pStyle w:val="a3"/>
              <w:spacing w:before="0" w:beforeAutospacing="0" w:after="0" w:afterAutospacing="0"/>
              <w:ind w:hanging="202"/>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2302"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600" w:type="pct"/>
            <w:tcMar>
              <w:top w:w="0" w:type="dxa"/>
              <w:left w:w="0" w:type="dxa"/>
              <w:bottom w:w="0" w:type="dxa"/>
              <w:right w:w="0" w:type="dxa"/>
            </w:tcMar>
            <w:hideMark/>
          </w:tcPr>
          <w:p w:rsidR="00000000" w:rsidRDefault="00E52F77">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600" w:type="pct"/>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w:t>
            </w:r>
          </w:p>
        </w:tc>
      </w:tr>
      <w:tr w:rsidR="00000000">
        <w:trPr>
          <w:divId w:val="569081282"/>
        </w:trPr>
        <w:tc>
          <w:tcPr>
            <w:tcW w:w="350" w:type="pct"/>
            <w:tcMar>
              <w:top w:w="0" w:type="dxa"/>
              <w:left w:w="0" w:type="dxa"/>
              <w:bottom w:w="0" w:type="dxa"/>
              <w:right w:w="0" w:type="dxa"/>
            </w:tcMar>
            <w:hideMark/>
          </w:tcPr>
          <w:p w:rsidR="00000000" w:rsidRDefault="00E52F77">
            <w:pPr>
              <w:pStyle w:val="a3"/>
              <w:spacing w:before="0" w:beforeAutospacing="0" w:after="0" w:afterAutospacing="0"/>
              <w:ind w:hanging="202"/>
              <w:jc w:val="right"/>
              <w:rPr>
                <w:sz w:val="20"/>
                <w:szCs w:val="20"/>
              </w:rPr>
            </w:pPr>
            <w:r>
              <w:rPr>
                <w:sz w:val="20"/>
                <w:szCs w:val="20"/>
              </w:rPr>
              <w:t>104</w:t>
            </w:r>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2302"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Cover Page Interactive Data File (Formatted in iXBRL and contained in Exhibit 101)</w:t>
            </w:r>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600" w:type="pct"/>
            <w:tcMar>
              <w:top w:w="0" w:type="dxa"/>
              <w:left w:w="0" w:type="dxa"/>
              <w:bottom w:w="0" w:type="dxa"/>
              <w:right w:w="0" w:type="dxa"/>
            </w:tcMar>
            <w:hideMark/>
          </w:tcPr>
          <w:p w:rsidR="00000000" w:rsidRDefault="00E52F77">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600" w:type="pct"/>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E52F77">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E52F77">
            <w:pPr>
              <w:pStyle w:val="a3"/>
              <w:spacing w:before="0" w:beforeAutospacing="0" w:after="0" w:afterAutospacing="0"/>
              <w:jc w:val="right"/>
              <w:rPr>
                <w:sz w:val="20"/>
                <w:szCs w:val="20"/>
              </w:rPr>
            </w:pPr>
            <w:r>
              <w:rPr>
                <w:sz w:val="20"/>
                <w:szCs w:val="20"/>
              </w:rPr>
              <w:t>​</w:t>
            </w:r>
          </w:p>
        </w:tc>
      </w:tr>
    </w:tbl>
    <w:p w:rsidR="00000000" w:rsidRDefault="00E52F77">
      <w:pPr>
        <w:pStyle w:val="a3"/>
        <w:spacing w:before="0" w:beforeAutospacing="0" w:after="0" w:afterAutospacing="0"/>
        <w:divId w:val="569081282"/>
        <w:rPr>
          <w:sz w:val="20"/>
          <w:szCs w:val="20"/>
        </w:rPr>
      </w:pPr>
      <w:r>
        <w:rPr>
          <w:sz w:val="12"/>
          <w:szCs w:val="12"/>
        </w:rPr>
        <w:t>​</w:t>
      </w: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569081282"/>
        </w:trPr>
        <w:tc>
          <w:tcPr>
            <w:tcW w:w="360" w:type="dxa"/>
            <w:noWrap/>
            <w:tcMar>
              <w:top w:w="0" w:type="dxa"/>
              <w:left w:w="0" w:type="dxa"/>
              <w:bottom w:w="0" w:type="dxa"/>
              <w:right w:w="0" w:type="dxa"/>
            </w:tcMar>
            <w:hideMark/>
          </w:tcPr>
          <w:p w:rsidR="00000000" w:rsidRDefault="00E52F77">
            <w:pPr>
              <w:rPr>
                <w:rFonts w:eastAsia="Times New Roman"/>
                <w:sz w:val="17"/>
                <w:szCs w:val="17"/>
              </w:rPr>
            </w:pPr>
            <w:r>
              <w:rPr>
                <w:rFonts w:eastAsia="Times New Roman"/>
                <w:sz w:val="17"/>
                <w:szCs w:val="17"/>
              </w:rPr>
              <w:t>(1)</w:t>
            </w:r>
          </w:p>
        </w:tc>
        <w:tc>
          <w:tcPr>
            <w:tcW w:w="0" w:type="auto"/>
            <w:tcMar>
              <w:top w:w="0" w:type="dxa"/>
              <w:left w:w="0" w:type="dxa"/>
              <w:bottom w:w="0" w:type="dxa"/>
              <w:right w:w="0" w:type="dxa"/>
            </w:tcMar>
            <w:vAlign w:val="center"/>
            <w:hideMark/>
          </w:tcPr>
          <w:p w:rsidR="00000000" w:rsidRDefault="00E52F77">
            <w:pPr>
              <w:rPr>
                <w:rFonts w:eastAsia="Times New Roman"/>
                <w:sz w:val="20"/>
                <w:szCs w:val="20"/>
              </w:rPr>
            </w:pPr>
            <w:r>
              <w:rPr>
                <w:rFonts w:eastAsia="Times New Roman"/>
                <w:sz w:val="20"/>
                <w:szCs w:val="20"/>
              </w:rPr>
              <w:t>The certifications provided as Exhibit </w:t>
            </w:r>
            <w:r>
              <w:rPr>
                <w:rFonts w:eastAsia="Times New Roman"/>
                <w:sz w:val="20"/>
                <w:szCs w:val="20"/>
              </w:rPr>
              <w:t>32 are being furnished to accompany the Report pursuant to 18 U.S.C. Section 1350 and shall not be deemed filed by the Company for purposes of Section 18 of the Securities Exchange Act of 1934, as amended, and is not to be incorporated by reference into an</w:t>
            </w:r>
            <w:r>
              <w:rPr>
                <w:rFonts w:eastAsia="Times New Roman"/>
                <w:sz w:val="20"/>
                <w:szCs w:val="20"/>
              </w:rPr>
              <w:t>y filing of the Company, whether made before or after the date hereof, regardless of any general incorporation language in such filing.</w:t>
            </w:r>
          </w:p>
        </w:tc>
      </w:tr>
    </w:tbl>
    <w:p w:rsidR="00000000" w:rsidRDefault="00E52F77">
      <w:pPr>
        <w:pStyle w:val="a3"/>
        <w:spacing w:before="0" w:beforeAutospacing="0" w:after="0" w:afterAutospacing="0"/>
        <w:divId w:val="569081282"/>
        <w:rPr>
          <w:sz w:val="20"/>
          <w:szCs w:val="20"/>
        </w:rPr>
      </w:pPr>
      <w:r>
        <w:rPr>
          <w:sz w:val="20"/>
          <w:szCs w:val="20"/>
        </w:rPr>
        <w:t>​</w:t>
      </w:r>
    </w:p>
    <w:p w:rsidR="00000000" w:rsidRDefault="00E52F77">
      <w:pPr>
        <w:pStyle w:val="a3"/>
        <w:spacing w:before="360" w:beforeAutospacing="0" w:after="0" w:afterAutospacing="0"/>
        <w:jc w:val="center"/>
        <w:divId w:val="884877288"/>
        <w:rPr>
          <w:sz w:val="20"/>
          <w:szCs w:val="20"/>
        </w:rPr>
      </w:pPr>
      <w:r>
        <w:rPr>
          <w:sz w:val="20"/>
          <w:szCs w:val="20"/>
        </w:rPr>
        <w:t>72</w:t>
      </w:r>
    </w:p>
    <w:p w:rsidR="00000000" w:rsidRDefault="00E52F77">
      <w:pPr>
        <w:pStyle w:val="a3"/>
        <w:spacing w:before="0" w:beforeAutospacing="0" w:after="600" w:afterAutospacing="0"/>
        <w:divId w:val="500394276"/>
        <w:rPr>
          <w:sz w:val="20"/>
          <w:szCs w:val="20"/>
        </w:rPr>
      </w:pPr>
      <w:hyperlink w:anchor="TOC" w:history="1">
        <w:r>
          <w:rPr>
            <w:rStyle w:val="a4"/>
            <w:sz w:val="20"/>
            <w:szCs w:val="20"/>
          </w:rPr>
          <w:t>Table of Contents</w:t>
        </w:r>
      </w:hyperlink>
    </w:p>
    <w:p w:rsidR="00000000" w:rsidRDefault="00E52F77">
      <w:pPr>
        <w:pStyle w:val="a3"/>
        <w:spacing w:before="0" w:beforeAutospacing="0" w:after="0" w:afterAutospacing="0"/>
        <w:jc w:val="center"/>
        <w:divId w:val="1375305397"/>
        <w:rPr>
          <w:sz w:val="20"/>
          <w:szCs w:val="20"/>
        </w:rPr>
      </w:pPr>
      <w:r>
        <w:rPr>
          <w:b/>
          <w:bCs/>
          <w:sz w:val="20"/>
          <w:szCs w:val="20"/>
        </w:rPr>
        <w:t>SIGNATURES</w:t>
      </w:r>
    </w:p>
    <w:p w:rsidR="00000000" w:rsidRDefault="00E52F77">
      <w:pPr>
        <w:pStyle w:val="a3"/>
        <w:spacing w:before="0" w:beforeAutospacing="0" w:after="0" w:afterAutospacing="0"/>
        <w:divId w:val="1375305397"/>
        <w:rPr>
          <w:sz w:val="20"/>
          <w:szCs w:val="20"/>
        </w:rPr>
      </w:pPr>
      <w:r>
        <w:rPr>
          <w:sz w:val="20"/>
          <w:szCs w:val="20"/>
        </w:rPr>
        <w:t>​</w:t>
      </w:r>
    </w:p>
    <w:p w:rsidR="00000000" w:rsidRDefault="00E52F77">
      <w:pPr>
        <w:pStyle w:val="a3"/>
        <w:spacing w:before="0" w:beforeAutospacing="0" w:after="0" w:afterAutospacing="0"/>
        <w:divId w:val="1375305397"/>
        <w:rPr>
          <w:sz w:val="20"/>
          <w:szCs w:val="20"/>
        </w:rPr>
      </w:pPr>
      <w:r>
        <w:rPr>
          <w:sz w:val="20"/>
          <w:szCs w:val="20"/>
        </w:rPr>
        <w:t>Pursuant to the Securities Exchange Act of 1934, the registrant has duly caused this report to be signed on its behalf by the undersigned thereunto duly authorized.</w:t>
      </w:r>
    </w:p>
    <w:p w:rsidR="00000000" w:rsidRDefault="00E52F77">
      <w:pPr>
        <w:pStyle w:val="a3"/>
        <w:spacing w:before="0" w:beforeAutospacing="0" w:after="0" w:afterAutospacing="0"/>
        <w:divId w:val="137530539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1375305397"/>
          <w:trHeight w:val="20"/>
        </w:trPr>
        <w:tc>
          <w:tcPr>
            <w:tcW w:w="2500" w:type="pct"/>
            <w:tcMar>
              <w:top w:w="0" w:type="dxa"/>
              <w:left w:w="0" w:type="dxa"/>
              <w:bottom w:w="0" w:type="dxa"/>
              <w:right w:w="0" w:type="dxa"/>
            </w:tcMar>
            <w:hideMark/>
          </w:tcPr>
          <w:p w:rsidR="00000000" w:rsidRDefault="00E52F77">
            <w:pPr>
              <w:pStyle w:val="a3"/>
              <w:spacing w:before="0" w:beforeAutospacing="0" w:after="0" w:afterAutospacing="0"/>
              <w:divId w:val="1098981816"/>
              <w:rPr>
                <w:sz w:val="20"/>
                <w:szCs w:val="20"/>
              </w:rPr>
            </w:pPr>
            <w:r>
              <w:rPr>
                <w:sz w:val="20"/>
                <w:szCs w:val="20"/>
              </w:rPr>
              <w:t>​</w:t>
            </w:r>
          </w:p>
        </w:tc>
        <w:tc>
          <w:tcPr>
            <w:tcW w:w="2500" w:type="pct"/>
            <w:tcMar>
              <w:top w:w="0" w:type="dxa"/>
              <w:left w:w="0" w:type="dxa"/>
              <w:bottom w:w="0" w:type="dxa"/>
              <w:right w:w="0" w:type="dxa"/>
            </w:tcMar>
            <w:hideMark/>
          </w:tcPr>
          <w:p w:rsidR="00000000" w:rsidRDefault="00E52F77">
            <w:pPr>
              <w:rPr>
                <w:sz w:val="20"/>
                <w:szCs w:val="20"/>
              </w:rPr>
            </w:pPr>
          </w:p>
        </w:tc>
      </w:tr>
      <w:tr w:rsidR="00000000">
        <w:trPr>
          <w:divId w:val="1375305397"/>
        </w:trPr>
        <w:tc>
          <w:tcPr>
            <w:tcW w:w="2500" w:type="pct"/>
            <w:tcMar>
              <w:top w:w="0" w:type="dxa"/>
              <w:left w:w="0" w:type="dxa"/>
              <w:bottom w:w="0" w:type="dxa"/>
              <w:right w:w="0" w:type="dxa"/>
            </w:tcMar>
            <w:hideMark/>
          </w:tcPr>
          <w:p w:rsidR="00000000" w:rsidRDefault="00E52F77">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E52F77">
            <w:pPr>
              <w:pStyle w:val="a3"/>
              <w:spacing w:before="0" w:beforeAutospacing="0" w:after="0" w:afterAutospacing="0"/>
              <w:rPr>
                <w:sz w:val="20"/>
                <w:szCs w:val="20"/>
              </w:rPr>
            </w:pPr>
            <w:r>
              <w:rPr>
                <w:sz w:val="20"/>
                <w:szCs w:val="20"/>
              </w:rPr>
              <w:t>Theravance Biopharma, Inc.</w:t>
            </w:r>
          </w:p>
        </w:tc>
      </w:tr>
      <w:tr w:rsidR="00000000">
        <w:trPr>
          <w:divId w:val="1375305397"/>
        </w:trPr>
        <w:tc>
          <w:tcPr>
            <w:tcW w:w="2500" w:type="pct"/>
            <w:tcMar>
              <w:top w:w="0" w:type="dxa"/>
              <w:left w:w="0" w:type="dxa"/>
              <w:bottom w:w="0" w:type="dxa"/>
              <w:right w:w="0" w:type="dxa"/>
            </w:tcMar>
            <w:hideMark/>
          </w:tcPr>
          <w:p w:rsidR="00000000" w:rsidRDefault="00E52F77">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E52F77">
            <w:pPr>
              <w:pStyle w:val="a3"/>
              <w:spacing w:before="0" w:beforeAutospacing="0" w:after="0" w:afterAutospacing="0"/>
              <w:rPr>
                <w:sz w:val="20"/>
                <w:szCs w:val="20"/>
              </w:rPr>
            </w:pPr>
            <w:r>
              <w:rPr>
                <w:sz w:val="20"/>
                <w:szCs w:val="20"/>
              </w:rPr>
              <w:t>​</w:t>
            </w:r>
          </w:p>
        </w:tc>
      </w:tr>
      <w:tr w:rsidR="00000000">
        <w:trPr>
          <w:divId w:val="1375305397"/>
        </w:trPr>
        <w:tc>
          <w:tcPr>
            <w:tcW w:w="2500" w:type="pct"/>
            <w:tcMar>
              <w:top w:w="0" w:type="dxa"/>
              <w:left w:w="0" w:type="dxa"/>
              <w:bottom w:w="0" w:type="dxa"/>
              <w:right w:w="0" w:type="dxa"/>
            </w:tcMar>
            <w:hideMark/>
          </w:tcPr>
          <w:p w:rsidR="00000000" w:rsidRDefault="00E52F77">
            <w:pPr>
              <w:pStyle w:val="a3"/>
              <w:spacing w:before="0" w:beforeAutospacing="0" w:after="0" w:afterAutospacing="0"/>
              <w:rPr>
                <w:sz w:val="20"/>
                <w:szCs w:val="20"/>
              </w:rPr>
            </w:pPr>
            <w:r>
              <w:rPr>
                <w:sz w:val="20"/>
                <w:szCs w:val="20"/>
              </w:rPr>
              <w:t>Date: August 5, 2021</w:t>
            </w:r>
          </w:p>
        </w:tc>
        <w:tc>
          <w:tcPr>
            <w:tcW w:w="2500" w:type="pct"/>
            <w:tcBorders>
              <w:bottom w:val="single" w:sz="6" w:space="0" w:color="000000"/>
            </w:tcBorders>
            <w:tcMar>
              <w:top w:w="0" w:type="dxa"/>
              <w:left w:w="0" w:type="dxa"/>
              <w:bottom w:w="0" w:type="dxa"/>
              <w:right w:w="0" w:type="dxa"/>
            </w:tcMar>
            <w:hideMark/>
          </w:tcPr>
          <w:p w:rsidR="00000000" w:rsidRDefault="00E52F77">
            <w:pPr>
              <w:pStyle w:val="a3"/>
              <w:spacing w:before="0" w:beforeAutospacing="0" w:after="0" w:afterAutospacing="0"/>
              <w:jc w:val="center"/>
              <w:rPr>
                <w:sz w:val="20"/>
                <w:szCs w:val="20"/>
              </w:rPr>
            </w:pPr>
            <w:r>
              <w:rPr>
                <w:sz w:val="20"/>
                <w:szCs w:val="20"/>
              </w:rPr>
              <w:t>/s/ R</w:t>
            </w:r>
            <w:r>
              <w:rPr>
                <w:smallCaps/>
                <w:sz w:val="20"/>
                <w:szCs w:val="20"/>
              </w:rPr>
              <w:t>ick</w:t>
            </w:r>
            <w:r>
              <w:rPr>
                <w:sz w:val="20"/>
                <w:szCs w:val="20"/>
              </w:rPr>
              <w:t xml:space="preserve"> E W</w:t>
            </w:r>
            <w:r>
              <w:rPr>
                <w:smallCaps/>
                <w:sz w:val="20"/>
                <w:szCs w:val="20"/>
              </w:rPr>
              <w:t>inningham</w:t>
            </w:r>
          </w:p>
        </w:tc>
      </w:tr>
      <w:tr w:rsidR="00000000">
        <w:trPr>
          <w:divId w:val="1375305397"/>
        </w:trPr>
        <w:tc>
          <w:tcPr>
            <w:tcW w:w="2500" w:type="pct"/>
            <w:tcMar>
              <w:top w:w="0" w:type="dxa"/>
              <w:left w:w="0" w:type="dxa"/>
              <w:bottom w:w="0" w:type="dxa"/>
              <w:right w:w="0" w:type="dxa"/>
            </w:tcMar>
            <w:hideMark/>
          </w:tcPr>
          <w:p w:rsidR="00000000" w:rsidRDefault="00E52F77">
            <w:pPr>
              <w:pStyle w:val="a3"/>
              <w:spacing w:before="0" w:beforeAutospacing="0" w:after="0" w:afterAutospacing="0"/>
              <w:rPr>
                <w:sz w:val="20"/>
                <w:szCs w:val="20"/>
              </w:rPr>
            </w:pPr>
            <w:r>
              <w:rPr>
                <w:b/>
                <w:bCs/>
                <w:sz w:val="20"/>
                <w:szCs w:val="20"/>
              </w:rPr>
              <w:t>​</w:t>
            </w:r>
          </w:p>
        </w:tc>
        <w:tc>
          <w:tcPr>
            <w:tcW w:w="2500" w:type="pct"/>
            <w:tcBorders>
              <w:top w:val="single" w:sz="6" w:space="0" w:color="000000"/>
            </w:tcBorders>
            <w:tcMar>
              <w:top w:w="0" w:type="dxa"/>
              <w:left w:w="0" w:type="dxa"/>
              <w:bottom w:w="0" w:type="dxa"/>
              <w:right w:w="0" w:type="dxa"/>
            </w:tcMar>
            <w:hideMark/>
          </w:tcPr>
          <w:p w:rsidR="00000000" w:rsidRDefault="00E52F77">
            <w:pPr>
              <w:pStyle w:val="a3"/>
              <w:spacing w:before="0" w:beforeAutospacing="0" w:after="0" w:afterAutospacing="0"/>
              <w:jc w:val="center"/>
              <w:rPr>
                <w:sz w:val="20"/>
                <w:szCs w:val="20"/>
              </w:rPr>
            </w:pPr>
            <w:r>
              <w:rPr>
                <w:sz w:val="20"/>
                <w:szCs w:val="20"/>
              </w:rPr>
              <w:t>Rick E Winningham</w:t>
            </w:r>
          </w:p>
        </w:tc>
      </w:tr>
      <w:tr w:rsidR="00000000">
        <w:trPr>
          <w:divId w:val="1375305397"/>
        </w:trPr>
        <w:tc>
          <w:tcPr>
            <w:tcW w:w="2500" w:type="pct"/>
            <w:tcMar>
              <w:top w:w="0" w:type="dxa"/>
              <w:left w:w="0" w:type="dxa"/>
              <w:bottom w:w="0" w:type="dxa"/>
              <w:right w:w="0" w:type="dxa"/>
            </w:tcMar>
            <w:hideMark/>
          </w:tcPr>
          <w:p w:rsidR="00000000" w:rsidRDefault="00E52F77">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E52F77">
            <w:pPr>
              <w:pStyle w:val="a3"/>
              <w:spacing w:before="0" w:beforeAutospacing="0" w:after="0" w:afterAutospacing="0"/>
              <w:jc w:val="center"/>
              <w:rPr>
                <w:sz w:val="20"/>
                <w:szCs w:val="20"/>
              </w:rPr>
            </w:pPr>
            <w:r>
              <w:rPr>
                <w:sz w:val="20"/>
                <w:szCs w:val="20"/>
              </w:rPr>
              <w:t>Chairman of the Board and Chief Executive Officer</w:t>
            </w:r>
          </w:p>
        </w:tc>
      </w:tr>
      <w:tr w:rsidR="00000000">
        <w:trPr>
          <w:divId w:val="1375305397"/>
        </w:trPr>
        <w:tc>
          <w:tcPr>
            <w:tcW w:w="2500" w:type="pct"/>
            <w:tcMar>
              <w:top w:w="0" w:type="dxa"/>
              <w:left w:w="0" w:type="dxa"/>
              <w:bottom w:w="0" w:type="dxa"/>
              <w:right w:w="0" w:type="dxa"/>
            </w:tcMar>
            <w:hideMark/>
          </w:tcPr>
          <w:p w:rsidR="00000000" w:rsidRDefault="00E52F77">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E52F77">
            <w:pPr>
              <w:pStyle w:val="a3"/>
              <w:spacing w:before="0" w:beforeAutospacing="0" w:after="0" w:afterAutospacing="0"/>
              <w:jc w:val="center"/>
              <w:rPr>
                <w:sz w:val="20"/>
                <w:szCs w:val="20"/>
              </w:rPr>
            </w:pPr>
            <w:r>
              <w:rPr>
                <w:sz w:val="20"/>
                <w:szCs w:val="20"/>
              </w:rPr>
              <w:t>(Principal Executive Officer)</w:t>
            </w:r>
          </w:p>
        </w:tc>
      </w:tr>
      <w:tr w:rsidR="00000000">
        <w:trPr>
          <w:divId w:val="1375305397"/>
        </w:trPr>
        <w:tc>
          <w:tcPr>
            <w:tcW w:w="2500" w:type="pct"/>
            <w:tcMar>
              <w:top w:w="0" w:type="dxa"/>
              <w:left w:w="0" w:type="dxa"/>
              <w:bottom w:w="0" w:type="dxa"/>
              <w:right w:w="0" w:type="dxa"/>
            </w:tcMar>
            <w:hideMark/>
          </w:tcPr>
          <w:p w:rsidR="00000000" w:rsidRDefault="00E52F77">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E52F77">
            <w:pPr>
              <w:pStyle w:val="a3"/>
              <w:spacing w:before="0" w:beforeAutospacing="0" w:after="0" w:afterAutospacing="0"/>
              <w:jc w:val="center"/>
              <w:rPr>
                <w:sz w:val="20"/>
                <w:szCs w:val="20"/>
              </w:rPr>
            </w:pPr>
            <w:r>
              <w:rPr>
                <w:sz w:val="20"/>
                <w:szCs w:val="20"/>
              </w:rPr>
              <w:t>​</w:t>
            </w:r>
          </w:p>
        </w:tc>
      </w:tr>
      <w:tr w:rsidR="00000000">
        <w:trPr>
          <w:divId w:val="1375305397"/>
        </w:trPr>
        <w:tc>
          <w:tcPr>
            <w:tcW w:w="2500" w:type="pct"/>
            <w:tcMar>
              <w:top w:w="0" w:type="dxa"/>
              <w:left w:w="0" w:type="dxa"/>
              <w:bottom w:w="0" w:type="dxa"/>
              <w:right w:w="0" w:type="dxa"/>
            </w:tcMar>
            <w:hideMark/>
          </w:tcPr>
          <w:p w:rsidR="00000000" w:rsidRDefault="00E52F77">
            <w:pPr>
              <w:pStyle w:val="a3"/>
              <w:spacing w:before="0" w:beforeAutospacing="0" w:after="0" w:afterAutospacing="0"/>
              <w:rPr>
                <w:sz w:val="20"/>
                <w:szCs w:val="20"/>
              </w:rPr>
            </w:pPr>
            <w:r>
              <w:rPr>
                <w:sz w:val="20"/>
                <w:szCs w:val="20"/>
              </w:rPr>
              <w:t>Date: August 5, 2021</w:t>
            </w:r>
          </w:p>
        </w:tc>
        <w:tc>
          <w:tcPr>
            <w:tcW w:w="2500" w:type="pct"/>
            <w:tcBorders>
              <w:bottom w:val="single" w:sz="6" w:space="0" w:color="000000"/>
            </w:tcBorders>
            <w:tcMar>
              <w:top w:w="0" w:type="dxa"/>
              <w:left w:w="0" w:type="dxa"/>
              <w:bottom w:w="0" w:type="dxa"/>
              <w:right w:w="0" w:type="dxa"/>
            </w:tcMar>
            <w:hideMark/>
          </w:tcPr>
          <w:p w:rsidR="00000000" w:rsidRDefault="00E52F77">
            <w:pPr>
              <w:pStyle w:val="a3"/>
              <w:spacing w:before="0" w:beforeAutospacing="0" w:after="0" w:afterAutospacing="0"/>
              <w:jc w:val="center"/>
              <w:rPr>
                <w:sz w:val="20"/>
                <w:szCs w:val="20"/>
              </w:rPr>
            </w:pPr>
            <w:r>
              <w:rPr>
                <w:sz w:val="20"/>
                <w:szCs w:val="20"/>
              </w:rPr>
              <w:t>/s/ A</w:t>
            </w:r>
            <w:r>
              <w:rPr>
                <w:smallCaps/>
                <w:sz w:val="20"/>
                <w:szCs w:val="20"/>
              </w:rPr>
              <w:t>ndrew</w:t>
            </w:r>
            <w:r>
              <w:rPr>
                <w:sz w:val="20"/>
                <w:szCs w:val="20"/>
              </w:rPr>
              <w:t xml:space="preserve"> H</w:t>
            </w:r>
            <w:r>
              <w:rPr>
                <w:smallCaps/>
                <w:sz w:val="20"/>
                <w:szCs w:val="20"/>
              </w:rPr>
              <w:t>indman</w:t>
            </w:r>
          </w:p>
        </w:tc>
      </w:tr>
      <w:tr w:rsidR="00000000">
        <w:trPr>
          <w:divId w:val="1375305397"/>
        </w:trPr>
        <w:tc>
          <w:tcPr>
            <w:tcW w:w="2500" w:type="pct"/>
            <w:tcMar>
              <w:top w:w="0" w:type="dxa"/>
              <w:left w:w="0" w:type="dxa"/>
              <w:bottom w:w="0" w:type="dxa"/>
              <w:right w:w="0" w:type="dxa"/>
            </w:tcMar>
            <w:hideMark/>
          </w:tcPr>
          <w:p w:rsidR="00000000" w:rsidRDefault="00E52F77">
            <w:pPr>
              <w:pStyle w:val="a3"/>
              <w:spacing w:before="0" w:beforeAutospacing="0" w:after="0" w:afterAutospacing="0"/>
              <w:rPr>
                <w:sz w:val="20"/>
                <w:szCs w:val="20"/>
              </w:rPr>
            </w:pPr>
            <w:r>
              <w:rPr>
                <w:b/>
                <w:bCs/>
                <w:sz w:val="20"/>
                <w:szCs w:val="20"/>
              </w:rPr>
              <w:t>​</w:t>
            </w:r>
          </w:p>
        </w:tc>
        <w:tc>
          <w:tcPr>
            <w:tcW w:w="2500" w:type="pct"/>
            <w:tcBorders>
              <w:top w:val="single" w:sz="6" w:space="0" w:color="000000"/>
            </w:tcBorders>
            <w:tcMar>
              <w:top w:w="0" w:type="dxa"/>
              <w:left w:w="0" w:type="dxa"/>
              <w:bottom w:w="0" w:type="dxa"/>
              <w:right w:w="0" w:type="dxa"/>
            </w:tcMar>
            <w:hideMark/>
          </w:tcPr>
          <w:p w:rsidR="00000000" w:rsidRDefault="00E52F77">
            <w:pPr>
              <w:pStyle w:val="a3"/>
              <w:spacing w:before="0" w:beforeAutospacing="0" w:after="0" w:afterAutospacing="0"/>
              <w:jc w:val="center"/>
              <w:rPr>
                <w:sz w:val="20"/>
                <w:szCs w:val="20"/>
              </w:rPr>
            </w:pPr>
            <w:r>
              <w:rPr>
                <w:sz w:val="20"/>
                <w:szCs w:val="20"/>
              </w:rPr>
              <w:t>Andrew Hindman</w:t>
            </w:r>
          </w:p>
          <w:p w:rsidR="00000000" w:rsidRDefault="00E52F77">
            <w:pPr>
              <w:pStyle w:val="a3"/>
              <w:spacing w:before="0" w:beforeAutospacing="0" w:after="0" w:afterAutospacing="0"/>
              <w:jc w:val="center"/>
              <w:rPr>
                <w:sz w:val="20"/>
                <w:szCs w:val="20"/>
              </w:rPr>
            </w:pPr>
            <w:r>
              <w:rPr>
                <w:sz w:val="20"/>
                <w:szCs w:val="20"/>
              </w:rPr>
              <w:t>Senior Vice President and Chief Financial Officer</w:t>
            </w:r>
          </w:p>
        </w:tc>
      </w:tr>
      <w:tr w:rsidR="00000000">
        <w:trPr>
          <w:divId w:val="1375305397"/>
        </w:trPr>
        <w:tc>
          <w:tcPr>
            <w:tcW w:w="2500" w:type="pct"/>
            <w:tcMar>
              <w:top w:w="0" w:type="dxa"/>
              <w:left w:w="0" w:type="dxa"/>
              <w:bottom w:w="0" w:type="dxa"/>
              <w:right w:w="0" w:type="dxa"/>
            </w:tcMar>
            <w:hideMark/>
          </w:tcPr>
          <w:p w:rsidR="00000000" w:rsidRDefault="00E52F77">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E52F77">
            <w:pPr>
              <w:pStyle w:val="a3"/>
              <w:spacing w:before="0" w:beforeAutospacing="0" w:after="0" w:afterAutospacing="0"/>
              <w:jc w:val="center"/>
              <w:rPr>
                <w:sz w:val="20"/>
                <w:szCs w:val="20"/>
              </w:rPr>
            </w:pPr>
            <w:r>
              <w:rPr>
                <w:sz w:val="20"/>
                <w:szCs w:val="20"/>
              </w:rPr>
              <w:t>(Principal Financial Officer)</w:t>
            </w:r>
          </w:p>
        </w:tc>
      </w:tr>
      <w:tr w:rsidR="00000000">
        <w:trPr>
          <w:divId w:val="1375305397"/>
        </w:trPr>
        <w:tc>
          <w:tcPr>
            <w:tcW w:w="2500" w:type="pct"/>
            <w:tcMar>
              <w:top w:w="0" w:type="dxa"/>
              <w:left w:w="0" w:type="dxa"/>
              <w:bottom w:w="0" w:type="dxa"/>
              <w:right w:w="0" w:type="dxa"/>
            </w:tcMar>
            <w:hideMark/>
          </w:tcPr>
          <w:p w:rsidR="00000000" w:rsidRDefault="00E52F77">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E52F77">
            <w:pPr>
              <w:pStyle w:val="a3"/>
              <w:spacing w:before="0" w:beforeAutospacing="0" w:after="0" w:afterAutospacing="0"/>
              <w:jc w:val="center"/>
              <w:rPr>
                <w:sz w:val="20"/>
                <w:szCs w:val="20"/>
              </w:rPr>
            </w:pPr>
            <w:r>
              <w:rPr>
                <w:sz w:val="20"/>
                <w:szCs w:val="20"/>
              </w:rPr>
              <w:t>​</w:t>
            </w:r>
          </w:p>
        </w:tc>
      </w:tr>
    </w:tbl>
    <w:p w:rsidR="00000000" w:rsidRDefault="00E52F77">
      <w:pPr>
        <w:pStyle w:val="a3"/>
        <w:spacing w:before="0" w:beforeAutospacing="0" w:after="0" w:afterAutospacing="0"/>
        <w:divId w:val="1375305397"/>
        <w:rPr>
          <w:sz w:val="20"/>
          <w:szCs w:val="20"/>
        </w:rPr>
      </w:pPr>
      <w:r>
        <w:rPr>
          <w:sz w:val="2"/>
          <w:szCs w:val="2"/>
        </w:rPr>
        <w:t>​</w:t>
      </w:r>
    </w:p>
    <w:p w:rsidR="00000000" w:rsidRDefault="00E52F77">
      <w:pPr>
        <w:pStyle w:val="a3"/>
        <w:spacing w:before="0" w:beforeAutospacing="0" w:after="0" w:afterAutospacing="0"/>
        <w:divId w:val="1375305397"/>
        <w:rPr>
          <w:sz w:val="20"/>
          <w:szCs w:val="20"/>
        </w:rPr>
      </w:pPr>
      <w:r>
        <w:rPr>
          <w:sz w:val="20"/>
          <w:szCs w:val="20"/>
        </w:rPr>
        <w:t>​</w:t>
      </w:r>
    </w:p>
    <w:p w:rsidR="00000000" w:rsidRDefault="00E52F77">
      <w:pPr>
        <w:pStyle w:val="a3"/>
        <w:spacing w:before="0" w:beforeAutospacing="0" w:after="0" w:afterAutospacing="0"/>
        <w:divId w:val="1375305397"/>
        <w:rPr>
          <w:sz w:val="20"/>
          <w:szCs w:val="20"/>
        </w:rPr>
      </w:pPr>
      <w:r>
        <w:rPr>
          <w:sz w:val="20"/>
          <w:szCs w:val="20"/>
        </w:rPr>
        <w:t>​</w:t>
      </w:r>
    </w:p>
    <w:p w:rsidR="00E52F77" w:rsidRDefault="00E52F77">
      <w:pPr>
        <w:pStyle w:val="a3"/>
        <w:spacing w:before="360" w:beforeAutospacing="0" w:after="0" w:afterAutospacing="0"/>
        <w:jc w:val="center"/>
        <w:divId w:val="372728128"/>
        <w:rPr>
          <w:sz w:val="20"/>
          <w:szCs w:val="20"/>
        </w:rPr>
      </w:pPr>
      <w:r>
        <w:rPr>
          <w:sz w:val="20"/>
          <w:szCs w:val="20"/>
        </w:rPr>
        <w:t>73</w:t>
      </w:r>
    </w:p>
    <w:sectPr w:rsidR="00E52F7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52F77"/>
    <w:rsid w:val="00E52F77"/>
  </w:rsids>
  <m:mathPr>
    <m:mathFont m:val="Cambria Math"/>
    <m:brkBin m:val="before"/>
    <m:brkBinSub m:val="--"/>
    <m:smallFrac m:val="0"/>
    <m:dispDef/>
    <m:lMargin m:val="0"/>
    <m:rMargin m:val="0"/>
    <m:defJc m:val="centerGroup"/>
    <m:wrapIndent m:val="1440"/>
    <m:intLim m:val="subSup"/>
    <m:naryLim m:val="undOvr"/>
  </m:mathPr>
  <w:attachedSchema w:val="http://fasb.org/us-gaap/2020-01-31"/>
  <w:attachedSchema w:val="http://www.theravance.com/20210630"/>
  <w:attachedSchema w:val="http://www.xbrl.org/2003/linkbase"/>
  <w:attachedSchema w:val="http://xbrl.org/2005/xbrldt"/>
  <w:attachedSchema w:val="http://www.sec.gov/inlineXBRL/transformation/2015-08-31"/>
  <w:attachedSchema w:val="http://fasb.org/srt/2020-01-31"/>
  <w:attachedSchema w:val="http://www.xbrl.org/2013/inlineXBRL"/>
  <w:attachedSchema w:val="http://www.xbrl.org/2006/ref"/>
  <w:attachedSchema w:val="http://www.xbrl.org/2003/instance"/>
  <w:attachedSchema w:val="http://xbrl.sec.gov/dei/2020-01-31"/>
  <w:attachedSchema w:val="http://www.xbrl.org/2003/iso4217"/>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6596">
      <w:marLeft w:val="0"/>
      <w:marRight w:val="0"/>
      <w:marTop w:val="0"/>
      <w:marBottom w:val="0"/>
      <w:divBdr>
        <w:top w:val="none" w:sz="0" w:space="0" w:color="auto"/>
        <w:left w:val="none" w:sz="0" w:space="0" w:color="auto"/>
        <w:bottom w:val="none" w:sz="0" w:space="0" w:color="auto"/>
        <w:right w:val="none" w:sz="0" w:space="0" w:color="auto"/>
      </w:divBdr>
      <w:divsChild>
        <w:div w:id="28992899">
          <w:marLeft w:val="0"/>
          <w:marRight w:val="0"/>
          <w:marTop w:val="547"/>
          <w:marBottom w:val="0"/>
          <w:divBdr>
            <w:top w:val="none" w:sz="0" w:space="0" w:color="auto"/>
            <w:left w:val="none" w:sz="0" w:space="0" w:color="auto"/>
            <w:bottom w:val="none" w:sz="0" w:space="0" w:color="auto"/>
            <w:right w:val="none" w:sz="0" w:space="0" w:color="auto"/>
          </w:divBdr>
        </w:div>
        <w:div w:id="1915507362">
          <w:marLeft w:val="0"/>
          <w:marRight w:val="0"/>
          <w:marTop w:val="0"/>
          <w:marBottom w:val="0"/>
          <w:divBdr>
            <w:top w:val="none" w:sz="0" w:space="0" w:color="auto"/>
            <w:left w:val="none" w:sz="0" w:space="0" w:color="auto"/>
            <w:bottom w:val="none" w:sz="0" w:space="0" w:color="auto"/>
            <w:right w:val="none" w:sz="0" w:space="0" w:color="auto"/>
          </w:divBdr>
          <w:divsChild>
            <w:div w:id="642739574">
              <w:marLeft w:val="0"/>
              <w:marRight w:val="0"/>
              <w:marTop w:val="0"/>
              <w:marBottom w:val="0"/>
              <w:divBdr>
                <w:top w:val="none" w:sz="0" w:space="0" w:color="auto"/>
                <w:left w:val="none" w:sz="0" w:space="0" w:color="auto"/>
                <w:bottom w:val="none" w:sz="0" w:space="0" w:color="auto"/>
                <w:right w:val="none" w:sz="0" w:space="0" w:color="auto"/>
              </w:divBdr>
              <w:divsChild>
                <w:div w:id="168177208">
                  <w:marLeft w:val="0"/>
                  <w:marRight w:val="0"/>
                  <w:marTop w:val="0"/>
                  <w:marBottom w:val="0"/>
                  <w:divBdr>
                    <w:top w:val="none" w:sz="0" w:space="0" w:color="auto"/>
                    <w:left w:val="none" w:sz="0" w:space="0" w:color="auto"/>
                    <w:bottom w:val="none" w:sz="0" w:space="0" w:color="auto"/>
                    <w:right w:val="none" w:sz="0" w:space="0" w:color="auto"/>
                  </w:divBdr>
                </w:div>
              </w:divsChild>
            </w:div>
            <w:div w:id="1987323099">
              <w:marLeft w:val="0"/>
              <w:marRight w:val="0"/>
              <w:marTop w:val="0"/>
              <w:marBottom w:val="0"/>
              <w:divBdr>
                <w:top w:val="none" w:sz="0" w:space="0" w:color="auto"/>
                <w:left w:val="none" w:sz="0" w:space="0" w:color="auto"/>
                <w:bottom w:val="none" w:sz="0" w:space="0" w:color="auto"/>
                <w:right w:val="none" w:sz="0" w:space="0" w:color="auto"/>
              </w:divBdr>
              <w:divsChild>
                <w:div w:id="2045716489">
                  <w:marLeft w:val="0"/>
                  <w:marRight w:val="0"/>
                  <w:marTop w:val="0"/>
                  <w:marBottom w:val="0"/>
                  <w:divBdr>
                    <w:top w:val="none" w:sz="0" w:space="0" w:color="auto"/>
                    <w:left w:val="none" w:sz="0" w:space="0" w:color="auto"/>
                    <w:bottom w:val="none" w:sz="0" w:space="0" w:color="auto"/>
                    <w:right w:val="none" w:sz="0" w:space="0" w:color="auto"/>
                  </w:divBdr>
                </w:div>
              </w:divsChild>
            </w:div>
            <w:div w:id="1018236090">
              <w:marLeft w:val="0"/>
              <w:marRight w:val="0"/>
              <w:marTop w:val="0"/>
              <w:marBottom w:val="0"/>
              <w:divBdr>
                <w:top w:val="none" w:sz="0" w:space="0" w:color="auto"/>
                <w:left w:val="none" w:sz="0" w:space="0" w:color="auto"/>
                <w:bottom w:val="none" w:sz="0" w:space="0" w:color="auto"/>
                <w:right w:val="none" w:sz="0" w:space="0" w:color="auto"/>
              </w:divBdr>
              <w:divsChild>
                <w:div w:id="1992640005">
                  <w:marLeft w:val="0"/>
                  <w:marRight w:val="0"/>
                  <w:marTop w:val="0"/>
                  <w:marBottom w:val="0"/>
                  <w:divBdr>
                    <w:top w:val="none" w:sz="0" w:space="0" w:color="auto"/>
                    <w:left w:val="none" w:sz="0" w:space="0" w:color="auto"/>
                    <w:bottom w:val="none" w:sz="0" w:space="0" w:color="auto"/>
                    <w:right w:val="none" w:sz="0" w:space="0" w:color="auto"/>
                  </w:divBdr>
                </w:div>
              </w:divsChild>
            </w:div>
            <w:div w:id="2014063549">
              <w:marLeft w:val="0"/>
              <w:marRight w:val="0"/>
              <w:marTop w:val="0"/>
              <w:marBottom w:val="0"/>
              <w:divBdr>
                <w:top w:val="none" w:sz="0" w:space="0" w:color="auto"/>
                <w:left w:val="none" w:sz="0" w:space="0" w:color="auto"/>
                <w:bottom w:val="none" w:sz="0" w:space="0" w:color="auto"/>
                <w:right w:val="none" w:sz="0" w:space="0" w:color="auto"/>
              </w:divBdr>
              <w:divsChild>
                <w:div w:id="892540305">
                  <w:marLeft w:val="0"/>
                  <w:marRight w:val="0"/>
                  <w:marTop w:val="0"/>
                  <w:marBottom w:val="0"/>
                  <w:divBdr>
                    <w:top w:val="none" w:sz="0" w:space="0" w:color="auto"/>
                    <w:left w:val="none" w:sz="0" w:space="0" w:color="auto"/>
                    <w:bottom w:val="none" w:sz="0" w:space="0" w:color="auto"/>
                    <w:right w:val="none" w:sz="0" w:space="0" w:color="auto"/>
                  </w:divBdr>
                </w:div>
              </w:divsChild>
            </w:div>
            <w:div w:id="2009823353">
              <w:marLeft w:val="0"/>
              <w:marRight w:val="0"/>
              <w:marTop w:val="0"/>
              <w:marBottom w:val="0"/>
              <w:divBdr>
                <w:top w:val="none" w:sz="0" w:space="0" w:color="auto"/>
                <w:left w:val="none" w:sz="0" w:space="0" w:color="auto"/>
                <w:bottom w:val="none" w:sz="0" w:space="0" w:color="auto"/>
                <w:right w:val="none" w:sz="0" w:space="0" w:color="auto"/>
              </w:divBdr>
              <w:divsChild>
                <w:div w:id="40832671">
                  <w:marLeft w:val="0"/>
                  <w:marRight w:val="0"/>
                  <w:marTop w:val="0"/>
                  <w:marBottom w:val="0"/>
                  <w:divBdr>
                    <w:top w:val="none" w:sz="0" w:space="0" w:color="auto"/>
                    <w:left w:val="none" w:sz="0" w:space="0" w:color="auto"/>
                    <w:bottom w:val="none" w:sz="0" w:space="0" w:color="auto"/>
                    <w:right w:val="none" w:sz="0" w:space="0" w:color="auto"/>
                  </w:divBdr>
                </w:div>
              </w:divsChild>
            </w:div>
            <w:div w:id="726026702">
              <w:marLeft w:val="0"/>
              <w:marRight w:val="0"/>
              <w:marTop w:val="0"/>
              <w:marBottom w:val="0"/>
              <w:divBdr>
                <w:top w:val="none" w:sz="0" w:space="0" w:color="auto"/>
                <w:left w:val="none" w:sz="0" w:space="0" w:color="auto"/>
                <w:bottom w:val="none" w:sz="0" w:space="0" w:color="auto"/>
                <w:right w:val="none" w:sz="0" w:space="0" w:color="auto"/>
              </w:divBdr>
              <w:divsChild>
                <w:div w:id="1899245532">
                  <w:marLeft w:val="0"/>
                  <w:marRight w:val="0"/>
                  <w:marTop w:val="0"/>
                  <w:marBottom w:val="0"/>
                  <w:divBdr>
                    <w:top w:val="none" w:sz="0" w:space="0" w:color="auto"/>
                    <w:left w:val="none" w:sz="0" w:space="0" w:color="auto"/>
                    <w:bottom w:val="none" w:sz="0" w:space="0" w:color="auto"/>
                    <w:right w:val="none" w:sz="0" w:space="0" w:color="auto"/>
                  </w:divBdr>
                </w:div>
              </w:divsChild>
            </w:div>
            <w:div w:id="340088552">
              <w:marLeft w:val="0"/>
              <w:marRight w:val="0"/>
              <w:marTop w:val="0"/>
              <w:marBottom w:val="0"/>
              <w:divBdr>
                <w:top w:val="none" w:sz="0" w:space="0" w:color="auto"/>
                <w:left w:val="none" w:sz="0" w:space="0" w:color="auto"/>
                <w:bottom w:val="none" w:sz="0" w:space="0" w:color="auto"/>
                <w:right w:val="none" w:sz="0" w:space="0" w:color="auto"/>
              </w:divBdr>
              <w:divsChild>
                <w:div w:id="53898281">
                  <w:marLeft w:val="0"/>
                  <w:marRight w:val="0"/>
                  <w:marTop w:val="0"/>
                  <w:marBottom w:val="0"/>
                  <w:divBdr>
                    <w:top w:val="none" w:sz="0" w:space="0" w:color="auto"/>
                    <w:left w:val="none" w:sz="0" w:space="0" w:color="auto"/>
                    <w:bottom w:val="none" w:sz="0" w:space="0" w:color="auto"/>
                    <w:right w:val="none" w:sz="0" w:space="0" w:color="auto"/>
                  </w:divBdr>
                </w:div>
              </w:divsChild>
            </w:div>
            <w:div w:id="822508667">
              <w:marLeft w:val="0"/>
              <w:marRight w:val="0"/>
              <w:marTop w:val="0"/>
              <w:marBottom w:val="0"/>
              <w:divBdr>
                <w:top w:val="none" w:sz="0" w:space="0" w:color="auto"/>
                <w:left w:val="none" w:sz="0" w:space="0" w:color="auto"/>
                <w:bottom w:val="none" w:sz="0" w:space="0" w:color="auto"/>
                <w:right w:val="none" w:sz="0" w:space="0" w:color="auto"/>
              </w:divBdr>
              <w:divsChild>
                <w:div w:id="2019842165">
                  <w:marLeft w:val="0"/>
                  <w:marRight w:val="0"/>
                  <w:marTop w:val="0"/>
                  <w:marBottom w:val="0"/>
                  <w:divBdr>
                    <w:top w:val="none" w:sz="0" w:space="0" w:color="auto"/>
                    <w:left w:val="none" w:sz="0" w:space="0" w:color="auto"/>
                    <w:bottom w:val="none" w:sz="0" w:space="0" w:color="auto"/>
                    <w:right w:val="none" w:sz="0" w:space="0" w:color="auto"/>
                  </w:divBdr>
                </w:div>
              </w:divsChild>
            </w:div>
            <w:div w:id="247688807">
              <w:marLeft w:val="0"/>
              <w:marRight w:val="0"/>
              <w:marTop w:val="0"/>
              <w:marBottom w:val="0"/>
              <w:divBdr>
                <w:top w:val="none" w:sz="0" w:space="0" w:color="auto"/>
                <w:left w:val="none" w:sz="0" w:space="0" w:color="auto"/>
                <w:bottom w:val="none" w:sz="0" w:space="0" w:color="auto"/>
                <w:right w:val="none" w:sz="0" w:space="0" w:color="auto"/>
              </w:divBdr>
              <w:divsChild>
                <w:div w:id="661812389">
                  <w:marLeft w:val="0"/>
                  <w:marRight w:val="0"/>
                  <w:marTop w:val="0"/>
                  <w:marBottom w:val="0"/>
                  <w:divBdr>
                    <w:top w:val="none" w:sz="0" w:space="0" w:color="auto"/>
                    <w:left w:val="none" w:sz="0" w:space="0" w:color="auto"/>
                    <w:bottom w:val="none" w:sz="0" w:space="0" w:color="auto"/>
                    <w:right w:val="none" w:sz="0" w:space="0" w:color="auto"/>
                  </w:divBdr>
                </w:div>
              </w:divsChild>
            </w:div>
            <w:div w:id="908728653">
              <w:marLeft w:val="0"/>
              <w:marRight w:val="0"/>
              <w:marTop w:val="0"/>
              <w:marBottom w:val="0"/>
              <w:divBdr>
                <w:top w:val="none" w:sz="0" w:space="0" w:color="auto"/>
                <w:left w:val="none" w:sz="0" w:space="0" w:color="auto"/>
                <w:bottom w:val="none" w:sz="0" w:space="0" w:color="auto"/>
                <w:right w:val="none" w:sz="0" w:space="0" w:color="auto"/>
              </w:divBdr>
              <w:divsChild>
                <w:div w:id="209268233">
                  <w:marLeft w:val="0"/>
                  <w:marRight w:val="0"/>
                  <w:marTop w:val="0"/>
                  <w:marBottom w:val="0"/>
                  <w:divBdr>
                    <w:top w:val="none" w:sz="0" w:space="0" w:color="auto"/>
                    <w:left w:val="none" w:sz="0" w:space="0" w:color="auto"/>
                    <w:bottom w:val="none" w:sz="0" w:space="0" w:color="auto"/>
                    <w:right w:val="none" w:sz="0" w:space="0" w:color="auto"/>
                  </w:divBdr>
                </w:div>
              </w:divsChild>
            </w:div>
            <w:div w:id="2135176952">
              <w:marLeft w:val="0"/>
              <w:marRight w:val="0"/>
              <w:marTop w:val="0"/>
              <w:marBottom w:val="0"/>
              <w:divBdr>
                <w:top w:val="none" w:sz="0" w:space="0" w:color="auto"/>
                <w:left w:val="none" w:sz="0" w:space="0" w:color="auto"/>
                <w:bottom w:val="none" w:sz="0" w:space="0" w:color="auto"/>
                <w:right w:val="none" w:sz="0" w:space="0" w:color="auto"/>
              </w:divBdr>
              <w:divsChild>
                <w:div w:id="700326691">
                  <w:marLeft w:val="0"/>
                  <w:marRight w:val="0"/>
                  <w:marTop w:val="0"/>
                  <w:marBottom w:val="0"/>
                  <w:divBdr>
                    <w:top w:val="none" w:sz="0" w:space="0" w:color="auto"/>
                    <w:left w:val="none" w:sz="0" w:space="0" w:color="auto"/>
                    <w:bottom w:val="none" w:sz="0" w:space="0" w:color="auto"/>
                    <w:right w:val="none" w:sz="0" w:space="0" w:color="auto"/>
                  </w:divBdr>
                </w:div>
              </w:divsChild>
            </w:div>
            <w:div w:id="1985313658">
              <w:marLeft w:val="0"/>
              <w:marRight w:val="0"/>
              <w:marTop w:val="0"/>
              <w:marBottom w:val="0"/>
              <w:divBdr>
                <w:top w:val="none" w:sz="0" w:space="0" w:color="auto"/>
                <w:left w:val="none" w:sz="0" w:space="0" w:color="auto"/>
                <w:bottom w:val="none" w:sz="0" w:space="0" w:color="auto"/>
                <w:right w:val="none" w:sz="0" w:space="0" w:color="auto"/>
              </w:divBdr>
              <w:divsChild>
                <w:div w:id="1308047367">
                  <w:marLeft w:val="0"/>
                  <w:marRight w:val="0"/>
                  <w:marTop w:val="0"/>
                  <w:marBottom w:val="0"/>
                  <w:divBdr>
                    <w:top w:val="none" w:sz="0" w:space="0" w:color="auto"/>
                    <w:left w:val="none" w:sz="0" w:space="0" w:color="auto"/>
                    <w:bottom w:val="none" w:sz="0" w:space="0" w:color="auto"/>
                    <w:right w:val="none" w:sz="0" w:space="0" w:color="auto"/>
                  </w:divBdr>
                </w:div>
              </w:divsChild>
            </w:div>
            <w:div w:id="1453327916">
              <w:marLeft w:val="0"/>
              <w:marRight w:val="0"/>
              <w:marTop w:val="0"/>
              <w:marBottom w:val="0"/>
              <w:divBdr>
                <w:top w:val="none" w:sz="0" w:space="0" w:color="auto"/>
                <w:left w:val="none" w:sz="0" w:space="0" w:color="auto"/>
                <w:bottom w:val="none" w:sz="0" w:space="0" w:color="auto"/>
                <w:right w:val="none" w:sz="0" w:space="0" w:color="auto"/>
              </w:divBdr>
              <w:divsChild>
                <w:div w:id="835076660">
                  <w:marLeft w:val="0"/>
                  <w:marRight w:val="0"/>
                  <w:marTop w:val="0"/>
                  <w:marBottom w:val="0"/>
                  <w:divBdr>
                    <w:top w:val="none" w:sz="0" w:space="0" w:color="auto"/>
                    <w:left w:val="none" w:sz="0" w:space="0" w:color="auto"/>
                    <w:bottom w:val="none" w:sz="0" w:space="0" w:color="auto"/>
                    <w:right w:val="none" w:sz="0" w:space="0" w:color="auto"/>
                  </w:divBdr>
                </w:div>
              </w:divsChild>
            </w:div>
            <w:div w:id="821772414">
              <w:marLeft w:val="0"/>
              <w:marRight w:val="0"/>
              <w:marTop w:val="0"/>
              <w:marBottom w:val="0"/>
              <w:divBdr>
                <w:top w:val="none" w:sz="0" w:space="0" w:color="auto"/>
                <w:left w:val="none" w:sz="0" w:space="0" w:color="auto"/>
                <w:bottom w:val="none" w:sz="0" w:space="0" w:color="auto"/>
                <w:right w:val="none" w:sz="0" w:space="0" w:color="auto"/>
              </w:divBdr>
              <w:divsChild>
                <w:div w:id="1269048704">
                  <w:marLeft w:val="0"/>
                  <w:marRight w:val="0"/>
                  <w:marTop w:val="0"/>
                  <w:marBottom w:val="0"/>
                  <w:divBdr>
                    <w:top w:val="none" w:sz="0" w:space="0" w:color="auto"/>
                    <w:left w:val="none" w:sz="0" w:space="0" w:color="auto"/>
                    <w:bottom w:val="none" w:sz="0" w:space="0" w:color="auto"/>
                    <w:right w:val="none" w:sz="0" w:space="0" w:color="auto"/>
                  </w:divBdr>
                </w:div>
              </w:divsChild>
            </w:div>
            <w:div w:id="1161041019">
              <w:marLeft w:val="0"/>
              <w:marRight w:val="0"/>
              <w:marTop w:val="0"/>
              <w:marBottom w:val="0"/>
              <w:divBdr>
                <w:top w:val="none" w:sz="0" w:space="0" w:color="auto"/>
                <w:left w:val="none" w:sz="0" w:space="0" w:color="auto"/>
                <w:bottom w:val="none" w:sz="0" w:space="0" w:color="auto"/>
                <w:right w:val="none" w:sz="0" w:space="0" w:color="auto"/>
              </w:divBdr>
              <w:divsChild>
                <w:div w:id="1236010827">
                  <w:marLeft w:val="0"/>
                  <w:marRight w:val="0"/>
                  <w:marTop w:val="0"/>
                  <w:marBottom w:val="0"/>
                  <w:divBdr>
                    <w:top w:val="none" w:sz="0" w:space="0" w:color="auto"/>
                    <w:left w:val="none" w:sz="0" w:space="0" w:color="auto"/>
                    <w:bottom w:val="none" w:sz="0" w:space="0" w:color="auto"/>
                    <w:right w:val="none" w:sz="0" w:space="0" w:color="auto"/>
                  </w:divBdr>
                </w:div>
              </w:divsChild>
            </w:div>
            <w:div w:id="351420368">
              <w:marLeft w:val="0"/>
              <w:marRight w:val="0"/>
              <w:marTop w:val="0"/>
              <w:marBottom w:val="0"/>
              <w:divBdr>
                <w:top w:val="none" w:sz="0" w:space="0" w:color="auto"/>
                <w:left w:val="none" w:sz="0" w:space="0" w:color="auto"/>
                <w:bottom w:val="none" w:sz="0" w:space="0" w:color="auto"/>
                <w:right w:val="none" w:sz="0" w:space="0" w:color="auto"/>
              </w:divBdr>
              <w:divsChild>
                <w:div w:id="1289168352">
                  <w:marLeft w:val="0"/>
                  <w:marRight w:val="0"/>
                  <w:marTop w:val="0"/>
                  <w:marBottom w:val="0"/>
                  <w:divBdr>
                    <w:top w:val="none" w:sz="0" w:space="0" w:color="auto"/>
                    <w:left w:val="none" w:sz="0" w:space="0" w:color="auto"/>
                    <w:bottom w:val="none" w:sz="0" w:space="0" w:color="auto"/>
                    <w:right w:val="none" w:sz="0" w:space="0" w:color="auto"/>
                  </w:divBdr>
                </w:div>
              </w:divsChild>
            </w:div>
            <w:div w:id="83847520">
              <w:marLeft w:val="0"/>
              <w:marRight w:val="0"/>
              <w:marTop w:val="0"/>
              <w:marBottom w:val="0"/>
              <w:divBdr>
                <w:top w:val="none" w:sz="0" w:space="0" w:color="auto"/>
                <w:left w:val="none" w:sz="0" w:space="0" w:color="auto"/>
                <w:bottom w:val="none" w:sz="0" w:space="0" w:color="auto"/>
                <w:right w:val="none" w:sz="0" w:space="0" w:color="auto"/>
              </w:divBdr>
              <w:divsChild>
                <w:div w:id="425157786">
                  <w:marLeft w:val="0"/>
                  <w:marRight w:val="0"/>
                  <w:marTop w:val="0"/>
                  <w:marBottom w:val="0"/>
                  <w:divBdr>
                    <w:top w:val="none" w:sz="0" w:space="0" w:color="auto"/>
                    <w:left w:val="none" w:sz="0" w:space="0" w:color="auto"/>
                    <w:bottom w:val="none" w:sz="0" w:space="0" w:color="auto"/>
                    <w:right w:val="none" w:sz="0" w:space="0" w:color="auto"/>
                  </w:divBdr>
                </w:div>
              </w:divsChild>
            </w:div>
            <w:div w:id="1309827022">
              <w:marLeft w:val="0"/>
              <w:marRight w:val="0"/>
              <w:marTop w:val="0"/>
              <w:marBottom w:val="0"/>
              <w:divBdr>
                <w:top w:val="none" w:sz="0" w:space="0" w:color="auto"/>
                <w:left w:val="none" w:sz="0" w:space="0" w:color="auto"/>
                <w:bottom w:val="none" w:sz="0" w:space="0" w:color="auto"/>
                <w:right w:val="none" w:sz="0" w:space="0" w:color="auto"/>
              </w:divBdr>
              <w:divsChild>
                <w:div w:id="536163293">
                  <w:marLeft w:val="0"/>
                  <w:marRight w:val="0"/>
                  <w:marTop w:val="0"/>
                  <w:marBottom w:val="0"/>
                  <w:divBdr>
                    <w:top w:val="none" w:sz="0" w:space="0" w:color="auto"/>
                    <w:left w:val="none" w:sz="0" w:space="0" w:color="auto"/>
                    <w:bottom w:val="none" w:sz="0" w:space="0" w:color="auto"/>
                    <w:right w:val="none" w:sz="0" w:space="0" w:color="auto"/>
                  </w:divBdr>
                </w:div>
              </w:divsChild>
            </w:div>
            <w:div w:id="55511652">
              <w:marLeft w:val="0"/>
              <w:marRight w:val="0"/>
              <w:marTop w:val="0"/>
              <w:marBottom w:val="0"/>
              <w:divBdr>
                <w:top w:val="none" w:sz="0" w:space="0" w:color="auto"/>
                <w:left w:val="none" w:sz="0" w:space="0" w:color="auto"/>
                <w:bottom w:val="none" w:sz="0" w:space="0" w:color="auto"/>
                <w:right w:val="none" w:sz="0" w:space="0" w:color="auto"/>
              </w:divBdr>
              <w:divsChild>
                <w:div w:id="223956243">
                  <w:marLeft w:val="0"/>
                  <w:marRight w:val="0"/>
                  <w:marTop w:val="0"/>
                  <w:marBottom w:val="0"/>
                  <w:divBdr>
                    <w:top w:val="none" w:sz="0" w:space="0" w:color="auto"/>
                    <w:left w:val="none" w:sz="0" w:space="0" w:color="auto"/>
                    <w:bottom w:val="none" w:sz="0" w:space="0" w:color="auto"/>
                    <w:right w:val="none" w:sz="0" w:space="0" w:color="auto"/>
                  </w:divBdr>
                </w:div>
              </w:divsChild>
            </w:div>
            <w:div w:id="16975957">
              <w:marLeft w:val="0"/>
              <w:marRight w:val="0"/>
              <w:marTop w:val="0"/>
              <w:marBottom w:val="0"/>
              <w:divBdr>
                <w:top w:val="none" w:sz="0" w:space="0" w:color="auto"/>
                <w:left w:val="none" w:sz="0" w:space="0" w:color="auto"/>
                <w:bottom w:val="none" w:sz="0" w:space="0" w:color="auto"/>
                <w:right w:val="none" w:sz="0" w:space="0" w:color="auto"/>
              </w:divBdr>
              <w:divsChild>
                <w:div w:id="507598894">
                  <w:marLeft w:val="0"/>
                  <w:marRight w:val="0"/>
                  <w:marTop w:val="0"/>
                  <w:marBottom w:val="0"/>
                  <w:divBdr>
                    <w:top w:val="none" w:sz="0" w:space="0" w:color="auto"/>
                    <w:left w:val="none" w:sz="0" w:space="0" w:color="auto"/>
                    <w:bottom w:val="none" w:sz="0" w:space="0" w:color="auto"/>
                    <w:right w:val="none" w:sz="0" w:space="0" w:color="auto"/>
                  </w:divBdr>
                </w:div>
              </w:divsChild>
            </w:div>
            <w:div w:id="1054962624">
              <w:marLeft w:val="0"/>
              <w:marRight w:val="0"/>
              <w:marTop w:val="0"/>
              <w:marBottom w:val="0"/>
              <w:divBdr>
                <w:top w:val="none" w:sz="0" w:space="0" w:color="auto"/>
                <w:left w:val="none" w:sz="0" w:space="0" w:color="auto"/>
                <w:bottom w:val="none" w:sz="0" w:space="0" w:color="auto"/>
                <w:right w:val="none" w:sz="0" w:space="0" w:color="auto"/>
              </w:divBdr>
              <w:divsChild>
                <w:div w:id="641352110">
                  <w:marLeft w:val="0"/>
                  <w:marRight w:val="0"/>
                  <w:marTop w:val="0"/>
                  <w:marBottom w:val="0"/>
                  <w:divBdr>
                    <w:top w:val="none" w:sz="0" w:space="0" w:color="auto"/>
                    <w:left w:val="none" w:sz="0" w:space="0" w:color="auto"/>
                    <w:bottom w:val="none" w:sz="0" w:space="0" w:color="auto"/>
                    <w:right w:val="none" w:sz="0" w:space="0" w:color="auto"/>
                  </w:divBdr>
                </w:div>
              </w:divsChild>
            </w:div>
            <w:div w:id="763114013">
              <w:marLeft w:val="0"/>
              <w:marRight w:val="0"/>
              <w:marTop w:val="0"/>
              <w:marBottom w:val="0"/>
              <w:divBdr>
                <w:top w:val="none" w:sz="0" w:space="0" w:color="auto"/>
                <w:left w:val="none" w:sz="0" w:space="0" w:color="auto"/>
                <w:bottom w:val="none" w:sz="0" w:space="0" w:color="auto"/>
                <w:right w:val="none" w:sz="0" w:space="0" w:color="auto"/>
              </w:divBdr>
              <w:divsChild>
                <w:div w:id="9043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42423">
          <w:marLeft w:val="0"/>
          <w:marRight w:val="0"/>
          <w:marTop w:val="0"/>
          <w:marBottom w:val="600"/>
          <w:divBdr>
            <w:top w:val="none" w:sz="0" w:space="0" w:color="auto"/>
            <w:left w:val="none" w:sz="0" w:space="0" w:color="auto"/>
            <w:bottom w:val="none" w:sz="0" w:space="0" w:color="auto"/>
            <w:right w:val="none" w:sz="0" w:space="0" w:color="auto"/>
          </w:divBdr>
        </w:div>
      </w:divsChild>
    </w:div>
    <w:div w:id="39407396">
      <w:marLeft w:val="0"/>
      <w:marRight w:val="0"/>
      <w:marTop w:val="0"/>
      <w:marBottom w:val="0"/>
      <w:divBdr>
        <w:top w:val="none" w:sz="0" w:space="0" w:color="auto"/>
        <w:left w:val="none" w:sz="0" w:space="0" w:color="auto"/>
        <w:bottom w:val="none" w:sz="0" w:space="0" w:color="auto"/>
        <w:right w:val="none" w:sz="0" w:space="0" w:color="auto"/>
      </w:divBdr>
      <w:divsChild>
        <w:div w:id="2024472882">
          <w:marLeft w:val="0"/>
          <w:marRight w:val="0"/>
          <w:marTop w:val="547"/>
          <w:marBottom w:val="0"/>
          <w:divBdr>
            <w:top w:val="none" w:sz="0" w:space="0" w:color="auto"/>
            <w:left w:val="none" w:sz="0" w:space="0" w:color="auto"/>
            <w:bottom w:val="none" w:sz="0" w:space="0" w:color="auto"/>
            <w:right w:val="none" w:sz="0" w:space="0" w:color="auto"/>
          </w:divBdr>
        </w:div>
        <w:div w:id="1810170104">
          <w:marLeft w:val="0"/>
          <w:marRight w:val="0"/>
          <w:marTop w:val="0"/>
          <w:marBottom w:val="0"/>
          <w:divBdr>
            <w:top w:val="none" w:sz="0" w:space="0" w:color="auto"/>
            <w:left w:val="none" w:sz="0" w:space="0" w:color="auto"/>
            <w:bottom w:val="none" w:sz="0" w:space="0" w:color="auto"/>
            <w:right w:val="none" w:sz="0" w:space="0" w:color="auto"/>
          </w:divBdr>
        </w:div>
        <w:div w:id="1015421854">
          <w:marLeft w:val="0"/>
          <w:marRight w:val="0"/>
          <w:marTop w:val="0"/>
          <w:marBottom w:val="600"/>
          <w:divBdr>
            <w:top w:val="none" w:sz="0" w:space="0" w:color="auto"/>
            <w:left w:val="none" w:sz="0" w:space="0" w:color="auto"/>
            <w:bottom w:val="none" w:sz="0" w:space="0" w:color="auto"/>
            <w:right w:val="none" w:sz="0" w:space="0" w:color="auto"/>
          </w:divBdr>
        </w:div>
      </w:divsChild>
    </w:div>
    <w:div w:id="60759541">
      <w:marLeft w:val="0"/>
      <w:marRight w:val="0"/>
      <w:marTop w:val="0"/>
      <w:marBottom w:val="0"/>
      <w:divBdr>
        <w:top w:val="none" w:sz="0" w:space="0" w:color="auto"/>
        <w:left w:val="none" w:sz="0" w:space="0" w:color="auto"/>
        <w:bottom w:val="none" w:sz="0" w:space="0" w:color="auto"/>
        <w:right w:val="none" w:sz="0" w:space="0" w:color="auto"/>
      </w:divBdr>
      <w:divsChild>
        <w:div w:id="115566623">
          <w:marLeft w:val="0"/>
          <w:marRight w:val="0"/>
          <w:marTop w:val="547"/>
          <w:marBottom w:val="0"/>
          <w:divBdr>
            <w:top w:val="none" w:sz="0" w:space="0" w:color="auto"/>
            <w:left w:val="none" w:sz="0" w:space="0" w:color="auto"/>
            <w:bottom w:val="none" w:sz="0" w:space="0" w:color="auto"/>
            <w:right w:val="none" w:sz="0" w:space="0" w:color="auto"/>
          </w:divBdr>
        </w:div>
        <w:div w:id="699549984">
          <w:marLeft w:val="0"/>
          <w:marRight w:val="0"/>
          <w:marTop w:val="0"/>
          <w:marBottom w:val="0"/>
          <w:divBdr>
            <w:top w:val="none" w:sz="0" w:space="0" w:color="auto"/>
            <w:left w:val="none" w:sz="0" w:space="0" w:color="auto"/>
            <w:bottom w:val="none" w:sz="0" w:space="0" w:color="auto"/>
            <w:right w:val="none" w:sz="0" w:space="0" w:color="auto"/>
          </w:divBdr>
          <w:divsChild>
            <w:div w:id="1485009833">
              <w:marLeft w:val="0"/>
              <w:marRight w:val="0"/>
              <w:marTop w:val="0"/>
              <w:marBottom w:val="0"/>
              <w:divBdr>
                <w:top w:val="none" w:sz="0" w:space="0" w:color="auto"/>
                <w:left w:val="none" w:sz="0" w:space="0" w:color="auto"/>
                <w:bottom w:val="none" w:sz="0" w:space="0" w:color="auto"/>
                <w:right w:val="none" w:sz="0" w:space="0" w:color="auto"/>
              </w:divBdr>
              <w:divsChild>
                <w:div w:id="187446802">
                  <w:marLeft w:val="0"/>
                  <w:marRight w:val="0"/>
                  <w:marTop w:val="0"/>
                  <w:marBottom w:val="0"/>
                  <w:divBdr>
                    <w:top w:val="none" w:sz="0" w:space="0" w:color="auto"/>
                    <w:left w:val="none" w:sz="0" w:space="0" w:color="auto"/>
                    <w:bottom w:val="none" w:sz="0" w:space="0" w:color="auto"/>
                    <w:right w:val="none" w:sz="0" w:space="0" w:color="auto"/>
                  </w:divBdr>
                </w:div>
              </w:divsChild>
            </w:div>
            <w:div w:id="1467314636">
              <w:marLeft w:val="0"/>
              <w:marRight w:val="0"/>
              <w:marTop w:val="0"/>
              <w:marBottom w:val="0"/>
              <w:divBdr>
                <w:top w:val="none" w:sz="0" w:space="0" w:color="auto"/>
                <w:left w:val="none" w:sz="0" w:space="0" w:color="auto"/>
                <w:bottom w:val="none" w:sz="0" w:space="0" w:color="auto"/>
                <w:right w:val="none" w:sz="0" w:space="0" w:color="auto"/>
              </w:divBdr>
              <w:divsChild>
                <w:div w:id="1404110704">
                  <w:marLeft w:val="0"/>
                  <w:marRight w:val="0"/>
                  <w:marTop w:val="0"/>
                  <w:marBottom w:val="0"/>
                  <w:divBdr>
                    <w:top w:val="none" w:sz="0" w:space="0" w:color="auto"/>
                    <w:left w:val="none" w:sz="0" w:space="0" w:color="auto"/>
                    <w:bottom w:val="none" w:sz="0" w:space="0" w:color="auto"/>
                    <w:right w:val="none" w:sz="0" w:space="0" w:color="auto"/>
                  </w:divBdr>
                </w:div>
              </w:divsChild>
            </w:div>
            <w:div w:id="896866533">
              <w:marLeft w:val="0"/>
              <w:marRight w:val="0"/>
              <w:marTop w:val="0"/>
              <w:marBottom w:val="0"/>
              <w:divBdr>
                <w:top w:val="none" w:sz="0" w:space="0" w:color="auto"/>
                <w:left w:val="none" w:sz="0" w:space="0" w:color="auto"/>
                <w:bottom w:val="none" w:sz="0" w:space="0" w:color="auto"/>
                <w:right w:val="none" w:sz="0" w:space="0" w:color="auto"/>
              </w:divBdr>
              <w:divsChild>
                <w:div w:id="1210335281">
                  <w:marLeft w:val="0"/>
                  <w:marRight w:val="0"/>
                  <w:marTop w:val="0"/>
                  <w:marBottom w:val="0"/>
                  <w:divBdr>
                    <w:top w:val="none" w:sz="0" w:space="0" w:color="auto"/>
                    <w:left w:val="none" w:sz="0" w:space="0" w:color="auto"/>
                    <w:bottom w:val="none" w:sz="0" w:space="0" w:color="auto"/>
                    <w:right w:val="none" w:sz="0" w:space="0" w:color="auto"/>
                  </w:divBdr>
                </w:div>
              </w:divsChild>
            </w:div>
            <w:div w:id="1947150423">
              <w:marLeft w:val="0"/>
              <w:marRight w:val="0"/>
              <w:marTop w:val="0"/>
              <w:marBottom w:val="0"/>
              <w:divBdr>
                <w:top w:val="none" w:sz="0" w:space="0" w:color="auto"/>
                <w:left w:val="none" w:sz="0" w:space="0" w:color="auto"/>
                <w:bottom w:val="none" w:sz="0" w:space="0" w:color="auto"/>
                <w:right w:val="none" w:sz="0" w:space="0" w:color="auto"/>
              </w:divBdr>
              <w:divsChild>
                <w:div w:id="379088460">
                  <w:marLeft w:val="0"/>
                  <w:marRight w:val="0"/>
                  <w:marTop w:val="0"/>
                  <w:marBottom w:val="0"/>
                  <w:divBdr>
                    <w:top w:val="none" w:sz="0" w:space="0" w:color="auto"/>
                    <w:left w:val="none" w:sz="0" w:space="0" w:color="auto"/>
                    <w:bottom w:val="none" w:sz="0" w:space="0" w:color="auto"/>
                    <w:right w:val="none" w:sz="0" w:space="0" w:color="auto"/>
                  </w:divBdr>
                </w:div>
              </w:divsChild>
            </w:div>
            <w:div w:id="524707739">
              <w:marLeft w:val="0"/>
              <w:marRight w:val="0"/>
              <w:marTop w:val="0"/>
              <w:marBottom w:val="0"/>
              <w:divBdr>
                <w:top w:val="none" w:sz="0" w:space="0" w:color="auto"/>
                <w:left w:val="none" w:sz="0" w:space="0" w:color="auto"/>
                <w:bottom w:val="none" w:sz="0" w:space="0" w:color="auto"/>
                <w:right w:val="none" w:sz="0" w:space="0" w:color="auto"/>
              </w:divBdr>
              <w:divsChild>
                <w:div w:id="529924457">
                  <w:marLeft w:val="0"/>
                  <w:marRight w:val="0"/>
                  <w:marTop w:val="0"/>
                  <w:marBottom w:val="0"/>
                  <w:divBdr>
                    <w:top w:val="none" w:sz="0" w:space="0" w:color="auto"/>
                    <w:left w:val="none" w:sz="0" w:space="0" w:color="auto"/>
                    <w:bottom w:val="none" w:sz="0" w:space="0" w:color="auto"/>
                    <w:right w:val="none" w:sz="0" w:space="0" w:color="auto"/>
                  </w:divBdr>
                </w:div>
              </w:divsChild>
            </w:div>
            <w:div w:id="1304697102">
              <w:marLeft w:val="0"/>
              <w:marRight w:val="0"/>
              <w:marTop w:val="0"/>
              <w:marBottom w:val="0"/>
              <w:divBdr>
                <w:top w:val="none" w:sz="0" w:space="0" w:color="auto"/>
                <w:left w:val="none" w:sz="0" w:space="0" w:color="auto"/>
                <w:bottom w:val="none" w:sz="0" w:space="0" w:color="auto"/>
                <w:right w:val="none" w:sz="0" w:space="0" w:color="auto"/>
              </w:divBdr>
              <w:divsChild>
                <w:div w:id="1561280602">
                  <w:marLeft w:val="0"/>
                  <w:marRight w:val="0"/>
                  <w:marTop w:val="0"/>
                  <w:marBottom w:val="0"/>
                  <w:divBdr>
                    <w:top w:val="none" w:sz="0" w:space="0" w:color="auto"/>
                    <w:left w:val="none" w:sz="0" w:space="0" w:color="auto"/>
                    <w:bottom w:val="none" w:sz="0" w:space="0" w:color="auto"/>
                    <w:right w:val="none" w:sz="0" w:space="0" w:color="auto"/>
                  </w:divBdr>
                </w:div>
              </w:divsChild>
            </w:div>
            <w:div w:id="2003773084">
              <w:marLeft w:val="0"/>
              <w:marRight w:val="0"/>
              <w:marTop w:val="0"/>
              <w:marBottom w:val="0"/>
              <w:divBdr>
                <w:top w:val="none" w:sz="0" w:space="0" w:color="auto"/>
                <w:left w:val="none" w:sz="0" w:space="0" w:color="auto"/>
                <w:bottom w:val="none" w:sz="0" w:space="0" w:color="auto"/>
                <w:right w:val="none" w:sz="0" w:space="0" w:color="auto"/>
              </w:divBdr>
              <w:divsChild>
                <w:div w:id="127863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12920">
          <w:marLeft w:val="0"/>
          <w:marRight w:val="0"/>
          <w:marTop w:val="0"/>
          <w:marBottom w:val="600"/>
          <w:divBdr>
            <w:top w:val="none" w:sz="0" w:space="0" w:color="auto"/>
            <w:left w:val="none" w:sz="0" w:space="0" w:color="auto"/>
            <w:bottom w:val="none" w:sz="0" w:space="0" w:color="auto"/>
            <w:right w:val="none" w:sz="0" w:space="0" w:color="auto"/>
          </w:divBdr>
        </w:div>
      </w:divsChild>
    </w:div>
    <w:div w:id="135031335">
      <w:marLeft w:val="0"/>
      <w:marRight w:val="0"/>
      <w:marTop w:val="0"/>
      <w:marBottom w:val="0"/>
      <w:divBdr>
        <w:top w:val="none" w:sz="0" w:space="0" w:color="auto"/>
        <w:left w:val="none" w:sz="0" w:space="0" w:color="auto"/>
        <w:bottom w:val="none" w:sz="0" w:space="0" w:color="auto"/>
        <w:right w:val="none" w:sz="0" w:space="0" w:color="auto"/>
      </w:divBdr>
      <w:divsChild>
        <w:div w:id="1574965920">
          <w:marLeft w:val="0"/>
          <w:marRight w:val="0"/>
          <w:marTop w:val="547"/>
          <w:marBottom w:val="0"/>
          <w:divBdr>
            <w:top w:val="none" w:sz="0" w:space="0" w:color="auto"/>
            <w:left w:val="none" w:sz="0" w:space="0" w:color="auto"/>
            <w:bottom w:val="none" w:sz="0" w:space="0" w:color="auto"/>
            <w:right w:val="none" w:sz="0" w:space="0" w:color="auto"/>
          </w:divBdr>
        </w:div>
        <w:div w:id="1342702556">
          <w:marLeft w:val="0"/>
          <w:marRight w:val="0"/>
          <w:marTop w:val="0"/>
          <w:marBottom w:val="0"/>
          <w:divBdr>
            <w:top w:val="none" w:sz="0" w:space="0" w:color="auto"/>
            <w:left w:val="none" w:sz="0" w:space="0" w:color="auto"/>
            <w:bottom w:val="none" w:sz="0" w:space="0" w:color="auto"/>
            <w:right w:val="none" w:sz="0" w:space="0" w:color="auto"/>
          </w:divBdr>
          <w:divsChild>
            <w:div w:id="1366901978">
              <w:marLeft w:val="0"/>
              <w:marRight w:val="0"/>
              <w:marTop w:val="0"/>
              <w:marBottom w:val="0"/>
              <w:divBdr>
                <w:top w:val="none" w:sz="0" w:space="0" w:color="auto"/>
                <w:left w:val="none" w:sz="0" w:space="0" w:color="auto"/>
                <w:bottom w:val="none" w:sz="0" w:space="0" w:color="auto"/>
                <w:right w:val="none" w:sz="0" w:space="0" w:color="auto"/>
              </w:divBdr>
              <w:divsChild>
                <w:div w:id="271937122">
                  <w:marLeft w:val="0"/>
                  <w:marRight w:val="0"/>
                  <w:marTop w:val="0"/>
                  <w:marBottom w:val="0"/>
                  <w:divBdr>
                    <w:top w:val="none" w:sz="0" w:space="0" w:color="auto"/>
                    <w:left w:val="none" w:sz="0" w:space="0" w:color="auto"/>
                    <w:bottom w:val="none" w:sz="0" w:space="0" w:color="auto"/>
                    <w:right w:val="none" w:sz="0" w:space="0" w:color="auto"/>
                  </w:divBdr>
                </w:div>
              </w:divsChild>
            </w:div>
            <w:div w:id="762267133">
              <w:marLeft w:val="0"/>
              <w:marRight w:val="0"/>
              <w:marTop w:val="0"/>
              <w:marBottom w:val="0"/>
              <w:divBdr>
                <w:top w:val="none" w:sz="0" w:space="0" w:color="auto"/>
                <w:left w:val="none" w:sz="0" w:space="0" w:color="auto"/>
                <w:bottom w:val="none" w:sz="0" w:space="0" w:color="auto"/>
                <w:right w:val="none" w:sz="0" w:space="0" w:color="auto"/>
              </w:divBdr>
              <w:divsChild>
                <w:div w:id="1821967705">
                  <w:marLeft w:val="0"/>
                  <w:marRight w:val="0"/>
                  <w:marTop w:val="0"/>
                  <w:marBottom w:val="0"/>
                  <w:divBdr>
                    <w:top w:val="none" w:sz="0" w:space="0" w:color="auto"/>
                    <w:left w:val="none" w:sz="0" w:space="0" w:color="auto"/>
                    <w:bottom w:val="none" w:sz="0" w:space="0" w:color="auto"/>
                    <w:right w:val="none" w:sz="0" w:space="0" w:color="auto"/>
                  </w:divBdr>
                </w:div>
              </w:divsChild>
            </w:div>
            <w:div w:id="721749745">
              <w:marLeft w:val="0"/>
              <w:marRight w:val="0"/>
              <w:marTop w:val="0"/>
              <w:marBottom w:val="0"/>
              <w:divBdr>
                <w:top w:val="none" w:sz="0" w:space="0" w:color="auto"/>
                <w:left w:val="none" w:sz="0" w:space="0" w:color="auto"/>
                <w:bottom w:val="none" w:sz="0" w:space="0" w:color="auto"/>
                <w:right w:val="none" w:sz="0" w:space="0" w:color="auto"/>
              </w:divBdr>
              <w:divsChild>
                <w:div w:id="197008954">
                  <w:marLeft w:val="0"/>
                  <w:marRight w:val="0"/>
                  <w:marTop w:val="0"/>
                  <w:marBottom w:val="0"/>
                  <w:divBdr>
                    <w:top w:val="none" w:sz="0" w:space="0" w:color="auto"/>
                    <w:left w:val="none" w:sz="0" w:space="0" w:color="auto"/>
                    <w:bottom w:val="none" w:sz="0" w:space="0" w:color="auto"/>
                    <w:right w:val="none" w:sz="0" w:space="0" w:color="auto"/>
                  </w:divBdr>
                </w:div>
              </w:divsChild>
            </w:div>
            <w:div w:id="646134716">
              <w:marLeft w:val="0"/>
              <w:marRight w:val="0"/>
              <w:marTop w:val="0"/>
              <w:marBottom w:val="0"/>
              <w:divBdr>
                <w:top w:val="none" w:sz="0" w:space="0" w:color="auto"/>
                <w:left w:val="none" w:sz="0" w:space="0" w:color="auto"/>
                <w:bottom w:val="none" w:sz="0" w:space="0" w:color="auto"/>
                <w:right w:val="none" w:sz="0" w:space="0" w:color="auto"/>
              </w:divBdr>
              <w:divsChild>
                <w:div w:id="1164127049">
                  <w:marLeft w:val="0"/>
                  <w:marRight w:val="0"/>
                  <w:marTop w:val="0"/>
                  <w:marBottom w:val="0"/>
                  <w:divBdr>
                    <w:top w:val="none" w:sz="0" w:space="0" w:color="auto"/>
                    <w:left w:val="none" w:sz="0" w:space="0" w:color="auto"/>
                    <w:bottom w:val="none" w:sz="0" w:space="0" w:color="auto"/>
                    <w:right w:val="none" w:sz="0" w:space="0" w:color="auto"/>
                  </w:divBdr>
                </w:div>
              </w:divsChild>
            </w:div>
            <w:div w:id="83187458">
              <w:marLeft w:val="0"/>
              <w:marRight w:val="0"/>
              <w:marTop w:val="0"/>
              <w:marBottom w:val="0"/>
              <w:divBdr>
                <w:top w:val="none" w:sz="0" w:space="0" w:color="auto"/>
                <w:left w:val="none" w:sz="0" w:space="0" w:color="auto"/>
                <w:bottom w:val="none" w:sz="0" w:space="0" w:color="auto"/>
                <w:right w:val="none" w:sz="0" w:space="0" w:color="auto"/>
              </w:divBdr>
              <w:divsChild>
                <w:div w:id="1209875794">
                  <w:marLeft w:val="0"/>
                  <w:marRight w:val="0"/>
                  <w:marTop w:val="0"/>
                  <w:marBottom w:val="0"/>
                  <w:divBdr>
                    <w:top w:val="none" w:sz="0" w:space="0" w:color="auto"/>
                    <w:left w:val="none" w:sz="0" w:space="0" w:color="auto"/>
                    <w:bottom w:val="none" w:sz="0" w:space="0" w:color="auto"/>
                    <w:right w:val="none" w:sz="0" w:space="0" w:color="auto"/>
                  </w:divBdr>
                </w:div>
              </w:divsChild>
            </w:div>
            <w:div w:id="1978992403">
              <w:marLeft w:val="0"/>
              <w:marRight w:val="0"/>
              <w:marTop w:val="0"/>
              <w:marBottom w:val="0"/>
              <w:divBdr>
                <w:top w:val="none" w:sz="0" w:space="0" w:color="auto"/>
                <w:left w:val="none" w:sz="0" w:space="0" w:color="auto"/>
                <w:bottom w:val="none" w:sz="0" w:space="0" w:color="auto"/>
                <w:right w:val="none" w:sz="0" w:space="0" w:color="auto"/>
              </w:divBdr>
              <w:divsChild>
                <w:div w:id="55248906">
                  <w:marLeft w:val="0"/>
                  <w:marRight w:val="0"/>
                  <w:marTop w:val="0"/>
                  <w:marBottom w:val="0"/>
                  <w:divBdr>
                    <w:top w:val="none" w:sz="0" w:space="0" w:color="auto"/>
                    <w:left w:val="none" w:sz="0" w:space="0" w:color="auto"/>
                    <w:bottom w:val="none" w:sz="0" w:space="0" w:color="auto"/>
                    <w:right w:val="none" w:sz="0" w:space="0" w:color="auto"/>
                  </w:divBdr>
                </w:div>
              </w:divsChild>
            </w:div>
            <w:div w:id="735972724">
              <w:marLeft w:val="0"/>
              <w:marRight w:val="0"/>
              <w:marTop w:val="0"/>
              <w:marBottom w:val="0"/>
              <w:divBdr>
                <w:top w:val="none" w:sz="0" w:space="0" w:color="auto"/>
                <w:left w:val="none" w:sz="0" w:space="0" w:color="auto"/>
                <w:bottom w:val="none" w:sz="0" w:space="0" w:color="auto"/>
                <w:right w:val="none" w:sz="0" w:space="0" w:color="auto"/>
              </w:divBdr>
              <w:divsChild>
                <w:div w:id="1746993947">
                  <w:marLeft w:val="0"/>
                  <w:marRight w:val="0"/>
                  <w:marTop w:val="0"/>
                  <w:marBottom w:val="0"/>
                  <w:divBdr>
                    <w:top w:val="none" w:sz="0" w:space="0" w:color="auto"/>
                    <w:left w:val="none" w:sz="0" w:space="0" w:color="auto"/>
                    <w:bottom w:val="none" w:sz="0" w:space="0" w:color="auto"/>
                    <w:right w:val="none" w:sz="0" w:space="0" w:color="auto"/>
                  </w:divBdr>
                </w:div>
              </w:divsChild>
            </w:div>
            <w:div w:id="301009981">
              <w:marLeft w:val="0"/>
              <w:marRight w:val="0"/>
              <w:marTop w:val="0"/>
              <w:marBottom w:val="0"/>
              <w:divBdr>
                <w:top w:val="none" w:sz="0" w:space="0" w:color="auto"/>
                <w:left w:val="none" w:sz="0" w:space="0" w:color="auto"/>
                <w:bottom w:val="none" w:sz="0" w:space="0" w:color="auto"/>
                <w:right w:val="none" w:sz="0" w:space="0" w:color="auto"/>
              </w:divBdr>
              <w:divsChild>
                <w:div w:id="673338217">
                  <w:marLeft w:val="0"/>
                  <w:marRight w:val="0"/>
                  <w:marTop w:val="0"/>
                  <w:marBottom w:val="0"/>
                  <w:divBdr>
                    <w:top w:val="none" w:sz="0" w:space="0" w:color="auto"/>
                    <w:left w:val="none" w:sz="0" w:space="0" w:color="auto"/>
                    <w:bottom w:val="none" w:sz="0" w:space="0" w:color="auto"/>
                    <w:right w:val="none" w:sz="0" w:space="0" w:color="auto"/>
                  </w:divBdr>
                </w:div>
              </w:divsChild>
            </w:div>
            <w:div w:id="1653287615">
              <w:marLeft w:val="0"/>
              <w:marRight w:val="0"/>
              <w:marTop w:val="0"/>
              <w:marBottom w:val="0"/>
              <w:divBdr>
                <w:top w:val="none" w:sz="0" w:space="0" w:color="auto"/>
                <w:left w:val="none" w:sz="0" w:space="0" w:color="auto"/>
                <w:bottom w:val="none" w:sz="0" w:space="0" w:color="auto"/>
                <w:right w:val="none" w:sz="0" w:space="0" w:color="auto"/>
              </w:divBdr>
              <w:divsChild>
                <w:div w:id="355623685">
                  <w:marLeft w:val="0"/>
                  <w:marRight w:val="0"/>
                  <w:marTop w:val="0"/>
                  <w:marBottom w:val="0"/>
                  <w:divBdr>
                    <w:top w:val="none" w:sz="0" w:space="0" w:color="auto"/>
                    <w:left w:val="none" w:sz="0" w:space="0" w:color="auto"/>
                    <w:bottom w:val="none" w:sz="0" w:space="0" w:color="auto"/>
                    <w:right w:val="none" w:sz="0" w:space="0" w:color="auto"/>
                  </w:divBdr>
                </w:div>
              </w:divsChild>
            </w:div>
            <w:div w:id="1875147482">
              <w:marLeft w:val="0"/>
              <w:marRight w:val="0"/>
              <w:marTop w:val="0"/>
              <w:marBottom w:val="0"/>
              <w:divBdr>
                <w:top w:val="none" w:sz="0" w:space="0" w:color="auto"/>
                <w:left w:val="none" w:sz="0" w:space="0" w:color="auto"/>
                <w:bottom w:val="none" w:sz="0" w:space="0" w:color="auto"/>
                <w:right w:val="none" w:sz="0" w:space="0" w:color="auto"/>
              </w:divBdr>
              <w:divsChild>
                <w:div w:id="81920073">
                  <w:marLeft w:val="0"/>
                  <w:marRight w:val="0"/>
                  <w:marTop w:val="0"/>
                  <w:marBottom w:val="0"/>
                  <w:divBdr>
                    <w:top w:val="none" w:sz="0" w:space="0" w:color="auto"/>
                    <w:left w:val="none" w:sz="0" w:space="0" w:color="auto"/>
                    <w:bottom w:val="none" w:sz="0" w:space="0" w:color="auto"/>
                    <w:right w:val="none" w:sz="0" w:space="0" w:color="auto"/>
                  </w:divBdr>
                </w:div>
              </w:divsChild>
            </w:div>
            <w:div w:id="1596743045">
              <w:marLeft w:val="0"/>
              <w:marRight w:val="0"/>
              <w:marTop w:val="0"/>
              <w:marBottom w:val="0"/>
              <w:divBdr>
                <w:top w:val="none" w:sz="0" w:space="0" w:color="auto"/>
                <w:left w:val="none" w:sz="0" w:space="0" w:color="auto"/>
                <w:bottom w:val="none" w:sz="0" w:space="0" w:color="auto"/>
                <w:right w:val="none" w:sz="0" w:space="0" w:color="auto"/>
              </w:divBdr>
              <w:divsChild>
                <w:div w:id="452484515">
                  <w:marLeft w:val="0"/>
                  <w:marRight w:val="0"/>
                  <w:marTop w:val="0"/>
                  <w:marBottom w:val="0"/>
                  <w:divBdr>
                    <w:top w:val="none" w:sz="0" w:space="0" w:color="auto"/>
                    <w:left w:val="none" w:sz="0" w:space="0" w:color="auto"/>
                    <w:bottom w:val="none" w:sz="0" w:space="0" w:color="auto"/>
                    <w:right w:val="none" w:sz="0" w:space="0" w:color="auto"/>
                  </w:divBdr>
                </w:div>
              </w:divsChild>
            </w:div>
            <w:div w:id="437407720">
              <w:marLeft w:val="0"/>
              <w:marRight w:val="0"/>
              <w:marTop w:val="0"/>
              <w:marBottom w:val="0"/>
              <w:divBdr>
                <w:top w:val="none" w:sz="0" w:space="0" w:color="auto"/>
                <w:left w:val="none" w:sz="0" w:space="0" w:color="auto"/>
                <w:bottom w:val="none" w:sz="0" w:space="0" w:color="auto"/>
                <w:right w:val="none" w:sz="0" w:space="0" w:color="auto"/>
              </w:divBdr>
              <w:divsChild>
                <w:div w:id="1329136801">
                  <w:marLeft w:val="0"/>
                  <w:marRight w:val="0"/>
                  <w:marTop w:val="0"/>
                  <w:marBottom w:val="0"/>
                  <w:divBdr>
                    <w:top w:val="none" w:sz="0" w:space="0" w:color="auto"/>
                    <w:left w:val="none" w:sz="0" w:space="0" w:color="auto"/>
                    <w:bottom w:val="none" w:sz="0" w:space="0" w:color="auto"/>
                    <w:right w:val="none" w:sz="0" w:space="0" w:color="auto"/>
                  </w:divBdr>
                </w:div>
              </w:divsChild>
            </w:div>
            <w:div w:id="1297446548">
              <w:marLeft w:val="0"/>
              <w:marRight w:val="0"/>
              <w:marTop w:val="0"/>
              <w:marBottom w:val="0"/>
              <w:divBdr>
                <w:top w:val="none" w:sz="0" w:space="0" w:color="auto"/>
                <w:left w:val="none" w:sz="0" w:space="0" w:color="auto"/>
                <w:bottom w:val="none" w:sz="0" w:space="0" w:color="auto"/>
                <w:right w:val="none" w:sz="0" w:space="0" w:color="auto"/>
              </w:divBdr>
              <w:divsChild>
                <w:div w:id="355229114">
                  <w:marLeft w:val="0"/>
                  <w:marRight w:val="0"/>
                  <w:marTop w:val="0"/>
                  <w:marBottom w:val="0"/>
                  <w:divBdr>
                    <w:top w:val="none" w:sz="0" w:space="0" w:color="auto"/>
                    <w:left w:val="none" w:sz="0" w:space="0" w:color="auto"/>
                    <w:bottom w:val="none" w:sz="0" w:space="0" w:color="auto"/>
                    <w:right w:val="none" w:sz="0" w:space="0" w:color="auto"/>
                  </w:divBdr>
                </w:div>
              </w:divsChild>
            </w:div>
            <w:div w:id="1897351363">
              <w:marLeft w:val="0"/>
              <w:marRight w:val="0"/>
              <w:marTop w:val="0"/>
              <w:marBottom w:val="0"/>
              <w:divBdr>
                <w:top w:val="none" w:sz="0" w:space="0" w:color="auto"/>
                <w:left w:val="none" w:sz="0" w:space="0" w:color="auto"/>
                <w:bottom w:val="none" w:sz="0" w:space="0" w:color="auto"/>
                <w:right w:val="none" w:sz="0" w:space="0" w:color="auto"/>
              </w:divBdr>
              <w:divsChild>
                <w:div w:id="1114325873">
                  <w:marLeft w:val="0"/>
                  <w:marRight w:val="0"/>
                  <w:marTop w:val="0"/>
                  <w:marBottom w:val="0"/>
                  <w:divBdr>
                    <w:top w:val="none" w:sz="0" w:space="0" w:color="auto"/>
                    <w:left w:val="none" w:sz="0" w:space="0" w:color="auto"/>
                    <w:bottom w:val="none" w:sz="0" w:space="0" w:color="auto"/>
                    <w:right w:val="none" w:sz="0" w:space="0" w:color="auto"/>
                  </w:divBdr>
                </w:div>
              </w:divsChild>
            </w:div>
            <w:div w:id="67502524">
              <w:marLeft w:val="0"/>
              <w:marRight w:val="0"/>
              <w:marTop w:val="0"/>
              <w:marBottom w:val="0"/>
              <w:divBdr>
                <w:top w:val="none" w:sz="0" w:space="0" w:color="auto"/>
                <w:left w:val="none" w:sz="0" w:space="0" w:color="auto"/>
                <w:bottom w:val="none" w:sz="0" w:space="0" w:color="auto"/>
                <w:right w:val="none" w:sz="0" w:space="0" w:color="auto"/>
              </w:divBdr>
              <w:divsChild>
                <w:div w:id="29839993">
                  <w:marLeft w:val="0"/>
                  <w:marRight w:val="0"/>
                  <w:marTop w:val="0"/>
                  <w:marBottom w:val="0"/>
                  <w:divBdr>
                    <w:top w:val="none" w:sz="0" w:space="0" w:color="auto"/>
                    <w:left w:val="none" w:sz="0" w:space="0" w:color="auto"/>
                    <w:bottom w:val="none" w:sz="0" w:space="0" w:color="auto"/>
                    <w:right w:val="none" w:sz="0" w:space="0" w:color="auto"/>
                  </w:divBdr>
                </w:div>
              </w:divsChild>
            </w:div>
            <w:div w:id="421343317">
              <w:marLeft w:val="0"/>
              <w:marRight w:val="0"/>
              <w:marTop w:val="0"/>
              <w:marBottom w:val="0"/>
              <w:divBdr>
                <w:top w:val="none" w:sz="0" w:space="0" w:color="auto"/>
                <w:left w:val="none" w:sz="0" w:space="0" w:color="auto"/>
                <w:bottom w:val="none" w:sz="0" w:space="0" w:color="auto"/>
                <w:right w:val="none" w:sz="0" w:space="0" w:color="auto"/>
              </w:divBdr>
              <w:divsChild>
                <w:div w:id="159737764">
                  <w:marLeft w:val="0"/>
                  <w:marRight w:val="0"/>
                  <w:marTop w:val="0"/>
                  <w:marBottom w:val="0"/>
                  <w:divBdr>
                    <w:top w:val="none" w:sz="0" w:space="0" w:color="auto"/>
                    <w:left w:val="none" w:sz="0" w:space="0" w:color="auto"/>
                    <w:bottom w:val="none" w:sz="0" w:space="0" w:color="auto"/>
                    <w:right w:val="none" w:sz="0" w:space="0" w:color="auto"/>
                  </w:divBdr>
                </w:div>
              </w:divsChild>
            </w:div>
            <w:div w:id="622083099">
              <w:marLeft w:val="0"/>
              <w:marRight w:val="0"/>
              <w:marTop w:val="0"/>
              <w:marBottom w:val="0"/>
              <w:divBdr>
                <w:top w:val="none" w:sz="0" w:space="0" w:color="auto"/>
                <w:left w:val="none" w:sz="0" w:space="0" w:color="auto"/>
                <w:bottom w:val="none" w:sz="0" w:space="0" w:color="auto"/>
                <w:right w:val="none" w:sz="0" w:space="0" w:color="auto"/>
              </w:divBdr>
              <w:divsChild>
                <w:div w:id="1236671507">
                  <w:marLeft w:val="0"/>
                  <w:marRight w:val="0"/>
                  <w:marTop w:val="0"/>
                  <w:marBottom w:val="0"/>
                  <w:divBdr>
                    <w:top w:val="none" w:sz="0" w:space="0" w:color="auto"/>
                    <w:left w:val="none" w:sz="0" w:space="0" w:color="auto"/>
                    <w:bottom w:val="none" w:sz="0" w:space="0" w:color="auto"/>
                    <w:right w:val="none" w:sz="0" w:space="0" w:color="auto"/>
                  </w:divBdr>
                </w:div>
              </w:divsChild>
            </w:div>
            <w:div w:id="513350778">
              <w:marLeft w:val="0"/>
              <w:marRight w:val="0"/>
              <w:marTop w:val="0"/>
              <w:marBottom w:val="0"/>
              <w:divBdr>
                <w:top w:val="none" w:sz="0" w:space="0" w:color="auto"/>
                <w:left w:val="none" w:sz="0" w:space="0" w:color="auto"/>
                <w:bottom w:val="none" w:sz="0" w:space="0" w:color="auto"/>
                <w:right w:val="none" w:sz="0" w:space="0" w:color="auto"/>
              </w:divBdr>
              <w:divsChild>
                <w:div w:id="1709447427">
                  <w:marLeft w:val="0"/>
                  <w:marRight w:val="0"/>
                  <w:marTop w:val="0"/>
                  <w:marBottom w:val="0"/>
                  <w:divBdr>
                    <w:top w:val="none" w:sz="0" w:space="0" w:color="auto"/>
                    <w:left w:val="none" w:sz="0" w:space="0" w:color="auto"/>
                    <w:bottom w:val="none" w:sz="0" w:space="0" w:color="auto"/>
                    <w:right w:val="none" w:sz="0" w:space="0" w:color="auto"/>
                  </w:divBdr>
                </w:div>
              </w:divsChild>
            </w:div>
            <w:div w:id="1903249556">
              <w:marLeft w:val="0"/>
              <w:marRight w:val="0"/>
              <w:marTop w:val="0"/>
              <w:marBottom w:val="0"/>
              <w:divBdr>
                <w:top w:val="none" w:sz="0" w:space="0" w:color="auto"/>
                <w:left w:val="none" w:sz="0" w:space="0" w:color="auto"/>
                <w:bottom w:val="none" w:sz="0" w:space="0" w:color="auto"/>
                <w:right w:val="none" w:sz="0" w:space="0" w:color="auto"/>
              </w:divBdr>
              <w:divsChild>
                <w:div w:id="343366088">
                  <w:marLeft w:val="0"/>
                  <w:marRight w:val="0"/>
                  <w:marTop w:val="0"/>
                  <w:marBottom w:val="0"/>
                  <w:divBdr>
                    <w:top w:val="none" w:sz="0" w:space="0" w:color="auto"/>
                    <w:left w:val="none" w:sz="0" w:space="0" w:color="auto"/>
                    <w:bottom w:val="none" w:sz="0" w:space="0" w:color="auto"/>
                    <w:right w:val="none" w:sz="0" w:space="0" w:color="auto"/>
                  </w:divBdr>
                </w:div>
              </w:divsChild>
            </w:div>
            <w:div w:id="1726682460">
              <w:marLeft w:val="0"/>
              <w:marRight w:val="0"/>
              <w:marTop w:val="0"/>
              <w:marBottom w:val="0"/>
              <w:divBdr>
                <w:top w:val="none" w:sz="0" w:space="0" w:color="auto"/>
                <w:left w:val="none" w:sz="0" w:space="0" w:color="auto"/>
                <w:bottom w:val="none" w:sz="0" w:space="0" w:color="auto"/>
                <w:right w:val="none" w:sz="0" w:space="0" w:color="auto"/>
              </w:divBdr>
              <w:divsChild>
                <w:div w:id="1771310767">
                  <w:marLeft w:val="0"/>
                  <w:marRight w:val="0"/>
                  <w:marTop w:val="0"/>
                  <w:marBottom w:val="0"/>
                  <w:divBdr>
                    <w:top w:val="none" w:sz="0" w:space="0" w:color="auto"/>
                    <w:left w:val="none" w:sz="0" w:space="0" w:color="auto"/>
                    <w:bottom w:val="none" w:sz="0" w:space="0" w:color="auto"/>
                    <w:right w:val="none" w:sz="0" w:space="0" w:color="auto"/>
                  </w:divBdr>
                </w:div>
              </w:divsChild>
            </w:div>
            <w:div w:id="1535386540">
              <w:marLeft w:val="0"/>
              <w:marRight w:val="0"/>
              <w:marTop w:val="0"/>
              <w:marBottom w:val="0"/>
              <w:divBdr>
                <w:top w:val="none" w:sz="0" w:space="0" w:color="auto"/>
                <w:left w:val="none" w:sz="0" w:space="0" w:color="auto"/>
                <w:bottom w:val="none" w:sz="0" w:space="0" w:color="auto"/>
                <w:right w:val="none" w:sz="0" w:space="0" w:color="auto"/>
              </w:divBdr>
              <w:divsChild>
                <w:div w:id="1885755170">
                  <w:marLeft w:val="0"/>
                  <w:marRight w:val="0"/>
                  <w:marTop w:val="0"/>
                  <w:marBottom w:val="0"/>
                  <w:divBdr>
                    <w:top w:val="none" w:sz="0" w:space="0" w:color="auto"/>
                    <w:left w:val="none" w:sz="0" w:space="0" w:color="auto"/>
                    <w:bottom w:val="none" w:sz="0" w:space="0" w:color="auto"/>
                    <w:right w:val="none" w:sz="0" w:space="0" w:color="auto"/>
                  </w:divBdr>
                </w:div>
              </w:divsChild>
            </w:div>
            <w:div w:id="402527040">
              <w:marLeft w:val="0"/>
              <w:marRight w:val="0"/>
              <w:marTop w:val="0"/>
              <w:marBottom w:val="0"/>
              <w:divBdr>
                <w:top w:val="none" w:sz="0" w:space="0" w:color="auto"/>
                <w:left w:val="none" w:sz="0" w:space="0" w:color="auto"/>
                <w:bottom w:val="none" w:sz="0" w:space="0" w:color="auto"/>
                <w:right w:val="none" w:sz="0" w:space="0" w:color="auto"/>
              </w:divBdr>
              <w:divsChild>
                <w:div w:id="226301774">
                  <w:marLeft w:val="0"/>
                  <w:marRight w:val="0"/>
                  <w:marTop w:val="0"/>
                  <w:marBottom w:val="0"/>
                  <w:divBdr>
                    <w:top w:val="none" w:sz="0" w:space="0" w:color="auto"/>
                    <w:left w:val="none" w:sz="0" w:space="0" w:color="auto"/>
                    <w:bottom w:val="none" w:sz="0" w:space="0" w:color="auto"/>
                    <w:right w:val="none" w:sz="0" w:space="0" w:color="auto"/>
                  </w:divBdr>
                </w:div>
              </w:divsChild>
            </w:div>
            <w:div w:id="97336059">
              <w:marLeft w:val="0"/>
              <w:marRight w:val="0"/>
              <w:marTop w:val="0"/>
              <w:marBottom w:val="0"/>
              <w:divBdr>
                <w:top w:val="none" w:sz="0" w:space="0" w:color="auto"/>
                <w:left w:val="none" w:sz="0" w:space="0" w:color="auto"/>
                <w:bottom w:val="none" w:sz="0" w:space="0" w:color="auto"/>
                <w:right w:val="none" w:sz="0" w:space="0" w:color="auto"/>
              </w:divBdr>
              <w:divsChild>
                <w:div w:id="2136941624">
                  <w:marLeft w:val="0"/>
                  <w:marRight w:val="0"/>
                  <w:marTop w:val="0"/>
                  <w:marBottom w:val="0"/>
                  <w:divBdr>
                    <w:top w:val="none" w:sz="0" w:space="0" w:color="auto"/>
                    <w:left w:val="none" w:sz="0" w:space="0" w:color="auto"/>
                    <w:bottom w:val="none" w:sz="0" w:space="0" w:color="auto"/>
                    <w:right w:val="none" w:sz="0" w:space="0" w:color="auto"/>
                  </w:divBdr>
                </w:div>
              </w:divsChild>
            </w:div>
            <w:div w:id="1970239191">
              <w:marLeft w:val="0"/>
              <w:marRight w:val="0"/>
              <w:marTop w:val="0"/>
              <w:marBottom w:val="0"/>
              <w:divBdr>
                <w:top w:val="none" w:sz="0" w:space="0" w:color="auto"/>
                <w:left w:val="none" w:sz="0" w:space="0" w:color="auto"/>
                <w:bottom w:val="none" w:sz="0" w:space="0" w:color="auto"/>
                <w:right w:val="none" w:sz="0" w:space="0" w:color="auto"/>
              </w:divBdr>
              <w:divsChild>
                <w:div w:id="966276002">
                  <w:marLeft w:val="0"/>
                  <w:marRight w:val="0"/>
                  <w:marTop w:val="0"/>
                  <w:marBottom w:val="0"/>
                  <w:divBdr>
                    <w:top w:val="none" w:sz="0" w:space="0" w:color="auto"/>
                    <w:left w:val="none" w:sz="0" w:space="0" w:color="auto"/>
                    <w:bottom w:val="none" w:sz="0" w:space="0" w:color="auto"/>
                    <w:right w:val="none" w:sz="0" w:space="0" w:color="auto"/>
                  </w:divBdr>
                </w:div>
              </w:divsChild>
            </w:div>
            <w:div w:id="2006321357">
              <w:marLeft w:val="0"/>
              <w:marRight w:val="0"/>
              <w:marTop w:val="0"/>
              <w:marBottom w:val="0"/>
              <w:divBdr>
                <w:top w:val="none" w:sz="0" w:space="0" w:color="auto"/>
                <w:left w:val="none" w:sz="0" w:space="0" w:color="auto"/>
                <w:bottom w:val="none" w:sz="0" w:space="0" w:color="auto"/>
                <w:right w:val="none" w:sz="0" w:space="0" w:color="auto"/>
              </w:divBdr>
              <w:divsChild>
                <w:div w:id="875850272">
                  <w:marLeft w:val="0"/>
                  <w:marRight w:val="0"/>
                  <w:marTop w:val="0"/>
                  <w:marBottom w:val="0"/>
                  <w:divBdr>
                    <w:top w:val="none" w:sz="0" w:space="0" w:color="auto"/>
                    <w:left w:val="none" w:sz="0" w:space="0" w:color="auto"/>
                    <w:bottom w:val="none" w:sz="0" w:space="0" w:color="auto"/>
                    <w:right w:val="none" w:sz="0" w:space="0" w:color="auto"/>
                  </w:divBdr>
                </w:div>
              </w:divsChild>
            </w:div>
            <w:div w:id="994147511">
              <w:marLeft w:val="0"/>
              <w:marRight w:val="0"/>
              <w:marTop w:val="0"/>
              <w:marBottom w:val="0"/>
              <w:divBdr>
                <w:top w:val="none" w:sz="0" w:space="0" w:color="auto"/>
                <w:left w:val="none" w:sz="0" w:space="0" w:color="auto"/>
                <w:bottom w:val="none" w:sz="0" w:space="0" w:color="auto"/>
                <w:right w:val="none" w:sz="0" w:space="0" w:color="auto"/>
              </w:divBdr>
              <w:divsChild>
                <w:div w:id="561138758">
                  <w:marLeft w:val="0"/>
                  <w:marRight w:val="0"/>
                  <w:marTop w:val="0"/>
                  <w:marBottom w:val="0"/>
                  <w:divBdr>
                    <w:top w:val="none" w:sz="0" w:space="0" w:color="auto"/>
                    <w:left w:val="none" w:sz="0" w:space="0" w:color="auto"/>
                    <w:bottom w:val="none" w:sz="0" w:space="0" w:color="auto"/>
                    <w:right w:val="none" w:sz="0" w:space="0" w:color="auto"/>
                  </w:divBdr>
                </w:div>
              </w:divsChild>
            </w:div>
            <w:div w:id="1624843875">
              <w:marLeft w:val="0"/>
              <w:marRight w:val="0"/>
              <w:marTop w:val="0"/>
              <w:marBottom w:val="0"/>
              <w:divBdr>
                <w:top w:val="none" w:sz="0" w:space="0" w:color="auto"/>
                <w:left w:val="none" w:sz="0" w:space="0" w:color="auto"/>
                <w:bottom w:val="none" w:sz="0" w:space="0" w:color="auto"/>
                <w:right w:val="none" w:sz="0" w:space="0" w:color="auto"/>
              </w:divBdr>
              <w:divsChild>
                <w:div w:id="311716931">
                  <w:marLeft w:val="0"/>
                  <w:marRight w:val="0"/>
                  <w:marTop w:val="0"/>
                  <w:marBottom w:val="0"/>
                  <w:divBdr>
                    <w:top w:val="none" w:sz="0" w:space="0" w:color="auto"/>
                    <w:left w:val="none" w:sz="0" w:space="0" w:color="auto"/>
                    <w:bottom w:val="none" w:sz="0" w:space="0" w:color="auto"/>
                    <w:right w:val="none" w:sz="0" w:space="0" w:color="auto"/>
                  </w:divBdr>
                </w:div>
              </w:divsChild>
            </w:div>
            <w:div w:id="1864049315">
              <w:marLeft w:val="0"/>
              <w:marRight w:val="0"/>
              <w:marTop w:val="0"/>
              <w:marBottom w:val="0"/>
              <w:divBdr>
                <w:top w:val="none" w:sz="0" w:space="0" w:color="auto"/>
                <w:left w:val="none" w:sz="0" w:space="0" w:color="auto"/>
                <w:bottom w:val="none" w:sz="0" w:space="0" w:color="auto"/>
                <w:right w:val="none" w:sz="0" w:space="0" w:color="auto"/>
              </w:divBdr>
              <w:divsChild>
                <w:div w:id="1005397448">
                  <w:marLeft w:val="0"/>
                  <w:marRight w:val="0"/>
                  <w:marTop w:val="0"/>
                  <w:marBottom w:val="0"/>
                  <w:divBdr>
                    <w:top w:val="none" w:sz="0" w:space="0" w:color="auto"/>
                    <w:left w:val="none" w:sz="0" w:space="0" w:color="auto"/>
                    <w:bottom w:val="none" w:sz="0" w:space="0" w:color="auto"/>
                    <w:right w:val="none" w:sz="0" w:space="0" w:color="auto"/>
                  </w:divBdr>
                </w:div>
              </w:divsChild>
            </w:div>
            <w:div w:id="1155561989">
              <w:marLeft w:val="0"/>
              <w:marRight w:val="0"/>
              <w:marTop w:val="0"/>
              <w:marBottom w:val="0"/>
              <w:divBdr>
                <w:top w:val="none" w:sz="0" w:space="0" w:color="auto"/>
                <w:left w:val="none" w:sz="0" w:space="0" w:color="auto"/>
                <w:bottom w:val="none" w:sz="0" w:space="0" w:color="auto"/>
                <w:right w:val="none" w:sz="0" w:space="0" w:color="auto"/>
              </w:divBdr>
              <w:divsChild>
                <w:div w:id="1588928125">
                  <w:marLeft w:val="0"/>
                  <w:marRight w:val="0"/>
                  <w:marTop w:val="0"/>
                  <w:marBottom w:val="0"/>
                  <w:divBdr>
                    <w:top w:val="none" w:sz="0" w:space="0" w:color="auto"/>
                    <w:left w:val="none" w:sz="0" w:space="0" w:color="auto"/>
                    <w:bottom w:val="none" w:sz="0" w:space="0" w:color="auto"/>
                    <w:right w:val="none" w:sz="0" w:space="0" w:color="auto"/>
                  </w:divBdr>
                </w:div>
              </w:divsChild>
            </w:div>
            <w:div w:id="13848318">
              <w:marLeft w:val="0"/>
              <w:marRight w:val="0"/>
              <w:marTop w:val="0"/>
              <w:marBottom w:val="0"/>
              <w:divBdr>
                <w:top w:val="none" w:sz="0" w:space="0" w:color="auto"/>
                <w:left w:val="none" w:sz="0" w:space="0" w:color="auto"/>
                <w:bottom w:val="none" w:sz="0" w:space="0" w:color="auto"/>
                <w:right w:val="none" w:sz="0" w:space="0" w:color="auto"/>
              </w:divBdr>
              <w:divsChild>
                <w:div w:id="1021391805">
                  <w:marLeft w:val="0"/>
                  <w:marRight w:val="0"/>
                  <w:marTop w:val="0"/>
                  <w:marBottom w:val="0"/>
                  <w:divBdr>
                    <w:top w:val="none" w:sz="0" w:space="0" w:color="auto"/>
                    <w:left w:val="none" w:sz="0" w:space="0" w:color="auto"/>
                    <w:bottom w:val="none" w:sz="0" w:space="0" w:color="auto"/>
                    <w:right w:val="none" w:sz="0" w:space="0" w:color="auto"/>
                  </w:divBdr>
                </w:div>
              </w:divsChild>
            </w:div>
            <w:div w:id="82916029">
              <w:marLeft w:val="0"/>
              <w:marRight w:val="0"/>
              <w:marTop w:val="0"/>
              <w:marBottom w:val="0"/>
              <w:divBdr>
                <w:top w:val="none" w:sz="0" w:space="0" w:color="auto"/>
                <w:left w:val="none" w:sz="0" w:space="0" w:color="auto"/>
                <w:bottom w:val="none" w:sz="0" w:space="0" w:color="auto"/>
                <w:right w:val="none" w:sz="0" w:space="0" w:color="auto"/>
              </w:divBdr>
              <w:divsChild>
                <w:div w:id="1980016">
                  <w:marLeft w:val="0"/>
                  <w:marRight w:val="0"/>
                  <w:marTop w:val="0"/>
                  <w:marBottom w:val="0"/>
                  <w:divBdr>
                    <w:top w:val="none" w:sz="0" w:space="0" w:color="auto"/>
                    <w:left w:val="none" w:sz="0" w:space="0" w:color="auto"/>
                    <w:bottom w:val="none" w:sz="0" w:space="0" w:color="auto"/>
                    <w:right w:val="none" w:sz="0" w:space="0" w:color="auto"/>
                  </w:divBdr>
                </w:div>
              </w:divsChild>
            </w:div>
            <w:div w:id="1150707261">
              <w:marLeft w:val="0"/>
              <w:marRight w:val="0"/>
              <w:marTop w:val="0"/>
              <w:marBottom w:val="0"/>
              <w:divBdr>
                <w:top w:val="none" w:sz="0" w:space="0" w:color="auto"/>
                <w:left w:val="none" w:sz="0" w:space="0" w:color="auto"/>
                <w:bottom w:val="none" w:sz="0" w:space="0" w:color="auto"/>
                <w:right w:val="none" w:sz="0" w:space="0" w:color="auto"/>
              </w:divBdr>
              <w:divsChild>
                <w:div w:id="125440520">
                  <w:marLeft w:val="0"/>
                  <w:marRight w:val="0"/>
                  <w:marTop w:val="0"/>
                  <w:marBottom w:val="0"/>
                  <w:divBdr>
                    <w:top w:val="none" w:sz="0" w:space="0" w:color="auto"/>
                    <w:left w:val="none" w:sz="0" w:space="0" w:color="auto"/>
                    <w:bottom w:val="none" w:sz="0" w:space="0" w:color="auto"/>
                    <w:right w:val="none" w:sz="0" w:space="0" w:color="auto"/>
                  </w:divBdr>
                </w:div>
              </w:divsChild>
            </w:div>
            <w:div w:id="1515000367">
              <w:marLeft w:val="0"/>
              <w:marRight w:val="0"/>
              <w:marTop w:val="0"/>
              <w:marBottom w:val="0"/>
              <w:divBdr>
                <w:top w:val="none" w:sz="0" w:space="0" w:color="auto"/>
                <w:left w:val="none" w:sz="0" w:space="0" w:color="auto"/>
                <w:bottom w:val="none" w:sz="0" w:space="0" w:color="auto"/>
                <w:right w:val="none" w:sz="0" w:space="0" w:color="auto"/>
              </w:divBdr>
              <w:divsChild>
                <w:div w:id="1638101416">
                  <w:marLeft w:val="0"/>
                  <w:marRight w:val="0"/>
                  <w:marTop w:val="0"/>
                  <w:marBottom w:val="0"/>
                  <w:divBdr>
                    <w:top w:val="none" w:sz="0" w:space="0" w:color="auto"/>
                    <w:left w:val="none" w:sz="0" w:space="0" w:color="auto"/>
                    <w:bottom w:val="none" w:sz="0" w:space="0" w:color="auto"/>
                    <w:right w:val="none" w:sz="0" w:space="0" w:color="auto"/>
                  </w:divBdr>
                </w:div>
              </w:divsChild>
            </w:div>
            <w:div w:id="1201095308">
              <w:marLeft w:val="0"/>
              <w:marRight w:val="0"/>
              <w:marTop w:val="0"/>
              <w:marBottom w:val="0"/>
              <w:divBdr>
                <w:top w:val="none" w:sz="0" w:space="0" w:color="auto"/>
                <w:left w:val="none" w:sz="0" w:space="0" w:color="auto"/>
                <w:bottom w:val="none" w:sz="0" w:space="0" w:color="auto"/>
                <w:right w:val="none" w:sz="0" w:space="0" w:color="auto"/>
              </w:divBdr>
              <w:divsChild>
                <w:div w:id="499656161">
                  <w:marLeft w:val="0"/>
                  <w:marRight w:val="0"/>
                  <w:marTop w:val="0"/>
                  <w:marBottom w:val="0"/>
                  <w:divBdr>
                    <w:top w:val="none" w:sz="0" w:space="0" w:color="auto"/>
                    <w:left w:val="none" w:sz="0" w:space="0" w:color="auto"/>
                    <w:bottom w:val="none" w:sz="0" w:space="0" w:color="auto"/>
                    <w:right w:val="none" w:sz="0" w:space="0" w:color="auto"/>
                  </w:divBdr>
                </w:div>
              </w:divsChild>
            </w:div>
            <w:div w:id="2031879157">
              <w:marLeft w:val="0"/>
              <w:marRight w:val="0"/>
              <w:marTop w:val="0"/>
              <w:marBottom w:val="0"/>
              <w:divBdr>
                <w:top w:val="none" w:sz="0" w:space="0" w:color="auto"/>
                <w:left w:val="none" w:sz="0" w:space="0" w:color="auto"/>
                <w:bottom w:val="none" w:sz="0" w:space="0" w:color="auto"/>
                <w:right w:val="none" w:sz="0" w:space="0" w:color="auto"/>
              </w:divBdr>
              <w:divsChild>
                <w:div w:id="209732372">
                  <w:marLeft w:val="0"/>
                  <w:marRight w:val="0"/>
                  <w:marTop w:val="0"/>
                  <w:marBottom w:val="0"/>
                  <w:divBdr>
                    <w:top w:val="none" w:sz="0" w:space="0" w:color="auto"/>
                    <w:left w:val="none" w:sz="0" w:space="0" w:color="auto"/>
                    <w:bottom w:val="none" w:sz="0" w:space="0" w:color="auto"/>
                    <w:right w:val="none" w:sz="0" w:space="0" w:color="auto"/>
                  </w:divBdr>
                </w:div>
              </w:divsChild>
            </w:div>
            <w:div w:id="1422215434">
              <w:marLeft w:val="0"/>
              <w:marRight w:val="0"/>
              <w:marTop w:val="0"/>
              <w:marBottom w:val="0"/>
              <w:divBdr>
                <w:top w:val="none" w:sz="0" w:space="0" w:color="auto"/>
                <w:left w:val="none" w:sz="0" w:space="0" w:color="auto"/>
                <w:bottom w:val="none" w:sz="0" w:space="0" w:color="auto"/>
                <w:right w:val="none" w:sz="0" w:space="0" w:color="auto"/>
              </w:divBdr>
              <w:divsChild>
                <w:div w:id="1228224394">
                  <w:marLeft w:val="0"/>
                  <w:marRight w:val="0"/>
                  <w:marTop w:val="0"/>
                  <w:marBottom w:val="0"/>
                  <w:divBdr>
                    <w:top w:val="none" w:sz="0" w:space="0" w:color="auto"/>
                    <w:left w:val="none" w:sz="0" w:space="0" w:color="auto"/>
                    <w:bottom w:val="none" w:sz="0" w:space="0" w:color="auto"/>
                    <w:right w:val="none" w:sz="0" w:space="0" w:color="auto"/>
                  </w:divBdr>
                </w:div>
              </w:divsChild>
            </w:div>
            <w:div w:id="691611711">
              <w:marLeft w:val="0"/>
              <w:marRight w:val="0"/>
              <w:marTop w:val="0"/>
              <w:marBottom w:val="0"/>
              <w:divBdr>
                <w:top w:val="none" w:sz="0" w:space="0" w:color="auto"/>
                <w:left w:val="none" w:sz="0" w:space="0" w:color="auto"/>
                <w:bottom w:val="none" w:sz="0" w:space="0" w:color="auto"/>
                <w:right w:val="none" w:sz="0" w:space="0" w:color="auto"/>
              </w:divBdr>
              <w:divsChild>
                <w:div w:id="305091384">
                  <w:marLeft w:val="0"/>
                  <w:marRight w:val="0"/>
                  <w:marTop w:val="0"/>
                  <w:marBottom w:val="0"/>
                  <w:divBdr>
                    <w:top w:val="none" w:sz="0" w:space="0" w:color="auto"/>
                    <w:left w:val="none" w:sz="0" w:space="0" w:color="auto"/>
                    <w:bottom w:val="none" w:sz="0" w:space="0" w:color="auto"/>
                    <w:right w:val="none" w:sz="0" w:space="0" w:color="auto"/>
                  </w:divBdr>
                </w:div>
              </w:divsChild>
            </w:div>
            <w:div w:id="1429692435">
              <w:marLeft w:val="0"/>
              <w:marRight w:val="0"/>
              <w:marTop w:val="0"/>
              <w:marBottom w:val="0"/>
              <w:divBdr>
                <w:top w:val="none" w:sz="0" w:space="0" w:color="auto"/>
                <w:left w:val="none" w:sz="0" w:space="0" w:color="auto"/>
                <w:bottom w:val="none" w:sz="0" w:space="0" w:color="auto"/>
                <w:right w:val="none" w:sz="0" w:space="0" w:color="auto"/>
              </w:divBdr>
              <w:divsChild>
                <w:div w:id="2105803758">
                  <w:marLeft w:val="0"/>
                  <w:marRight w:val="0"/>
                  <w:marTop w:val="0"/>
                  <w:marBottom w:val="0"/>
                  <w:divBdr>
                    <w:top w:val="none" w:sz="0" w:space="0" w:color="auto"/>
                    <w:left w:val="none" w:sz="0" w:space="0" w:color="auto"/>
                    <w:bottom w:val="none" w:sz="0" w:space="0" w:color="auto"/>
                    <w:right w:val="none" w:sz="0" w:space="0" w:color="auto"/>
                  </w:divBdr>
                </w:div>
              </w:divsChild>
            </w:div>
            <w:div w:id="2102485818">
              <w:marLeft w:val="0"/>
              <w:marRight w:val="0"/>
              <w:marTop w:val="0"/>
              <w:marBottom w:val="0"/>
              <w:divBdr>
                <w:top w:val="none" w:sz="0" w:space="0" w:color="auto"/>
                <w:left w:val="none" w:sz="0" w:space="0" w:color="auto"/>
                <w:bottom w:val="none" w:sz="0" w:space="0" w:color="auto"/>
                <w:right w:val="none" w:sz="0" w:space="0" w:color="auto"/>
              </w:divBdr>
              <w:divsChild>
                <w:div w:id="1447391230">
                  <w:marLeft w:val="0"/>
                  <w:marRight w:val="0"/>
                  <w:marTop w:val="0"/>
                  <w:marBottom w:val="0"/>
                  <w:divBdr>
                    <w:top w:val="none" w:sz="0" w:space="0" w:color="auto"/>
                    <w:left w:val="none" w:sz="0" w:space="0" w:color="auto"/>
                    <w:bottom w:val="none" w:sz="0" w:space="0" w:color="auto"/>
                    <w:right w:val="none" w:sz="0" w:space="0" w:color="auto"/>
                  </w:divBdr>
                </w:div>
              </w:divsChild>
            </w:div>
            <w:div w:id="795762314">
              <w:marLeft w:val="0"/>
              <w:marRight w:val="0"/>
              <w:marTop w:val="0"/>
              <w:marBottom w:val="0"/>
              <w:divBdr>
                <w:top w:val="none" w:sz="0" w:space="0" w:color="auto"/>
                <w:left w:val="none" w:sz="0" w:space="0" w:color="auto"/>
                <w:bottom w:val="none" w:sz="0" w:space="0" w:color="auto"/>
                <w:right w:val="none" w:sz="0" w:space="0" w:color="auto"/>
              </w:divBdr>
              <w:divsChild>
                <w:div w:id="1596941227">
                  <w:marLeft w:val="0"/>
                  <w:marRight w:val="0"/>
                  <w:marTop w:val="0"/>
                  <w:marBottom w:val="0"/>
                  <w:divBdr>
                    <w:top w:val="none" w:sz="0" w:space="0" w:color="auto"/>
                    <w:left w:val="none" w:sz="0" w:space="0" w:color="auto"/>
                    <w:bottom w:val="none" w:sz="0" w:space="0" w:color="auto"/>
                    <w:right w:val="none" w:sz="0" w:space="0" w:color="auto"/>
                  </w:divBdr>
                </w:div>
              </w:divsChild>
            </w:div>
            <w:div w:id="888877274">
              <w:marLeft w:val="0"/>
              <w:marRight w:val="0"/>
              <w:marTop w:val="0"/>
              <w:marBottom w:val="0"/>
              <w:divBdr>
                <w:top w:val="none" w:sz="0" w:space="0" w:color="auto"/>
                <w:left w:val="none" w:sz="0" w:space="0" w:color="auto"/>
                <w:bottom w:val="none" w:sz="0" w:space="0" w:color="auto"/>
                <w:right w:val="none" w:sz="0" w:space="0" w:color="auto"/>
              </w:divBdr>
              <w:divsChild>
                <w:div w:id="1960724406">
                  <w:marLeft w:val="0"/>
                  <w:marRight w:val="0"/>
                  <w:marTop w:val="0"/>
                  <w:marBottom w:val="0"/>
                  <w:divBdr>
                    <w:top w:val="none" w:sz="0" w:space="0" w:color="auto"/>
                    <w:left w:val="none" w:sz="0" w:space="0" w:color="auto"/>
                    <w:bottom w:val="none" w:sz="0" w:space="0" w:color="auto"/>
                    <w:right w:val="none" w:sz="0" w:space="0" w:color="auto"/>
                  </w:divBdr>
                </w:div>
              </w:divsChild>
            </w:div>
            <w:div w:id="631135944">
              <w:marLeft w:val="0"/>
              <w:marRight w:val="0"/>
              <w:marTop w:val="0"/>
              <w:marBottom w:val="0"/>
              <w:divBdr>
                <w:top w:val="none" w:sz="0" w:space="0" w:color="auto"/>
                <w:left w:val="none" w:sz="0" w:space="0" w:color="auto"/>
                <w:bottom w:val="none" w:sz="0" w:space="0" w:color="auto"/>
                <w:right w:val="none" w:sz="0" w:space="0" w:color="auto"/>
              </w:divBdr>
              <w:divsChild>
                <w:div w:id="1128745360">
                  <w:marLeft w:val="0"/>
                  <w:marRight w:val="0"/>
                  <w:marTop w:val="0"/>
                  <w:marBottom w:val="0"/>
                  <w:divBdr>
                    <w:top w:val="none" w:sz="0" w:space="0" w:color="auto"/>
                    <w:left w:val="none" w:sz="0" w:space="0" w:color="auto"/>
                    <w:bottom w:val="none" w:sz="0" w:space="0" w:color="auto"/>
                    <w:right w:val="none" w:sz="0" w:space="0" w:color="auto"/>
                  </w:divBdr>
                </w:div>
              </w:divsChild>
            </w:div>
            <w:div w:id="1082726600">
              <w:marLeft w:val="0"/>
              <w:marRight w:val="0"/>
              <w:marTop w:val="0"/>
              <w:marBottom w:val="0"/>
              <w:divBdr>
                <w:top w:val="none" w:sz="0" w:space="0" w:color="auto"/>
                <w:left w:val="none" w:sz="0" w:space="0" w:color="auto"/>
                <w:bottom w:val="none" w:sz="0" w:space="0" w:color="auto"/>
                <w:right w:val="none" w:sz="0" w:space="0" w:color="auto"/>
              </w:divBdr>
              <w:divsChild>
                <w:div w:id="1332099731">
                  <w:marLeft w:val="0"/>
                  <w:marRight w:val="0"/>
                  <w:marTop w:val="0"/>
                  <w:marBottom w:val="0"/>
                  <w:divBdr>
                    <w:top w:val="none" w:sz="0" w:space="0" w:color="auto"/>
                    <w:left w:val="none" w:sz="0" w:space="0" w:color="auto"/>
                    <w:bottom w:val="none" w:sz="0" w:space="0" w:color="auto"/>
                    <w:right w:val="none" w:sz="0" w:space="0" w:color="auto"/>
                  </w:divBdr>
                </w:div>
              </w:divsChild>
            </w:div>
            <w:div w:id="615793044">
              <w:marLeft w:val="0"/>
              <w:marRight w:val="0"/>
              <w:marTop w:val="0"/>
              <w:marBottom w:val="0"/>
              <w:divBdr>
                <w:top w:val="none" w:sz="0" w:space="0" w:color="auto"/>
                <w:left w:val="none" w:sz="0" w:space="0" w:color="auto"/>
                <w:bottom w:val="none" w:sz="0" w:space="0" w:color="auto"/>
                <w:right w:val="none" w:sz="0" w:space="0" w:color="auto"/>
              </w:divBdr>
              <w:divsChild>
                <w:div w:id="1386954671">
                  <w:marLeft w:val="0"/>
                  <w:marRight w:val="0"/>
                  <w:marTop w:val="0"/>
                  <w:marBottom w:val="0"/>
                  <w:divBdr>
                    <w:top w:val="none" w:sz="0" w:space="0" w:color="auto"/>
                    <w:left w:val="none" w:sz="0" w:space="0" w:color="auto"/>
                    <w:bottom w:val="none" w:sz="0" w:space="0" w:color="auto"/>
                    <w:right w:val="none" w:sz="0" w:space="0" w:color="auto"/>
                  </w:divBdr>
                </w:div>
              </w:divsChild>
            </w:div>
            <w:div w:id="638799787">
              <w:marLeft w:val="0"/>
              <w:marRight w:val="0"/>
              <w:marTop w:val="0"/>
              <w:marBottom w:val="0"/>
              <w:divBdr>
                <w:top w:val="none" w:sz="0" w:space="0" w:color="auto"/>
                <w:left w:val="none" w:sz="0" w:space="0" w:color="auto"/>
                <w:bottom w:val="none" w:sz="0" w:space="0" w:color="auto"/>
                <w:right w:val="none" w:sz="0" w:space="0" w:color="auto"/>
              </w:divBdr>
              <w:divsChild>
                <w:div w:id="1838956339">
                  <w:marLeft w:val="0"/>
                  <w:marRight w:val="0"/>
                  <w:marTop w:val="0"/>
                  <w:marBottom w:val="0"/>
                  <w:divBdr>
                    <w:top w:val="none" w:sz="0" w:space="0" w:color="auto"/>
                    <w:left w:val="none" w:sz="0" w:space="0" w:color="auto"/>
                    <w:bottom w:val="none" w:sz="0" w:space="0" w:color="auto"/>
                    <w:right w:val="none" w:sz="0" w:space="0" w:color="auto"/>
                  </w:divBdr>
                </w:div>
              </w:divsChild>
            </w:div>
            <w:div w:id="925916546">
              <w:marLeft w:val="0"/>
              <w:marRight w:val="0"/>
              <w:marTop w:val="0"/>
              <w:marBottom w:val="0"/>
              <w:divBdr>
                <w:top w:val="none" w:sz="0" w:space="0" w:color="auto"/>
                <w:left w:val="none" w:sz="0" w:space="0" w:color="auto"/>
                <w:bottom w:val="none" w:sz="0" w:space="0" w:color="auto"/>
                <w:right w:val="none" w:sz="0" w:space="0" w:color="auto"/>
              </w:divBdr>
              <w:divsChild>
                <w:div w:id="1674603766">
                  <w:marLeft w:val="0"/>
                  <w:marRight w:val="0"/>
                  <w:marTop w:val="0"/>
                  <w:marBottom w:val="0"/>
                  <w:divBdr>
                    <w:top w:val="none" w:sz="0" w:space="0" w:color="auto"/>
                    <w:left w:val="none" w:sz="0" w:space="0" w:color="auto"/>
                    <w:bottom w:val="none" w:sz="0" w:space="0" w:color="auto"/>
                    <w:right w:val="none" w:sz="0" w:space="0" w:color="auto"/>
                  </w:divBdr>
                </w:div>
              </w:divsChild>
            </w:div>
            <w:div w:id="277838016">
              <w:marLeft w:val="0"/>
              <w:marRight w:val="0"/>
              <w:marTop w:val="0"/>
              <w:marBottom w:val="0"/>
              <w:divBdr>
                <w:top w:val="none" w:sz="0" w:space="0" w:color="auto"/>
                <w:left w:val="none" w:sz="0" w:space="0" w:color="auto"/>
                <w:bottom w:val="none" w:sz="0" w:space="0" w:color="auto"/>
                <w:right w:val="none" w:sz="0" w:space="0" w:color="auto"/>
              </w:divBdr>
              <w:divsChild>
                <w:div w:id="1528829650">
                  <w:marLeft w:val="0"/>
                  <w:marRight w:val="0"/>
                  <w:marTop w:val="0"/>
                  <w:marBottom w:val="0"/>
                  <w:divBdr>
                    <w:top w:val="none" w:sz="0" w:space="0" w:color="auto"/>
                    <w:left w:val="none" w:sz="0" w:space="0" w:color="auto"/>
                    <w:bottom w:val="none" w:sz="0" w:space="0" w:color="auto"/>
                    <w:right w:val="none" w:sz="0" w:space="0" w:color="auto"/>
                  </w:divBdr>
                </w:div>
              </w:divsChild>
            </w:div>
            <w:div w:id="374044030">
              <w:marLeft w:val="0"/>
              <w:marRight w:val="0"/>
              <w:marTop w:val="0"/>
              <w:marBottom w:val="0"/>
              <w:divBdr>
                <w:top w:val="none" w:sz="0" w:space="0" w:color="auto"/>
                <w:left w:val="none" w:sz="0" w:space="0" w:color="auto"/>
                <w:bottom w:val="none" w:sz="0" w:space="0" w:color="auto"/>
                <w:right w:val="none" w:sz="0" w:space="0" w:color="auto"/>
              </w:divBdr>
              <w:divsChild>
                <w:div w:id="45567015">
                  <w:marLeft w:val="0"/>
                  <w:marRight w:val="0"/>
                  <w:marTop w:val="0"/>
                  <w:marBottom w:val="0"/>
                  <w:divBdr>
                    <w:top w:val="none" w:sz="0" w:space="0" w:color="auto"/>
                    <w:left w:val="none" w:sz="0" w:space="0" w:color="auto"/>
                    <w:bottom w:val="none" w:sz="0" w:space="0" w:color="auto"/>
                    <w:right w:val="none" w:sz="0" w:space="0" w:color="auto"/>
                  </w:divBdr>
                </w:div>
              </w:divsChild>
            </w:div>
            <w:div w:id="508832740">
              <w:marLeft w:val="0"/>
              <w:marRight w:val="0"/>
              <w:marTop w:val="0"/>
              <w:marBottom w:val="0"/>
              <w:divBdr>
                <w:top w:val="none" w:sz="0" w:space="0" w:color="auto"/>
                <w:left w:val="none" w:sz="0" w:space="0" w:color="auto"/>
                <w:bottom w:val="none" w:sz="0" w:space="0" w:color="auto"/>
                <w:right w:val="none" w:sz="0" w:space="0" w:color="auto"/>
              </w:divBdr>
              <w:divsChild>
                <w:div w:id="379670407">
                  <w:marLeft w:val="0"/>
                  <w:marRight w:val="0"/>
                  <w:marTop w:val="0"/>
                  <w:marBottom w:val="0"/>
                  <w:divBdr>
                    <w:top w:val="none" w:sz="0" w:space="0" w:color="auto"/>
                    <w:left w:val="none" w:sz="0" w:space="0" w:color="auto"/>
                    <w:bottom w:val="none" w:sz="0" w:space="0" w:color="auto"/>
                    <w:right w:val="none" w:sz="0" w:space="0" w:color="auto"/>
                  </w:divBdr>
                </w:div>
              </w:divsChild>
            </w:div>
            <w:div w:id="92749612">
              <w:marLeft w:val="0"/>
              <w:marRight w:val="0"/>
              <w:marTop w:val="0"/>
              <w:marBottom w:val="0"/>
              <w:divBdr>
                <w:top w:val="none" w:sz="0" w:space="0" w:color="auto"/>
                <w:left w:val="none" w:sz="0" w:space="0" w:color="auto"/>
                <w:bottom w:val="none" w:sz="0" w:space="0" w:color="auto"/>
                <w:right w:val="none" w:sz="0" w:space="0" w:color="auto"/>
              </w:divBdr>
              <w:divsChild>
                <w:div w:id="18938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74342">
          <w:marLeft w:val="0"/>
          <w:marRight w:val="0"/>
          <w:marTop w:val="0"/>
          <w:marBottom w:val="600"/>
          <w:divBdr>
            <w:top w:val="none" w:sz="0" w:space="0" w:color="auto"/>
            <w:left w:val="none" w:sz="0" w:space="0" w:color="auto"/>
            <w:bottom w:val="none" w:sz="0" w:space="0" w:color="auto"/>
            <w:right w:val="none" w:sz="0" w:space="0" w:color="auto"/>
          </w:divBdr>
        </w:div>
      </w:divsChild>
    </w:div>
    <w:div w:id="156457163">
      <w:marLeft w:val="0"/>
      <w:marRight w:val="0"/>
      <w:marTop w:val="0"/>
      <w:marBottom w:val="0"/>
      <w:divBdr>
        <w:top w:val="none" w:sz="0" w:space="0" w:color="auto"/>
        <w:left w:val="none" w:sz="0" w:space="0" w:color="auto"/>
        <w:bottom w:val="none" w:sz="0" w:space="0" w:color="auto"/>
        <w:right w:val="none" w:sz="0" w:space="0" w:color="auto"/>
      </w:divBdr>
      <w:divsChild>
        <w:div w:id="932856037">
          <w:marLeft w:val="0"/>
          <w:marRight w:val="0"/>
          <w:marTop w:val="547"/>
          <w:marBottom w:val="0"/>
          <w:divBdr>
            <w:top w:val="none" w:sz="0" w:space="0" w:color="auto"/>
            <w:left w:val="none" w:sz="0" w:space="0" w:color="auto"/>
            <w:bottom w:val="none" w:sz="0" w:space="0" w:color="auto"/>
            <w:right w:val="none" w:sz="0" w:space="0" w:color="auto"/>
          </w:divBdr>
        </w:div>
        <w:div w:id="743576488">
          <w:marLeft w:val="0"/>
          <w:marRight w:val="0"/>
          <w:marTop w:val="0"/>
          <w:marBottom w:val="0"/>
          <w:divBdr>
            <w:top w:val="none" w:sz="0" w:space="0" w:color="auto"/>
            <w:left w:val="none" w:sz="0" w:space="0" w:color="auto"/>
            <w:bottom w:val="none" w:sz="0" w:space="0" w:color="auto"/>
            <w:right w:val="none" w:sz="0" w:space="0" w:color="auto"/>
          </w:divBdr>
        </w:div>
        <w:div w:id="745953637">
          <w:marLeft w:val="0"/>
          <w:marRight w:val="0"/>
          <w:marTop w:val="0"/>
          <w:marBottom w:val="600"/>
          <w:divBdr>
            <w:top w:val="none" w:sz="0" w:space="0" w:color="auto"/>
            <w:left w:val="none" w:sz="0" w:space="0" w:color="auto"/>
            <w:bottom w:val="none" w:sz="0" w:space="0" w:color="auto"/>
            <w:right w:val="none" w:sz="0" w:space="0" w:color="auto"/>
          </w:divBdr>
        </w:div>
      </w:divsChild>
    </w:div>
    <w:div w:id="183592842">
      <w:marLeft w:val="0"/>
      <w:marRight w:val="0"/>
      <w:marTop w:val="0"/>
      <w:marBottom w:val="0"/>
      <w:divBdr>
        <w:top w:val="none" w:sz="0" w:space="0" w:color="auto"/>
        <w:left w:val="none" w:sz="0" w:space="0" w:color="auto"/>
        <w:bottom w:val="none" w:sz="0" w:space="0" w:color="auto"/>
        <w:right w:val="none" w:sz="0" w:space="0" w:color="auto"/>
      </w:divBdr>
      <w:divsChild>
        <w:div w:id="1828549089">
          <w:marLeft w:val="0"/>
          <w:marRight w:val="0"/>
          <w:marTop w:val="547"/>
          <w:marBottom w:val="0"/>
          <w:divBdr>
            <w:top w:val="none" w:sz="0" w:space="0" w:color="auto"/>
            <w:left w:val="none" w:sz="0" w:space="0" w:color="auto"/>
            <w:bottom w:val="none" w:sz="0" w:space="0" w:color="auto"/>
            <w:right w:val="none" w:sz="0" w:space="0" w:color="auto"/>
          </w:divBdr>
        </w:div>
        <w:div w:id="1638215511">
          <w:marLeft w:val="0"/>
          <w:marRight w:val="0"/>
          <w:marTop w:val="0"/>
          <w:marBottom w:val="0"/>
          <w:divBdr>
            <w:top w:val="none" w:sz="0" w:space="0" w:color="auto"/>
            <w:left w:val="none" w:sz="0" w:space="0" w:color="auto"/>
            <w:bottom w:val="none" w:sz="0" w:space="0" w:color="auto"/>
            <w:right w:val="none" w:sz="0" w:space="0" w:color="auto"/>
          </w:divBdr>
        </w:div>
        <w:div w:id="576595153">
          <w:marLeft w:val="0"/>
          <w:marRight w:val="0"/>
          <w:marTop w:val="0"/>
          <w:marBottom w:val="600"/>
          <w:divBdr>
            <w:top w:val="none" w:sz="0" w:space="0" w:color="auto"/>
            <w:left w:val="none" w:sz="0" w:space="0" w:color="auto"/>
            <w:bottom w:val="none" w:sz="0" w:space="0" w:color="auto"/>
            <w:right w:val="none" w:sz="0" w:space="0" w:color="auto"/>
          </w:divBdr>
        </w:div>
      </w:divsChild>
    </w:div>
    <w:div w:id="203949476">
      <w:marLeft w:val="0"/>
      <w:marRight w:val="0"/>
      <w:marTop w:val="0"/>
      <w:marBottom w:val="0"/>
      <w:divBdr>
        <w:top w:val="none" w:sz="0" w:space="0" w:color="auto"/>
        <w:left w:val="none" w:sz="0" w:space="0" w:color="auto"/>
        <w:bottom w:val="none" w:sz="0" w:space="0" w:color="auto"/>
        <w:right w:val="none" w:sz="0" w:space="0" w:color="auto"/>
      </w:divBdr>
      <w:divsChild>
        <w:div w:id="2089499767">
          <w:marLeft w:val="0"/>
          <w:marRight w:val="0"/>
          <w:marTop w:val="547"/>
          <w:marBottom w:val="0"/>
          <w:divBdr>
            <w:top w:val="none" w:sz="0" w:space="0" w:color="auto"/>
            <w:left w:val="none" w:sz="0" w:space="0" w:color="auto"/>
            <w:bottom w:val="none" w:sz="0" w:space="0" w:color="auto"/>
            <w:right w:val="none" w:sz="0" w:space="0" w:color="auto"/>
          </w:divBdr>
        </w:div>
        <w:div w:id="828061789">
          <w:marLeft w:val="0"/>
          <w:marRight w:val="0"/>
          <w:marTop w:val="0"/>
          <w:marBottom w:val="0"/>
          <w:divBdr>
            <w:top w:val="none" w:sz="0" w:space="0" w:color="auto"/>
            <w:left w:val="none" w:sz="0" w:space="0" w:color="auto"/>
            <w:bottom w:val="none" w:sz="0" w:space="0" w:color="auto"/>
            <w:right w:val="none" w:sz="0" w:space="0" w:color="auto"/>
          </w:divBdr>
        </w:div>
        <w:div w:id="1893728483">
          <w:marLeft w:val="0"/>
          <w:marRight w:val="0"/>
          <w:marTop w:val="0"/>
          <w:marBottom w:val="600"/>
          <w:divBdr>
            <w:top w:val="none" w:sz="0" w:space="0" w:color="auto"/>
            <w:left w:val="none" w:sz="0" w:space="0" w:color="auto"/>
            <w:bottom w:val="none" w:sz="0" w:space="0" w:color="auto"/>
            <w:right w:val="none" w:sz="0" w:space="0" w:color="auto"/>
          </w:divBdr>
        </w:div>
      </w:divsChild>
    </w:div>
    <w:div w:id="259484427">
      <w:marLeft w:val="0"/>
      <w:marRight w:val="0"/>
      <w:marTop w:val="0"/>
      <w:marBottom w:val="0"/>
      <w:divBdr>
        <w:top w:val="none" w:sz="0" w:space="0" w:color="auto"/>
        <w:left w:val="none" w:sz="0" w:space="0" w:color="auto"/>
        <w:bottom w:val="none" w:sz="0" w:space="0" w:color="auto"/>
        <w:right w:val="none" w:sz="0" w:space="0" w:color="auto"/>
      </w:divBdr>
      <w:divsChild>
        <w:div w:id="308021450">
          <w:marLeft w:val="0"/>
          <w:marRight w:val="0"/>
          <w:marTop w:val="547"/>
          <w:marBottom w:val="0"/>
          <w:divBdr>
            <w:top w:val="none" w:sz="0" w:space="0" w:color="auto"/>
            <w:left w:val="none" w:sz="0" w:space="0" w:color="auto"/>
            <w:bottom w:val="none" w:sz="0" w:space="0" w:color="auto"/>
            <w:right w:val="none" w:sz="0" w:space="0" w:color="auto"/>
          </w:divBdr>
        </w:div>
        <w:div w:id="1922329997">
          <w:marLeft w:val="0"/>
          <w:marRight w:val="0"/>
          <w:marTop w:val="0"/>
          <w:marBottom w:val="0"/>
          <w:divBdr>
            <w:top w:val="none" w:sz="0" w:space="0" w:color="auto"/>
            <w:left w:val="none" w:sz="0" w:space="0" w:color="auto"/>
            <w:bottom w:val="none" w:sz="0" w:space="0" w:color="auto"/>
            <w:right w:val="none" w:sz="0" w:space="0" w:color="auto"/>
          </w:divBdr>
        </w:div>
        <w:div w:id="1879051525">
          <w:marLeft w:val="0"/>
          <w:marRight w:val="0"/>
          <w:marTop w:val="0"/>
          <w:marBottom w:val="600"/>
          <w:divBdr>
            <w:top w:val="none" w:sz="0" w:space="0" w:color="auto"/>
            <w:left w:val="none" w:sz="0" w:space="0" w:color="auto"/>
            <w:bottom w:val="none" w:sz="0" w:space="0" w:color="auto"/>
            <w:right w:val="none" w:sz="0" w:space="0" w:color="auto"/>
          </w:divBdr>
        </w:div>
      </w:divsChild>
    </w:div>
    <w:div w:id="292098759">
      <w:marLeft w:val="0"/>
      <w:marRight w:val="0"/>
      <w:marTop w:val="0"/>
      <w:marBottom w:val="0"/>
      <w:divBdr>
        <w:top w:val="none" w:sz="0" w:space="0" w:color="auto"/>
        <w:left w:val="none" w:sz="0" w:space="0" w:color="auto"/>
        <w:bottom w:val="none" w:sz="0" w:space="0" w:color="auto"/>
        <w:right w:val="none" w:sz="0" w:space="0" w:color="auto"/>
      </w:divBdr>
      <w:divsChild>
        <w:div w:id="2008943653">
          <w:marLeft w:val="0"/>
          <w:marRight w:val="0"/>
          <w:marTop w:val="547"/>
          <w:marBottom w:val="0"/>
          <w:divBdr>
            <w:top w:val="none" w:sz="0" w:space="0" w:color="auto"/>
            <w:left w:val="none" w:sz="0" w:space="0" w:color="auto"/>
            <w:bottom w:val="none" w:sz="0" w:space="0" w:color="auto"/>
            <w:right w:val="none" w:sz="0" w:space="0" w:color="auto"/>
          </w:divBdr>
        </w:div>
        <w:div w:id="1201359016">
          <w:marLeft w:val="0"/>
          <w:marRight w:val="0"/>
          <w:marTop w:val="0"/>
          <w:marBottom w:val="0"/>
          <w:divBdr>
            <w:top w:val="none" w:sz="0" w:space="0" w:color="auto"/>
            <w:left w:val="none" w:sz="0" w:space="0" w:color="auto"/>
            <w:bottom w:val="none" w:sz="0" w:space="0" w:color="auto"/>
            <w:right w:val="none" w:sz="0" w:space="0" w:color="auto"/>
          </w:divBdr>
        </w:div>
        <w:div w:id="1667780787">
          <w:marLeft w:val="0"/>
          <w:marRight w:val="0"/>
          <w:marTop w:val="0"/>
          <w:marBottom w:val="600"/>
          <w:divBdr>
            <w:top w:val="none" w:sz="0" w:space="0" w:color="auto"/>
            <w:left w:val="none" w:sz="0" w:space="0" w:color="auto"/>
            <w:bottom w:val="none" w:sz="0" w:space="0" w:color="auto"/>
            <w:right w:val="none" w:sz="0" w:space="0" w:color="auto"/>
          </w:divBdr>
        </w:div>
      </w:divsChild>
    </w:div>
    <w:div w:id="329719734">
      <w:marLeft w:val="0"/>
      <w:marRight w:val="0"/>
      <w:marTop w:val="0"/>
      <w:marBottom w:val="0"/>
      <w:divBdr>
        <w:top w:val="none" w:sz="0" w:space="0" w:color="auto"/>
        <w:left w:val="none" w:sz="0" w:space="0" w:color="auto"/>
        <w:bottom w:val="none" w:sz="0" w:space="0" w:color="auto"/>
        <w:right w:val="none" w:sz="0" w:space="0" w:color="auto"/>
      </w:divBdr>
      <w:divsChild>
        <w:div w:id="472798797">
          <w:marLeft w:val="0"/>
          <w:marRight w:val="0"/>
          <w:marTop w:val="547"/>
          <w:marBottom w:val="0"/>
          <w:divBdr>
            <w:top w:val="none" w:sz="0" w:space="0" w:color="auto"/>
            <w:left w:val="none" w:sz="0" w:space="0" w:color="auto"/>
            <w:bottom w:val="none" w:sz="0" w:space="0" w:color="auto"/>
            <w:right w:val="none" w:sz="0" w:space="0" w:color="auto"/>
          </w:divBdr>
        </w:div>
        <w:div w:id="1506558706">
          <w:marLeft w:val="0"/>
          <w:marRight w:val="0"/>
          <w:marTop w:val="0"/>
          <w:marBottom w:val="0"/>
          <w:divBdr>
            <w:top w:val="none" w:sz="0" w:space="0" w:color="auto"/>
            <w:left w:val="none" w:sz="0" w:space="0" w:color="auto"/>
            <w:bottom w:val="none" w:sz="0" w:space="0" w:color="auto"/>
            <w:right w:val="none" w:sz="0" w:space="0" w:color="auto"/>
          </w:divBdr>
        </w:div>
        <w:div w:id="1411535404">
          <w:marLeft w:val="0"/>
          <w:marRight w:val="0"/>
          <w:marTop w:val="0"/>
          <w:marBottom w:val="600"/>
          <w:divBdr>
            <w:top w:val="none" w:sz="0" w:space="0" w:color="auto"/>
            <w:left w:val="none" w:sz="0" w:space="0" w:color="auto"/>
            <w:bottom w:val="none" w:sz="0" w:space="0" w:color="auto"/>
            <w:right w:val="none" w:sz="0" w:space="0" w:color="auto"/>
          </w:divBdr>
        </w:div>
      </w:divsChild>
    </w:div>
    <w:div w:id="341978926">
      <w:marLeft w:val="0"/>
      <w:marRight w:val="0"/>
      <w:marTop w:val="0"/>
      <w:marBottom w:val="0"/>
      <w:divBdr>
        <w:top w:val="none" w:sz="0" w:space="0" w:color="auto"/>
        <w:left w:val="none" w:sz="0" w:space="0" w:color="auto"/>
        <w:bottom w:val="none" w:sz="0" w:space="0" w:color="auto"/>
        <w:right w:val="none" w:sz="0" w:space="0" w:color="auto"/>
      </w:divBdr>
      <w:divsChild>
        <w:div w:id="1095630987">
          <w:marLeft w:val="0"/>
          <w:marRight w:val="0"/>
          <w:marTop w:val="547"/>
          <w:marBottom w:val="0"/>
          <w:divBdr>
            <w:top w:val="none" w:sz="0" w:space="0" w:color="auto"/>
            <w:left w:val="none" w:sz="0" w:space="0" w:color="auto"/>
            <w:bottom w:val="none" w:sz="0" w:space="0" w:color="auto"/>
            <w:right w:val="none" w:sz="0" w:space="0" w:color="auto"/>
          </w:divBdr>
        </w:div>
        <w:div w:id="569081282">
          <w:marLeft w:val="0"/>
          <w:marRight w:val="0"/>
          <w:marTop w:val="0"/>
          <w:marBottom w:val="0"/>
          <w:divBdr>
            <w:top w:val="none" w:sz="0" w:space="0" w:color="auto"/>
            <w:left w:val="none" w:sz="0" w:space="0" w:color="auto"/>
            <w:bottom w:val="none" w:sz="0" w:space="0" w:color="auto"/>
            <w:right w:val="none" w:sz="0" w:space="0" w:color="auto"/>
          </w:divBdr>
        </w:div>
        <w:div w:id="884877288">
          <w:marLeft w:val="0"/>
          <w:marRight w:val="0"/>
          <w:marTop w:val="0"/>
          <w:marBottom w:val="600"/>
          <w:divBdr>
            <w:top w:val="none" w:sz="0" w:space="0" w:color="auto"/>
            <w:left w:val="none" w:sz="0" w:space="0" w:color="auto"/>
            <w:bottom w:val="none" w:sz="0" w:space="0" w:color="auto"/>
            <w:right w:val="none" w:sz="0" w:space="0" w:color="auto"/>
          </w:divBdr>
        </w:div>
      </w:divsChild>
    </w:div>
    <w:div w:id="352077579">
      <w:marLeft w:val="0"/>
      <w:marRight w:val="0"/>
      <w:marTop w:val="0"/>
      <w:marBottom w:val="0"/>
      <w:divBdr>
        <w:top w:val="none" w:sz="0" w:space="0" w:color="auto"/>
        <w:left w:val="none" w:sz="0" w:space="0" w:color="auto"/>
        <w:bottom w:val="none" w:sz="0" w:space="0" w:color="auto"/>
        <w:right w:val="none" w:sz="0" w:space="0" w:color="auto"/>
      </w:divBdr>
      <w:divsChild>
        <w:div w:id="303317983">
          <w:marLeft w:val="0"/>
          <w:marRight w:val="0"/>
          <w:marTop w:val="144"/>
          <w:marBottom w:val="0"/>
          <w:divBdr>
            <w:top w:val="none" w:sz="0" w:space="0" w:color="auto"/>
            <w:left w:val="none" w:sz="0" w:space="0" w:color="auto"/>
            <w:bottom w:val="none" w:sz="0" w:space="0" w:color="auto"/>
            <w:right w:val="none" w:sz="0" w:space="0" w:color="auto"/>
          </w:divBdr>
        </w:div>
        <w:div w:id="1722485284">
          <w:marLeft w:val="0"/>
          <w:marRight w:val="0"/>
          <w:marTop w:val="0"/>
          <w:marBottom w:val="0"/>
          <w:divBdr>
            <w:top w:val="none" w:sz="0" w:space="0" w:color="auto"/>
            <w:left w:val="none" w:sz="0" w:space="0" w:color="auto"/>
            <w:bottom w:val="none" w:sz="0" w:space="0" w:color="auto"/>
            <w:right w:val="none" w:sz="0" w:space="0" w:color="auto"/>
          </w:divBdr>
          <w:divsChild>
            <w:div w:id="303122306">
              <w:marLeft w:val="0"/>
              <w:marRight w:val="0"/>
              <w:marTop w:val="0"/>
              <w:marBottom w:val="0"/>
              <w:divBdr>
                <w:top w:val="none" w:sz="0" w:space="0" w:color="auto"/>
                <w:left w:val="none" w:sz="0" w:space="0" w:color="auto"/>
                <w:bottom w:val="none" w:sz="0" w:space="0" w:color="auto"/>
                <w:right w:val="none" w:sz="0" w:space="0" w:color="auto"/>
              </w:divBdr>
              <w:divsChild>
                <w:div w:id="2020427508">
                  <w:marLeft w:val="0"/>
                  <w:marRight w:val="0"/>
                  <w:marTop w:val="0"/>
                  <w:marBottom w:val="0"/>
                  <w:divBdr>
                    <w:top w:val="none" w:sz="0" w:space="0" w:color="auto"/>
                    <w:left w:val="none" w:sz="0" w:space="0" w:color="auto"/>
                    <w:bottom w:val="none" w:sz="0" w:space="0" w:color="auto"/>
                    <w:right w:val="none" w:sz="0" w:space="0" w:color="auto"/>
                  </w:divBdr>
                </w:div>
              </w:divsChild>
            </w:div>
            <w:div w:id="494302916">
              <w:marLeft w:val="0"/>
              <w:marRight w:val="0"/>
              <w:marTop w:val="0"/>
              <w:marBottom w:val="0"/>
              <w:divBdr>
                <w:top w:val="none" w:sz="0" w:space="0" w:color="auto"/>
                <w:left w:val="none" w:sz="0" w:space="0" w:color="auto"/>
                <w:bottom w:val="none" w:sz="0" w:space="0" w:color="auto"/>
                <w:right w:val="none" w:sz="0" w:space="0" w:color="auto"/>
              </w:divBdr>
              <w:divsChild>
                <w:div w:id="1540557448">
                  <w:marLeft w:val="0"/>
                  <w:marRight w:val="0"/>
                  <w:marTop w:val="0"/>
                  <w:marBottom w:val="0"/>
                  <w:divBdr>
                    <w:top w:val="none" w:sz="0" w:space="0" w:color="auto"/>
                    <w:left w:val="none" w:sz="0" w:space="0" w:color="auto"/>
                    <w:bottom w:val="none" w:sz="0" w:space="0" w:color="auto"/>
                    <w:right w:val="none" w:sz="0" w:space="0" w:color="auto"/>
                  </w:divBdr>
                </w:div>
              </w:divsChild>
            </w:div>
            <w:div w:id="1811094695">
              <w:marLeft w:val="0"/>
              <w:marRight w:val="0"/>
              <w:marTop w:val="0"/>
              <w:marBottom w:val="0"/>
              <w:divBdr>
                <w:top w:val="none" w:sz="0" w:space="0" w:color="auto"/>
                <w:left w:val="none" w:sz="0" w:space="0" w:color="auto"/>
                <w:bottom w:val="none" w:sz="0" w:space="0" w:color="auto"/>
                <w:right w:val="none" w:sz="0" w:space="0" w:color="auto"/>
              </w:divBdr>
              <w:divsChild>
                <w:div w:id="1804813800">
                  <w:marLeft w:val="0"/>
                  <w:marRight w:val="0"/>
                  <w:marTop w:val="0"/>
                  <w:marBottom w:val="0"/>
                  <w:divBdr>
                    <w:top w:val="none" w:sz="0" w:space="0" w:color="auto"/>
                    <w:left w:val="none" w:sz="0" w:space="0" w:color="auto"/>
                    <w:bottom w:val="none" w:sz="0" w:space="0" w:color="auto"/>
                    <w:right w:val="none" w:sz="0" w:space="0" w:color="auto"/>
                  </w:divBdr>
                </w:div>
              </w:divsChild>
            </w:div>
            <w:div w:id="589855427">
              <w:marLeft w:val="0"/>
              <w:marRight w:val="0"/>
              <w:marTop w:val="0"/>
              <w:marBottom w:val="0"/>
              <w:divBdr>
                <w:top w:val="none" w:sz="0" w:space="0" w:color="auto"/>
                <w:left w:val="none" w:sz="0" w:space="0" w:color="auto"/>
                <w:bottom w:val="none" w:sz="0" w:space="0" w:color="auto"/>
                <w:right w:val="none" w:sz="0" w:space="0" w:color="auto"/>
              </w:divBdr>
              <w:divsChild>
                <w:div w:id="13975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4171">
      <w:marLeft w:val="0"/>
      <w:marRight w:val="0"/>
      <w:marTop w:val="0"/>
      <w:marBottom w:val="0"/>
      <w:divBdr>
        <w:top w:val="none" w:sz="0" w:space="0" w:color="auto"/>
        <w:left w:val="none" w:sz="0" w:space="0" w:color="auto"/>
        <w:bottom w:val="none" w:sz="0" w:space="0" w:color="auto"/>
        <w:right w:val="none" w:sz="0" w:space="0" w:color="auto"/>
      </w:divBdr>
      <w:divsChild>
        <w:div w:id="1770003719">
          <w:marLeft w:val="0"/>
          <w:marRight w:val="0"/>
          <w:marTop w:val="547"/>
          <w:marBottom w:val="0"/>
          <w:divBdr>
            <w:top w:val="none" w:sz="0" w:space="0" w:color="auto"/>
            <w:left w:val="none" w:sz="0" w:space="0" w:color="auto"/>
            <w:bottom w:val="none" w:sz="0" w:space="0" w:color="auto"/>
            <w:right w:val="none" w:sz="0" w:space="0" w:color="auto"/>
          </w:divBdr>
        </w:div>
        <w:div w:id="840243055">
          <w:marLeft w:val="0"/>
          <w:marRight w:val="0"/>
          <w:marTop w:val="0"/>
          <w:marBottom w:val="0"/>
          <w:divBdr>
            <w:top w:val="none" w:sz="0" w:space="0" w:color="auto"/>
            <w:left w:val="none" w:sz="0" w:space="0" w:color="auto"/>
            <w:bottom w:val="none" w:sz="0" w:space="0" w:color="auto"/>
            <w:right w:val="none" w:sz="0" w:space="0" w:color="auto"/>
          </w:divBdr>
        </w:div>
        <w:div w:id="2042514608">
          <w:marLeft w:val="0"/>
          <w:marRight w:val="0"/>
          <w:marTop w:val="0"/>
          <w:marBottom w:val="600"/>
          <w:divBdr>
            <w:top w:val="none" w:sz="0" w:space="0" w:color="auto"/>
            <w:left w:val="none" w:sz="0" w:space="0" w:color="auto"/>
            <w:bottom w:val="none" w:sz="0" w:space="0" w:color="auto"/>
            <w:right w:val="none" w:sz="0" w:space="0" w:color="auto"/>
          </w:divBdr>
        </w:div>
      </w:divsChild>
    </w:div>
    <w:div w:id="443043012">
      <w:marLeft w:val="0"/>
      <w:marRight w:val="0"/>
      <w:marTop w:val="0"/>
      <w:marBottom w:val="0"/>
      <w:divBdr>
        <w:top w:val="none" w:sz="0" w:space="0" w:color="auto"/>
        <w:left w:val="none" w:sz="0" w:space="0" w:color="auto"/>
        <w:bottom w:val="none" w:sz="0" w:space="0" w:color="auto"/>
        <w:right w:val="none" w:sz="0" w:space="0" w:color="auto"/>
      </w:divBdr>
      <w:divsChild>
        <w:div w:id="1625110486">
          <w:marLeft w:val="0"/>
          <w:marRight w:val="0"/>
          <w:marTop w:val="547"/>
          <w:marBottom w:val="0"/>
          <w:divBdr>
            <w:top w:val="none" w:sz="0" w:space="0" w:color="auto"/>
            <w:left w:val="none" w:sz="0" w:space="0" w:color="auto"/>
            <w:bottom w:val="none" w:sz="0" w:space="0" w:color="auto"/>
            <w:right w:val="none" w:sz="0" w:space="0" w:color="auto"/>
          </w:divBdr>
        </w:div>
        <w:div w:id="911739670">
          <w:marLeft w:val="0"/>
          <w:marRight w:val="0"/>
          <w:marTop w:val="0"/>
          <w:marBottom w:val="0"/>
          <w:divBdr>
            <w:top w:val="none" w:sz="0" w:space="0" w:color="auto"/>
            <w:left w:val="none" w:sz="0" w:space="0" w:color="auto"/>
            <w:bottom w:val="none" w:sz="0" w:space="0" w:color="auto"/>
            <w:right w:val="none" w:sz="0" w:space="0" w:color="auto"/>
          </w:divBdr>
        </w:div>
        <w:div w:id="1218394517">
          <w:marLeft w:val="0"/>
          <w:marRight w:val="0"/>
          <w:marTop w:val="0"/>
          <w:marBottom w:val="600"/>
          <w:divBdr>
            <w:top w:val="none" w:sz="0" w:space="0" w:color="auto"/>
            <w:left w:val="none" w:sz="0" w:space="0" w:color="auto"/>
            <w:bottom w:val="none" w:sz="0" w:space="0" w:color="auto"/>
            <w:right w:val="none" w:sz="0" w:space="0" w:color="auto"/>
          </w:divBdr>
        </w:div>
      </w:divsChild>
    </w:div>
    <w:div w:id="445469053">
      <w:marLeft w:val="0"/>
      <w:marRight w:val="0"/>
      <w:marTop w:val="0"/>
      <w:marBottom w:val="0"/>
      <w:divBdr>
        <w:top w:val="none" w:sz="0" w:space="0" w:color="auto"/>
        <w:left w:val="none" w:sz="0" w:space="0" w:color="auto"/>
        <w:bottom w:val="none" w:sz="0" w:space="0" w:color="auto"/>
        <w:right w:val="none" w:sz="0" w:space="0" w:color="auto"/>
      </w:divBdr>
      <w:divsChild>
        <w:div w:id="92014958">
          <w:marLeft w:val="0"/>
          <w:marRight w:val="0"/>
          <w:marTop w:val="547"/>
          <w:marBottom w:val="0"/>
          <w:divBdr>
            <w:top w:val="none" w:sz="0" w:space="0" w:color="auto"/>
            <w:left w:val="none" w:sz="0" w:space="0" w:color="auto"/>
            <w:bottom w:val="none" w:sz="0" w:space="0" w:color="auto"/>
            <w:right w:val="none" w:sz="0" w:space="0" w:color="auto"/>
          </w:divBdr>
        </w:div>
        <w:div w:id="1236629362">
          <w:marLeft w:val="0"/>
          <w:marRight w:val="0"/>
          <w:marTop w:val="0"/>
          <w:marBottom w:val="0"/>
          <w:divBdr>
            <w:top w:val="none" w:sz="0" w:space="0" w:color="auto"/>
            <w:left w:val="none" w:sz="0" w:space="0" w:color="auto"/>
            <w:bottom w:val="none" w:sz="0" w:space="0" w:color="auto"/>
            <w:right w:val="none" w:sz="0" w:space="0" w:color="auto"/>
          </w:divBdr>
          <w:divsChild>
            <w:div w:id="759832951">
              <w:marLeft w:val="0"/>
              <w:marRight w:val="0"/>
              <w:marTop w:val="0"/>
              <w:marBottom w:val="0"/>
              <w:divBdr>
                <w:top w:val="none" w:sz="0" w:space="0" w:color="auto"/>
                <w:left w:val="none" w:sz="0" w:space="0" w:color="auto"/>
                <w:bottom w:val="none" w:sz="0" w:space="0" w:color="auto"/>
                <w:right w:val="none" w:sz="0" w:space="0" w:color="auto"/>
              </w:divBdr>
              <w:divsChild>
                <w:div w:id="1105081829">
                  <w:marLeft w:val="0"/>
                  <w:marRight w:val="0"/>
                  <w:marTop w:val="0"/>
                  <w:marBottom w:val="0"/>
                  <w:divBdr>
                    <w:top w:val="none" w:sz="0" w:space="0" w:color="auto"/>
                    <w:left w:val="none" w:sz="0" w:space="0" w:color="auto"/>
                    <w:bottom w:val="none" w:sz="0" w:space="0" w:color="auto"/>
                    <w:right w:val="none" w:sz="0" w:space="0" w:color="auto"/>
                  </w:divBdr>
                </w:div>
              </w:divsChild>
            </w:div>
            <w:div w:id="1857573161">
              <w:marLeft w:val="0"/>
              <w:marRight w:val="0"/>
              <w:marTop w:val="0"/>
              <w:marBottom w:val="0"/>
              <w:divBdr>
                <w:top w:val="none" w:sz="0" w:space="0" w:color="auto"/>
                <w:left w:val="none" w:sz="0" w:space="0" w:color="auto"/>
                <w:bottom w:val="none" w:sz="0" w:space="0" w:color="auto"/>
                <w:right w:val="none" w:sz="0" w:space="0" w:color="auto"/>
              </w:divBdr>
              <w:divsChild>
                <w:div w:id="1519470476">
                  <w:marLeft w:val="0"/>
                  <w:marRight w:val="0"/>
                  <w:marTop w:val="0"/>
                  <w:marBottom w:val="0"/>
                  <w:divBdr>
                    <w:top w:val="none" w:sz="0" w:space="0" w:color="auto"/>
                    <w:left w:val="none" w:sz="0" w:space="0" w:color="auto"/>
                    <w:bottom w:val="none" w:sz="0" w:space="0" w:color="auto"/>
                    <w:right w:val="none" w:sz="0" w:space="0" w:color="auto"/>
                  </w:divBdr>
                </w:div>
              </w:divsChild>
            </w:div>
            <w:div w:id="2072731888">
              <w:marLeft w:val="0"/>
              <w:marRight w:val="0"/>
              <w:marTop w:val="0"/>
              <w:marBottom w:val="0"/>
              <w:divBdr>
                <w:top w:val="none" w:sz="0" w:space="0" w:color="auto"/>
                <w:left w:val="none" w:sz="0" w:space="0" w:color="auto"/>
                <w:bottom w:val="none" w:sz="0" w:space="0" w:color="auto"/>
                <w:right w:val="none" w:sz="0" w:space="0" w:color="auto"/>
              </w:divBdr>
              <w:divsChild>
                <w:div w:id="952201797">
                  <w:marLeft w:val="0"/>
                  <w:marRight w:val="0"/>
                  <w:marTop w:val="0"/>
                  <w:marBottom w:val="0"/>
                  <w:divBdr>
                    <w:top w:val="none" w:sz="0" w:space="0" w:color="auto"/>
                    <w:left w:val="none" w:sz="0" w:space="0" w:color="auto"/>
                    <w:bottom w:val="none" w:sz="0" w:space="0" w:color="auto"/>
                    <w:right w:val="none" w:sz="0" w:space="0" w:color="auto"/>
                  </w:divBdr>
                </w:div>
              </w:divsChild>
            </w:div>
            <w:div w:id="270548210">
              <w:marLeft w:val="0"/>
              <w:marRight w:val="0"/>
              <w:marTop w:val="0"/>
              <w:marBottom w:val="0"/>
              <w:divBdr>
                <w:top w:val="none" w:sz="0" w:space="0" w:color="auto"/>
                <w:left w:val="none" w:sz="0" w:space="0" w:color="auto"/>
                <w:bottom w:val="none" w:sz="0" w:space="0" w:color="auto"/>
                <w:right w:val="none" w:sz="0" w:space="0" w:color="auto"/>
              </w:divBdr>
              <w:divsChild>
                <w:div w:id="86928722">
                  <w:marLeft w:val="0"/>
                  <w:marRight w:val="0"/>
                  <w:marTop w:val="0"/>
                  <w:marBottom w:val="0"/>
                  <w:divBdr>
                    <w:top w:val="none" w:sz="0" w:space="0" w:color="auto"/>
                    <w:left w:val="none" w:sz="0" w:space="0" w:color="auto"/>
                    <w:bottom w:val="none" w:sz="0" w:space="0" w:color="auto"/>
                    <w:right w:val="none" w:sz="0" w:space="0" w:color="auto"/>
                  </w:divBdr>
                </w:div>
              </w:divsChild>
            </w:div>
            <w:div w:id="737825366">
              <w:marLeft w:val="0"/>
              <w:marRight w:val="0"/>
              <w:marTop w:val="0"/>
              <w:marBottom w:val="0"/>
              <w:divBdr>
                <w:top w:val="none" w:sz="0" w:space="0" w:color="auto"/>
                <w:left w:val="none" w:sz="0" w:space="0" w:color="auto"/>
                <w:bottom w:val="none" w:sz="0" w:space="0" w:color="auto"/>
                <w:right w:val="none" w:sz="0" w:space="0" w:color="auto"/>
              </w:divBdr>
              <w:divsChild>
                <w:div w:id="847598098">
                  <w:marLeft w:val="0"/>
                  <w:marRight w:val="0"/>
                  <w:marTop w:val="0"/>
                  <w:marBottom w:val="0"/>
                  <w:divBdr>
                    <w:top w:val="none" w:sz="0" w:space="0" w:color="auto"/>
                    <w:left w:val="none" w:sz="0" w:space="0" w:color="auto"/>
                    <w:bottom w:val="none" w:sz="0" w:space="0" w:color="auto"/>
                    <w:right w:val="none" w:sz="0" w:space="0" w:color="auto"/>
                  </w:divBdr>
                </w:div>
              </w:divsChild>
            </w:div>
            <w:div w:id="245113558">
              <w:marLeft w:val="0"/>
              <w:marRight w:val="0"/>
              <w:marTop w:val="0"/>
              <w:marBottom w:val="0"/>
              <w:divBdr>
                <w:top w:val="none" w:sz="0" w:space="0" w:color="auto"/>
                <w:left w:val="none" w:sz="0" w:space="0" w:color="auto"/>
                <w:bottom w:val="none" w:sz="0" w:space="0" w:color="auto"/>
                <w:right w:val="none" w:sz="0" w:space="0" w:color="auto"/>
              </w:divBdr>
              <w:divsChild>
                <w:div w:id="1381898799">
                  <w:marLeft w:val="0"/>
                  <w:marRight w:val="0"/>
                  <w:marTop w:val="0"/>
                  <w:marBottom w:val="0"/>
                  <w:divBdr>
                    <w:top w:val="none" w:sz="0" w:space="0" w:color="auto"/>
                    <w:left w:val="none" w:sz="0" w:space="0" w:color="auto"/>
                    <w:bottom w:val="none" w:sz="0" w:space="0" w:color="auto"/>
                    <w:right w:val="none" w:sz="0" w:space="0" w:color="auto"/>
                  </w:divBdr>
                </w:div>
              </w:divsChild>
            </w:div>
            <w:div w:id="1271934569">
              <w:marLeft w:val="0"/>
              <w:marRight w:val="0"/>
              <w:marTop w:val="0"/>
              <w:marBottom w:val="0"/>
              <w:divBdr>
                <w:top w:val="none" w:sz="0" w:space="0" w:color="auto"/>
                <w:left w:val="none" w:sz="0" w:space="0" w:color="auto"/>
                <w:bottom w:val="none" w:sz="0" w:space="0" w:color="auto"/>
                <w:right w:val="none" w:sz="0" w:space="0" w:color="auto"/>
              </w:divBdr>
              <w:divsChild>
                <w:div w:id="109132859">
                  <w:marLeft w:val="0"/>
                  <w:marRight w:val="0"/>
                  <w:marTop w:val="0"/>
                  <w:marBottom w:val="0"/>
                  <w:divBdr>
                    <w:top w:val="none" w:sz="0" w:space="0" w:color="auto"/>
                    <w:left w:val="none" w:sz="0" w:space="0" w:color="auto"/>
                    <w:bottom w:val="none" w:sz="0" w:space="0" w:color="auto"/>
                    <w:right w:val="none" w:sz="0" w:space="0" w:color="auto"/>
                  </w:divBdr>
                </w:div>
              </w:divsChild>
            </w:div>
            <w:div w:id="2096240268">
              <w:marLeft w:val="0"/>
              <w:marRight w:val="0"/>
              <w:marTop w:val="0"/>
              <w:marBottom w:val="0"/>
              <w:divBdr>
                <w:top w:val="none" w:sz="0" w:space="0" w:color="auto"/>
                <w:left w:val="none" w:sz="0" w:space="0" w:color="auto"/>
                <w:bottom w:val="none" w:sz="0" w:space="0" w:color="auto"/>
                <w:right w:val="none" w:sz="0" w:space="0" w:color="auto"/>
              </w:divBdr>
              <w:divsChild>
                <w:div w:id="96759258">
                  <w:marLeft w:val="0"/>
                  <w:marRight w:val="0"/>
                  <w:marTop w:val="0"/>
                  <w:marBottom w:val="0"/>
                  <w:divBdr>
                    <w:top w:val="none" w:sz="0" w:space="0" w:color="auto"/>
                    <w:left w:val="none" w:sz="0" w:space="0" w:color="auto"/>
                    <w:bottom w:val="none" w:sz="0" w:space="0" w:color="auto"/>
                    <w:right w:val="none" w:sz="0" w:space="0" w:color="auto"/>
                  </w:divBdr>
                </w:div>
              </w:divsChild>
            </w:div>
            <w:div w:id="928468096">
              <w:marLeft w:val="0"/>
              <w:marRight w:val="0"/>
              <w:marTop w:val="0"/>
              <w:marBottom w:val="0"/>
              <w:divBdr>
                <w:top w:val="none" w:sz="0" w:space="0" w:color="auto"/>
                <w:left w:val="none" w:sz="0" w:space="0" w:color="auto"/>
                <w:bottom w:val="none" w:sz="0" w:space="0" w:color="auto"/>
                <w:right w:val="none" w:sz="0" w:space="0" w:color="auto"/>
              </w:divBdr>
              <w:divsChild>
                <w:div w:id="34939004">
                  <w:marLeft w:val="0"/>
                  <w:marRight w:val="0"/>
                  <w:marTop w:val="0"/>
                  <w:marBottom w:val="0"/>
                  <w:divBdr>
                    <w:top w:val="none" w:sz="0" w:space="0" w:color="auto"/>
                    <w:left w:val="none" w:sz="0" w:space="0" w:color="auto"/>
                    <w:bottom w:val="none" w:sz="0" w:space="0" w:color="auto"/>
                    <w:right w:val="none" w:sz="0" w:space="0" w:color="auto"/>
                  </w:divBdr>
                </w:div>
              </w:divsChild>
            </w:div>
            <w:div w:id="1576239028">
              <w:marLeft w:val="0"/>
              <w:marRight w:val="0"/>
              <w:marTop w:val="0"/>
              <w:marBottom w:val="0"/>
              <w:divBdr>
                <w:top w:val="none" w:sz="0" w:space="0" w:color="auto"/>
                <w:left w:val="none" w:sz="0" w:space="0" w:color="auto"/>
                <w:bottom w:val="none" w:sz="0" w:space="0" w:color="auto"/>
                <w:right w:val="none" w:sz="0" w:space="0" w:color="auto"/>
              </w:divBdr>
              <w:divsChild>
                <w:div w:id="1570773343">
                  <w:marLeft w:val="0"/>
                  <w:marRight w:val="0"/>
                  <w:marTop w:val="0"/>
                  <w:marBottom w:val="0"/>
                  <w:divBdr>
                    <w:top w:val="none" w:sz="0" w:space="0" w:color="auto"/>
                    <w:left w:val="none" w:sz="0" w:space="0" w:color="auto"/>
                    <w:bottom w:val="none" w:sz="0" w:space="0" w:color="auto"/>
                    <w:right w:val="none" w:sz="0" w:space="0" w:color="auto"/>
                  </w:divBdr>
                </w:div>
              </w:divsChild>
            </w:div>
            <w:div w:id="530073562">
              <w:marLeft w:val="0"/>
              <w:marRight w:val="0"/>
              <w:marTop w:val="0"/>
              <w:marBottom w:val="0"/>
              <w:divBdr>
                <w:top w:val="none" w:sz="0" w:space="0" w:color="auto"/>
                <w:left w:val="none" w:sz="0" w:space="0" w:color="auto"/>
                <w:bottom w:val="none" w:sz="0" w:space="0" w:color="auto"/>
                <w:right w:val="none" w:sz="0" w:space="0" w:color="auto"/>
              </w:divBdr>
              <w:divsChild>
                <w:div w:id="1390153416">
                  <w:marLeft w:val="0"/>
                  <w:marRight w:val="0"/>
                  <w:marTop w:val="0"/>
                  <w:marBottom w:val="0"/>
                  <w:divBdr>
                    <w:top w:val="none" w:sz="0" w:space="0" w:color="auto"/>
                    <w:left w:val="none" w:sz="0" w:space="0" w:color="auto"/>
                    <w:bottom w:val="none" w:sz="0" w:space="0" w:color="auto"/>
                    <w:right w:val="none" w:sz="0" w:space="0" w:color="auto"/>
                  </w:divBdr>
                </w:div>
              </w:divsChild>
            </w:div>
            <w:div w:id="1018503685">
              <w:marLeft w:val="0"/>
              <w:marRight w:val="0"/>
              <w:marTop w:val="0"/>
              <w:marBottom w:val="0"/>
              <w:divBdr>
                <w:top w:val="none" w:sz="0" w:space="0" w:color="auto"/>
                <w:left w:val="none" w:sz="0" w:space="0" w:color="auto"/>
                <w:bottom w:val="none" w:sz="0" w:space="0" w:color="auto"/>
                <w:right w:val="none" w:sz="0" w:space="0" w:color="auto"/>
              </w:divBdr>
              <w:divsChild>
                <w:div w:id="472020945">
                  <w:marLeft w:val="0"/>
                  <w:marRight w:val="0"/>
                  <w:marTop w:val="0"/>
                  <w:marBottom w:val="0"/>
                  <w:divBdr>
                    <w:top w:val="none" w:sz="0" w:space="0" w:color="auto"/>
                    <w:left w:val="none" w:sz="0" w:space="0" w:color="auto"/>
                    <w:bottom w:val="none" w:sz="0" w:space="0" w:color="auto"/>
                    <w:right w:val="none" w:sz="0" w:space="0" w:color="auto"/>
                  </w:divBdr>
                </w:div>
              </w:divsChild>
            </w:div>
            <w:div w:id="37820112">
              <w:marLeft w:val="0"/>
              <w:marRight w:val="0"/>
              <w:marTop w:val="0"/>
              <w:marBottom w:val="0"/>
              <w:divBdr>
                <w:top w:val="none" w:sz="0" w:space="0" w:color="auto"/>
                <w:left w:val="none" w:sz="0" w:space="0" w:color="auto"/>
                <w:bottom w:val="none" w:sz="0" w:space="0" w:color="auto"/>
                <w:right w:val="none" w:sz="0" w:space="0" w:color="auto"/>
              </w:divBdr>
              <w:divsChild>
                <w:div w:id="666135886">
                  <w:marLeft w:val="0"/>
                  <w:marRight w:val="0"/>
                  <w:marTop w:val="0"/>
                  <w:marBottom w:val="0"/>
                  <w:divBdr>
                    <w:top w:val="none" w:sz="0" w:space="0" w:color="auto"/>
                    <w:left w:val="none" w:sz="0" w:space="0" w:color="auto"/>
                    <w:bottom w:val="none" w:sz="0" w:space="0" w:color="auto"/>
                    <w:right w:val="none" w:sz="0" w:space="0" w:color="auto"/>
                  </w:divBdr>
                </w:div>
              </w:divsChild>
            </w:div>
            <w:div w:id="1641037785">
              <w:marLeft w:val="0"/>
              <w:marRight w:val="0"/>
              <w:marTop w:val="0"/>
              <w:marBottom w:val="0"/>
              <w:divBdr>
                <w:top w:val="none" w:sz="0" w:space="0" w:color="auto"/>
                <w:left w:val="none" w:sz="0" w:space="0" w:color="auto"/>
                <w:bottom w:val="none" w:sz="0" w:space="0" w:color="auto"/>
                <w:right w:val="none" w:sz="0" w:space="0" w:color="auto"/>
              </w:divBdr>
              <w:divsChild>
                <w:div w:id="1048803222">
                  <w:marLeft w:val="0"/>
                  <w:marRight w:val="0"/>
                  <w:marTop w:val="0"/>
                  <w:marBottom w:val="0"/>
                  <w:divBdr>
                    <w:top w:val="none" w:sz="0" w:space="0" w:color="auto"/>
                    <w:left w:val="none" w:sz="0" w:space="0" w:color="auto"/>
                    <w:bottom w:val="none" w:sz="0" w:space="0" w:color="auto"/>
                    <w:right w:val="none" w:sz="0" w:space="0" w:color="auto"/>
                  </w:divBdr>
                </w:div>
              </w:divsChild>
            </w:div>
            <w:div w:id="2142913914">
              <w:marLeft w:val="0"/>
              <w:marRight w:val="0"/>
              <w:marTop w:val="0"/>
              <w:marBottom w:val="0"/>
              <w:divBdr>
                <w:top w:val="none" w:sz="0" w:space="0" w:color="auto"/>
                <w:left w:val="none" w:sz="0" w:space="0" w:color="auto"/>
                <w:bottom w:val="none" w:sz="0" w:space="0" w:color="auto"/>
                <w:right w:val="none" w:sz="0" w:space="0" w:color="auto"/>
              </w:divBdr>
              <w:divsChild>
                <w:div w:id="227156050">
                  <w:marLeft w:val="0"/>
                  <w:marRight w:val="0"/>
                  <w:marTop w:val="0"/>
                  <w:marBottom w:val="0"/>
                  <w:divBdr>
                    <w:top w:val="none" w:sz="0" w:space="0" w:color="auto"/>
                    <w:left w:val="none" w:sz="0" w:space="0" w:color="auto"/>
                    <w:bottom w:val="none" w:sz="0" w:space="0" w:color="auto"/>
                    <w:right w:val="none" w:sz="0" w:space="0" w:color="auto"/>
                  </w:divBdr>
                </w:div>
              </w:divsChild>
            </w:div>
            <w:div w:id="1857378882">
              <w:marLeft w:val="0"/>
              <w:marRight w:val="0"/>
              <w:marTop w:val="0"/>
              <w:marBottom w:val="0"/>
              <w:divBdr>
                <w:top w:val="none" w:sz="0" w:space="0" w:color="auto"/>
                <w:left w:val="none" w:sz="0" w:space="0" w:color="auto"/>
                <w:bottom w:val="none" w:sz="0" w:space="0" w:color="auto"/>
                <w:right w:val="none" w:sz="0" w:space="0" w:color="auto"/>
              </w:divBdr>
              <w:divsChild>
                <w:div w:id="1966885265">
                  <w:marLeft w:val="0"/>
                  <w:marRight w:val="0"/>
                  <w:marTop w:val="0"/>
                  <w:marBottom w:val="0"/>
                  <w:divBdr>
                    <w:top w:val="none" w:sz="0" w:space="0" w:color="auto"/>
                    <w:left w:val="none" w:sz="0" w:space="0" w:color="auto"/>
                    <w:bottom w:val="none" w:sz="0" w:space="0" w:color="auto"/>
                    <w:right w:val="none" w:sz="0" w:space="0" w:color="auto"/>
                  </w:divBdr>
                </w:div>
              </w:divsChild>
            </w:div>
            <w:div w:id="905918180">
              <w:marLeft w:val="0"/>
              <w:marRight w:val="0"/>
              <w:marTop w:val="0"/>
              <w:marBottom w:val="0"/>
              <w:divBdr>
                <w:top w:val="none" w:sz="0" w:space="0" w:color="auto"/>
                <w:left w:val="none" w:sz="0" w:space="0" w:color="auto"/>
                <w:bottom w:val="none" w:sz="0" w:space="0" w:color="auto"/>
                <w:right w:val="none" w:sz="0" w:space="0" w:color="auto"/>
              </w:divBdr>
              <w:divsChild>
                <w:div w:id="1003892374">
                  <w:marLeft w:val="0"/>
                  <w:marRight w:val="0"/>
                  <w:marTop w:val="0"/>
                  <w:marBottom w:val="0"/>
                  <w:divBdr>
                    <w:top w:val="none" w:sz="0" w:space="0" w:color="auto"/>
                    <w:left w:val="none" w:sz="0" w:space="0" w:color="auto"/>
                    <w:bottom w:val="none" w:sz="0" w:space="0" w:color="auto"/>
                    <w:right w:val="none" w:sz="0" w:space="0" w:color="auto"/>
                  </w:divBdr>
                </w:div>
              </w:divsChild>
            </w:div>
            <w:div w:id="801733415">
              <w:marLeft w:val="0"/>
              <w:marRight w:val="0"/>
              <w:marTop w:val="0"/>
              <w:marBottom w:val="0"/>
              <w:divBdr>
                <w:top w:val="none" w:sz="0" w:space="0" w:color="auto"/>
                <w:left w:val="none" w:sz="0" w:space="0" w:color="auto"/>
                <w:bottom w:val="none" w:sz="0" w:space="0" w:color="auto"/>
                <w:right w:val="none" w:sz="0" w:space="0" w:color="auto"/>
              </w:divBdr>
              <w:divsChild>
                <w:div w:id="1562520830">
                  <w:marLeft w:val="0"/>
                  <w:marRight w:val="0"/>
                  <w:marTop w:val="0"/>
                  <w:marBottom w:val="0"/>
                  <w:divBdr>
                    <w:top w:val="none" w:sz="0" w:space="0" w:color="auto"/>
                    <w:left w:val="none" w:sz="0" w:space="0" w:color="auto"/>
                    <w:bottom w:val="none" w:sz="0" w:space="0" w:color="auto"/>
                    <w:right w:val="none" w:sz="0" w:space="0" w:color="auto"/>
                  </w:divBdr>
                </w:div>
              </w:divsChild>
            </w:div>
            <w:div w:id="1945771007">
              <w:marLeft w:val="0"/>
              <w:marRight w:val="0"/>
              <w:marTop w:val="0"/>
              <w:marBottom w:val="0"/>
              <w:divBdr>
                <w:top w:val="none" w:sz="0" w:space="0" w:color="auto"/>
                <w:left w:val="none" w:sz="0" w:space="0" w:color="auto"/>
                <w:bottom w:val="none" w:sz="0" w:space="0" w:color="auto"/>
                <w:right w:val="none" w:sz="0" w:space="0" w:color="auto"/>
              </w:divBdr>
              <w:divsChild>
                <w:div w:id="1078405079">
                  <w:marLeft w:val="0"/>
                  <w:marRight w:val="0"/>
                  <w:marTop w:val="0"/>
                  <w:marBottom w:val="0"/>
                  <w:divBdr>
                    <w:top w:val="none" w:sz="0" w:space="0" w:color="auto"/>
                    <w:left w:val="none" w:sz="0" w:space="0" w:color="auto"/>
                    <w:bottom w:val="none" w:sz="0" w:space="0" w:color="auto"/>
                    <w:right w:val="none" w:sz="0" w:space="0" w:color="auto"/>
                  </w:divBdr>
                </w:div>
              </w:divsChild>
            </w:div>
            <w:div w:id="310717458">
              <w:marLeft w:val="0"/>
              <w:marRight w:val="0"/>
              <w:marTop w:val="0"/>
              <w:marBottom w:val="0"/>
              <w:divBdr>
                <w:top w:val="none" w:sz="0" w:space="0" w:color="auto"/>
                <w:left w:val="none" w:sz="0" w:space="0" w:color="auto"/>
                <w:bottom w:val="none" w:sz="0" w:space="0" w:color="auto"/>
                <w:right w:val="none" w:sz="0" w:space="0" w:color="auto"/>
              </w:divBdr>
              <w:divsChild>
                <w:div w:id="652411851">
                  <w:marLeft w:val="0"/>
                  <w:marRight w:val="0"/>
                  <w:marTop w:val="0"/>
                  <w:marBottom w:val="0"/>
                  <w:divBdr>
                    <w:top w:val="none" w:sz="0" w:space="0" w:color="auto"/>
                    <w:left w:val="none" w:sz="0" w:space="0" w:color="auto"/>
                    <w:bottom w:val="none" w:sz="0" w:space="0" w:color="auto"/>
                    <w:right w:val="none" w:sz="0" w:space="0" w:color="auto"/>
                  </w:divBdr>
                </w:div>
              </w:divsChild>
            </w:div>
            <w:div w:id="1640961128">
              <w:marLeft w:val="0"/>
              <w:marRight w:val="0"/>
              <w:marTop w:val="0"/>
              <w:marBottom w:val="0"/>
              <w:divBdr>
                <w:top w:val="none" w:sz="0" w:space="0" w:color="auto"/>
                <w:left w:val="none" w:sz="0" w:space="0" w:color="auto"/>
                <w:bottom w:val="none" w:sz="0" w:space="0" w:color="auto"/>
                <w:right w:val="none" w:sz="0" w:space="0" w:color="auto"/>
              </w:divBdr>
              <w:divsChild>
                <w:div w:id="880631947">
                  <w:marLeft w:val="0"/>
                  <w:marRight w:val="0"/>
                  <w:marTop w:val="0"/>
                  <w:marBottom w:val="0"/>
                  <w:divBdr>
                    <w:top w:val="none" w:sz="0" w:space="0" w:color="auto"/>
                    <w:left w:val="none" w:sz="0" w:space="0" w:color="auto"/>
                    <w:bottom w:val="none" w:sz="0" w:space="0" w:color="auto"/>
                    <w:right w:val="none" w:sz="0" w:space="0" w:color="auto"/>
                  </w:divBdr>
                </w:div>
              </w:divsChild>
            </w:div>
            <w:div w:id="606280351">
              <w:marLeft w:val="0"/>
              <w:marRight w:val="0"/>
              <w:marTop w:val="0"/>
              <w:marBottom w:val="0"/>
              <w:divBdr>
                <w:top w:val="none" w:sz="0" w:space="0" w:color="auto"/>
                <w:left w:val="none" w:sz="0" w:space="0" w:color="auto"/>
                <w:bottom w:val="none" w:sz="0" w:space="0" w:color="auto"/>
                <w:right w:val="none" w:sz="0" w:space="0" w:color="auto"/>
              </w:divBdr>
              <w:divsChild>
                <w:div w:id="1704747322">
                  <w:marLeft w:val="0"/>
                  <w:marRight w:val="0"/>
                  <w:marTop w:val="0"/>
                  <w:marBottom w:val="0"/>
                  <w:divBdr>
                    <w:top w:val="none" w:sz="0" w:space="0" w:color="auto"/>
                    <w:left w:val="none" w:sz="0" w:space="0" w:color="auto"/>
                    <w:bottom w:val="none" w:sz="0" w:space="0" w:color="auto"/>
                    <w:right w:val="none" w:sz="0" w:space="0" w:color="auto"/>
                  </w:divBdr>
                </w:div>
              </w:divsChild>
            </w:div>
            <w:div w:id="1263225620">
              <w:marLeft w:val="0"/>
              <w:marRight w:val="0"/>
              <w:marTop w:val="0"/>
              <w:marBottom w:val="0"/>
              <w:divBdr>
                <w:top w:val="none" w:sz="0" w:space="0" w:color="auto"/>
                <w:left w:val="none" w:sz="0" w:space="0" w:color="auto"/>
                <w:bottom w:val="none" w:sz="0" w:space="0" w:color="auto"/>
                <w:right w:val="none" w:sz="0" w:space="0" w:color="auto"/>
              </w:divBdr>
              <w:divsChild>
                <w:div w:id="1373965131">
                  <w:marLeft w:val="0"/>
                  <w:marRight w:val="0"/>
                  <w:marTop w:val="0"/>
                  <w:marBottom w:val="0"/>
                  <w:divBdr>
                    <w:top w:val="none" w:sz="0" w:space="0" w:color="auto"/>
                    <w:left w:val="none" w:sz="0" w:space="0" w:color="auto"/>
                    <w:bottom w:val="none" w:sz="0" w:space="0" w:color="auto"/>
                    <w:right w:val="none" w:sz="0" w:space="0" w:color="auto"/>
                  </w:divBdr>
                </w:div>
              </w:divsChild>
            </w:div>
            <w:div w:id="1650088031">
              <w:marLeft w:val="0"/>
              <w:marRight w:val="0"/>
              <w:marTop w:val="0"/>
              <w:marBottom w:val="0"/>
              <w:divBdr>
                <w:top w:val="none" w:sz="0" w:space="0" w:color="auto"/>
                <w:left w:val="none" w:sz="0" w:space="0" w:color="auto"/>
                <w:bottom w:val="none" w:sz="0" w:space="0" w:color="auto"/>
                <w:right w:val="none" w:sz="0" w:space="0" w:color="auto"/>
              </w:divBdr>
              <w:divsChild>
                <w:div w:id="1348367577">
                  <w:marLeft w:val="0"/>
                  <w:marRight w:val="0"/>
                  <w:marTop w:val="0"/>
                  <w:marBottom w:val="0"/>
                  <w:divBdr>
                    <w:top w:val="none" w:sz="0" w:space="0" w:color="auto"/>
                    <w:left w:val="none" w:sz="0" w:space="0" w:color="auto"/>
                    <w:bottom w:val="none" w:sz="0" w:space="0" w:color="auto"/>
                    <w:right w:val="none" w:sz="0" w:space="0" w:color="auto"/>
                  </w:divBdr>
                </w:div>
              </w:divsChild>
            </w:div>
            <w:div w:id="224991434">
              <w:marLeft w:val="0"/>
              <w:marRight w:val="0"/>
              <w:marTop w:val="0"/>
              <w:marBottom w:val="0"/>
              <w:divBdr>
                <w:top w:val="none" w:sz="0" w:space="0" w:color="auto"/>
                <w:left w:val="none" w:sz="0" w:space="0" w:color="auto"/>
                <w:bottom w:val="none" w:sz="0" w:space="0" w:color="auto"/>
                <w:right w:val="none" w:sz="0" w:space="0" w:color="auto"/>
              </w:divBdr>
              <w:divsChild>
                <w:div w:id="1406803527">
                  <w:marLeft w:val="0"/>
                  <w:marRight w:val="0"/>
                  <w:marTop w:val="0"/>
                  <w:marBottom w:val="0"/>
                  <w:divBdr>
                    <w:top w:val="none" w:sz="0" w:space="0" w:color="auto"/>
                    <w:left w:val="none" w:sz="0" w:space="0" w:color="auto"/>
                    <w:bottom w:val="none" w:sz="0" w:space="0" w:color="auto"/>
                    <w:right w:val="none" w:sz="0" w:space="0" w:color="auto"/>
                  </w:divBdr>
                </w:div>
              </w:divsChild>
            </w:div>
            <w:div w:id="1975671891">
              <w:marLeft w:val="0"/>
              <w:marRight w:val="0"/>
              <w:marTop w:val="0"/>
              <w:marBottom w:val="0"/>
              <w:divBdr>
                <w:top w:val="none" w:sz="0" w:space="0" w:color="auto"/>
                <w:left w:val="none" w:sz="0" w:space="0" w:color="auto"/>
                <w:bottom w:val="none" w:sz="0" w:space="0" w:color="auto"/>
                <w:right w:val="none" w:sz="0" w:space="0" w:color="auto"/>
              </w:divBdr>
              <w:divsChild>
                <w:div w:id="1983540745">
                  <w:marLeft w:val="0"/>
                  <w:marRight w:val="0"/>
                  <w:marTop w:val="0"/>
                  <w:marBottom w:val="0"/>
                  <w:divBdr>
                    <w:top w:val="none" w:sz="0" w:space="0" w:color="auto"/>
                    <w:left w:val="none" w:sz="0" w:space="0" w:color="auto"/>
                    <w:bottom w:val="none" w:sz="0" w:space="0" w:color="auto"/>
                    <w:right w:val="none" w:sz="0" w:space="0" w:color="auto"/>
                  </w:divBdr>
                </w:div>
              </w:divsChild>
            </w:div>
            <w:div w:id="1615288662">
              <w:marLeft w:val="0"/>
              <w:marRight w:val="0"/>
              <w:marTop w:val="0"/>
              <w:marBottom w:val="0"/>
              <w:divBdr>
                <w:top w:val="none" w:sz="0" w:space="0" w:color="auto"/>
                <w:left w:val="none" w:sz="0" w:space="0" w:color="auto"/>
                <w:bottom w:val="none" w:sz="0" w:space="0" w:color="auto"/>
                <w:right w:val="none" w:sz="0" w:space="0" w:color="auto"/>
              </w:divBdr>
              <w:divsChild>
                <w:div w:id="231082667">
                  <w:marLeft w:val="0"/>
                  <w:marRight w:val="0"/>
                  <w:marTop w:val="0"/>
                  <w:marBottom w:val="0"/>
                  <w:divBdr>
                    <w:top w:val="none" w:sz="0" w:space="0" w:color="auto"/>
                    <w:left w:val="none" w:sz="0" w:space="0" w:color="auto"/>
                    <w:bottom w:val="none" w:sz="0" w:space="0" w:color="auto"/>
                    <w:right w:val="none" w:sz="0" w:space="0" w:color="auto"/>
                  </w:divBdr>
                </w:div>
              </w:divsChild>
            </w:div>
            <w:div w:id="1251546703">
              <w:marLeft w:val="0"/>
              <w:marRight w:val="0"/>
              <w:marTop w:val="0"/>
              <w:marBottom w:val="0"/>
              <w:divBdr>
                <w:top w:val="none" w:sz="0" w:space="0" w:color="auto"/>
                <w:left w:val="none" w:sz="0" w:space="0" w:color="auto"/>
                <w:bottom w:val="none" w:sz="0" w:space="0" w:color="auto"/>
                <w:right w:val="none" w:sz="0" w:space="0" w:color="auto"/>
              </w:divBdr>
              <w:divsChild>
                <w:div w:id="1600063057">
                  <w:marLeft w:val="0"/>
                  <w:marRight w:val="0"/>
                  <w:marTop w:val="0"/>
                  <w:marBottom w:val="0"/>
                  <w:divBdr>
                    <w:top w:val="none" w:sz="0" w:space="0" w:color="auto"/>
                    <w:left w:val="none" w:sz="0" w:space="0" w:color="auto"/>
                    <w:bottom w:val="none" w:sz="0" w:space="0" w:color="auto"/>
                    <w:right w:val="none" w:sz="0" w:space="0" w:color="auto"/>
                  </w:divBdr>
                </w:div>
              </w:divsChild>
            </w:div>
            <w:div w:id="1072968946">
              <w:marLeft w:val="0"/>
              <w:marRight w:val="0"/>
              <w:marTop w:val="0"/>
              <w:marBottom w:val="0"/>
              <w:divBdr>
                <w:top w:val="none" w:sz="0" w:space="0" w:color="auto"/>
                <w:left w:val="none" w:sz="0" w:space="0" w:color="auto"/>
                <w:bottom w:val="none" w:sz="0" w:space="0" w:color="auto"/>
                <w:right w:val="none" w:sz="0" w:space="0" w:color="auto"/>
              </w:divBdr>
              <w:divsChild>
                <w:div w:id="1363362449">
                  <w:marLeft w:val="0"/>
                  <w:marRight w:val="0"/>
                  <w:marTop w:val="0"/>
                  <w:marBottom w:val="0"/>
                  <w:divBdr>
                    <w:top w:val="none" w:sz="0" w:space="0" w:color="auto"/>
                    <w:left w:val="none" w:sz="0" w:space="0" w:color="auto"/>
                    <w:bottom w:val="none" w:sz="0" w:space="0" w:color="auto"/>
                    <w:right w:val="none" w:sz="0" w:space="0" w:color="auto"/>
                  </w:divBdr>
                </w:div>
              </w:divsChild>
            </w:div>
            <w:div w:id="827137764">
              <w:marLeft w:val="0"/>
              <w:marRight w:val="0"/>
              <w:marTop w:val="0"/>
              <w:marBottom w:val="0"/>
              <w:divBdr>
                <w:top w:val="none" w:sz="0" w:space="0" w:color="auto"/>
                <w:left w:val="none" w:sz="0" w:space="0" w:color="auto"/>
                <w:bottom w:val="none" w:sz="0" w:space="0" w:color="auto"/>
                <w:right w:val="none" w:sz="0" w:space="0" w:color="auto"/>
              </w:divBdr>
              <w:divsChild>
                <w:div w:id="1098256997">
                  <w:marLeft w:val="0"/>
                  <w:marRight w:val="0"/>
                  <w:marTop w:val="0"/>
                  <w:marBottom w:val="0"/>
                  <w:divBdr>
                    <w:top w:val="none" w:sz="0" w:space="0" w:color="auto"/>
                    <w:left w:val="none" w:sz="0" w:space="0" w:color="auto"/>
                    <w:bottom w:val="none" w:sz="0" w:space="0" w:color="auto"/>
                    <w:right w:val="none" w:sz="0" w:space="0" w:color="auto"/>
                  </w:divBdr>
                </w:div>
              </w:divsChild>
            </w:div>
            <w:div w:id="1460032945">
              <w:marLeft w:val="0"/>
              <w:marRight w:val="0"/>
              <w:marTop w:val="0"/>
              <w:marBottom w:val="0"/>
              <w:divBdr>
                <w:top w:val="none" w:sz="0" w:space="0" w:color="auto"/>
                <w:left w:val="none" w:sz="0" w:space="0" w:color="auto"/>
                <w:bottom w:val="none" w:sz="0" w:space="0" w:color="auto"/>
                <w:right w:val="none" w:sz="0" w:space="0" w:color="auto"/>
              </w:divBdr>
              <w:divsChild>
                <w:div w:id="374082823">
                  <w:marLeft w:val="0"/>
                  <w:marRight w:val="0"/>
                  <w:marTop w:val="0"/>
                  <w:marBottom w:val="0"/>
                  <w:divBdr>
                    <w:top w:val="none" w:sz="0" w:space="0" w:color="auto"/>
                    <w:left w:val="none" w:sz="0" w:space="0" w:color="auto"/>
                    <w:bottom w:val="none" w:sz="0" w:space="0" w:color="auto"/>
                    <w:right w:val="none" w:sz="0" w:space="0" w:color="auto"/>
                  </w:divBdr>
                </w:div>
              </w:divsChild>
            </w:div>
            <w:div w:id="1359357405">
              <w:marLeft w:val="0"/>
              <w:marRight w:val="0"/>
              <w:marTop w:val="0"/>
              <w:marBottom w:val="0"/>
              <w:divBdr>
                <w:top w:val="none" w:sz="0" w:space="0" w:color="auto"/>
                <w:left w:val="none" w:sz="0" w:space="0" w:color="auto"/>
                <w:bottom w:val="none" w:sz="0" w:space="0" w:color="auto"/>
                <w:right w:val="none" w:sz="0" w:space="0" w:color="auto"/>
              </w:divBdr>
              <w:divsChild>
                <w:div w:id="178550267">
                  <w:marLeft w:val="0"/>
                  <w:marRight w:val="0"/>
                  <w:marTop w:val="0"/>
                  <w:marBottom w:val="0"/>
                  <w:divBdr>
                    <w:top w:val="none" w:sz="0" w:space="0" w:color="auto"/>
                    <w:left w:val="none" w:sz="0" w:space="0" w:color="auto"/>
                    <w:bottom w:val="none" w:sz="0" w:space="0" w:color="auto"/>
                    <w:right w:val="none" w:sz="0" w:space="0" w:color="auto"/>
                  </w:divBdr>
                </w:div>
              </w:divsChild>
            </w:div>
            <w:div w:id="909317033">
              <w:marLeft w:val="0"/>
              <w:marRight w:val="0"/>
              <w:marTop w:val="0"/>
              <w:marBottom w:val="0"/>
              <w:divBdr>
                <w:top w:val="none" w:sz="0" w:space="0" w:color="auto"/>
                <w:left w:val="none" w:sz="0" w:space="0" w:color="auto"/>
                <w:bottom w:val="none" w:sz="0" w:space="0" w:color="auto"/>
                <w:right w:val="none" w:sz="0" w:space="0" w:color="auto"/>
              </w:divBdr>
              <w:divsChild>
                <w:div w:id="580721694">
                  <w:marLeft w:val="0"/>
                  <w:marRight w:val="0"/>
                  <w:marTop w:val="0"/>
                  <w:marBottom w:val="0"/>
                  <w:divBdr>
                    <w:top w:val="none" w:sz="0" w:space="0" w:color="auto"/>
                    <w:left w:val="none" w:sz="0" w:space="0" w:color="auto"/>
                    <w:bottom w:val="none" w:sz="0" w:space="0" w:color="auto"/>
                    <w:right w:val="none" w:sz="0" w:space="0" w:color="auto"/>
                  </w:divBdr>
                </w:div>
              </w:divsChild>
            </w:div>
            <w:div w:id="1744176485">
              <w:marLeft w:val="0"/>
              <w:marRight w:val="0"/>
              <w:marTop w:val="0"/>
              <w:marBottom w:val="0"/>
              <w:divBdr>
                <w:top w:val="none" w:sz="0" w:space="0" w:color="auto"/>
                <w:left w:val="none" w:sz="0" w:space="0" w:color="auto"/>
                <w:bottom w:val="none" w:sz="0" w:space="0" w:color="auto"/>
                <w:right w:val="none" w:sz="0" w:space="0" w:color="auto"/>
              </w:divBdr>
              <w:divsChild>
                <w:div w:id="962341773">
                  <w:marLeft w:val="0"/>
                  <w:marRight w:val="0"/>
                  <w:marTop w:val="0"/>
                  <w:marBottom w:val="0"/>
                  <w:divBdr>
                    <w:top w:val="none" w:sz="0" w:space="0" w:color="auto"/>
                    <w:left w:val="none" w:sz="0" w:space="0" w:color="auto"/>
                    <w:bottom w:val="none" w:sz="0" w:space="0" w:color="auto"/>
                    <w:right w:val="none" w:sz="0" w:space="0" w:color="auto"/>
                  </w:divBdr>
                </w:div>
              </w:divsChild>
            </w:div>
            <w:div w:id="1329480028">
              <w:marLeft w:val="0"/>
              <w:marRight w:val="0"/>
              <w:marTop w:val="0"/>
              <w:marBottom w:val="0"/>
              <w:divBdr>
                <w:top w:val="none" w:sz="0" w:space="0" w:color="auto"/>
                <w:left w:val="none" w:sz="0" w:space="0" w:color="auto"/>
                <w:bottom w:val="none" w:sz="0" w:space="0" w:color="auto"/>
                <w:right w:val="none" w:sz="0" w:space="0" w:color="auto"/>
              </w:divBdr>
              <w:divsChild>
                <w:div w:id="2025667390">
                  <w:marLeft w:val="0"/>
                  <w:marRight w:val="0"/>
                  <w:marTop w:val="0"/>
                  <w:marBottom w:val="0"/>
                  <w:divBdr>
                    <w:top w:val="none" w:sz="0" w:space="0" w:color="auto"/>
                    <w:left w:val="none" w:sz="0" w:space="0" w:color="auto"/>
                    <w:bottom w:val="none" w:sz="0" w:space="0" w:color="auto"/>
                    <w:right w:val="none" w:sz="0" w:space="0" w:color="auto"/>
                  </w:divBdr>
                </w:div>
              </w:divsChild>
            </w:div>
            <w:div w:id="84808905">
              <w:marLeft w:val="0"/>
              <w:marRight w:val="0"/>
              <w:marTop w:val="0"/>
              <w:marBottom w:val="0"/>
              <w:divBdr>
                <w:top w:val="none" w:sz="0" w:space="0" w:color="auto"/>
                <w:left w:val="none" w:sz="0" w:space="0" w:color="auto"/>
                <w:bottom w:val="none" w:sz="0" w:space="0" w:color="auto"/>
                <w:right w:val="none" w:sz="0" w:space="0" w:color="auto"/>
              </w:divBdr>
              <w:divsChild>
                <w:div w:id="1857771706">
                  <w:marLeft w:val="0"/>
                  <w:marRight w:val="0"/>
                  <w:marTop w:val="0"/>
                  <w:marBottom w:val="0"/>
                  <w:divBdr>
                    <w:top w:val="none" w:sz="0" w:space="0" w:color="auto"/>
                    <w:left w:val="none" w:sz="0" w:space="0" w:color="auto"/>
                    <w:bottom w:val="none" w:sz="0" w:space="0" w:color="auto"/>
                    <w:right w:val="none" w:sz="0" w:space="0" w:color="auto"/>
                  </w:divBdr>
                </w:div>
              </w:divsChild>
            </w:div>
            <w:div w:id="597523583">
              <w:marLeft w:val="0"/>
              <w:marRight w:val="0"/>
              <w:marTop w:val="0"/>
              <w:marBottom w:val="0"/>
              <w:divBdr>
                <w:top w:val="none" w:sz="0" w:space="0" w:color="auto"/>
                <w:left w:val="none" w:sz="0" w:space="0" w:color="auto"/>
                <w:bottom w:val="none" w:sz="0" w:space="0" w:color="auto"/>
                <w:right w:val="none" w:sz="0" w:space="0" w:color="auto"/>
              </w:divBdr>
              <w:divsChild>
                <w:div w:id="2074497301">
                  <w:marLeft w:val="0"/>
                  <w:marRight w:val="0"/>
                  <w:marTop w:val="0"/>
                  <w:marBottom w:val="0"/>
                  <w:divBdr>
                    <w:top w:val="none" w:sz="0" w:space="0" w:color="auto"/>
                    <w:left w:val="none" w:sz="0" w:space="0" w:color="auto"/>
                    <w:bottom w:val="none" w:sz="0" w:space="0" w:color="auto"/>
                    <w:right w:val="none" w:sz="0" w:space="0" w:color="auto"/>
                  </w:divBdr>
                </w:div>
              </w:divsChild>
            </w:div>
            <w:div w:id="496728260">
              <w:marLeft w:val="0"/>
              <w:marRight w:val="0"/>
              <w:marTop w:val="0"/>
              <w:marBottom w:val="0"/>
              <w:divBdr>
                <w:top w:val="none" w:sz="0" w:space="0" w:color="auto"/>
                <w:left w:val="none" w:sz="0" w:space="0" w:color="auto"/>
                <w:bottom w:val="none" w:sz="0" w:space="0" w:color="auto"/>
                <w:right w:val="none" w:sz="0" w:space="0" w:color="auto"/>
              </w:divBdr>
              <w:divsChild>
                <w:div w:id="1055275646">
                  <w:marLeft w:val="0"/>
                  <w:marRight w:val="0"/>
                  <w:marTop w:val="0"/>
                  <w:marBottom w:val="0"/>
                  <w:divBdr>
                    <w:top w:val="none" w:sz="0" w:space="0" w:color="auto"/>
                    <w:left w:val="none" w:sz="0" w:space="0" w:color="auto"/>
                    <w:bottom w:val="none" w:sz="0" w:space="0" w:color="auto"/>
                    <w:right w:val="none" w:sz="0" w:space="0" w:color="auto"/>
                  </w:divBdr>
                </w:div>
              </w:divsChild>
            </w:div>
            <w:div w:id="743333270">
              <w:marLeft w:val="0"/>
              <w:marRight w:val="0"/>
              <w:marTop w:val="0"/>
              <w:marBottom w:val="0"/>
              <w:divBdr>
                <w:top w:val="none" w:sz="0" w:space="0" w:color="auto"/>
                <w:left w:val="none" w:sz="0" w:space="0" w:color="auto"/>
                <w:bottom w:val="none" w:sz="0" w:space="0" w:color="auto"/>
                <w:right w:val="none" w:sz="0" w:space="0" w:color="auto"/>
              </w:divBdr>
              <w:divsChild>
                <w:div w:id="713895887">
                  <w:marLeft w:val="0"/>
                  <w:marRight w:val="0"/>
                  <w:marTop w:val="0"/>
                  <w:marBottom w:val="0"/>
                  <w:divBdr>
                    <w:top w:val="none" w:sz="0" w:space="0" w:color="auto"/>
                    <w:left w:val="none" w:sz="0" w:space="0" w:color="auto"/>
                    <w:bottom w:val="none" w:sz="0" w:space="0" w:color="auto"/>
                    <w:right w:val="none" w:sz="0" w:space="0" w:color="auto"/>
                  </w:divBdr>
                </w:div>
              </w:divsChild>
            </w:div>
            <w:div w:id="1583181729">
              <w:marLeft w:val="0"/>
              <w:marRight w:val="0"/>
              <w:marTop w:val="0"/>
              <w:marBottom w:val="0"/>
              <w:divBdr>
                <w:top w:val="none" w:sz="0" w:space="0" w:color="auto"/>
                <w:left w:val="none" w:sz="0" w:space="0" w:color="auto"/>
                <w:bottom w:val="none" w:sz="0" w:space="0" w:color="auto"/>
                <w:right w:val="none" w:sz="0" w:space="0" w:color="auto"/>
              </w:divBdr>
              <w:divsChild>
                <w:div w:id="1623924137">
                  <w:marLeft w:val="0"/>
                  <w:marRight w:val="0"/>
                  <w:marTop w:val="0"/>
                  <w:marBottom w:val="0"/>
                  <w:divBdr>
                    <w:top w:val="none" w:sz="0" w:space="0" w:color="auto"/>
                    <w:left w:val="none" w:sz="0" w:space="0" w:color="auto"/>
                    <w:bottom w:val="none" w:sz="0" w:space="0" w:color="auto"/>
                    <w:right w:val="none" w:sz="0" w:space="0" w:color="auto"/>
                  </w:divBdr>
                </w:div>
              </w:divsChild>
            </w:div>
            <w:div w:id="1787772757">
              <w:marLeft w:val="0"/>
              <w:marRight w:val="0"/>
              <w:marTop w:val="0"/>
              <w:marBottom w:val="0"/>
              <w:divBdr>
                <w:top w:val="none" w:sz="0" w:space="0" w:color="auto"/>
                <w:left w:val="none" w:sz="0" w:space="0" w:color="auto"/>
                <w:bottom w:val="none" w:sz="0" w:space="0" w:color="auto"/>
                <w:right w:val="none" w:sz="0" w:space="0" w:color="auto"/>
              </w:divBdr>
              <w:divsChild>
                <w:div w:id="584146193">
                  <w:marLeft w:val="0"/>
                  <w:marRight w:val="0"/>
                  <w:marTop w:val="0"/>
                  <w:marBottom w:val="0"/>
                  <w:divBdr>
                    <w:top w:val="none" w:sz="0" w:space="0" w:color="auto"/>
                    <w:left w:val="none" w:sz="0" w:space="0" w:color="auto"/>
                    <w:bottom w:val="none" w:sz="0" w:space="0" w:color="auto"/>
                    <w:right w:val="none" w:sz="0" w:space="0" w:color="auto"/>
                  </w:divBdr>
                </w:div>
              </w:divsChild>
            </w:div>
            <w:div w:id="902642008">
              <w:marLeft w:val="0"/>
              <w:marRight w:val="0"/>
              <w:marTop w:val="0"/>
              <w:marBottom w:val="0"/>
              <w:divBdr>
                <w:top w:val="none" w:sz="0" w:space="0" w:color="auto"/>
                <w:left w:val="none" w:sz="0" w:space="0" w:color="auto"/>
                <w:bottom w:val="none" w:sz="0" w:space="0" w:color="auto"/>
                <w:right w:val="none" w:sz="0" w:space="0" w:color="auto"/>
              </w:divBdr>
              <w:divsChild>
                <w:div w:id="1183394550">
                  <w:marLeft w:val="0"/>
                  <w:marRight w:val="0"/>
                  <w:marTop w:val="0"/>
                  <w:marBottom w:val="0"/>
                  <w:divBdr>
                    <w:top w:val="none" w:sz="0" w:space="0" w:color="auto"/>
                    <w:left w:val="none" w:sz="0" w:space="0" w:color="auto"/>
                    <w:bottom w:val="none" w:sz="0" w:space="0" w:color="auto"/>
                    <w:right w:val="none" w:sz="0" w:space="0" w:color="auto"/>
                  </w:divBdr>
                </w:div>
              </w:divsChild>
            </w:div>
            <w:div w:id="1863349581">
              <w:marLeft w:val="0"/>
              <w:marRight w:val="0"/>
              <w:marTop w:val="0"/>
              <w:marBottom w:val="0"/>
              <w:divBdr>
                <w:top w:val="none" w:sz="0" w:space="0" w:color="auto"/>
                <w:left w:val="none" w:sz="0" w:space="0" w:color="auto"/>
                <w:bottom w:val="none" w:sz="0" w:space="0" w:color="auto"/>
                <w:right w:val="none" w:sz="0" w:space="0" w:color="auto"/>
              </w:divBdr>
              <w:divsChild>
                <w:div w:id="134027882">
                  <w:marLeft w:val="0"/>
                  <w:marRight w:val="0"/>
                  <w:marTop w:val="0"/>
                  <w:marBottom w:val="0"/>
                  <w:divBdr>
                    <w:top w:val="none" w:sz="0" w:space="0" w:color="auto"/>
                    <w:left w:val="none" w:sz="0" w:space="0" w:color="auto"/>
                    <w:bottom w:val="none" w:sz="0" w:space="0" w:color="auto"/>
                    <w:right w:val="none" w:sz="0" w:space="0" w:color="auto"/>
                  </w:divBdr>
                </w:div>
              </w:divsChild>
            </w:div>
            <w:div w:id="279453185">
              <w:marLeft w:val="0"/>
              <w:marRight w:val="0"/>
              <w:marTop w:val="0"/>
              <w:marBottom w:val="0"/>
              <w:divBdr>
                <w:top w:val="none" w:sz="0" w:space="0" w:color="auto"/>
                <w:left w:val="none" w:sz="0" w:space="0" w:color="auto"/>
                <w:bottom w:val="none" w:sz="0" w:space="0" w:color="auto"/>
                <w:right w:val="none" w:sz="0" w:space="0" w:color="auto"/>
              </w:divBdr>
              <w:divsChild>
                <w:div w:id="595987300">
                  <w:marLeft w:val="0"/>
                  <w:marRight w:val="0"/>
                  <w:marTop w:val="0"/>
                  <w:marBottom w:val="0"/>
                  <w:divBdr>
                    <w:top w:val="none" w:sz="0" w:space="0" w:color="auto"/>
                    <w:left w:val="none" w:sz="0" w:space="0" w:color="auto"/>
                    <w:bottom w:val="none" w:sz="0" w:space="0" w:color="auto"/>
                    <w:right w:val="none" w:sz="0" w:space="0" w:color="auto"/>
                  </w:divBdr>
                </w:div>
              </w:divsChild>
            </w:div>
            <w:div w:id="253634866">
              <w:marLeft w:val="0"/>
              <w:marRight w:val="0"/>
              <w:marTop w:val="0"/>
              <w:marBottom w:val="0"/>
              <w:divBdr>
                <w:top w:val="none" w:sz="0" w:space="0" w:color="auto"/>
                <w:left w:val="none" w:sz="0" w:space="0" w:color="auto"/>
                <w:bottom w:val="none" w:sz="0" w:space="0" w:color="auto"/>
                <w:right w:val="none" w:sz="0" w:space="0" w:color="auto"/>
              </w:divBdr>
              <w:divsChild>
                <w:div w:id="213738680">
                  <w:marLeft w:val="0"/>
                  <w:marRight w:val="0"/>
                  <w:marTop w:val="0"/>
                  <w:marBottom w:val="0"/>
                  <w:divBdr>
                    <w:top w:val="none" w:sz="0" w:space="0" w:color="auto"/>
                    <w:left w:val="none" w:sz="0" w:space="0" w:color="auto"/>
                    <w:bottom w:val="none" w:sz="0" w:space="0" w:color="auto"/>
                    <w:right w:val="none" w:sz="0" w:space="0" w:color="auto"/>
                  </w:divBdr>
                </w:div>
              </w:divsChild>
            </w:div>
            <w:div w:id="1545026286">
              <w:marLeft w:val="0"/>
              <w:marRight w:val="0"/>
              <w:marTop w:val="0"/>
              <w:marBottom w:val="0"/>
              <w:divBdr>
                <w:top w:val="none" w:sz="0" w:space="0" w:color="auto"/>
                <w:left w:val="none" w:sz="0" w:space="0" w:color="auto"/>
                <w:bottom w:val="none" w:sz="0" w:space="0" w:color="auto"/>
                <w:right w:val="none" w:sz="0" w:space="0" w:color="auto"/>
              </w:divBdr>
              <w:divsChild>
                <w:div w:id="1939172509">
                  <w:marLeft w:val="0"/>
                  <w:marRight w:val="0"/>
                  <w:marTop w:val="0"/>
                  <w:marBottom w:val="0"/>
                  <w:divBdr>
                    <w:top w:val="none" w:sz="0" w:space="0" w:color="auto"/>
                    <w:left w:val="none" w:sz="0" w:space="0" w:color="auto"/>
                    <w:bottom w:val="none" w:sz="0" w:space="0" w:color="auto"/>
                    <w:right w:val="none" w:sz="0" w:space="0" w:color="auto"/>
                  </w:divBdr>
                </w:div>
              </w:divsChild>
            </w:div>
            <w:div w:id="1621379133">
              <w:marLeft w:val="0"/>
              <w:marRight w:val="0"/>
              <w:marTop w:val="0"/>
              <w:marBottom w:val="0"/>
              <w:divBdr>
                <w:top w:val="none" w:sz="0" w:space="0" w:color="auto"/>
                <w:left w:val="none" w:sz="0" w:space="0" w:color="auto"/>
                <w:bottom w:val="none" w:sz="0" w:space="0" w:color="auto"/>
                <w:right w:val="none" w:sz="0" w:space="0" w:color="auto"/>
              </w:divBdr>
              <w:divsChild>
                <w:div w:id="1403092246">
                  <w:marLeft w:val="0"/>
                  <w:marRight w:val="0"/>
                  <w:marTop w:val="0"/>
                  <w:marBottom w:val="0"/>
                  <w:divBdr>
                    <w:top w:val="none" w:sz="0" w:space="0" w:color="auto"/>
                    <w:left w:val="none" w:sz="0" w:space="0" w:color="auto"/>
                    <w:bottom w:val="none" w:sz="0" w:space="0" w:color="auto"/>
                    <w:right w:val="none" w:sz="0" w:space="0" w:color="auto"/>
                  </w:divBdr>
                </w:div>
              </w:divsChild>
            </w:div>
            <w:div w:id="569391209">
              <w:marLeft w:val="0"/>
              <w:marRight w:val="0"/>
              <w:marTop w:val="0"/>
              <w:marBottom w:val="0"/>
              <w:divBdr>
                <w:top w:val="none" w:sz="0" w:space="0" w:color="auto"/>
                <w:left w:val="none" w:sz="0" w:space="0" w:color="auto"/>
                <w:bottom w:val="none" w:sz="0" w:space="0" w:color="auto"/>
                <w:right w:val="none" w:sz="0" w:space="0" w:color="auto"/>
              </w:divBdr>
              <w:divsChild>
                <w:div w:id="1984112664">
                  <w:marLeft w:val="0"/>
                  <w:marRight w:val="0"/>
                  <w:marTop w:val="0"/>
                  <w:marBottom w:val="0"/>
                  <w:divBdr>
                    <w:top w:val="none" w:sz="0" w:space="0" w:color="auto"/>
                    <w:left w:val="none" w:sz="0" w:space="0" w:color="auto"/>
                    <w:bottom w:val="none" w:sz="0" w:space="0" w:color="auto"/>
                    <w:right w:val="none" w:sz="0" w:space="0" w:color="auto"/>
                  </w:divBdr>
                </w:div>
              </w:divsChild>
            </w:div>
            <w:div w:id="329143114">
              <w:marLeft w:val="0"/>
              <w:marRight w:val="0"/>
              <w:marTop w:val="0"/>
              <w:marBottom w:val="0"/>
              <w:divBdr>
                <w:top w:val="none" w:sz="0" w:space="0" w:color="auto"/>
                <w:left w:val="none" w:sz="0" w:space="0" w:color="auto"/>
                <w:bottom w:val="none" w:sz="0" w:space="0" w:color="auto"/>
                <w:right w:val="none" w:sz="0" w:space="0" w:color="auto"/>
              </w:divBdr>
              <w:divsChild>
                <w:div w:id="803079325">
                  <w:marLeft w:val="0"/>
                  <w:marRight w:val="0"/>
                  <w:marTop w:val="0"/>
                  <w:marBottom w:val="0"/>
                  <w:divBdr>
                    <w:top w:val="none" w:sz="0" w:space="0" w:color="auto"/>
                    <w:left w:val="none" w:sz="0" w:space="0" w:color="auto"/>
                    <w:bottom w:val="none" w:sz="0" w:space="0" w:color="auto"/>
                    <w:right w:val="none" w:sz="0" w:space="0" w:color="auto"/>
                  </w:divBdr>
                </w:div>
              </w:divsChild>
            </w:div>
            <w:div w:id="1167476266">
              <w:marLeft w:val="0"/>
              <w:marRight w:val="0"/>
              <w:marTop w:val="0"/>
              <w:marBottom w:val="0"/>
              <w:divBdr>
                <w:top w:val="none" w:sz="0" w:space="0" w:color="auto"/>
                <w:left w:val="none" w:sz="0" w:space="0" w:color="auto"/>
                <w:bottom w:val="none" w:sz="0" w:space="0" w:color="auto"/>
                <w:right w:val="none" w:sz="0" w:space="0" w:color="auto"/>
              </w:divBdr>
              <w:divsChild>
                <w:div w:id="1864897079">
                  <w:marLeft w:val="0"/>
                  <w:marRight w:val="0"/>
                  <w:marTop w:val="0"/>
                  <w:marBottom w:val="0"/>
                  <w:divBdr>
                    <w:top w:val="none" w:sz="0" w:space="0" w:color="auto"/>
                    <w:left w:val="none" w:sz="0" w:space="0" w:color="auto"/>
                    <w:bottom w:val="none" w:sz="0" w:space="0" w:color="auto"/>
                    <w:right w:val="none" w:sz="0" w:space="0" w:color="auto"/>
                  </w:divBdr>
                </w:div>
              </w:divsChild>
            </w:div>
            <w:div w:id="1729837648">
              <w:marLeft w:val="0"/>
              <w:marRight w:val="0"/>
              <w:marTop w:val="0"/>
              <w:marBottom w:val="0"/>
              <w:divBdr>
                <w:top w:val="none" w:sz="0" w:space="0" w:color="auto"/>
                <w:left w:val="none" w:sz="0" w:space="0" w:color="auto"/>
                <w:bottom w:val="none" w:sz="0" w:space="0" w:color="auto"/>
                <w:right w:val="none" w:sz="0" w:space="0" w:color="auto"/>
              </w:divBdr>
              <w:divsChild>
                <w:div w:id="1146047659">
                  <w:marLeft w:val="0"/>
                  <w:marRight w:val="0"/>
                  <w:marTop w:val="0"/>
                  <w:marBottom w:val="0"/>
                  <w:divBdr>
                    <w:top w:val="none" w:sz="0" w:space="0" w:color="auto"/>
                    <w:left w:val="none" w:sz="0" w:space="0" w:color="auto"/>
                    <w:bottom w:val="none" w:sz="0" w:space="0" w:color="auto"/>
                    <w:right w:val="none" w:sz="0" w:space="0" w:color="auto"/>
                  </w:divBdr>
                </w:div>
              </w:divsChild>
            </w:div>
            <w:div w:id="633757718">
              <w:marLeft w:val="0"/>
              <w:marRight w:val="0"/>
              <w:marTop w:val="0"/>
              <w:marBottom w:val="0"/>
              <w:divBdr>
                <w:top w:val="none" w:sz="0" w:space="0" w:color="auto"/>
                <w:left w:val="none" w:sz="0" w:space="0" w:color="auto"/>
                <w:bottom w:val="none" w:sz="0" w:space="0" w:color="auto"/>
                <w:right w:val="none" w:sz="0" w:space="0" w:color="auto"/>
              </w:divBdr>
              <w:divsChild>
                <w:div w:id="920792922">
                  <w:marLeft w:val="0"/>
                  <w:marRight w:val="0"/>
                  <w:marTop w:val="0"/>
                  <w:marBottom w:val="0"/>
                  <w:divBdr>
                    <w:top w:val="none" w:sz="0" w:space="0" w:color="auto"/>
                    <w:left w:val="none" w:sz="0" w:space="0" w:color="auto"/>
                    <w:bottom w:val="none" w:sz="0" w:space="0" w:color="auto"/>
                    <w:right w:val="none" w:sz="0" w:space="0" w:color="auto"/>
                  </w:divBdr>
                </w:div>
              </w:divsChild>
            </w:div>
            <w:div w:id="2124227608">
              <w:marLeft w:val="0"/>
              <w:marRight w:val="0"/>
              <w:marTop w:val="0"/>
              <w:marBottom w:val="0"/>
              <w:divBdr>
                <w:top w:val="none" w:sz="0" w:space="0" w:color="auto"/>
                <w:left w:val="none" w:sz="0" w:space="0" w:color="auto"/>
                <w:bottom w:val="none" w:sz="0" w:space="0" w:color="auto"/>
                <w:right w:val="none" w:sz="0" w:space="0" w:color="auto"/>
              </w:divBdr>
              <w:divsChild>
                <w:div w:id="1433545524">
                  <w:marLeft w:val="0"/>
                  <w:marRight w:val="0"/>
                  <w:marTop w:val="0"/>
                  <w:marBottom w:val="0"/>
                  <w:divBdr>
                    <w:top w:val="none" w:sz="0" w:space="0" w:color="auto"/>
                    <w:left w:val="none" w:sz="0" w:space="0" w:color="auto"/>
                    <w:bottom w:val="none" w:sz="0" w:space="0" w:color="auto"/>
                    <w:right w:val="none" w:sz="0" w:space="0" w:color="auto"/>
                  </w:divBdr>
                </w:div>
              </w:divsChild>
            </w:div>
            <w:div w:id="1475827099">
              <w:marLeft w:val="0"/>
              <w:marRight w:val="0"/>
              <w:marTop w:val="0"/>
              <w:marBottom w:val="0"/>
              <w:divBdr>
                <w:top w:val="none" w:sz="0" w:space="0" w:color="auto"/>
                <w:left w:val="none" w:sz="0" w:space="0" w:color="auto"/>
                <w:bottom w:val="none" w:sz="0" w:space="0" w:color="auto"/>
                <w:right w:val="none" w:sz="0" w:space="0" w:color="auto"/>
              </w:divBdr>
              <w:divsChild>
                <w:div w:id="1139999850">
                  <w:marLeft w:val="0"/>
                  <w:marRight w:val="0"/>
                  <w:marTop w:val="0"/>
                  <w:marBottom w:val="0"/>
                  <w:divBdr>
                    <w:top w:val="none" w:sz="0" w:space="0" w:color="auto"/>
                    <w:left w:val="none" w:sz="0" w:space="0" w:color="auto"/>
                    <w:bottom w:val="none" w:sz="0" w:space="0" w:color="auto"/>
                    <w:right w:val="none" w:sz="0" w:space="0" w:color="auto"/>
                  </w:divBdr>
                </w:div>
              </w:divsChild>
            </w:div>
            <w:div w:id="663163052">
              <w:marLeft w:val="0"/>
              <w:marRight w:val="0"/>
              <w:marTop w:val="0"/>
              <w:marBottom w:val="0"/>
              <w:divBdr>
                <w:top w:val="none" w:sz="0" w:space="0" w:color="auto"/>
                <w:left w:val="none" w:sz="0" w:space="0" w:color="auto"/>
                <w:bottom w:val="none" w:sz="0" w:space="0" w:color="auto"/>
                <w:right w:val="none" w:sz="0" w:space="0" w:color="auto"/>
              </w:divBdr>
              <w:divsChild>
                <w:div w:id="1125848777">
                  <w:marLeft w:val="0"/>
                  <w:marRight w:val="0"/>
                  <w:marTop w:val="0"/>
                  <w:marBottom w:val="0"/>
                  <w:divBdr>
                    <w:top w:val="none" w:sz="0" w:space="0" w:color="auto"/>
                    <w:left w:val="none" w:sz="0" w:space="0" w:color="auto"/>
                    <w:bottom w:val="none" w:sz="0" w:space="0" w:color="auto"/>
                    <w:right w:val="none" w:sz="0" w:space="0" w:color="auto"/>
                  </w:divBdr>
                </w:div>
              </w:divsChild>
            </w:div>
            <w:div w:id="123625978">
              <w:marLeft w:val="0"/>
              <w:marRight w:val="0"/>
              <w:marTop w:val="0"/>
              <w:marBottom w:val="0"/>
              <w:divBdr>
                <w:top w:val="none" w:sz="0" w:space="0" w:color="auto"/>
                <w:left w:val="none" w:sz="0" w:space="0" w:color="auto"/>
                <w:bottom w:val="none" w:sz="0" w:space="0" w:color="auto"/>
                <w:right w:val="none" w:sz="0" w:space="0" w:color="auto"/>
              </w:divBdr>
              <w:divsChild>
                <w:div w:id="349768344">
                  <w:marLeft w:val="0"/>
                  <w:marRight w:val="0"/>
                  <w:marTop w:val="0"/>
                  <w:marBottom w:val="0"/>
                  <w:divBdr>
                    <w:top w:val="none" w:sz="0" w:space="0" w:color="auto"/>
                    <w:left w:val="none" w:sz="0" w:space="0" w:color="auto"/>
                    <w:bottom w:val="none" w:sz="0" w:space="0" w:color="auto"/>
                    <w:right w:val="none" w:sz="0" w:space="0" w:color="auto"/>
                  </w:divBdr>
                </w:div>
              </w:divsChild>
            </w:div>
            <w:div w:id="348023283">
              <w:marLeft w:val="0"/>
              <w:marRight w:val="0"/>
              <w:marTop w:val="0"/>
              <w:marBottom w:val="0"/>
              <w:divBdr>
                <w:top w:val="none" w:sz="0" w:space="0" w:color="auto"/>
                <w:left w:val="none" w:sz="0" w:space="0" w:color="auto"/>
                <w:bottom w:val="none" w:sz="0" w:space="0" w:color="auto"/>
                <w:right w:val="none" w:sz="0" w:space="0" w:color="auto"/>
              </w:divBdr>
              <w:divsChild>
                <w:div w:id="1612055783">
                  <w:marLeft w:val="0"/>
                  <w:marRight w:val="0"/>
                  <w:marTop w:val="0"/>
                  <w:marBottom w:val="0"/>
                  <w:divBdr>
                    <w:top w:val="none" w:sz="0" w:space="0" w:color="auto"/>
                    <w:left w:val="none" w:sz="0" w:space="0" w:color="auto"/>
                    <w:bottom w:val="none" w:sz="0" w:space="0" w:color="auto"/>
                    <w:right w:val="none" w:sz="0" w:space="0" w:color="auto"/>
                  </w:divBdr>
                </w:div>
              </w:divsChild>
            </w:div>
            <w:div w:id="295180114">
              <w:marLeft w:val="0"/>
              <w:marRight w:val="0"/>
              <w:marTop w:val="0"/>
              <w:marBottom w:val="0"/>
              <w:divBdr>
                <w:top w:val="none" w:sz="0" w:space="0" w:color="auto"/>
                <w:left w:val="none" w:sz="0" w:space="0" w:color="auto"/>
                <w:bottom w:val="none" w:sz="0" w:space="0" w:color="auto"/>
                <w:right w:val="none" w:sz="0" w:space="0" w:color="auto"/>
              </w:divBdr>
              <w:divsChild>
                <w:div w:id="827013438">
                  <w:marLeft w:val="0"/>
                  <w:marRight w:val="0"/>
                  <w:marTop w:val="0"/>
                  <w:marBottom w:val="0"/>
                  <w:divBdr>
                    <w:top w:val="none" w:sz="0" w:space="0" w:color="auto"/>
                    <w:left w:val="none" w:sz="0" w:space="0" w:color="auto"/>
                    <w:bottom w:val="none" w:sz="0" w:space="0" w:color="auto"/>
                    <w:right w:val="none" w:sz="0" w:space="0" w:color="auto"/>
                  </w:divBdr>
                </w:div>
              </w:divsChild>
            </w:div>
            <w:div w:id="1814322331">
              <w:marLeft w:val="0"/>
              <w:marRight w:val="0"/>
              <w:marTop w:val="0"/>
              <w:marBottom w:val="0"/>
              <w:divBdr>
                <w:top w:val="none" w:sz="0" w:space="0" w:color="auto"/>
                <w:left w:val="none" w:sz="0" w:space="0" w:color="auto"/>
                <w:bottom w:val="none" w:sz="0" w:space="0" w:color="auto"/>
                <w:right w:val="none" w:sz="0" w:space="0" w:color="auto"/>
              </w:divBdr>
              <w:divsChild>
                <w:div w:id="790365494">
                  <w:marLeft w:val="0"/>
                  <w:marRight w:val="0"/>
                  <w:marTop w:val="0"/>
                  <w:marBottom w:val="0"/>
                  <w:divBdr>
                    <w:top w:val="none" w:sz="0" w:space="0" w:color="auto"/>
                    <w:left w:val="none" w:sz="0" w:space="0" w:color="auto"/>
                    <w:bottom w:val="none" w:sz="0" w:space="0" w:color="auto"/>
                    <w:right w:val="none" w:sz="0" w:space="0" w:color="auto"/>
                  </w:divBdr>
                </w:div>
              </w:divsChild>
            </w:div>
            <w:div w:id="835346408">
              <w:marLeft w:val="0"/>
              <w:marRight w:val="0"/>
              <w:marTop w:val="0"/>
              <w:marBottom w:val="0"/>
              <w:divBdr>
                <w:top w:val="none" w:sz="0" w:space="0" w:color="auto"/>
                <w:left w:val="none" w:sz="0" w:space="0" w:color="auto"/>
                <w:bottom w:val="none" w:sz="0" w:space="0" w:color="auto"/>
                <w:right w:val="none" w:sz="0" w:space="0" w:color="auto"/>
              </w:divBdr>
              <w:divsChild>
                <w:div w:id="1464271653">
                  <w:marLeft w:val="0"/>
                  <w:marRight w:val="0"/>
                  <w:marTop w:val="0"/>
                  <w:marBottom w:val="0"/>
                  <w:divBdr>
                    <w:top w:val="none" w:sz="0" w:space="0" w:color="auto"/>
                    <w:left w:val="none" w:sz="0" w:space="0" w:color="auto"/>
                    <w:bottom w:val="none" w:sz="0" w:space="0" w:color="auto"/>
                    <w:right w:val="none" w:sz="0" w:space="0" w:color="auto"/>
                  </w:divBdr>
                </w:div>
              </w:divsChild>
            </w:div>
            <w:div w:id="956760979">
              <w:marLeft w:val="0"/>
              <w:marRight w:val="0"/>
              <w:marTop w:val="0"/>
              <w:marBottom w:val="0"/>
              <w:divBdr>
                <w:top w:val="none" w:sz="0" w:space="0" w:color="auto"/>
                <w:left w:val="none" w:sz="0" w:space="0" w:color="auto"/>
                <w:bottom w:val="none" w:sz="0" w:space="0" w:color="auto"/>
                <w:right w:val="none" w:sz="0" w:space="0" w:color="auto"/>
              </w:divBdr>
              <w:divsChild>
                <w:div w:id="2083410414">
                  <w:marLeft w:val="0"/>
                  <w:marRight w:val="0"/>
                  <w:marTop w:val="0"/>
                  <w:marBottom w:val="0"/>
                  <w:divBdr>
                    <w:top w:val="none" w:sz="0" w:space="0" w:color="auto"/>
                    <w:left w:val="none" w:sz="0" w:space="0" w:color="auto"/>
                    <w:bottom w:val="none" w:sz="0" w:space="0" w:color="auto"/>
                    <w:right w:val="none" w:sz="0" w:space="0" w:color="auto"/>
                  </w:divBdr>
                </w:div>
              </w:divsChild>
            </w:div>
            <w:div w:id="270088959">
              <w:marLeft w:val="0"/>
              <w:marRight w:val="0"/>
              <w:marTop w:val="0"/>
              <w:marBottom w:val="0"/>
              <w:divBdr>
                <w:top w:val="none" w:sz="0" w:space="0" w:color="auto"/>
                <w:left w:val="none" w:sz="0" w:space="0" w:color="auto"/>
                <w:bottom w:val="none" w:sz="0" w:space="0" w:color="auto"/>
                <w:right w:val="none" w:sz="0" w:space="0" w:color="auto"/>
              </w:divBdr>
              <w:divsChild>
                <w:div w:id="416244176">
                  <w:marLeft w:val="0"/>
                  <w:marRight w:val="0"/>
                  <w:marTop w:val="0"/>
                  <w:marBottom w:val="0"/>
                  <w:divBdr>
                    <w:top w:val="none" w:sz="0" w:space="0" w:color="auto"/>
                    <w:left w:val="none" w:sz="0" w:space="0" w:color="auto"/>
                    <w:bottom w:val="none" w:sz="0" w:space="0" w:color="auto"/>
                    <w:right w:val="none" w:sz="0" w:space="0" w:color="auto"/>
                  </w:divBdr>
                </w:div>
              </w:divsChild>
            </w:div>
            <w:div w:id="1217006633">
              <w:marLeft w:val="0"/>
              <w:marRight w:val="0"/>
              <w:marTop w:val="0"/>
              <w:marBottom w:val="0"/>
              <w:divBdr>
                <w:top w:val="none" w:sz="0" w:space="0" w:color="auto"/>
                <w:left w:val="none" w:sz="0" w:space="0" w:color="auto"/>
                <w:bottom w:val="none" w:sz="0" w:space="0" w:color="auto"/>
                <w:right w:val="none" w:sz="0" w:space="0" w:color="auto"/>
              </w:divBdr>
              <w:divsChild>
                <w:div w:id="1880390787">
                  <w:marLeft w:val="0"/>
                  <w:marRight w:val="0"/>
                  <w:marTop w:val="0"/>
                  <w:marBottom w:val="0"/>
                  <w:divBdr>
                    <w:top w:val="none" w:sz="0" w:space="0" w:color="auto"/>
                    <w:left w:val="none" w:sz="0" w:space="0" w:color="auto"/>
                    <w:bottom w:val="none" w:sz="0" w:space="0" w:color="auto"/>
                    <w:right w:val="none" w:sz="0" w:space="0" w:color="auto"/>
                  </w:divBdr>
                </w:div>
              </w:divsChild>
            </w:div>
            <w:div w:id="235867474">
              <w:marLeft w:val="0"/>
              <w:marRight w:val="0"/>
              <w:marTop w:val="0"/>
              <w:marBottom w:val="0"/>
              <w:divBdr>
                <w:top w:val="none" w:sz="0" w:space="0" w:color="auto"/>
                <w:left w:val="none" w:sz="0" w:space="0" w:color="auto"/>
                <w:bottom w:val="none" w:sz="0" w:space="0" w:color="auto"/>
                <w:right w:val="none" w:sz="0" w:space="0" w:color="auto"/>
              </w:divBdr>
              <w:divsChild>
                <w:div w:id="2516326">
                  <w:marLeft w:val="0"/>
                  <w:marRight w:val="0"/>
                  <w:marTop w:val="0"/>
                  <w:marBottom w:val="0"/>
                  <w:divBdr>
                    <w:top w:val="none" w:sz="0" w:space="0" w:color="auto"/>
                    <w:left w:val="none" w:sz="0" w:space="0" w:color="auto"/>
                    <w:bottom w:val="none" w:sz="0" w:space="0" w:color="auto"/>
                    <w:right w:val="none" w:sz="0" w:space="0" w:color="auto"/>
                  </w:divBdr>
                </w:div>
              </w:divsChild>
            </w:div>
            <w:div w:id="455611136">
              <w:marLeft w:val="0"/>
              <w:marRight w:val="0"/>
              <w:marTop w:val="0"/>
              <w:marBottom w:val="0"/>
              <w:divBdr>
                <w:top w:val="none" w:sz="0" w:space="0" w:color="auto"/>
                <w:left w:val="none" w:sz="0" w:space="0" w:color="auto"/>
                <w:bottom w:val="none" w:sz="0" w:space="0" w:color="auto"/>
                <w:right w:val="none" w:sz="0" w:space="0" w:color="auto"/>
              </w:divBdr>
              <w:divsChild>
                <w:div w:id="463961321">
                  <w:marLeft w:val="0"/>
                  <w:marRight w:val="0"/>
                  <w:marTop w:val="0"/>
                  <w:marBottom w:val="0"/>
                  <w:divBdr>
                    <w:top w:val="none" w:sz="0" w:space="0" w:color="auto"/>
                    <w:left w:val="none" w:sz="0" w:space="0" w:color="auto"/>
                    <w:bottom w:val="none" w:sz="0" w:space="0" w:color="auto"/>
                    <w:right w:val="none" w:sz="0" w:space="0" w:color="auto"/>
                  </w:divBdr>
                </w:div>
              </w:divsChild>
            </w:div>
            <w:div w:id="1135217500">
              <w:marLeft w:val="0"/>
              <w:marRight w:val="0"/>
              <w:marTop w:val="0"/>
              <w:marBottom w:val="0"/>
              <w:divBdr>
                <w:top w:val="none" w:sz="0" w:space="0" w:color="auto"/>
                <w:left w:val="none" w:sz="0" w:space="0" w:color="auto"/>
                <w:bottom w:val="none" w:sz="0" w:space="0" w:color="auto"/>
                <w:right w:val="none" w:sz="0" w:space="0" w:color="auto"/>
              </w:divBdr>
              <w:divsChild>
                <w:div w:id="2000881493">
                  <w:marLeft w:val="0"/>
                  <w:marRight w:val="0"/>
                  <w:marTop w:val="0"/>
                  <w:marBottom w:val="0"/>
                  <w:divBdr>
                    <w:top w:val="none" w:sz="0" w:space="0" w:color="auto"/>
                    <w:left w:val="none" w:sz="0" w:space="0" w:color="auto"/>
                    <w:bottom w:val="none" w:sz="0" w:space="0" w:color="auto"/>
                    <w:right w:val="none" w:sz="0" w:space="0" w:color="auto"/>
                  </w:divBdr>
                </w:div>
              </w:divsChild>
            </w:div>
            <w:div w:id="332268393">
              <w:marLeft w:val="0"/>
              <w:marRight w:val="0"/>
              <w:marTop w:val="0"/>
              <w:marBottom w:val="0"/>
              <w:divBdr>
                <w:top w:val="none" w:sz="0" w:space="0" w:color="auto"/>
                <w:left w:val="none" w:sz="0" w:space="0" w:color="auto"/>
                <w:bottom w:val="none" w:sz="0" w:space="0" w:color="auto"/>
                <w:right w:val="none" w:sz="0" w:space="0" w:color="auto"/>
              </w:divBdr>
              <w:divsChild>
                <w:div w:id="1546485015">
                  <w:marLeft w:val="0"/>
                  <w:marRight w:val="0"/>
                  <w:marTop w:val="0"/>
                  <w:marBottom w:val="0"/>
                  <w:divBdr>
                    <w:top w:val="none" w:sz="0" w:space="0" w:color="auto"/>
                    <w:left w:val="none" w:sz="0" w:space="0" w:color="auto"/>
                    <w:bottom w:val="none" w:sz="0" w:space="0" w:color="auto"/>
                    <w:right w:val="none" w:sz="0" w:space="0" w:color="auto"/>
                  </w:divBdr>
                </w:div>
              </w:divsChild>
            </w:div>
            <w:div w:id="1005282418">
              <w:marLeft w:val="0"/>
              <w:marRight w:val="0"/>
              <w:marTop w:val="0"/>
              <w:marBottom w:val="0"/>
              <w:divBdr>
                <w:top w:val="none" w:sz="0" w:space="0" w:color="auto"/>
                <w:left w:val="none" w:sz="0" w:space="0" w:color="auto"/>
                <w:bottom w:val="none" w:sz="0" w:space="0" w:color="auto"/>
                <w:right w:val="none" w:sz="0" w:space="0" w:color="auto"/>
              </w:divBdr>
              <w:divsChild>
                <w:div w:id="1507163953">
                  <w:marLeft w:val="0"/>
                  <w:marRight w:val="0"/>
                  <w:marTop w:val="0"/>
                  <w:marBottom w:val="0"/>
                  <w:divBdr>
                    <w:top w:val="none" w:sz="0" w:space="0" w:color="auto"/>
                    <w:left w:val="none" w:sz="0" w:space="0" w:color="auto"/>
                    <w:bottom w:val="none" w:sz="0" w:space="0" w:color="auto"/>
                    <w:right w:val="none" w:sz="0" w:space="0" w:color="auto"/>
                  </w:divBdr>
                </w:div>
              </w:divsChild>
            </w:div>
            <w:div w:id="196431352">
              <w:marLeft w:val="0"/>
              <w:marRight w:val="0"/>
              <w:marTop w:val="0"/>
              <w:marBottom w:val="0"/>
              <w:divBdr>
                <w:top w:val="none" w:sz="0" w:space="0" w:color="auto"/>
                <w:left w:val="none" w:sz="0" w:space="0" w:color="auto"/>
                <w:bottom w:val="none" w:sz="0" w:space="0" w:color="auto"/>
                <w:right w:val="none" w:sz="0" w:space="0" w:color="auto"/>
              </w:divBdr>
              <w:divsChild>
                <w:div w:id="292639760">
                  <w:marLeft w:val="0"/>
                  <w:marRight w:val="0"/>
                  <w:marTop w:val="0"/>
                  <w:marBottom w:val="0"/>
                  <w:divBdr>
                    <w:top w:val="none" w:sz="0" w:space="0" w:color="auto"/>
                    <w:left w:val="none" w:sz="0" w:space="0" w:color="auto"/>
                    <w:bottom w:val="none" w:sz="0" w:space="0" w:color="auto"/>
                    <w:right w:val="none" w:sz="0" w:space="0" w:color="auto"/>
                  </w:divBdr>
                </w:div>
              </w:divsChild>
            </w:div>
            <w:div w:id="1771388260">
              <w:marLeft w:val="0"/>
              <w:marRight w:val="0"/>
              <w:marTop w:val="0"/>
              <w:marBottom w:val="0"/>
              <w:divBdr>
                <w:top w:val="none" w:sz="0" w:space="0" w:color="auto"/>
                <w:left w:val="none" w:sz="0" w:space="0" w:color="auto"/>
                <w:bottom w:val="none" w:sz="0" w:space="0" w:color="auto"/>
                <w:right w:val="none" w:sz="0" w:space="0" w:color="auto"/>
              </w:divBdr>
              <w:divsChild>
                <w:div w:id="1130635219">
                  <w:marLeft w:val="0"/>
                  <w:marRight w:val="0"/>
                  <w:marTop w:val="0"/>
                  <w:marBottom w:val="0"/>
                  <w:divBdr>
                    <w:top w:val="none" w:sz="0" w:space="0" w:color="auto"/>
                    <w:left w:val="none" w:sz="0" w:space="0" w:color="auto"/>
                    <w:bottom w:val="none" w:sz="0" w:space="0" w:color="auto"/>
                    <w:right w:val="none" w:sz="0" w:space="0" w:color="auto"/>
                  </w:divBdr>
                </w:div>
              </w:divsChild>
            </w:div>
            <w:div w:id="471601863">
              <w:marLeft w:val="0"/>
              <w:marRight w:val="0"/>
              <w:marTop w:val="0"/>
              <w:marBottom w:val="0"/>
              <w:divBdr>
                <w:top w:val="none" w:sz="0" w:space="0" w:color="auto"/>
                <w:left w:val="none" w:sz="0" w:space="0" w:color="auto"/>
                <w:bottom w:val="none" w:sz="0" w:space="0" w:color="auto"/>
                <w:right w:val="none" w:sz="0" w:space="0" w:color="auto"/>
              </w:divBdr>
              <w:divsChild>
                <w:div w:id="1325158309">
                  <w:marLeft w:val="0"/>
                  <w:marRight w:val="0"/>
                  <w:marTop w:val="0"/>
                  <w:marBottom w:val="0"/>
                  <w:divBdr>
                    <w:top w:val="none" w:sz="0" w:space="0" w:color="auto"/>
                    <w:left w:val="none" w:sz="0" w:space="0" w:color="auto"/>
                    <w:bottom w:val="none" w:sz="0" w:space="0" w:color="auto"/>
                    <w:right w:val="none" w:sz="0" w:space="0" w:color="auto"/>
                  </w:divBdr>
                </w:div>
              </w:divsChild>
            </w:div>
            <w:div w:id="694768195">
              <w:marLeft w:val="0"/>
              <w:marRight w:val="0"/>
              <w:marTop w:val="0"/>
              <w:marBottom w:val="0"/>
              <w:divBdr>
                <w:top w:val="none" w:sz="0" w:space="0" w:color="auto"/>
                <w:left w:val="none" w:sz="0" w:space="0" w:color="auto"/>
                <w:bottom w:val="none" w:sz="0" w:space="0" w:color="auto"/>
                <w:right w:val="none" w:sz="0" w:space="0" w:color="auto"/>
              </w:divBdr>
              <w:divsChild>
                <w:div w:id="1977878716">
                  <w:marLeft w:val="0"/>
                  <w:marRight w:val="0"/>
                  <w:marTop w:val="0"/>
                  <w:marBottom w:val="0"/>
                  <w:divBdr>
                    <w:top w:val="none" w:sz="0" w:space="0" w:color="auto"/>
                    <w:left w:val="none" w:sz="0" w:space="0" w:color="auto"/>
                    <w:bottom w:val="none" w:sz="0" w:space="0" w:color="auto"/>
                    <w:right w:val="none" w:sz="0" w:space="0" w:color="auto"/>
                  </w:divBdr>
                </w:div>
              </w:divsChild>
            </w:div>
            <w:div w:id="266819021">
              <w:marLeft w:val="0"/>
              <w:marRight w:val="0"/>
              <w:marTop w:val="0"/>
              <w:marBottom w:val="0"/>
              <w:divBdr>
                <w:top w:val="none" w:sz="0" w:space="0" w:color="auto"/>
                <w:left w:val="none" w:sz="0" w:space="0" w:color="auto"/>
                <w:bottom w:val="none" w:sz="0" w:space="0" w:color="auto"/>
                <w:right w:val="none" w:sz="0" w:space="0" w:color="auto"/>
              </w:divBdr>
              <w:divsChild>
                <w:div w:id="1793473687">
                  <w:marLeft w:val="0"/>
                  <w:marRight w:val="0"/>
                  <w:marTop w:val="0"/>
                  <w:marBottom w:val="0"/>
                  <w:divBdr>
                    <w:top w:val="none" w:sz="0" w:space="0" w:color="auto"/>
                    <w:left w:val="none" w:sz="0" w:space="0" w:color="auto"/>
                    <w:bottom w:val="none" w:sz="0" w:space="0" w:color="auto"/>
                    <w:right w:val="none" w:sz="0" w:space="0" w:color="auto"/>
                  </w:divBdr>
                </w:div>
              </w:divsChild>
            </w:div>
            <w:div w:id="16855671">
              <w:marLeft w:val="0"/>
              <w:marRight w:val="0"/>
              <w:marTop w:val="0"/>
              <w:marBottom w:val="0"/>
              <w:divBdr>
                <w:top w:val="none" w:sz="0" w:space="0" w:color="auto"/>
                <w:left w:val="none" w:sz="0" w:space="0" w:color="auto"/>
                <w:bottom w:val="none" w:sz="0" w:space="0" w:color="auto"/>
                <w:right w:val="none" w:sz="0" w:space="0" w:color="auto"/>
              </w:divBdr>
              <w:divsChild>
                <w:div w:id="1279071297">
                  <w:marLeft w:val="0"/>
                  <w:marRight w:val="0"/>
                  <w:marTop w:val="0"/>
                  <w:marBottom w:val="0"/>
                  <w:divBdr>
                    <w:top w:val="none" w:sz="0" w:space="0" w:color="auto"/>
                    <w:left w:val="none" w:sz="0" w:space="0" w:color="auto"/>
                    <w:bottom w:val="none" w:sz="0" w:space="0" w:color="auto"/>
                    <w:right w:val="none" w:sz="0" w:space="0" w:color="auto"/>
                  </w:divBdr>
                </w:div>
              </w:divsChild>
            </w:div>
            <w:div w:id="121196933">
              <w:marLeft w:val="0"/>
              <w:marRight w:val="0"/>
              <w:marTop w:val="0"/>
              <w:marBottom w:val="0"/>
              <w:divBdr>
                <w:top w:val="none" w:sz="0" w:space="0" w:color="auto"/>
                <w:left w:val="none" w:sz="0" w:space="0" w:color="auto"/>
                <w:bottom w:val="none" w:sz="0" w:space="0" w:color="auto"/>
                <w:right w:val="none" w:sz="0" w:space="0" w:color="auto"/>
              </w:divBdr>
              <w:divsChild>
                <w:div w:id="4303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2304">
          <w:marLeft w:val="0"/>
          <w:marRight w:val="0"/>
          <w:marTop w:val="0"/>
          <w:marBottom w:val="600"/>
          <w:divBdr>
            <w:top w:val="none" w:sz="0" w:space="0" w:color="auto"/>
            <w:left w:val="none" w:sz="0" w:space="0" w:color="auto"/>
            <w:bottom w:val="none" w:sz="0" w:space="0" w:color="auto"/>
            <w:right w:val="none" w:sz="0" w:space="0" w:color="auto"/>
          </w:divBdr>
        </w:div>
      </w:divsChild>
    </w:div>
    <w:div w:id="475727893">
      <w:marLeft w:val="0"/>
      <w:marRight w:val="0"/>
      <w:marTop w:val="0"/>
      <w:marBottom w:val="0"/>
      <w:divBdr>
        <w:top w:val="none" w:sz="0" w:space="0" w:color="auto"/>
        <w:left w:val="none" w:sz="0" w:space="0" w:color="auto"/>
        <w:bottom w:val="none" w:sz="0" w:space="0" w:color="auto"/>
        <w:right w:val="none" w:sz="0" w:space="0" w:color="auto"/>
      </w:divBdr>
      <w:divsChild>
        <w:div w:id="1764758131">
          <w:marLeft w:val="0"/>
          <w:marRight w:val="0"/>
          <w:marTop w:val="547"/>
          <w:marBottom w:val="0"/>
          <w:divBdr>
            <w:top w:val="none" w:sz="0" w:space="0" w:color="auto"/>
            <w:left w:val="none" w:sz="0" w:space="0" w:color="auto"/>
            <w:bottom w:val="none" w:sz="0" w:space="0" w:color="auto"/>
            <w:right w:val="none" w:sz="0" w:space="0" w:color="auto"/>
          </w:divBdr>
        </w:div>
        <w:div w:id="718168563">
          <w:marLeft w:val="0"/>
          <w:marRight w:val="0"/>
          <w:marTop w:val="0"/>
          <w:marBottom w:val="0"/>
          <w:divBdr>
            <w:top w:val="none" w:sz="0" w:space="0" w:color="auto"/>
            <w:left w:val="none" w:sz="0" w:space="0" w:color="auto"/>
            <w:bottom w:val="none" w:sz="0" w:space="0" w:color="auto"/>
            <w:right w:val="none" w:sz="0" w:space="0" w:color="auto"/>
          </w:divBdr>
        </w:div>
        <w:div w:id="989554139">
          <w:marLeft w:val="0"/>
          <w:marRight w:val="0"/>
          <w:marTop w:val="0"/>
          <w:marBottom w:val="600"/>
          <w:divBdr>
            <w:top w:val="none" w:sz="0" w:space="0" w:color="auto"/>
            <w:left w:val="none" w:sz="0" w:space="0" w:color="auto"/>
            <w:bottom w:val="none" w:sz="0" w:space="0" w:color="auto"/>
            <w:right w:val="none" w:sz="0" w:space="0" w:color="auto"/>
          </w:divBdr>
        </w:div>
      </w:divsChild>
    </w:div>
    <w:div w:id="522087982">
      <w:marLeft w:val="0"/>
      <w:marRight w:val="0"/>
      <w:marTop w:val="0"/>
      <w:marBottom w:val="0"/>
      <w:divBdr>
        <w:top w:val="none" w:sz="0" w:space="0" w:color="auto"/>
        <w:left w:val="none" w:sz="0" w:space="0" w:color="auto"/>
        <w:bottom w:val="none" w:sz="0" w:space="0" w:color="auto"/>
        <w:right w:val="none" w:sz="0" w:space="0" w:color="auto"/>
      </w:divBdr>
      <w:divsChild>
        <w:div w:id="512181714">
          <w:marLeft w:val="0"/>
          <w:marRight w:val="0"/>
          <w:marTop w:val="547"/>
          <w:marBottom w:val="0"/>
          <w:divBdr>
            <w:top w:val="none" w:sz="0" w:space="0" w:color="auto"/>
            <w:left w:val="none" w:sz="0" w:space="0" w:color="auto"/>
            <w:bottom w:val="none" w:sz="0" w:space="0" w:color="auto"/>
            <w:right w:val="none" w:sz="0" w:space="0" w:color="auto"/>
          </w:divBdr>
        </w:div>
        <w:div w:id="505248939">
          <w:marLeft w:val="0"/>
          <w:marRight w:val="0"/>
          <w:marTop w:val="0"/>
          <w:marBottom w:val="0"/>
          <w:divBdr>
            <w:top w:val="none" w:sz="0" w:space="0" w:color="auto"/>
            <w:left w:val="none" w:sz="0" w:space="0" w:color="auto"/>
            <w:bottom w:val="none" w:sz="0" w:space="0" w:color="auto"/>
            <w:right w:val="none" w:sz="0" w:space="0" w:color="auto"/>
          </w:divBdr>
        </w:div>
        <w:div w:id="1609771091">
          <w:marLeft w:val="0"/>
          <w:marRight w:val="0"/>
          <w:marTop w:val="0"/>
          <w:marBottom w:val="600"/>
          <w:divBdr>
            <w:top w:val="none" w:sz="0" w:space="0" w:color="auto"/>
            <w:left w:val="none" w:sz="0" w:space="0" w:color="auto"/>
            <w:bottom w:val="none" w:sz="0" w:space="0" w:color="auto"/>
            <w:right w:val="none" w:sz="0" w:space="0" w:color="auto"/>
          </w:divBdr>
        </w:div>
      </w:divsChild>
    </w:div>
    <w:div w:id="536549090">
      <w:marLeft w:val="0"/>
      <w:marRight w:val="0"/>
      <w:marTop w:val="0"/>
      <w:marBottom w:val="0"/>
      <w:divBdr>
        <w:top w:val="none" w:sz="0" w:space="0" w:color="auto"/>
        <w:left w:val="none" w:sz="0" w:space="0" w:color="auto"/>
        <w:bottom w:val="none" w:sz="0" w:space="0" w:color="auto"/>
        <w:right w:val="none" w:sz="0" w:space="0" w:color="auto"/>
      </w:divBdr>
      <w:divsChild>
        <w:div w:id="723915274">
          <w:marLeft w:val="0"/>
          <w:marRight w:val="0"/>
          <w:marTop w:val="547"/>
          <w:marBottom w:val="0"/>
          <w:divBdr>
            <w:top w:val="none" w:sz="0" w:space="0" w:color="auto"/>
            <w:left w:val="none" w:sz="0" w:space="0" w:color="auto"/>
            <w:bottom w:val="none" w:sz="0" w:space="0" w:color="auto"/>
            <w:right w:val="none" w:sz="0" w:space="0" w:color="auto"/>
          </w:divBdr>
        </w:div>
        <w:div w:id="1524828236">
          <w:marLeft w:val="0"/>
          <w:marRight w:val="0"/>
          <w:marTop w:val="0"/>
          <w:marBottom w:val="0"/>
          <w:divBdr>
            <w:top w:val="none" w:sz="0" w:space="0" w:color="auto"/>
            <w:left w:val="none" w:sz="0" w:space="0" w:color="auto"/>
            <w:bottom w:val="none" w:sz="0" w:space="0" w:color="auto"/>
            <w:right w:val="none" w:sz="0" w:space="0" w:color="auto"/>
          </w:divBdr>
        </w:div>
        <w:div w:id="1681853091">
          <w:marLeft w:val="0"/>
          <w:marRight w:val="0"/>
          <w:marTop w:val="0"/>
          <w:marBottom w:val="600"/>
          <w:divBdr>
            <w:top w:val="none" w:sz="0" w:space="0" w:color="auto"/>
            <w:left w:val="none" w:sz="0" w:space="0" w:color="auto"/>
            <w:bottom w:val="none" w:sz="0" w:space="0" w:color="auto"/>
            <w:right w:val="none" w:sz="0" w:space="0" w:color="auto"/>
          </w:divBdr>
        </w:div>
      </w:divsChild>
    </w:div>
    <w:div w:id="732047995">
      <w:marLeft w:val="0"/>
      <w:marRight w:val="0"/>
      <w:marTop w:val="0"/>
      <w:marBottom w:val="0"/>
      <w:divBdr>
        <w:top w:val="none" w:sz="0" w:space="0" w:color="auto"/>
        <w:left w:val="none" w:sz="0" w:space="0" w:color="auto"/>
        <w:bottom w:val="none" w:sz="0" w:space="0" w:color="auto"/>
        <w:right w:val="none" w:sz="0" w:space="0" w:color="auto"/>
      </w:divBdr>
      <w:divsChild>
        <w:div w:id="1074936608">
          <w:marLeft w:val="0"/>
          <w:marRight w:val="0"/>
          <w:marTop w:val="547"/>
          <w:marBottom w:val="0"/>
          <w:divBdr>
            <w:top w:val="none" w:sz="0" w:space="0" w:color="auto"/>
            <w:left w:val="none" w:sz="0" w:space="0" w:color="auto"/>
            <w:bottom w:val="none" w:sz="0" w:space="0" w:color="auto"/>
            <w:right w:val="none" w:sz="0" w:space="0" w:color="auto"/>
          </w:divBdr>
        </w:div>
        <w:div w:id="1711303244">
          <w:marLeft w:val="0"/>
          <w:marRight w:val="0"/>
          <w:marTop w:val="0"/>
          <w:marBottom w:val="0"/>
          <w:divBdr>
            <w:top w:val="none" w:sz="0" w:space="0" w:color="auto"/>
            <w:left w:val="none" w:sz="0" w:space="0" w:color="auto"/>
            <w:bottom w:val="none" w:sz="0" w:space="0" w:color="auto"/>
            <w:right w:val="none" w:sz="0" w:space="0" w:color="auto"/>
          </w:divBdr>
        </w:div>
        <w:div w:id="86969986">
          <w:marLeft w:val="0"/>
          <w:marRight w:val="0"/>
          <w:marTop w:val="0"/>
          <w:marBottom w:val="600"/>
          <w:divBdr>
            <w:top w:val="none" w:sz="0" w:space="0" w:color="auto"/>
            <w:left w:val="none" w:sz="0" w:space="0" w:color="auto"/>
            <w:bottom w:val="none" w:sz="0" w:space="0" w:color="auto"/>
            <w:right w:val="none" w:sz="0" w:space="0" w:color="auto"/>
          </w:divBdr>
        </w:div>
      </w:divsChild>
    </w:div>
    <w:div w:id="744569088">
      <w:marLeft w:val="0"/>
      <w:marRight w:val="0"/>
      <w:marTop w:val="0"/>
      <w:marBottom w:val="0"/>
      <w:divBdr>
        <w:top w:val="none" w:sz="0" w:space="0" w:color="auto"/>
        <w:left w:val="none" w:sz="0" w:space="0" w:color="auto"/>
        <w:bottom w:val="none" w:sz="0" w:space="0" w:color="auto"/>
        <w:right w:val="none" w:sz="0" w:space="0" w:color="auto"/>
      </w:divBdr>
      <w:divsChild>
        <w:div w:id="641353860">
          <w:marLeft w:val="0"/>
          <w:marRight w:val="0"/>
          <w:marTop w:val="547"/>
          <w:marBottom w:val="0"/>
          <w:divBdr>
            <w:top w:val="none" w:sz="0" w:space="0" w:color="auto"/>
            <w:left w:val="none" w:sz="0" w:space="0" w:color="auto"/>
            <w:bottom w:val="none" w:sz="0" w:space="0" w:color="auto"/>
            <w:right w:val="none" w:sz="0" w:space="0" w:color="auto"/>
          </w:divBdr>
        </w:div>
        <w:div w:id="1313565008">
          <w:marLeft w:val="0"/>
          <w:marRight w:val="0"/>
          <w:marTop w:val="0"/>
          <w:marBottom w:val="0"/>
          <w:divBdr>
            <w:top w:val="none" w:sz="0" w:space="0" w:color="auto"/>
            <w:left w:val="none" w:sz="0" w:space="0" w:color="auto"/>
            <w:bottom w:val="none" w:sz="0" w:space="0" w:color="auto"/>
            <w:right w:val="none" w:sz="0" w:space="0" w:color="auto"/>
          </w:divBdr>
        </w:div>
        <w:div w:id="1304192966">
          <w:marLeft w:val="0"/>
          <w:marRight w:val="0"/>
          <w:marTop w:val="0"/>
          <w:marBottom w:val="600"/>
          <w:divBdr>
            <w:top w:val="none" w:sz="0" w:space="0" w:color="auto"/>
            <w:left w:val="none" w:sz="0" w:space="0" w:color="auto"/>
            <w:bottom w:val="none" w:sz="0" w:space="0" w:color="auto"/>
            <w:right w:val="none" w:sz="0" w:space="0" w:color="auto"/>
          </w:divBdr>
        </w:div>
      </w:divsChild>
    </w:div>
    <w:div w:id="796529247">
      <w:marLeft w:val="0"/>
      <w:marRight w:val="0"/>
      <w:marTop w:val="0"/>
      <w:marBottom w:val="0"/>
      <w:divBdr>
        <w:top w:val="none" w:sz="0" w:space="0" w:color="auto"/>
        <w:left w:val="none" w:sz="0" w:space="0" w:color="auto"/>
        <w:bottom w:val="none" w:sz="0" w:space="0" w:color="auto"/>
        <w:right w:val="none" w:sz="0" w:space="0" w:color="auto"/>
      </w:divBdr>
      <w:divsChild>
        <w:div w:id="273513788">
          <w:marLeft w:val="0"/>
          <w:marRight w:val="0"/>
          <w:marTop w:val="547"/>
          <w:marBottom w:val="0"/>
          <w:divBdr>
            <w:top w:val="none" w:sz="0" w:space="0" w:color="auto"/>
            <w:left w:val="none" w:sz="0" w:space="0" w:color="auto"/>
            <w:bottom w:val="none" w:sz="0" w:space="0" w:color="auto"/>
            <w:right w:val="none" w:sz="0" w:space="0" w:color="auto"/>
          </w:divBdr>
        </w:div>
        <w:div w:id="379213979">
          <w:marLeft w:val="0"/>
          <w:marRight w:val="0"/>
          <w:marTop w:val="0"/>
          <w:marBottom w:val="0"/>
          <w:divBdr>
            <w:top w:val="none" w:sz="0" w:space="0" w:color="auto"/>
            <w:left w:val="none" w:sz="0" w:space="0" w:color="auto"/>
            <w:bottom w:val="none" w:sz="0" w:space="0" w:color="auto"/>
            <w:right w:val="none" w:sz="0" w:space="0" w:color="auto"/>
          </w:divBdr>
        </w:div>
        <w:div w:id="1660309738">
          <w:marLeft w:val="0"/>
          <w:marRight w:val="0"/>
          <w:marTop w:val="0"/>
          <w:marBottom w:val="600"/>
          <w:divBdr>
            <w:top w:val="none" w:sz="0" w:space="0" w:color="auto"/>
            <w:left w:val="none" w:sz="0" w:space="0" w:color="auto"/>
            <w:bottom w:val="none" w:sz="0" w:space="0" w:color="auto"/>
            <w:right w:val="none" w:sz="0" w:space="0" w:color="auto"/>
          </w:divBdr>
        </w:div>
      </w:divsChild>
    </w:div>
    <w:div w:id="904069637">
      <w:marLeft w:val="0"/>
      <w:marRight w:val="0"/>
      <w:marTop w:val="0"/>
      <w:marBottom w:val="0"/>
      <w:divBdr>
        <w:top w:val="none" w:sz="0" w:space="0" w:color="auto"/>
        <w:left w:val="none" w:sz="0" w:space="0" w:color="auto"/>
        <w:bottom w:val="none" w:sz="0" w:space="0" w:color="auto"/>
        <w:right w:val="none" w:sz="0" w:space="0" w:color="auto"/>
      </w:divBdr>
      <w:divsChild>
        <w:div w:id="639305445">
          <w:marLeft w:val="0"/>
          <w:marRight w:val="0"/>
          <w:marTop w:val="547"/>
          <w:marBottom w:val="0"/>
          <w:divBdr>
            <w:top w:val="none" w:sz="0" w:space="0" w:color="auto"/>
            <w:left w:val="none" w:sz="0" w:space="0" w:color="auto"/>
            <w:bottom w:val="none" w:sz="0" w:space="0" w:color="auto"/>
            <w:right w:val="none" w:sz="0" w:space="0" w:color="auto"/>
          </w:divBdr>
        </w:div>
        <w:div w:id="590044422">
          <w:marLeft w:val="0"/>
          <w:marRight w:val="0"/>
          <w:marTop w:val="0"/>
          <w:marBottom w:val="0"/>
          <w:divBdr>
            <w:top w:val="none" w:sz="0" w:space="0" w:color="auto"/>
            <w:left w:val="none" w:sz="0" w:space="0" w:color="auto"/>
            <w:bottom w:val="none" w:sz="0" w:space="0" w:color="auto"/>
            <w:right w:val="none" w:sz="0" w:space="0" w:color="auto"/>
          </w:divBdr>
          <w:divsChild>
            <w:div w:id="968557866">
              <w:marLeft w:val="0"/>
              <w:marRight w:val="0"/>
              <w:marTop w:val="0"/>
              <w:marBottom w:val="0"/>
              <w:divBdr>
                <w:top w:val="none" w:sz="0" w:space="0" w:color="auto"/>
                <w:left w:val="none" w:sz="0" w:space="0" w:color="auto"/>
                <w:bottom w:val="none" w:sz="0" w:space="0" w:color="auto"/>
                <w:right w:val="none" w:sz="0" w:space="0" w:color="auto"/>
              </w:divBdr>
              <w:divsChild>
                <w:div w:id="365254020">
                  <w:marLeft w:val="0"/>
                  <w:marRight w:val="0"/>
                  <w:marTop w:val="0"/>
                  <w:marBottom w:val="0"/>
                  <w:divBdr>
                    <w:top w:val="none" w:sz="0" w:space="0" w:color="auto"/>
                    <w:left w:val="none" w:sz="0" w:space="0" w:color="auto"/>
                    <w:bottom w:val="none" w:sz="0" w:space="0" w:color="auto"/>
                    <w:right w:val="none" w:sz="0" w:space="0" w:color="auto"/>
                  </w:divBdr>
                </w:div>
              </w:divsChild>
            </w:div>
            <w:div w:id="1689796105">
              <w:marLeft w:val="0"/>
              <w:marRight w:val="0"/>
              <w:marTop w:val="0"/>
              <w:marBottom w:val="0"/>
              <w:divBdr>
                <w:top w:val="none" w:sz="0" w:space="0" w:color="auto"/>
                <w:left w:val="none" w:sz="0" w:space="0" w:color="auto"/>
                <w:bottom w:val="none" w:sz="0" w:space="0" w:color="auto"/>
                <w:right w:val="none" w:sz="0" w:space="0" w:color="auto"/>
              </w:divBdr>
              <w:divsChild>
                <w:div w:id="514727627">
                  <w:marLeft w:val="0"/>
                  <w:marRight w:val="0"/>
                  <w:marTop w:val="0"/>
                  <w:marBottom w:val="0"/>
                  <w:divBdr>
                    <w:top w:val="none" w:sz="0" w:space="0" w:color="auto"/>
                    <w:left w:val="none" w:sz="0" w:space="0" w:color="auto"/>
                    <w:bottom w:val="none" w:sz="0" w:space="0" w:color="auto"/>
                    <w:right w:val="none" w:sz="0" w:space="0" w:color="auto"/>
                  </w:divBdr>
                </w:div>
              </w:divsChild>
            </w:div>
            <w:div w:id="1137649414">
              <w:marLeft w:val="0"/>
              <w:marRight w:val="0"/>
              <w:marTop w:val="0"/>
              <w:marBottom w:val="0"/>
              <w:divBdr>
                <w:top w:val="none" w:sz="0" w:space="0" w:color="auto"/>
                <w:left w:val="none" w:sz="0" w:space="0" w:color="auto"/>
                <w:bottom w:val="none" w:sz="0" w:space="0" w:color="auto"/>
                <w:right w:val="none" w:sz="0" w:space="0" w:color="auto"/>
              </w:divBdr>
              <w:divsChild>
                <w:div w:id="75516725">
                  <w:marLeft w:val="0"/>
                  <w:marRight w:val="0"/>
                  <w:marTop w:val="0"/>
                  <w:marBottom w:val="0"/>
                  <w:divBdr>
                    <w:top w:val="none" w:sz="0" w:space="0" w:color="auto"/>
                    <w:left w:val="none" w:sz="0" w:space="0" w:color="auto"/>
                    <w:bottom w:val="none" w:sz="0" w:space="0" w:color="auto"/>
                    <w:right w:val="none" w:sz="0" w:space="0" w:color="auto"/>
                  </w:divBdr>
                </w:div>
              </w:divsChild>
            </w:div>
            <w:div w:id="29843216">
              <w:marLeft w:val="0"/>
              <w:marRight w:val="0"/>
              <w:marTop w:val="0"/>
              <w:marBottom w:val="0"/>
              <w:divBdr>
                <w:top w:val="none" w:sz="0" w:space="0" w:color="auto"/>
                <w:left w:val="none" w:sz="0" w:space="0" w:color="auto"/>
                <w:bottom w:val="none" w:sz="0" w:space="0" w:color="auto"/>
                <w:right w:val="none" w:sz="0" w:space="0" w:color="auto"/>
              </w:divBdr>
              <w:divsChild>
                <w:div w:id="837616023">
                  <w:marLeft w:val="0"/>
                  <w:marRight w:val="0"/>
                  <w:marTop w:val="0"/>
                  <w:marBottom w:val="0"/>
                  <w:divBdr>
                    <w:top w:val="none" w:sz="0" w:space="0" w:color="auto"/>
                    <w:left w:val="none" w:sz="0" w:space="0" w:color="auto"/>
                    <w:bottom w:val="none" w:sz="0" w:space="0" w:color="auto"/>
                    <w:right w:val="none" w:sz="0" w:space="0" w:color="auto"/>
                  </w:divBdr>
                </w:div>
              </w:divsChild>
            </w:div>
            <w:div w:id="720133776">
              <w:marLeft w:val="0"/>
              <w:marRight w:val="0"/>
              <w:marTop w:val="0"/>
              <w:marBottom w:val="0"/>
              <w:divBdr>
                <w:top w:val="none" w:sz="0" w:space="0" w:color="auto"/>
                <w:left w:val="none" w:sz="0" w:space="0" w:color="auto"/>
                <w:bottom w:val="none" w:sz="0" w:space="0" w:color="auto"/>
                <w:right w:val="none" w:sz="0" w:space="0" w:color="auto"/>
              </w:divBdr>
              <w:divsChild>
                <w:div w:id="257183307">
                  <w:marLeft w:val="0"/>
                  <w:marRight w:val="0"/>
                  <w:marTop w:val="0"/>
                  <w:marBottom w:val="0"/>
                  <w:divBdr>
                    <w:top w:val="none" w:sz="0" w:space="0" w:color="auto"/>
                    <w:left w:val="none" w:sz="0" w:space="0" w:color="auto"/>
                    <w:bottom w:val="none" w:sz="0" w:space="0" w:color="auto"/>
                    <w:right w:val="none" w:sz="0" w:space="0" w:color="auto"/>
                  </w:divBdr>
                </w:div>
              </w:divsChild>
            </w:div>
            <w:div w:id="2116630177">
              <w:marLeft w:val="0"/>
              <w:marRight w:val="0"/>
              <w:marTop w:val="0"/>
              <w:marBottom w:val="0"/>
              <w:divBdr>
                <w:top w:val="none" w:sz="0" w:space="0" w:color="auto"/>
                <w:left w:val="none" w:sz="0" w:space="0" w:color="auto"/>
                <w:bottom w:val="none" w:sz="0" w:space="0" w:color="auto"/>
                <w:right w:val="none" w:sz="0" w:space="0" w:color="auto"/>
              </w:divBdr>
              <w:divsChild>
                <w:div w:id="1521042987">
                  <w:marLeft w:val="0"/>
                  <w:marRight w:val="0"/>
                  <w:marTop w:val="0"/>
                  <w:marBottom w:val="0"/>
                  <w:divBdr>
                    <w:top w:val="none" w:sz="0" w:space="0" w:color="auto"/>
                    <w:left w:val="none" w:sz="0" w:space="0" w:color="auto"/>
                    <w:bottom w:val="none" w:sz="0" w:space="0" w:color="auto"/>
                    <w:right w:val="none" w:sz="0" w:space="0" w:color="auto"/>
                  </w:divBdr>
                </w:div>
              </w:divsChild>
            </w:div>
            <w:div w:id="1853180272">
              <w:marLeft w:val="0"/>
              <w:marRight w:val="0"/>
              <w:marTop w:val="0"/>
              <w:marBottom w:val="0"/>
              <w:divBdr>
                <w:top w:val="none" w:sz="0" w:space="0" w:color="auto"/>
                <w:left w:val="none" w:sz="0" w:space="0" w:color="auto"/>
                <w:bottom w:val="none" w:sz="0" w:space="0" w:color="auto"/>
                <w:right w:val="none" w:sz="0" w:space="0" w:color="auto"/>
              </w:divBdr>
              <w:divsChild>
                <w:div w:id="1169980367">
                  <w:marLeft w:val="0"/>
                  <w:marRight w:val="0"/>
                  <w:marTop w:val="0"/>
                  <w:marBottom w:val="0"/>
                  <w:divBdr>
                    <w:top w:val="none" w:sz="0" w:space="0" w:color="auto"/>
                    <w:left w:val="none" w:sz="0" w:space="0" w:color="auto"/>
                    <w:bottom w:val="none" w:sz="0" w:space="0" w:color="auto"/>
                    <w:right w:val="none" w:sz="0" w:space="0" w:color="auto"/>
                  </w:divBdr>
                </w:div>
              </w:divsChild>
            </w:div>
            <w:div w:id="863247549">
              <w:marLeft w:val="0"/>
              <w:marRight w:val="0"/>
              <w:marTop w:val="0"/>
              <w:marBottom w:val="0"/>
              <w:divBdr>
                <w:top w:val="none" w:sz="0" w:space="0" w:color="auto"/>
                <w:left w:val="none" w:sz="0" w:space="0" w:color="auto"/>
                <w:bottom w:val="none" w:sz="0" w:space="0" w:color="auto"/>
                <w:right w:val="none" w:sz="0" w:space="0" w:color="auto"/>
              </w:divBdr>
              <w:divsChild>
                <w:div w:id="1906643066">
                  <w:marLeft w:val="0"/>
                  <w:marRight w:val="0"/>
                  <w:marTop w:val="0"/>
                  <w:marBottom w:val="0"/>
                  <w:divBdr>
                    <w:top w:val="none" w:sz="0" w:space="0" w:color="auto"/>
                    <w:left w:val="none" w:sz="0" w:space="0" w:color="auto"/>
                    <w:bottom w:val="none" w:sz="0" w:space="0" w:color="auto"/>
                    <w:right w:val="none" w:sz="0" w:space="0" w:color="auto"/>
                  </w:divBdr>
                </w:div>
              </w:divsChild>
            </w:div>
            <w:div w:id="82723984">
              <w:marLeft w:val="0"/>
              <w:marRight w:val="0"/>
              <w:marTop w:val="0"/>
              <w:marBottom w:val="0"/>
              <w:divBdr>
                <w:top w:val="none" w:sz="0" w:space="0" w:color="auto"/>
                <w:left w:val="none" w:sz="0" w:space="0" w:color="auto"/>
                <w:bottom w:val="none" w:sz="0" w:space="0" w:color="auto"/>
                <w:right w:val="none" w:sz="0" w:space="0" w:color="auto"/>
              </w:divBdr>
              <w:divsChild>
                <w:div w:id="278537495">
                  <w:marLeft w:val="0"/>
                  <w:marRight w:val="0"/>
                  <w:marTop w:val="0"/>
                  <w:marBottom w:val="0"/>
                  <w:divBdr>
                    <w:top w:val="none" w:sz="0" w:space="0" w:color="auto"/>
                    <w:left w:val="none" w:sz="0" w:space="0" w:color="auto"/>
                    <w:bottom w:val="none" w:sz="0" w:space="0" w:color="auto"/>
                    <w:right w:val="none" w:sz="0" w:space="0" w:color="auto"/>
                  </w:divBdr>
                </w:div>
              </w:divsChild>
            </w:div>
            <w:div w:id="798376460">
              <w:marLeft w:val="0"/>
              <w:marRight w:val="0"/>
              <w:marTop w:val="0"/>
              <w:marBottom w:val="0"/>
              <w:divBdr>
                <w:top w:val="none" w:sz="0" w:space="0" w:color="auto"/>
                <w:left w:val="none" w:sz="0" w:space="0" w:color="auto"/>
                <w:bottom w:val="none" w:sz="0" w:space="0" w:color="auto"/>
                <w:right w:val="none" w:sz="0" w:space="0" w:color="auto"/>
              </w:divBdr>
              <w:divsChild>
                <w:div w:id="1476215507">
                  <w:marLeft w:val="0"/>
                  <w:marRight w:val="0"/>
                  <w:marTop w:val="0"/>
                  <w:marBottom w:val="0"/>
                  <w:divBdr>
                    <w:top w:val="none" w:sz="0" w:space="0" w:color="auto"/>
                    <w:left w:val="none" w:sz="0" w:space="0" w:color="auto"/>
                    <w:bottom w:val="none" w:sz="0" w:space="0" w:color="auto"/>
                    <w:right w:val="none" w:sz="0" w:space="0" w:color="auto"/>
                  </w:divBdr>
                </w:div>
              </w:divsChild>
            </w:div>
            <w:div w:id="1420055649">
              <w:marLeft w:val="0"/>
              <w:marRight w:val="0"/>
              <w:marTop w:val="0"/>
              <w:marBottom w:val="0"/>
              <w:divBdr>
                <w:top w:val="none" w:sz="0" w:space="0" w:color="auto"/>
                <w:left w:val="none" w:sz="0" w:space="0" w:color="auto"/>
                <w:bottom w:val="none" w:sz="0" w:space="0" w:color="auto"/>
                <w:right w:val="none" w:sz="0" w:space="0" w:color="auto"/>
              </w:divBdr>
              <w:divsChild>
                <w:div w:id="1740056938">
                  <w:marLeft w:val="0"/>
                  <w:marRight w:val="0"/>
                  <w:marTop w:val="0"/>
                  <w:marBottom w:val="0"/>
                  <w:divBdr>
                    <w:top w:val="none" w:sz="0" w:space="0" w:color="auto"/>
                    <w:left w:val="none" w:sz="0" w:space="0" w:color="auto"/>
                    <w:bottom w:val="none" w:sz="0" w:space="0" w:color="auto"/>
                    <w:right w:val="none" w:sz="0" w:space="0" w:color="auto"/>
                  </w:divBdr>
                </w:div>
              </w:divsChild>
            </w:div>
            <w:div w:id="882789622">
              <w:marLeft w:val="0"/>
              <w:marRight w:val="0"/>
              <w:marTop w:val="0"/>
              <w:marBottom w:val="0"/>
              <w:divBdr>
                <w:top w:val="none" w:sz="0" w:space="0" w:color="auto"/>
                <w:left w:val="none" w:sz="0" w:space="0" w:color="auto"/>
                <w:bottom w:val="none" w:sz="0" w:space="0" w:color="auto"/>
                <w:right w:val="none" w:sz="0" w:space="0" w:color="auto"/>
              </w:divBdr>
              <w:divsChild>
                <w:div w:id="557326613">
                  <w:marLeft w:val="0"/>
                  <w:marRight w:val="0"/>
                  <w:marTop w:val="0"/>
                  <w:marBottom w:val="0"/>
                  <w:divBdr>
                    <w:top w:val="none" w:sz="0" w:space="0" w:color="auto"/>
                    <w:left w:val="none" w:sz="0" w:space="0" w:color="auto"/>
                    <w:bottom w:val="none" w:sz="0" w:space="0" w:color="auto"/>
                    <w:right w:val="none" w:sz="0" w:space="0" w:color="auto"/>
                  </w:divBdr>
                </w:div>
              </w:divsChild>
            </w:div>
            <w:div w:id="676270665">
              <w:marLeft w:val="0"/>
              <w:marRight w:val="0"/>
              <w:marTop w:val="0"/>
              <w:marBottom w:val="0"/>
              <w:divBdr>
                <w:top w:val="none" w:sz="0" w:space="0" w:color="auto"/>
                <w:left w:val="none" w:sz="0" w:space="0" w:color="auto"/>
                <w:bottom w:val="none" w:sz="0" w:space="0" w:color="auto"/>
                <w:right w:val="none" w:sz="0" w:space="0" w:color="auto"/>
              </w:divBdr>
              <w:divsChild>
                <w:div w:id="316343297">
                  <w:marLeft w:val="0"/>
                  <w:marRight w:val="0"/>
                  <w:marTop w:val="0"/>
                  <w:marBottom w:val="0"/>
                  <w:divBdr>
                    <w:top w:val="none" w:sz="0" w:space="0" w:color="auto"/>
                    <w:left w:val="none" w:sz="0" w:space="0" w:color="auto"/>
                    <w:bottom w:val="none" w:sz="0" w:space="0" w:color="auto"/>
                    <w:right w:val="none" w:sz="0" w:space="0" w:color="auto"/>
                  </w:divBdr>
                </w:div>
              </w:divsChild>
            </w:div>
            <w:div w:id="1954283703">
              <w:marLeft w:val="0"/>
              <w:marRight w:val="0"/>
              <w:marTop w:val="0"/>
              <w:marBottom w:val="0"/>
              <w:divBdr>
                <w:top w:val="none" w:sz="0" w:space="0" w:color="auto"/>
                <w:left w:val="none" w:sz="0" w:space="0" w:color="auto"/>
                <w:bottom w:val="none" w:sz="0" w:space="0" w:color="auto"/>
                <w:right w:val="none" w:sz="0" w:space="0" w:color="auto"/>
              </w:divBdr>
              <w:divsChild>
                <w:div w:id="2095322373">
                  <w:marLeft w:val="0"/>
                  <w:marRight w:val="0"/>
                  <w:marTop w:val="0"/>
                  <w:marBottom w:val="0"/>
                  <w:divBdr>
                    <w:top w:val="none" w:sz="0" w:space="0" w:color="auto"/>
                    <w:left w:val="none" w:sz="0" w:space="0" w:color="auto"/>
                    <w:bottom w:val="none" w:sz="0" w:space="0" w:color="auto"/>
                    <w:right w:val="none" w:sz="0" w:space="0" w:color="auto"/>
                  </w:divBdr>
                </w:div>
              </w:divsChild>
            </w:div>
            <w:div w:id="244533038">
              <w:marLeft w:val="0"/>
              <w:marRight w:val="0"/>
              <w:marTop w:val="0"/>
              <w:marBottom w:val="0"/>
              <w:divBdr>
                <w:top w:val="none" w:sz="0" w:space="0" w:color="auto"/>
                <w:left w:val="none" w:sz="0" w:space="0" w:color="auto"/>
                <w:bottom w:val="none" w:sz="0" w:space="0" w:color="auto"/>
                <w:right w:val="none" w:sz="0" w:space="0" w:color="auto"/>
              </w:divBdr>
              <w:divsChild>
                <w:div w:id="1782534293">
                  <w:marLeft w:val="0"/>
                  <w:marRight w:val="0"/>
                  <w:marTop w:val="0"/>
                  <w:marBottom w:val="0"/>
                  <w:divBdr>
                    <w:top w:val="none" w:sz="0" w:space="0" w:color="auto"/>
                    <w:left w:val="none" w:sz="0" w:space="0" w:color="auto"/>
                    <w:bottom w:val="none" w:sz="0" w:space="0" w:color="auto"/>
                    <w:right w:val="none" w:sz="0" w:space="0" w:color="auto"/>
                  </w:divBdr>
                </w:div>
              </w:divsChild>
            </w:div>
            <w:div w:id="313485756">
              <w:marLeft w:val="0"/>
              <w:marRight w:val="0"/>
              <w:marTop w:val="0"/>
              <w:marBottom w:val="0"/>
              <w:divBdr>
                <w:top w:val="none" w:sz="0" w:space="0" w:color="auto"/>
                <w:left w:val="none" w:sz="0" w:space="0" w:color="auto"/>
                <w:bottom w:val="none" w:sz="0" w:space="0" w:color="auto"/>
                <w:right w:val="none" w:sz="0" w:space="0" w:color="auto"/>
              </w:divBdr>
              <w:divsChild>
                <w:div w:id="1529492364">
                  <w:marLeft w:val="0"/>
                  <w:marRight w:val="0"/>
                  <w:marTop w:val="0"/>
                  <w:marBottom w:val="0"/>
                  <w:divBdr>
                    <w:top w:val="none" w:sz="0" w:space="0" w:color="auto"/>
                    <w:left w:val="none" w:sz="0" w:space="0" w:color="auto"/>
                    <w:bottom w:val="none" w:sz="0" w:space="0" w:color="auto"/>
                    <w:right w:val="none" w:sz="0" w:space="0" w:color="auto"/>
                  </w:divBdr>
                </w:div>
              </w:divsChild>
            </w:div>
            <w:div w:id="825129767">
              <w:marLeft w:val="0"/>
              <w:marRight w:val="0"/>
              <w:marTop w:val="0"/>
              <w:marBottom w:val="0"/>
              <w:divBdr>
                <w:top w:val="none" w:sz="0" w:space="0" w:color="auto"/>
                <w:left w:val="none" w:sz="0" w:space="0" w:color="auto"/>
                <w:bottom w:val="none" w:sz="0" w:space="0" w:color="auto"/>
                <w:right w:val="none" w:sz="0" w:space="0" w:color="auto"/>
              </w:divBdr>
              <w:divsChild>
                <w:div w:id="1749380245">
                  <w:marLeft w:val="0"/>
                  <w:marRight w:val="0"/>
                  <w:marTop w:val="0"/>
                  <w:marBottom w:val="0"/>
                  <w:divBdr>
                    <w:top w:val="none" w:sz="0" w:space="0" w:color="auto"/>
                    <w:left w:val="none" w:sz="0" w:space="0" w:color="auto"/>
                    <w:bottom w:val="none" w:sz="0" w:space="0" w:color="auto"/>
                    <w:right w:val="none" w:sz="0" w:space="0" w:color="auto"/>
                  </w:divBdr>
                </w:div>
              </w:divsChild>
            </w:div>
            <w:div w:id="210314908">
              <w:marLeft w:val="0"/>
              <w:marRight w:val="0"/>
              <w:marTop w:val="0"/>
              <w:marBottom w:val="0"/>
              <w:divBdr>
                <w:top w:val="none" w:sz="0" w:space="0" w:color="auto"/>
                <w:left w:val="none" w:sz="0" w:space="0" w:color="auto"/>
                <w:bottom w:val="none" w:sz="0" w:space="0" w:color="auto"/>
                <w:right w:val="none" w:sz="0" w:space="0" w:color="auto"/>
              </w:divBdr>
              <w:divsChild>
                <w:div w:id="588545427">
                  <w:marLeft w:val="0"/>
                  <w:marRight w:val="0"/>
                  <w:marTop w:val="0"/>
                  <w:marBottom w:val="0"/>
                  <w:divBdr>
                    <w:top w:val="none" w:sz="0" w:space="0" w:color="auto"/>
                    <w:left w:val="none" w:sz="0" w:space="0" w:color="auto"/>
                    <w:bottom w:val="none" w:sz="0" w:space="0" w:color="auto"/>
                    <w:right w:val="none" w:sz="0" w:space="0" w:color="auto"/>
                  </w:divBdr>
                </w:div>
              </w:divsChild>
            </w:div>
            <w:div w:id="1087842720">
              <w:marLeft w:val="0"/>
              <w:marRight w:val="0"/>
              <w:marTop w:val="0"/>
              <w:marBottom w:val="0"/>
              <w:divBdr>
                <w:top w:val="none" w:sz="0" w:space="0" w:color="auto"/>
                <w:left w:val="none" w:sz="0" w:space="0" w:color="auto"/>
                <w:bottom w:val="none" w:sz="0" w:space="0" w:color="auto"/>
                <w:right w:val="none" w:sz="0" w:space="0" w:color="auto"/>
              </w:divBdr>
              <w:divsChild>
                <w:div w:id="816998319">
                  <w:marLeft w:val="0"/>
                  <w:marRight w:val="0"/>
                  <w:marTop w:val="0"/>
                  <w:marBottom w:val="0"/>
                  <w:divBdr>
                    <w:top w:val="none" w:sz="0" w:space="0" w:color="auto"/>
                    <w:left w:val="none" w:sz="0" w:space="0" w:color="auto"/>
                    <w:bottom w:val="none" w:sz="0" w:space="0" w:color="auto"/>
                    <w:right w:val="none" w:sz="0" w:space="0" w:color="auto"/>
                  </w:divBdr>
                </w:div>
              </w:divsChild>
            </w:div>
            <w:div w:id="1234699222">
              <w:marLeft w:val="0"/>
              <w:marRight w:val="0"/>
              <w:marTop w:val="0"/>
              <w:marBottom w:val="0"/>
              <w:divBdr>
                <w:top w:val="none" w:sz="0" w:space="0" w:color="auto"/>
                <w:left w:val="none" w:sz="0" w:space="0" w:color="auto"/>
                <w:bottom w:val="none" w:sz="0" w:space="0" w:color="auto"/>
                <w:right w:val="none" w:sz="0" w:space="0" w:color="auto"/>
              </w:divBdr>
              <w:divsChild>
                <w:div w:id="1851794093">
                  <w:marLeft w:val="0"/>
                  <w:marRight w:val="0"/>
                  <w:marTop w:val="0"/>
                  <w:marBottom w:val="0"/>
                  <w:divBdr>
                    <w:top w:val="none" w:sz="0" w:space="0" w:color="auto"/>
                    <w:left w:val="none" w:sz="0" w:space="0" w:color="auto"/>
                    <w:bottom w:val="none" w:sz="0" w:space="0" w:color="auto"/>
                    <w:right w:val="none" w:sz="0" w:space="0" w:color="auto"/>
                  </w:divBdr>
                </w:div>
              </w:divsChild>
            </w:div>
            <w:div w:id="1945574438">
              <w:marLeft w:val="0"/>
              <w:marRight w:val="0"/>
              <w:marTop w:val="0"/>
              <w:marBottom w:val="0"/>
              <w:divBdr>
                <w:top w:val="none" w:sz="0" w:space="0" w:color="auto"/>
                <w:left w:val="none" w:sz="0" w:space="0" w:color="auto"/>
                <w:bottom w:val="none" w:sz="0" w:space="0" w:color="auto"/>
                <w:right w:val="none" w:sz="0" w:space="0" w:color="auto"/>
              </w:divBdr>
              <w:divsChild>
                <w:div w:id="957489150">
                  <w:marLeft w:val="0"/>
                  <w:marRight w:val="0"/>
                  <w:marTop w:val="0"/>
                  <w:marBottom w:val="0"/>
                  <w:divBdr>
                    <w:top w:val="none" w:sz="0" w:space="0" w:color="auto"/>
                    <w:left w:val="none" w:sz="0" w:space="0" w:color="auto"/>
                    <w:bottom w:val="none" w:sz="0" w:space="0" w:color="auto"/>
                    <w:right w:val="none" w:sz="0" w:space="0" w:color="auto"/>
                  </w:divBdr>
                </w:div>
              </w:divsChild>
            </w:div>
            <w:div w:id="585067803">
              <w:marLeft w:val="0"/>
              <w:marRight w:val="0"/>
              <w:marTop w:val="0"/>
              <w:marBottom w:val="0"/>
              <w:divBdr>
                <w:top w:val="none" w:sz="0" w:space="0" w:color="auto"/>
                <w:left w:val="none" w:sz="0" w:space="0" w:color="auto"/>
                <w:bottom w:val="none" w:sz="0" w:space="0" w:color="auto"/>
                <w:right w:val="none" w:sz="0" w:space="0" w:color="auto"/>
              </w:divBdr>
              <w:divsChild>
                <w:div w:id="1757050085">
                  <w:marLeft w:val="0"/>
                  <w:marRight w:val="0"/>
                  <w:marTop w:val="0"/>
                  <w:marBottom w:val="0"/>
                  <w:divBdr>
                    <w:top w:val="none" w:sz="0" w:space="0" w:color="auto"/>
                    <w:left w:val="none" w:sz="0" w:space="0" w:color="auto"/>
                    <w:bottom w:val="none" w:sz="0" w:space="0" w:color="auto"/>
                    <w:right w:val="none" w:sz="0" w:space="0" w:color="auto"/>
                  </w:divBdr>
                </w:div>
              </w:divsChild>
            </w:div>
            <w:div w:id="1662653986">
              <w:marLeft w:val="0"/>
              <w:marRight w:val="0"/>
              <w:marTop w:val="0"/>
              <w:marBottom w:val="0"/>
              <w:divBdr>
                <w:top w:val="none" w:sz="0" w:space="0" w:color="auto"/>
                <w:left w:val="none" w:sz="0" w:space="0" w:color="auto"/>
                <w:bottom w:val="none" w:sz="0" w:space="0" w:color="auto"/>
                <w:right w:val="none" w:sz="0" w:space="0" w:color="auto"/>
              </w:divBdr>
              <w:divsChild>
                <w:div w:id="1074357381">
                  <w:marLeft w:val="0"/>
                  <w:marRight w:val="0"/>
                  <w:marTop w:val="0"/>
                  <w:marBottom w:val="0"/>
                  <w:divBdr>
                    <w:top w:val="none" w:sz="0" w:space="0" w:color="auto"/>
                    <w:left w:val="none" w:sz="0" w:space="0" w:color="auto"/>
                    <w:bottom w:val="none" w:sz="0" w:space="0" w:color="auto"/>
                    <w:right w:val="none" w:sz="0" w:space="0" w:color="auto"/>
                  </w:divBdr>
                </w:div>
              </w:divsChild>
            </w:div>
            <w:div w:id="343940358">
              <w:marLeft w:val="0"/>
              <w:marRight w:val="0"/>
              <w:marTop w:val="0"/>
              <w:marBottom w:val="0"/>
              <w:divBdr>
                <w:top w:val="none" w:sz="0" w:space="0" w:color="auto"/>
                <w:left w:val="none" w:sz="0" w:space="0" w:color="auto"/>
                <w:bottom w:val="none" w:sz="0" w:space="0" w:color="auto"/>
                <w:right w:val="none" w:sz="0" w:space="0" w:color="auto"/>
              </w:divBdr>
              <w:divsChild>
                <w:div w:id="570385596">
                  <w:marLeft w:val="0"/>
                  <w:marRight w:val="0"/>
                  <w:marTop w:val="0"/>
                  <w:marBottom w:val="0"/>
                  <w:divBdr>
                    <w:top w:val="none" w:sz="0" w:space="0" w:color="auto"/>
                    <w:left w:val="none" w:sz="0" w:space="0" w:color="auto"/>
                    <w:bottom w:val="none" w:sz="0" w:space="0" w:color="auto"/>
                    <w:right w:val="none" w:sz="0" w:space="0" w:color="auto"/>
                  </w:divBdr>
                </w:div>
              </w:divsChild>
            </w:div>
            <w:div w:id="1921057598">
              <w:marLeft w:val="0"/>
              <w:marRight w:val="0"/>
              <w:marTop w:val="0"/>
              <w:marBottom w:val="0"/>
              <w:divBdr>
                <w:top w:val="none" w:sz="0" w:space="0" w:color="auto"/>
                <w:left w:val="none" w:sz="0" w:space="0" w:color="auto"/>
                <w:bottom w:val="none" w:sz="0" w:space="0" w:color="auto"/>
                <w:right w:val="none" w:sz="0" w:space="0" w:color="auto"/>
              </w:divBdr>
              <w:divsChild>
                <w:div w:id="307782065">
                  <w:marLeft w:val="0"/>
                  <w:marRight w:val="0"/>
                  <w:marTop w:val="0"/>
                  <w:marBottom w:val="0"/>
                  <w:divBdr>
                    <w:top w:val="none" w:sz="0" w:space="0" w:color="auto"/>
                    <w:left w:val="none" w:sz="0" w:space="0" w:color="auto"/>
                    <w:bottom w:val="none" w:sz="0" w:space="0" w:color="auto"/>
                    <w:right w:val="none" w:sz="0" w:space="0" w:color="auto"/>
                  </w:divBdr>
                </w:div>
              </w:divsChild>
            </w:div>
            <w:div w:id="582375514">
              <w:marLeft w:val="0"/>
              <w:marRight w:val="0"/>
              <w:marTop w:val="0"/>
              <w:marBottom w:val="0"/>
              <w:divBdr>
                <w:top w:val="none" w:sz="0" w:space="0" w:color="auto"/>
                <w:left w:val="none" w:sz="0" w:space="0" w:color="auto"/>
                <w:bottom w:val="none" w:sz="0" w:space="0" w:color="auto"/>
                <w:right w:val="none" w:sz="0" w:space="0" w:color="auto"/>
              </w:divBdr>
              <w:divsChild>
                <w:div w:id="17479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28038">
          <w:marLeft w:val="0"/>
          <w:marRight w:val="0"/>
          <w:marTop w:val="0"/>
          <w:marBottom w:val="600"/>
          <w:divBdr>
            <w:top w:val="none" w:sz="0" w:space="0" w:color="auto"/>
            <w:left w:val="none" w:sz="0" w:space="0" w:color="auto"/>
            <w:bottom w:val="none" w:sz="0" w:space="0" w:color="auto"/>
            <w:right w:val="none" w:sz="0" w:space="0" w:color="auto"/>
          </w:divBdr>
        </w:div>
      </w:divsChild>
    </w:div>
    <w:div w:id="961302303">
      <w:marLeft w:val="0"/>
      <w:marRight w:val="0"/>
      <w:marTop w:val="0"/>
      <w:marBottom w:val="0"/>
      <w:divBdr>
        <w:top w:val="none" w:sz="0" w:space="0" w:color="auto"/>
        <w:left w:val="none" w:sz="0" w:space="0" w:color="auto"/>
        <w:bottom w:val="none" w:sz="0" w:space="0" w:color="auto"/>
        <w:right w:val="none" w:sz="0" w:space="0" w:color="auto"/>
      </w:divBdr>
      <w:divsChild>
        <w:div w:id="1759860033">
          <w:marLeft w:val="0"/>
          <w:marRight w:val="0"/>
          <w:marTop w:val="547"/>
          <w:marBottom w:val="0"/>
          <w:divBdr>
            <w:top w:val="none" w:sz="0" w:space="0" w:color="auto"/>
            <w:left w:val="none" w:sz="0" w:space="0" w:color="auto"/>
            <w:bottom w:val="none" w:sz="0" w:space="0" w:color="auto"/>
            <w:right w:val="none" w:sz="0" w:space="0" w:color="auto"/>
          </w:divBdr>
        </w:div>
        <w:div w:id="858929372">
          <w:marLeft w:val="0"/>
          <w:marRight w:val="0"/>
          <w:marTop w:val="0"/>
          <w:marBottom w:val="0"/>
          <w:divBdr>
            <w:top w:val="none" w:sz="0" w:space="0" w:color="auto"/>
            <w:left w:val="none" w:sz="0" w:space="0" w:color="auto"/>
            <w:bottom w:val="none" w:sz="0" w:space="0" w:color="auto"/>
            <w:right w:val="none" w:sz="0" w:space="0" w:color="auto"/>
          </w:divBdr>
        </w:div>
        <w:div w:id="1796171454">
          <w:marLeft w:val="0"/>
          <w:marRight w:val="0"/>
          <w:marTop w:val="0"/>
          <w:marBottom w:val="600"/>
          <w:divBdr>
            <w:top w:val="none" w:sz="0" w:space="0" w:color="auto"/>
            <w:left w:val="none" w:sz="0" w:space="0" w:color="auto"/>
            <w:bottom w:val="none" w:sz="0" w:space="0" w:color="auto"/>
            <w:right w:val="none" w:sz="0" w:space="0" w:color="auto"/>
          </w:divBdr>
        </w:div>
      </w:divsChild>
    </w:div>
    <w:div w:id="1009676209">
      <w:marLeft w:val="0"/>
      <w:marRight w:val="0"/>
      <w:marTop w:val="0"/>
      <w:marBottom w:val="0"/>
      <w:divBdr>
        <w:top w:val="none" w:sz="0" w:space="0" w:color="auto"/>
        <w:left w:val="none" w:sz="0" w:space="0" w:color="auto"/>
        <w:bottom w:val="none" w:sz="0" w:space="0" w:color="auto"/>
        <w:right w:val="none" w:sz="0" w:space="0" w:color="auto"/>
      </w:divBdr>
      <w:divsChild>
        <w:div w:id="332802256">
          <w:marLeft w:val="0"/>
          <w:marRight w:val="0"/>
          <w:marTop w:val="547"/>
          <w:marBottom w:val="0"/>
          <w:divBdr>
            <w:top w:val="none" w:sz="0" w:space="0" w:color="auto"/>
            <w:left w:val="none" w:sz="0" w:space="0" w:color="auto"/>
            <w:bottom w:val="none" w:sz="0" w:space="0" w:color="auto"/>
            <w:right w:val="none" w:sz="0" w:space="0" w:color="auto"/>
          </w:divBdr>
        </w:div>
        <w:div w:id="1403675717">
          <w:marLeft w:val="0"/>
          <w:marRight w:val="0"/>
          <w:marTop w:val="0"/>
          <w:marBottom w:val="0"/>
          <w:divBdr>
            <w:top w:val="none" w:sz="0" w:space="0" w:color="auto"/>
            <w:left w:val="none" w:sz="0" w:space="0" w:color="auto"/>
            <w:bottom w:val="none" w:sz="0" w:space="0" w:color="auto"/>
            <w:right w:val="none" w:sz="0" w:space="0" w:color="auto"/>
          </w:divBdr>
        </w:div>
        <w:div w:id="1147742986">
          <w:marLeft w:val="0"/>
          <w:marRight w:val="0"/>
          <w:marTop w:val="0"/>
          <w:marBottom w:val="600"/>
          <w:divBdr>
            <w:top w:val="none" w:sz="0" w:space="0" w:color="auto"/>
            <w:left w:val="none" w:sz="0" w:space="0" w:color="auto"/>
            <w:bottom w:val="none" w:sz="0" w:space="0" w:color="auto"/>
            <w:right w:val="none" w:sz="0" w:space="0" w:color="auto"/>
          </w:divBdr>
        </w:div>
      </w:divsChild>
    </w:div>
    <w:div w:id="1020818434">
      <w:marLeft w:val="0"/>
      <w:marRight w:val="0"/>
      <w:marTop w:val="0"/>
      <w:marBottom w:val="0"/>
      <w:divBdr>
        <w:top w:val="none" w:sz="0" w:space="0" w:color="auto"/>
        <w:left w:val="none" w:sz="0" w:space="0" w:color="auto"/>
        <w:bottom w:val="none" w:sz="0" w:space="0" w:color="auto"/>
        <w:right w:val="none" w:sz="0" w:space="0" w:color="auto"/>
      </w:divBdr>
      <w:divsChild>
        <w:div w:id="1045373625">
          <w:marLeft w:val="0"/>
          <w:marRight w:val="0"/>
          <w:marTop w:val="547"/>
          <w:marBottom w:val="0"/>
          <w:divBdr>
            <w:top w:val="none" w:sz="0" w:space="0" w:color="auto"/>
            <w:left w:val="none" w:sz="0" w:space="0" w:color="auto"/>
            <w:bottom w:val="none" w:sz="0" w:space="0" w:color="auto"/>
            <w:right w:val="none" w:sz="0" w:space="0" w:color="auto"/>
          </w:divBdr>
        </w:div>
        <w:div w:id="224143638">
          <w:marLeft w:val="0"/>
          <w:marRight w:val="0"/>
          <w:marTop w:val="0"/>
          <w:marBottom w:val="0"/>
          <w:divBdr>
            <w:top w:val="none" w:sz="0" w:space="0" w:color="auto"/>
            <w:left w:val="none" w:sz="0" w:space="0" w:color="auto"/>
            <w:bottom w:val="none" w:sz="0" w:space="0" w:color="auto"/>
            <w:right w:val="none" w:sz="0" w:space="0" w:color="auto"/>
          </w:divBdr>
        </w:div>
        <w:div w:id="1260479687">
          <w:marLeft w:val="0"/>
          <w:marRight w:val="0"/>
          <w:marTop w:val="0"/>
          <w:marBottom w:val="600"/>
          <w:divBdr>
            <w:top w:val="none" w:sz="0" w:space="0" w:color="auto"/>
            <w:left w:val="none" w:sz="0" w:space="0" w:color="auto"/>
            <w:bottom w:val="none" w:sz="0" w:space="0" w:color="auto"/>
            <w:right w:val="none" w:sz="0" w:space="0" w:color="auto"/>
          </w:divBdr>
        </w:div>
      </w:divsChild>
    </w:div>
    <w:div w:id="1022123440">
      <w:marLeft w:val="0"/>
      <w:marRight w:val="0"/>
      <w:marTop w:val="0"/>
      <w:marBottom w:val="0"/>
      <w:divBdr>
        <w:top w:val="none" w:sz="0" w:space="0" w:color="auto"/>
        <w:left w:val="none" w:sz="0" w:space="0" w:color="auto"/>
        <w:bottom w:val="none" w:sz="0" w:space="0" w:color="auto"/>
        <w:right w:val="none" w:sz="0" w:space="0" w:color="auto"/>
      </w:divBdr>
      <w:divsChild>
        <w:div w:id="1823349872">
          <w:marLeft w:val="0"/>
          <w:marRight w:val="0"/>
          <w:marTop w:val="547"/>
          <w:marBottom w:val="0"/>
          <w:divBdr>
            <w:top w:val="none" w:sz="0" w:space="0" w:color="auto"/>
            <w:left w:val="none" w:sz="0" w:space="0" w:color="auto"/>
            <w:bottom w:val="none" w:sz="0" w:space="0" w:color="auto"/>
            <w:right w:val="none" w:sz="0" w:space="0" w:color="auto"/>
          </w:divBdr>
        </w:div>
        <w:div w:id="1950700064">
          <w:marLeft w:val="0"/>
          <w:marRight w:val="0"/>
          <w:marTop w:val="0"/>
          <w:marBottom w:val="0"/>
          <w:divBdr>
            <w:top w:val="none" w:sz="0" w:space="0" w:color="auto"/>
            <w:left w:val="none" w:sz="0" w:space="0" w:color="auto"/>
            <w:bottom w:val="none" w:sz="0" w:space="0" w:color="auto"/>
            <w:right w:val="none" w:sz="0" w:space="0" w:color="auto"/>
          </w:divBdr>
        </w:div>
        <w:div w:id="888734098">
          <w:marLeft w:val="0"/>
          <w:marRight w:val="0"/>
          <w:marTop w:val="0"/>
          <w:marBottom w:val="600"/>
          <w:divBdr>
            <w:top w:val="none" w:sz="0" w:space="0" w:color="auto"/>
            <w:left w:val="none" w:sz="0" w:space="0" w:color="auto"/>
            <w:bottom w:val="none" w:sz="0" w:space="0" w:color="auto"/>
            <w:right w:val="none" w:sz="0" w:space="0" w:color="auto"/>
          </w:divBdr>
        </w:div>
      </w:divsChild>
    </w:div>
    <w:div w:id="1039084065">
      <w:marLeft w:val="0"/>
      <w:marRight w:val="0"/>
      <w:marTop w:val="0"/>
      <w:marBottom w:val="0"/>
      <w:divBdr>
        <w:top w:val="none" w:sz="0" w:space="0" w:color="auto"/>
        <w:left w:val="none" w:sz="0" w:space="0" w:color="auto"/>
        <w:bottom w:val="none" w:sz="0" w:space="0" w:color="auto"/>
        <w:right w:val="none" w:sz="0" w:space="0" w:color="auto"/>
      </w:divBdr>
      <w:divsChild>
        <w:div w:id="1013454427">
          <w:marLeft w:val="0"/>
          <w:marRight w:val="0"/>
          <w:marTop w:val="547"/>
          <w:marBottom w:val="0"/>
          <w:divBdr>
            <w:top w:val="none" w:sz="0" w:space="0" w:color="auto"/>
            <w:left w:val="none" w:sz="0" w:space="0" w:color="auto"/>
            <w:bottom w:val="none" w:sz="0" w:space="0" w:color="auto"/>
            <w:right w:val="none" w:sz="0" w:space="0" w:color="auto"/>
          </w:divBdr>
        </w:div>
        <w:div w:id="753169272">
          <w:marLeft w:val="0"/>
          <w:marRight w:val="0"/>
          <w:marTop w:val="0"/>
          <w:marBottom w:val="0"/>
          <w:divBdr>
            <w:top w:val="none" w:sz="0" w:space="0" w:color="auto"/>
            <w:left w:val="none" w:sz="0" w:space="0" w:color="auto"/>
            <w:bottom w:val="none" w:sz="0" w:space="0" w:color="auto"/>
            <w:right w:val="none" w:sz="0" w:space="0" w:color="auto"/>
          </w:divBdr>
          <w:divsChild>
            <w:div w:id="592586979">
              <w:marLeft w:val="0"/>
              <w:marRight w:val="0"/>
              <w:marTop w:val="0"/>
              <w:marBottom w:val="0"/>
              <w:divBdr>
                <w:top w:val="none" w:sz="0" w:space="0" w:color="auto"/>
                <w:left w:val="none" w:sz="0" w:space="0" w:color="auto"/>
                <w:bottom w:val="none" w:sz="0" w:space="0" w:color="auto"/>
                <w:right w:val="none" w:sz="0" w:space="0" w:color="auto"/>
              </w:divBdr>
              <w:divsChild>
                <w:div w:id="708258910">
                  <w:marLeft w:val="0"/>
                  <w:marRight w:val="0"/>
                  <w:marTop w:val="0"/>
                  <w:marBottom w:val="0"/>
                  <w:divBdr>
                    <w:top w:val="none" w:sz="0" w:space="0" w:color="auto"/>
                    <w:left w:val="none" w:sz="0" w:space="0" w:color="auto"/>
                    <w:bottom w:val="none" w:sz="0" w:space="0" w:color="auto"/>
                    <w:right w:val="none" w:sz="0" w:space="0" w:color="auto"/>
                  </w:divBdr>
                </w:div>
              </w:divsChild>
            </w:div>
            <w:div w:id="1404139233">
              <w:marLeft w:val="0"/>
              <w:marRight w:val="0"/>
              <w:marTop w:val="0"/>
              <w:marBottom w:val="0"/>
              <w:divBdr>
                <w:top w:val="none" w:sz="0" w:space="0" w:color="auto"/>
                <w:left w:val="none" w:sz="0" w:space="0" w:color="auto"/>
                <w:bottom w:val="none" w:sz="0" w:space="0" w:color="auto"/>
                <w:right w:val="none" w:sz="0" w:space="0" w:color="auto"/>
              </w:divBdr>
              <w:divsChild>
                <w:div w:id="626279574">
                  <w:marLeft w:val="0"/>
                  <w:marRight w:val="0"/>
                  <w:marTop w:val="0"/>
                  <w:marBottom w:val="0"/>
                  <w:divBdr>
                    <w:top w:val="none" w:sz="0" w:space="0" w:color="auto"/>
                    <w:left w:val="none" w:sz="0" w:space="0" w:color="auto"/>
                    <w:bottom w:val="none" w:sz="0" w:space="0" w:color="auto"/>
                    <w:right w:val="none" w:sz="0" w:space="0" w:color="auto"/>
                  </w:divBdr>
                </w:div>
              </w:divsChild>
            </w:div>
            <w:div w:id="1797723424">
              <w:marLeft w:val="0"/>
              <w:marRight w:val="0"/>
              <w:marTop w:val="0"/>
              <w:marBottom w:val="0"/>
              <w:divBdr>
                <w:top w:val="none" w:sz="0" w:space="0" w:color="auto"/>
                <w:left w:val="none" w:sz="0" w:space="0" w:color="auto"/>
                <w:bottom w:val="none" w:sz="0" w:space="0" w:color="auto"/>
                <w:right w:val="none" w:sz="0" w:space="0" w:color="auto"/>
              </w:divBdr>
              <w:divsChild>
                <w:div w:id="1306743049">
                  <w:marLeft w:val="0"/>
                  <w:marRight w:val="0"/>
                  <w:marTop w:val="0"/>
                  <w:marBottom w:val="0"/>
                  <w:divBdr>
                    <w:top w:val="none" w:sz="0" w:space="0" w:color="auto"/>
                    <w:left w:val="none" w:sz="0" w:space="0" w:color="auto"/>
                    <w:bottom w:val="none" w:sz="0" w:space="0" w:color="auto"/>
                    <w:right w:val="none" w:sz="0" w:space="0" w:color="auto"/>
                  </w:divBdr>
                </w:div>
              </w:divsChild>
            </w:div>
            <w:div w:id="1763791872">
              <w:marLeft w:val="0"/>
              <w:marRight w:val="0"/>
              <w:marTop w:val="0"/>
              <w:marBottom w:val="0"/>
              <w:divBdr>
                <w:top w:val="none" w:sz="0" w:space="0" w:color="auto"/>
                <w:left w:val="none" w:sz="0" w:space="0" w:color="auto"/>
                <w:bottom w:val="none" w:sz="0" w:space="0" w:color="auto"/>
                <w:right w:val="none" w:sz="0" w:space="0" w:color="auto"/>
              </w:divBdr>
              <w:divsChild>
                <w:div w:id="62801314">
                  <w:marLeft w:val="0"/>
                  <w:marRight w:val="0"/>
                  <w:marTop w:val="0"/>
                  <w:marBottom w:val="0"/>
                  <w:divBdr>
                    <w:top w:val="none" w:sz="0" w:space="0" w:color="auto"/>
                    <w:left w:val="none" w:sz="0" w:space="0" w:color="auto"/>
                    <w:bottom w:val="none" w:sz="0" w:space="0" w:color="auto"/>
                    <w:right w:val="none" w:sz="0" w:space="0" w:color="auto"/>
                  </w:divBdr>
                </w:div>
              </w:divsChild>
            </w:div>
            <w:div w:id="1514881012">
              <w:marLeft w:val="0"/>
              <w:marRight w:val="0"/>
              <w:marTop w:val="0"/>
              <w:marBottom w:val="0"/>
              <w:divBdr>
                <w:top w:val="none" w:sz="0" w:space="0" w:color="auto"/>
                <w:left w:val="none" w:sz="0" w:space="0" w:color="auto"/>
                <w:bottom w:val="none" w:sz="0" w:space="0" w:color="auto"/>
                <w:right w:val="none" w:sz="0" w:space="0" w:color="auto"/>
              </w:divBdr>
              <w:divsChild>
                <w:div w:id="858928251">
                  <w:marLeft w:val="0"/>
                  <w:marRight w:val="0"/>
                  <w:marTop w:val="0"/>
                  <w:marBottom w:val="0"/>
                  <w:divBdr>
                    <w:top w:val="none" w:sz="0" w:space="0" w:color="auto"/>
                    <w:left w:val="none" w:sz="0" w:space="0" w:color="auto"/>
                    <w:bottom w:val="none" w:sz="0" w:space="0" w:color="auto"/>
                    <w:right w:val="none" w:sz="0" w:space="0" w:color="auto"/>
                  </w:divBdr>
                </w:div>
              </w:divsChild>
            </w:div>
            <w:div w:id="1886912798">
              <w:marLeft w:val="0"/>
              <w:marRight w:val="0"/>
              <w:marTop w:val="0"/>
              <w:marBottom w:val="0"/>
              <w:divBdr>
                <w:top w:val="none" w:sz="0" w:space="0" w:color="auto"/>
                <w:left w:val="none" w:sz="0" w:space="0" w:color="auto"/>
                <w:bottom w:val="none" w:sz="0" w:space="0" w:color="auto"/>
                <w:right w:val="none" w:sz="0" w:space="0" w:color="auto"/>
              </w:divBdr>
              <w:divsChild>
                <w:div w:id="232008817">
                  <w:marLeft w:val="0"/>
                  <w:marRight w:val="0"/>
                  <w:marTop w:val="0"/>
                  <w:marBottom w:val="0"/>
                  <w:divBdr>
                    <w:top w:val="none" w:sz="0" w:space="0" w:color="auto"/>
                    <w:left w:val="none" w:sz="0" w:space="0" w:color="auto"/>
                    <w:bottom w:val="none" w:sz="0" w:space="0" w:color="auto"/>
                    <w:right w:val="none" w:sz="0" w:space="0" w:color="auto"/>
                  </w:divBdr>
                </w:div>
              </w:divsChild>
            </w:div>
            <w:div w:id="349576369">
              <w:marLeft w:val="0"/>
              <w:marRight w:val="0"/>
              <w:marTop w:val="0"/>
              <w:marBottom w:val="0"/>
              <w:divBdr>
                <w:top w:val="none" w:sz="0" w:space="0" w:color="auto"/>
                <w:left w:val="none" w:sz="0" w:space="0" w:color="auto"/>
                <w:bottom w:val="none" w:sz="0" w:space="0" w:color="auto"/>
                <w:right w:val="none" w:sz="0" w:space="0" w:color="auto"/>
              </w:divBdr>
              <w:divsChild>
                <w:div w:id="1702246488">
                  <w:marLeft w:val="0"/>
                  <w:marRight w:val="0"/>
                  <w:marTop w:val="0"/>
                  <w:marBottom w:val="0"/>
                  <w:divBdr>
                    <w:top w:val="none" w:sz="0" w:space="0" w:color="auto"/>
                    <w:left w:val="none" w:sz="0" w:space="0" w:color="auto"/>
                    <w:bottom w:val="none" w:sz="0" w:space="0" w:color="auto"/>
                    <w:right w:val="none" w:sz="0" w:space="0" w:color="auto"/>
                  </w:divBdr>
                </w:div>
              </w:divsChild>
            </w:div>
            <w:div w:id="1338850698">
              <w:marLeft w:val="0"/>
              <w:marRight w:val="0"/>
              <w:marTop w:val="0"/>
              <w:marBottom w:val="0"/>
              <w:divBdr>
                <w:top w:val="none" w:sz="0" w:space="0" w:color="auto"/>
                <w:left w:val="none" w:sz="0" w:space="0" w:color="auto"/>
                <w:bottom w:val="none" w:sz="0" w:space="0" w:color="auto"/>
                <w:right w:val="none" w:sz="0" w:space="0" w:color="auto"/>
              </w:divBdr>
              <w:divsChild>
                <w:div w:id="1202328799">
                  <w:marLeft w:val="0"/>
                  <w:marRight w:val="0"/>
                  <w:marTop w:val="0"/>
                  <w:marBottom w:val="0"/>
                  <w:divBdr>
                    <w:top w:val="none" w:sz="0" w:space="0" w:color="auto"/>
                    <w:left w:val="none" w:sz="0" w:space="0" w:color="auto"/>
                    <w:bottom w:val="none" w:sz="0" w:space="0" w:color="auto"/>
                    <w:right w:val="none" w:sz="0" w:space="0" w:color="auto"/>
                  </w:divBdr>
                </w:div>
              </w:divsChild>
            </w:div>
            <w:div w:id="514805247">
              <w:marLeft w:val="0"/>
              <w:marRight w:val="0"/>
              <w:marTop w:val="0"/>
              <w:marBottom w:val="0"/>
              <w:divBdr>
                <w:top w:val="none" w:sz="0" w:space="0" w:color="auto"/>
                <w:left w:val="none" w:sz="0" w:space="0" w:color="auto"/>
                <w:bottom w:val="none" w:sz="0" w:space="0" w:color="auto"/>
                <w:right w:val="none" w:sz="0" w:space="0" w:color="auto"/>
              </w:divBdr>
              <w:divsChild>
                <w:div w:id="2092896765">
                  <w:marLeft w:val="0"/>
                  <w:marRight w:val="0"/>
                  <w:marTop w:val="0"/>
                  <w:marBottom w:val="0"/>
                  <w:divBdr>
                    <w:top w:val="none" w:sz="0" w:space="0" w:color="auto"/>
                    <w:left w:val="none" w:sz="0" w:space="0" w:color="auto"/>
                    <w:bottom w:val="none" w:sz="0" w:space="0" w:color="auto"/>
                    <w:right w:val="none" w:sz="0" w:space="0" w:color="auto"/>
                  </w:divBdr>
                </w:div>
              </w:divsChild>
            </w:div>
            <w:div w:id="1356613721">
              <w:marLeft w:val="0"/>
              <w:marRight w:val="0"/>
              <w:marTop w:val="0"/>
              <w:marBottom w:val="0"/>
              <w:divBdr>
                <w:top w:val="none" w:sz="0" w:space="0" w:color="auto"/>
                <w:left w:val="none" w:sz="0" w:space="0" w:color="auto"/>
                <w:bottom w:val="none" w:sz="0" w:space="0" w:color="auto"/>
                <w:right w:val="none" w:sz="0" w:space="0" w:color="auto"/>
              </w:divBdr>
              <w:divsChild>
                <w:div w:id="1592930243">
                  <w:marLeft w:val="0"/>
                  <w:marRight w:val="0"/>
                  <w:marTop w:val="0"/>
                  <w:marBottom w:val="0"/>
                  <w:divBdr>
                    <w:top w:val="none" w:sz="0" w:space="0" w:color="auto"/>
                    <w:left w:val="none" w:sz="0" w:space="0" w:color="auto"/>
                    <w:bottom w:val="none" w:sz="0" w:space="0" w:color="auto"/>
                    <w:right w:val="none" w:sz="0" w:space="0" w:color="auto"/>
                  </w:divBdr>
                </w:div>
              </w:divsChild>
            </w:div>
            <w:div w:id="1162358872">
              <w:marLeft w:val="0"/>
              <w:marRight w:val="0"/>
              <w:marTop w:val="0"/>
              <w:marBottom w:val="0"/>
              <w:divBdr>
                <w:top w:val="none" w:sz="0" w:space="0" w:color="auto"/>
                <w:left w:val="none" w:sz="0" w:space="0" w:color="auto"/>
                <w:bottom w:val="none" w:sz="0" w:space="0" w:color="auto"/>
                <w:right w:val="none" w:sz="0" w:space="0" w:color="auto"/>
              </w:divBdr>
              <w:divsChild>
                <w:div w:id="454755020">
                  <w:marLeft w:val="0"/>
                  <w:marRight w:val="0"/>
                  <w:marTop w:val="0"/>
                  <w:marBottom w:val="0"/>
                  <w:divBdr>
                    <w:top w:val="none" w:sz="0" w:space="0" w:color="auto"/>
                    <w:left w:val="none" w:sz="0" w:space="0" w:color="auto"/>
                    <w:bottom w:val="none" w:sz="0" w:space="0" w:color="auto"/>
                    <w:right w:val="none" w:sz="0" w:space="0" w:color="auto"/>
                  </w:divBdr>
                </w:div>
              </w:divsChild>
            </w:div>
            <w:div w:id="1769931770">
              <w:marLeft w:val="0"/>
              <w:marRight w:val="0"/>
              <w:marTop w:val="0"/>
              <w:marBottom w:val="0"/>
              <w:divBdr>
                <w:top w:val="none" w:sz="0" w:space="0" w:color="auto"/>
                <w:left w:val="none" w:sz="0" w:space="0" w:color="auto"/>
                <w:bottom w:val="none" w:sz="0" w:space="0" w:color="auto"/>
                <w:right w:val="none" w:sz="0" w:space="0" w:color="auto"/>
              </w:divBdr>
              <w:divsChild>
                <w:div w:id="703560545">
                  <w:marLeft w:val="0"/>
                  <w:marRight w:val="0"/>
                  <w:marTop w:val="0"/>
                  <w:marBottom w:val="0"/>
                  <w:divBdr>
                    <w:top w:val="none" w:sz="0" w:space="0" w:color="auto"/>
                    <w:left w:val="none" w:sz="0" w:space="0" w:color="auto"/>
                    <w:bottom w:val="none" w:sz="0" w:space="0" w:color="auto"/>
                    <w:right w:val="none" w:sz="0" w:space="0" w:color="auto"/>
                  </w:divBdr>
                </w:div>
              </w:divsChild>
            </w:div>
            <w:div w:id="893086017">
              <w:marLeft w:val="0"/>
              <w:marRight w:val="0"/>
              <w:marTop w:val="0"/>
              <w:marBottom w:val="0"/>
              <w:divBdr>
                <w:top w:val="none" w:sz="0" w:space="0" w:color="auto"/>
                <w:left w:val="none" w:sz="0" w:space="0" w:color="auto"/>
                <w:bottom w:val="none" w:sz="0" w:space="0" w:color="auto"/>
                <w:right w:val="none" w:sz="0" w:space="0" w:color="auto"/>
              </w:divBdr>
              <w:divsChild>
                <w:div w:id="534542796">
                  <w:marLeft w:val="0"/>
                  <w:marRight w:val="0"/>
                  <w:marTop w:val="0"/>
                  <w:marBottom w:val="0"/>
                  <w:divBdr>
                    <w:top w:val="none" w:sz="0" w:space="0" w:color="auto"/>
                    <w:left w:val="none" w:sz="0" w:space="0" w:color="auto"/>
                    <w:bottom w:val="none" w:sz="0" w:space="0" w:color="auto"/>
                    <w:right w:val="none" w:sz="0" w:space="0" w:color="auto"/>
                  </w:divBdr>
                </w:div>
              </w:divsChild>
            </w:div>
            <w:div w:id="615794740">
              <w:marLeft w:val="0"/>
              <w:marRight w:val="0"/>
              <w:marTop w:val="0"/>
              <w:marBottom w:val="0"/>
              <w:divBdr>
                <w:top w:val="none" w:sz="0" w:space="0" w:color="auto"/>
                <w:left w:val="none" w:sz="0" w:space="0" w:color="auto"/>
                <w:bottom w:val="none" w:sz="0" w:space="0" w:color="auto"/>
                <w:right w:val="none" w:sz="0" w:space="0" w:color="auto"/>
              </w:divBdr>
              <w:divsChild>
                <w:div w:id="127862485">
                  <w:marLeft w:val="0"/>
                  <w:marRight w:val="0"/>
                  <w:marTop w:val="0"/>
                  <w:marBottom w:val="0"/>
                  <w:divBdr>
                    <w:top w:val="none" w:sz="0" w:space="0" w:color="auto"/>
                    <w:left w:val="none" w:sz="0" w:space="0" w:color="auto"/>
                    <w:bottom w:val="none" w:sz="0" w:space="0" w:color="auto"/>
                    <w:right w:val="none" w:sz="0" w:space="0" w:color="auto"/>
                  </w:divBdr>
                </w:div>
              </w:divsChild>
            </w:div>
            <w:div w:id="1714816010">
              <w:marLeft w:val="0"/>
              <w:marRight w:val="0"/>
              <w:marTop w:val="0"/>
              <w:marBottom w:val="0"/>
              <w:divBdr>
                <w:top w:val="none" w:sz="0" w:space="0" w:color="auto"/>
                <w:left w:val="none" w:sz="0" w:space="0" w:color="auto"/>
                <w:bottom w:val="none" w:sz="0" w:space="0" w:color="auto"/>
                <w:right w:val="none" w:sz="0" w:space="0" w:color="auto"/>
              </w:divBdr>
              <w:divsChild>
                <w:div w:id="179858012">
                  <w:marLeft w:val="0"/>
                  <w:marRight w:val="0"/>
                  <w:marTop w:val="0"/>
                  <w:marBottom w:val="0"/>
                  <w:divBdr>
                    <w:top w:val="none" w:sz="0" w:space="0" w:color="auto"/>
                    <w:left w:val="none" w:sz="0" w:space="0" w:color="auto"/>
                    <w:bottom w:val="none" w:sz="0" w:space="0" w:color="auto"/>
                    <w:right w:val="none" w:sz="0" w:space="0" w:color="auto"/>
                  </w:divBdr>
                </w:div>
              </w:divsChild>
            </w:div>
            <w:div w:id="1934043885">
              <w:marLeft w:val="0"/>
              <w:marRight w:val="0"/>
              <w:marTop w:val="0"/>
              <w:marBottom w:val="0"/>
              <w:divBdr>
                <w:top w:val="none" w:sz="0" w:space="0" w:color="auto"/>
                <w:left w:val="none" w:sz="0" w:space="0" w:color="auto"/>
                <w:bottom w:val="none" w:sz="0" w:space="0" w:color="auto"/>
                <w:right w:val="none" w:sz="0" w:space="0" w:color="auto"/>
              </w:divBdr>
              <w:divsChild>
                <w:div w:id="1825929154">
                  <w:marLeft w:val="0"/>
                  <w:marRight w:val="0"/>
                  <w:marTop w:val="0"/>
                  <w:marBottom w:val="0"/>
                  <w:divBdr>
                    <w:top w:val="none" w:sz="0" w:space="0" w:color="auto"/>
                    <w:left w:val="none" w:sz="0" w:space="0" w:color="auto"/>
                    <w:bottom w:val="none" w:sz="0" w:space="0" w:color="auto"/>
                    <w:right w:val="none" w:sz="0" w:space="0" w:color="auto"/>
                  </w:divBdr>
                </w:div>
              </w:divsChild>
            </w:div>
            <w:div w:id="1587809099">
              <w:marLeft w:val="0"/>
              <w:marRight w:val="0"/>
              <w:marTop w:val="0"/>
              <w:marBottom w:val="0"/>
              <w:divBdr>
                <w:top w:val="none" w:sz="0" w:space="0" w:color="auto"/>
                <w:left w:val="none" w:sz="0" w:space="0" w:color="auto"/>
                <w:bottom w:val="none" w:sz="0" w:space="0" w:color="auto"/>
                <w:right w:val="none" w:sz="0" w:space="0" w:color="auto"/>
              </w:divBdr>
              <w:divsChild>
                <w:div w:id="1633515267">
                  <w:marLeft w:val="0"/>
                  <w:marRight w:val="0"/>
                  <w:marTop w:val="0"/>
                  <w:marBottom w:val="0"/>
                  <w:divBdr>
                    <w:top w:val="none" w:sz="0" w:space="0" w:color="auto"/>
                    <w:left w:val="none" w:sz="0" w:space="0" w:color="auto"/>
                    <w:bottom w:val="none" w:sz="0" w:space="0" w:color="auto"/>
                    <w:right w:val="none" w:sz="0" w:space="0" w:color="auto"/>
                  </w:divBdr>
                </w:div>
              </w:divsChild>
            </w:div>
            <w:div w:id="990594103">
              <w:marLeft w:val="0"/>
              <w:marRight w:val="0"/>
              <w:marTop w:val="0"/>
              <w:marBottom w:val="0"/>
              <w:divBdr>
                <w:top w:val="none" w:sz="0" w:space="0" w:color="auto"/>
                <w:left w:val="none" w:sz="0" w:space="0" w:color="auto"/>
                <w:bottom w:val="none" w:sz="0" w:space="0" w:color="auto"/>
                <w:right w:val="none" w:sz="0" w:space="0" w:color="auto"/>
              </w:divBdr>
              <w:divsChild>
                <w:div w:id="1480998928">
                  <w:marLeft w:val="0"/>
                  <w:marRight w:val="0"/>
                  <w:marTop w:val="0"/>
                  <w:marBottom w:val="0"/>
                  <w:divBdr>
                    <w:top w:val="none" w:sz="0" w:space="0" w:color="auto"/>
                    <w:left w:val="none" w:sz="0" w:space="0" w:color="auto"/>
                    <w:bottom w:val="none" w:sz="0" w:space="0" w:color="auto"/>
                    <w:right w:val="none" w:sz="0" w:space="0" w:color="auto"/>
                  </w:divBdr>
                </w:div>
              </w:divsChild>
            </w:div>
            <w:div w:id="1922249002">
              <w:marLeft w:val="0"/>
              <w:marRight w:val="0"/>
              <w:marTop w:val="0"/>
              <w:marBottom w:val="0"/>
              <w:divBdr>
                <w:top w:val="none" w:sz="0" w:space="0" w:color="auto"/>
                <w:left w:val="none" w:sz="0" w:space="0" w:color="auto"/>
                <w:bottom w:val="none" w:sz="0" w:space="0" w:color="auto"/>
                <w:right w:val="none" w:sz="0" w:space="0" w:color="auto"/>
              </w:divBdr>
              <w:divsChild>
                <w:div w:id="259458899">
                  <w:marLeft w:val="0"/>
                  <w:marRight w:val="0"/>
                  <w:marTop w:val="0"/>
                  <w:marBottom w:val="0"/>
                  <w:divBdr>
                    <w:top w:val="none" w:sz="0" w:space="0" w:color="auto"/>
                    <w:left w:val="none" w:sz="0" w:space="0" w:color="auto"/>
                    <w:bottom w:val="none" w:sz="0" w:space="0" w:color="auto"/>
                    <w:right w:val="none" w:sz="0" w:space="0" w:color="auto"/>
                  </w:divBdr>
                </w:div>
              </w:divsChild>
            </w:div>
            <w:div w:id="726994932">
              <w:marLeft w:val="0"/>
              <w:marRight w:val="0"/>
              <w:marTop w:val="0"/>
              <w:marBottom w:val="0"/>
              <w:divBdr>
                <w:top w:val="none" w:sz="0" w:space="0" w:color="auto"/>
                <w:left w:val="none" w:sz="0" w:space="0" w:color="auto"/>
                <w:bottom w:val="none" w:sz="0" w:space="0" w:color="auto"/>
                <w:right w:val="none" w:sz="0" w:space="0" w:color="auto"/>
              </w:divBdr>
              <w:divsChild>
                <w:div w:id="789669463">
                  <w:marLeft w:val="0"/>
                  <w:marRight w:val="0"/>
                  <w:marTop w:val="0"/>
                  <w:marBottom w:val="0"/>
                  <w:divBdr>
                    <w:top w:val="none" w:sz="0" w:space="0" w:color="auto"/>
                    <w:left w:val="none" w:sz="0" w:space="0" w:color="auto"/>
                    <w:bottom w:val="none" w:sz="0" w:space="0" w:color="auto"/>
                    <w:right w:val="none" w:sz="0" w:space="0" w:color="auto"/>
                  </w:divBdr>
                </w:div>
              </w:divsChild>
            </w:div>
            <w:div w:id="1906183850">
              <w:marLeft w:val="0"/>
              <w:marRight w:val="0"/>
              <w:marTop w:val="0"/>
              <w:marBottom w:val="0"/>
              <w:divBdr>
                <w:top w:val="none" w:sz="0" w:space="0" w:color="auto"/>
                <w:left w:val="none" w:sz="0" w:space="0" w:color="auto"/>
                <w:bottom w:val="none" w:sz="0" w:space="0" w:color="auto"/>
                <w:right w:val="none" w:sz="0" w:space="0" w:color="auto"/>
              </w:divBdr>
              <w:divsChild>
                <w:div w:id="18315158">
                  <w:marLeft w:val="0"/>
                  <w:marRight w:val="0"/>
                  <w:marTop w:val="0"/>
                  <w:marBottom w:val="0"/>
                  <w:divBdr>
                    <w:top w:val="none" w:sz="0" w:space="0" w:color="auto"/>
                    <w:left w:val="none" w:sz="0" w:space="0" w:color="auto"/>
                    <w:bottom w:val="none" w:sz="0" w:space="0" w:color="auto"/>
                    <w:right w:val="none" w:sz="0" w:space="0" w:color="auto"/>
                  </w:divBdr>
                </w:div>
              </w:divsChild>
            </w:div>
            <w:div w:id="620653923">
              <w:marLeft w:val="0"/>
              <w:marRight w:val="0"/>
              <w:marTop w:val="0"/>
              <w:marBottom w:val="0"/>
              <w:divBdr>
                <w:top w:val="none" w:sz="0" w:space="0" w:color="auto"/>
                <w:left w:val="none" w:sz="0" w:space="0" w:color="auto"/>
                <w:bottom w:val="none" w:sz="0" w:space="0" w:color="auto"/>
                <w:right w:val="none" w:sz="0" w:space="0" w:color="auto"/>
              </w:divBdr>
              <w:divsChild>
                <w:div w:id="770783897">
                  <w:marLeft w:val="0"/>
                  <w:marRight w:val="0"/>
                  <w:marTop w:val="0"/>
                  <w:marBottom w:val="0"/>
                  <w:divBdr>
                    <w:top w:val="none" w:sz="0" w:space="0" w:color="auto"/>
                    <w:left w:val="none" w:sz="0" w:space="0" w:color="auto"/>
                    <w:bottom w:val="none" w:sz="0" w:space="0" w:color="auto"/>
                    <w:right w:val="none" w:sz="0" w:space="0" w:color="auto"/>
                  </w:divBdr>
                </w:div>
              </w:divsChild>
            </w:div>
            <w:div w:id="1014458174">
              <w:marLeft w:val="0"/>
              <w:marRight w:val="0"/>
              <w:marTop w:val="0"/>
              <w:marBottom w:val="0"/>
              <w:divBdr>
                <w:top w:val="none" w:sz="0" w:space="0" w:color="auto"/>
                <w:left w:val="none" w:sz="0" w:space="0" w:color="auto"/>
                <w:bottom w:val="none" w:sz="0" w:space="0" w:color="auto"/>
                <w:right w:val="none" w:sz="0" w:space="0" w:color="auto"/>
              </w:divBdr>
              <w:divsChild>
                <w:div w:id="619068749">
                  <w:marLeft w:val="0"/>
                  <w:marRight w:val="0"/>
                  <w:marTop w:val="0"/>
                  <w:marBottom w:val="0"/>
                  <w:divBdr>
                    <w:top w:val="none" w:sz="0" w:space="0" w:color="auto"/>
                    <w:left w:val="none" w:sz="0" w:space="0" w:color="auto"/>
                    <w:bottom w:val="none" w:sz="0" w:space="0" w:color="auto"/>
                    <w:right w:val="none" w:sz="0" w:space="0" w:color="auto"/>
                  </w:divBdr>
                </w:div>
              </w:divsChild>
            </w:div>
            <w:div w:id="959917530">
              <w:marLeft w:val="0"/>
              <w:marRight w:val="0"/>
              <w:marTop w:val="0"/>
              <w:marBottom w:val="0"/>
              <w:divBdr>
                <w:top w:val="none" w:sz="0" w:space="0" w:color="auto"/>
                <w:left w:val="none" w:sz="0" w:space="0" w:color="auto"/>
                <w:bottom w:val="none" w:sz="0" w:space="0" w:color="auto"/>
                <w:right w:val="none" w:sz="0" w:space="0" w:color="auto"/>
              </w:divBdr>
              <w:divsChild>
                <w:div w:id="1611737726">
                  <w:marLeft w:val="0"/>
                  <w:marRight w:val="0"/>
                  <w:marTop w:val="0"/>
                  <w:marBottom w:val="0"/>
                  <w:divBdr>
                    <w:top w:val="none" w:sz="0" w:space="0" w:color="auto"/>
                    <w:left w:val="none" w:sz="0" w:space="0" w:color="auto"/>
                    <w:bottom w:val="none" w:sz="0" w:space="0" w:color="auto"/>
                    <w:right w:val="none" w:sz="0" w:space="0" w:color="auto"/>
                  </w:divBdr>
                </w:div>
              </w:divsChild>
            </w:div>
            <w:div w:id="249587462">
              <w:marLeft w:val="0"/>
              <w:marRight w:val="0"/>
              <w:marTop w:val="0"/>
              <w:marBottom w:val="0"/>
              <w:divBdr>
                <w:top w:val="none" w:sz="0" w:space="0" w:color="auto"/>
                <w:left w:val="none" w:sz="0" w:space="0" w:color="auto"/>
                <w:bottom w:val="none" w:sz="0" w:space="0" w:color="auto"/>
                <w:right w:val="none" w:sz="0" w:space="0" w:color="auto"/>
              </w:divBdr>
              <w:divsChild>
                <w:div w:id="257520278">
                  <w:marLeft w:val="0"/>
                  <w:marRight w:val="0"/>
                  <w:marTop w:val="0"/>
                  <w:marBottom w:val="0"/>
                  <w:divBdr>
                    <w:top w:val="none" w:sz="0" w:space="0" w:color="auto"/>
                    <w:left w:val="none" w:sz="0" w:space="0" w:color="auto"/>
                    <w:bottom w:val="none" w:sz="0" w:space="0" w:color="auto"/>
                    <w:right w:val="none" w:sz="0" w:space="0" w:color="auto"/>
                  </w:divBdr>
                </w:div>
              </w:divsChild>
            </w:div>
            <w:div w:id="1402755375">
              <w:marLeft w:val="0"/>
              <w:marRight w:val="0"/>
              <w:marTop w:val="0"/>
              <w:marBottom w:val="0"/>
              <w:divBdr>
                <w:top w:val="none" w:sz="0" w:space="0" w:color="auto"/>
                <w:left w:val="none" w:sz="0" w:space="0" w:color="auto"/>
                <w:bottom w:val="none" w:sz="0" w:space="0" w:color="auto"/>
                <w:right w:val="none" w:sz="0" w:space="0" w:color="auto"/>
              </w:divBdr>
              <w:divsChild>
                <w:div w:id="1693265969">
                  <w:marLeft w:val="0"/>
                  <w:marRight w:val="0"/>
                  <w:marTop w:val="0"/>
                  <w:marBottom w:val="0"/>
                  <w:divBdr>
                    <w:top w:val="none" w:sz="0" w:space="0" w:color="auto"/>
                    <w:left w:val="none" w:sz="0" w:space="0" w:color="auto"/>
                    <w:bottom w:val="none" w:sz="0" w:space="0" w:color="auto"/>
                    <w:right w:val="none" w:sz="0" w:space="0" w:color="auto"/>
                  </w:divBdr>
                </w:div>
              </w:divsChild>
            </w:div>
            <w:div w:id="1497958270">
              <w:marLeft w:val="0"/>
              <w:marRight w:val="0"/>
              <w:marTop w:val="0"/>
              <w:marBottom w:val="0"/>
              <w:divBdr>
                <w:top w:val="none" w:sz="0" w:space="0" w:color="auto"/>
                <w:left w:val="none" w:sz="0" w:space="0" w:color="auto"/>
                <w:bottom w:val="none" w:sz="0" w:space="0" w:color="auto"/>
                <w:right w:val="none" w:sz="0" w:space="0" w:color="auto"/>
              </w:divBdr>
              <w:divsChild>
                <w:div w:id="1982877994">
                  <w:marLeft w:val="0"/>
                  <w:marRight w:val="0"/>
                  <w:marTop w:val="0"/>
                  <w:marBottom w:val="0"/>
                  <w:divBdr>
                    <w:top w:val="none" w:sz="0" w:space="0" w:color="auto"/>
                    <w:left w:val="none" w:sz="0" w:space="0" w:color="auto"/>
                    <w:bottom w:val="none" w:sz="0" w:space="0" w:color="auto"/>
                    <w:right w:val="none" w:sz="0" w:space="0" w:color="auto"/>
                  </w:divBdr>
                </w:div>
              </w:divsChild>
            </w:div>
            <w:div w:id="271478998">
              <w:marLeft w:val="0"/>
              <w:marRight w:val="0"/>
              <w:marTop w:val="0"/>
              <w:marBottom w:val="0"/>
              <w:divBdr>
                <w:top w:val="none" w:sz="0" w:space="0" w:color="auto"/>
                <w:left w:val="none" w:sz="0" w:space="0" w:color="auto"/>
                <w:bottom w:val="none" w:sz="0" w:space="0" w:color="auto"/>
                <w:right w:val="none" w:sz="0" w:space="0" w:color="auto"/>
              </w:divBdr>
              <w:divsChild>
                <w:div w:id="1853228393">
                  <w:marLeft w:val="0"/>
                  <w:marRight w:val="0"/>
                  <w:marTop w:val="0"/>
                  <w:marBottom w:val="0"/>
                  <w:divBdr>
                    <w:top w:val="none" w:sz="0" w:space="0" w:color="auto"/>
                    <w:left w:val="none" w:sz="0" w:space="0" w:color="auto"/>
                    <w:bottom w:val="none" w:sz="0" w:space="0" w:color="auto"/>
                    <w:right w:val="none" w:sz="0" w:space="0" w:color="auto"/>
                  </w:divBdr>
                </w:div>
              </w:divsChild>
            </w:div>
            <w:div w:id="2096365987">
              <w:marLeft w:val="0"/>
              <w:marRight w:val="0"/>
              <w:marTop w:val="0"/>
              <w:marBottom w:val="0"/>
              <w:divBdr>
                <w:top w:val="none" w:sz="0" w:space="0" w:color="auto"/>
                <w:left w:val="none" w:sz="0" w:space="0" w:color="auto"/>
                <w:bottom w:val="none" w:sz="0" w:space="0" w:color="auto"/>
                <w:right w:val="none" w:sz="0" w:space="0" w:color="auto"/>
              </w:divBdr>
              <w:divsChild>
                <w:div w:id="1585072393">
                  <w:marLeft w:val="0"/>
                  <w:marRight w:val="0"/>
                  <w:marTop w:val="0"/>
                  <w:marBottom w:val="0"/>
                  <w:divBdr>
                    <w:top w:val="none" w:sz="0" w:space="0" w:color="auto"/>
                    <w:left w:val="none" w:sz="0" w:space="0" w:color="auto"/>
                    <w:bottom w:val="none" w:sz="0" w:space="0" w:color="auto"/>
                    <w:right w:val="none" w:sz="0" w:space="0" w:color="auto"/>
                  </w:divBdr>
                </w:div>
              </w:divsChild>
            </w:div>
            <w:div w:id="1942910656">
              <w:marLeft w:val="0"/>
              <w:marRight w:val="0"/>
              <w:marTop w:val="0"/>
              <w:marBottom w:val="0"/>
              <w:divBdr>
                <w:top w:val="none" w:sz="0" w:space="0" w:color="auto"/>
                <w:left w:val="none" w:sz="0" w:space="0" w:color="auto"/>
                <w:bottom w:val="none" w:sz="0" w:space="0" w:color="auto"/>
                <w:right w:val="none" w:sz="0" w:space="0" w:color="auto"/>
              </w:divBdr>
              <w:divsChild>
                <w:div w:id="1367752611">
                  <w:marLeft w:val="0"/>
                  <w:marRight w:val="0"/>
                  <w:marTop w:val="0"/>
                  <w:marBottom w:val="0"/>
                  <w:divBdr>
                    <w:top w:val="none" w:sz="0" w:space="0" w:color="auto"/>
                    <w:left w:val="none" w:sz="0" w:space="0" w:color="auto"/>
                    <w:bottom w:val="none" w:sz="0" w:space="0" w:color="auto"/>
                    <w:right w:val="none" w:sz="0" w:space="0" w:color="auto"/>
                  </w:divBdr>
                </w:div>
              </w:divsChild>
            </w:div>
            <w:div w:id="2121760262">
              <w:marLeft w:val="0"/>
              <w:marRight w:val="0"/>
              <w:marTop w:val="0"/>
              <w:marBottom w:val="0"/>
              <w:divBdr>
                <w:top w:val="none" w:sz="0" w:space="0" w:color="auto"/>
                <w:left w:val="none" w:sz="0" w:space="0" w:color="auto"/>
                <w:bottom w:val="none" w:sz="0" w:space="0" w:color="auto"/>
                <w:right w:val="none" w:sz="0" w:space="0" w:color="auto"/>
              </w:divBdr>
              <w:divsChild>
                <w:div w:id="1561134804">
                  <w:marLeft w:val="0"/>
                  <w:marRight w:val="0"/>
                  <w:marTop w:val="0"/>
                  <w:marBottom w:val="0"/>
                  <w:divBdr>
                    <w:top w:val="none" w:sz="0" w:space="0" w:color="auto"/>
                    <w:left w:val="none" w:sz="0" w:space="0" w:color="auto"/>
                    <w:bottom w:val="none" w:sz="0" w:space="0" w:color="auto"/>
                    <w:right w:val="none" w:sz="0" w:space="0" w:color="auto"/>
                  </w:divBdr>
                </w:div>
              </w:divsChild>
            </w:div>
            <w:div w:id="269626668">
              <w:marLeft w:val="0"/>
              <w:marRight w:val="0"/>
              <w:marTop w:val="0"/>
              <w:marBottom w:val="0"/>
              <w:divBdr>
                <w:top w:val="none" w:sz="0" w:space="0" w:color="auto"/>
                <w:left w:val="none" w:sz="0" w:space="0" w:color="auto"/>
                <w:bottom w:val="none" w:sz="0" w:space="0" w:color="auto"/>
                <w:right w:val="none" w:sz="0" w:space="0" w:color="auto"/>
              </w:divBdr>
              <w:divsChild>
                <w:div w:id="1443064710">
                  <w:marLeft w:val="0"/>
                  <w:marRight w:val="0"/>
                  <w:marTop w:val="0"/>
                  <w:marBottom w:val="0"/>
                  <w:divBdr>
                    <w:top w:val="none" w:sz="0" w:space="0" w:color="auto"/>
                    <w:left w:val="none" w:sz="0" w:space="0" w:color="auto"/>
                    <w:bottom w:val="none" w:sz="0" w:space="0" w:color="auto"/>
                    <w:right w:val="none" w:sz="0" w:space="0" w:color="auto"/>
                  </w:divBdr>
                </w:div>
              </w:divsChild>
            </w:div>
            <w:div w:id="675427685">
              <w:marLeft w:val="0"/>
              <w:marRight w:val="0"/>
              <w:marTop w:val="0"/>
              <w:marBottom w:val="0"/>
              <w:divBdr>
                <w:top w:val="none" w:sz="0" w:space="0" w:color="auto"/>
                <w:left w:val="none" w:sz="0" w:space="0" w:color="auto"/>
                <w:bottom w:val="none" w:sz="0" w:space="0" w:color="auto"/>
                <w:right w:val="none" w:sz="0" w:space="0" w:color="auto"/>
              </w:divBdr>
              <w:divsChild>
                <w:div w:id="215434613">
                  <w:marLeft w:val="0"/>
                  <w:marRight w:val="0"/>
                  <w:marTop w:val="0"/>
                  <w:marBottom w:val="0"/>
                  <w:divBdr>
                    <w:top w:val="none" w:sz="0" w:space="0" w:color="auto"/>
                    <w:left w:val="none" w:sz="0" w:space="0" w:color="auto"/>
                    <w:bottom w:val="none" w:sz="0" w:space="0" w:color="auto"/>
                    <w:right w:val="none" w:sz="0" w:space="0" w:color="auto"/>
                  </w:divBdr>
                </w:div>
              </w:divsChild>
            </w:div>
            <w:div w:id="1999574711">
              <w:marLeft w:val="0"/>
              <w:marRight w:val="0"/>
              <w:marTop w:val="0"/>
              <w:marBottom w:val="0"/>
              <w:divBdr>
                <w:top w:val="none" w:sz="0" w:space="0" w:color="auto"/>
                <w:left w:val="none" w:sz="0" w:space="0" w:color="auto"/>
                <w:bottom w:val="none" w:sz="0" w:space="0" w:color="auto"/>
                <w:right w:val="none" w:sz="0" w:space="0" w:color="auto"/>
              </w:divBdr>
              <w:divsChild>
                <w:div w:id="19446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4315">
          <w:marLeft w:val="0"/>
          <w:marRight w:val="0"/>
          <w:marTop w:val="0"/>
          <w:marBottom w:val="600"/>
          <w:divBdr>
            <w:top w:val="none" w:sz="0" w:space="0" w:color="auto"/>
            <w:left w:val="none" w:sz="0" w:space="0" w:color="auto"/>
            <w:bottom w:val="none" w:sz="0" w:space="0" w:color="auto"/>
            <w:right w:val="none" w:sz="0" w:space="0" w:color="auto"/>
          </w:divBdr>
        </w:div>
      </w:divsChild>
    </w:div>
    <w:div w:id="1100686384">
      <w:marLeft w:val="0"/>
      <w:marRight w:val="0"/>
      <w:marTop w:val="0"/>
      <w:marBottom w:val="0"/>
      <w:divBdr>
        <w:top w:val="none" w:sz="0" w:space="0" w:color="auto"/>
        <w:left w:val="none" w:sz="0" w:space="0" w:color="auto"/>
        <w:bottom w:val="none" w:sz="0" w:space="0" w:color="auto"/>
        <w:right w:val="none" w:sz="0" w:space="0" w:color="auto"/>
      </w:divBdr>
      <w:divsChild>
        <w:div w:id="1514879176">
          <w:marLeft w:val="0"/>
          <w:marRight w:val="0"/>
          <w:marTop w:val="547"/>
          <w:marBottom w:val="0"/>
          <w:divBdr>
            <w:top w:val="none" w:sz="0" w:space="0" w:color="auto"/>
            <w:left w:val="none" w:sz="0" w:space="0" w:color="auto"/>
            <w:bottom w:val="none" w:sz="0" w:space="0" w:color="auto"/>
            <w:right w:val="none" w:sz="0" w:space="0" w:color="auto"/>
          </w:divBdr>
        </w:div>
        <w:div w:id="1096437633">
          <w:marLeft w:val="0"/>
          <w:marRight w:val="0"/>
          <w:marTop w:val="0"/>
          <w:marBottom w:val="0"/>
          <w:divBdr>
            <w:top w:val="none" w:sz="0" w:space="0" w:color="auto"/>
            <w:left w:val="none" w:sz="0" w:space="0" w:color="auto"/>
            <w:bottom w:val="none" w:sz="0" w:space="0" w:color="auto"/>
            <w:right w:val="none" w:sz="0" w:space="0" w:color="auto"/>
          </w:divBdr>
        </w:div>
        <w:div w:id="438454646">
          <w:marLeft w:val="0"/>
          <w:marRight w:val="0"/>
          <w:marTop w:val="0"/>
          <w:marBottom w:val="600"/>
          <w:divBdr>
            <w:top w:val="none" w:sz="0" w:space="0" w:color="auto"/>
            <w:left w:val="none" w:sz="0" w:space="0" w:color="auto"/>
            <w:bottom w:val="none" w:sz="0" w:space="0" w:color="auto"/>
            <w:right w:val="none" w:sz="0" w:space="0" w:color="auto"/>
          </w:divBdr>
        </w:div>
      </w:divsChild>
    </w:div>
    <w:div w:id="1112432683">
      <w:marLeft w:val="0"/>
      <w:marRight w:val="0"/>
      <w:marTop w:val="0"/>
      <w:marBottom w:val="0"/>
      <w:divBdr>
        <w:top w:val="none" w:sz="0" w:space="0" w:color="auto"/>
        <w:left w:val="none" w:sz="0" w:space="0" w:color="auto"/>
        <w:bottom w:val="none" w:sz="0" w:space="0" w:color="auto"/>
        <w:right w:val="none" w:sz="0" w:space="0" w:color="auto"/>
      </w:divBdr>
      <w:divsChild>
        <w:div w:id="248731504">
          <w:marLeft w:val="0"/>
          <w:marRight w:val="0"/>
          <w:marTop w:val="547"/>
          <w:marBottom w:val="0"/>
          <w:divBdr>
            <w:top w:val="none" w:sz="0" w:space="0" w:color="auto"/>
            <w:left w:val="none" w:sz="0" w:space="0" w:color="auto"/>
            <w:bottom w:val="none" w:sz="0" w:space="0" w:color="auto"/>
            <w:right w:val="none" w:sz="0" w:space="0" w:color="auto"/>
          </w:divBdr>
        </w:div>
        <w:div w:id="1385446802">
          <w:marLeft w:val="0"/>
          <w:marRight w:val="0"/>
          <w:marTop w:val="0"/>
          <w:marBottom w:val="0"/>
          <w:divBdr>
            <w:top w:val="none" w:sz="0" w:space="0" w:color="auto"/>
            <w:left w:val="none" w:sz="0" w:space="0" w:color="auto"/>
            <w:bottom w:val="none" w:sz="0" w:space="0" w:color="auto"/>
            <w:right w:val="none" w:sz="0" w:space="0" w:color="auto"/>
          </w:divBdr>
          <w:divsChild>
            <w:div w:id="1520042899">
              <w:marLeft w:val="0"/>
              <w:marRight w:val="0"/>
              <w:marTop w:val="0"/>
              <w:marBottom w:val="0"/>
              <w:divBdr>
                <w:top w:val="none" w:sz="0" w:space="0" w:color="auto"/>
                <w:left w:val="none" w:sz="0" w:space="0" w:color="auto"/>
                <w:bottom w:val="none" w:sz="0" w:space="0" w:color="auto"/>
                <w:right w:val="none" w:sz="0" w:space="0" w:color="auto"/>
              </w:divBdr>
              <w:divsChild>
                <w:div w:id="2098744171">
                  <w:marLeft w:val="0"/>
                  <w:marRight w:val="0"/>
                  <w:marTop w:val="0"/>
                  <w:marBottom w:val="0"/>
                  <w:divBdr>
                    <w:top w:val="none" w:sz="0" w:space="0" w:color="auto"/>
                    <w:left w:val="none" w:sz="0" w:space="0" w:color="auto"/>
                    <w:bottom w:val="none" w:sz="0" w:space="0" w:color="auto"/>
                    <w:right w:val="none" w:sz="0" w:space="0" w:color="auto"/>
                  </w:divBdr>
                </w:div>
              </w:divsChild>
            </w:div>
            <w:div w:id="1317941">
              <w:marLeft w:val="0"/>
              <w:marRight w:val="0"/>
              <w:marTop w:val="0"/>
              <w:marBottom w:val="0"/>
              <w:divBdr>
                <w:top w:val="none" w:sz="0" w:space="0" w:color="auto"/>
                <w:left w:val="none" w:sz="0" w:space="0" w:color="auto"/>
                <w:bottom w:val="none" w:sz="0" w:space="0" w:color="auto"/>
                <w:right w:val="none" w:sz="0" w:space="0" w:color="auto"/>
              </w:divBdr>
              <w:divsChild>
                <w:div w:id="7561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20438">
          <w:marLeft w:val="0"/>
          <w:marRight w:val="0"/>
          <w:marTop w:val="0"/>
          <w:marBottom w:val="600"/>
          <w:divBdr>
            <w:top w:val="none" w:sz="0" w:space="0" w:color="auto"/>
            <w:left w:val="none" w:sz="0" w:space="0" w:color="auto"/>
            <w:bottom w:val="none" w:sz="0" w:space="0" w:color="auto"/>
            <w:right w:val="none" w:sz="0" w:space="0" w:color="auto"/>
          </w:divBdr>
        </w:div>
      </w:divsChild>
    </w:div>
    <w:div w:id="1122648391">
      <w:marLeft w:val="0"/>
      <w:marRight w:val="0"/>
      <w:marTop w:val="0"/>
      <w:marBottom w:val="0"/>
      <w:divBdr>
        <w:top w:val="none" w:sz="0" w:space="0" w:color="auto"/>
        <w:left w:val="none" w:sz="0" w:space="0" w:color="auto"/>
        <w:bottom w:val="none" w:sz="0" w:space="0" w:color="auto"/>
        <w:right w:val="none" w:sz="0" w:space="0" w:color="auto"/>
      </w:divBdr>
      <w:divsChild>
        <w:div w:id="901795311">
          <w:marLeft w:val="0"/>
          <w:marRight w:val="0"/>
          <w:marTop w:val="547"/>
          <w:marBottom w:val="0"/>
          <w:divBdr>
            <w:top w:val="none" w:sz="0" w:space="0" w:color="auto"/>
            <w:left w:val="none" w:sz="0" w:space="0" w:color="auto"/>
            <w:bottom w:val="none" w:sz="0" w:space="0" w:color="auto"/>
            <w:right w:val="none" w:sz="0" w:space="0" w:color="auto"/>
          </w:divBdr>
        </w:div>
        <w:div w:id="1619604292">
          <w:marLeft w:val="0"/>
          <w:marRight w:val="0"/>
          <w:marTop w:val="0"/>
          <w:marBottom w:val="0"/>
          <w:divBdr>
            <w:top w:val="none" w:sz="0" w:space="0" w:color="auto"/>
            <w:left w:val="none" w:sz="0" w:space="0" w:color="auto"/>
            <w:bottom w:val="none" w:sz="0" w:space="0" w:color="auto"/>
            <w:right w:val="none" w:sz="0" w:space="0" w:color="auto"/>
          </w:divBdr>
        </w:div>
        <w:div w:id="1638686141">
          <w:marLeft w:val="0"/>
          <w:marRight w:val="0"/>
          <w:marTop w:val="0"/>
          <w:marBottom w:val="600"/>
          <w:divBdr>
            <w:top w:val="none" w:sz="0" w:space="0" w:color="auto"/>
            <w:left w:val="none" w:sz="0" w:space="0" w:color="auto"/>
            <w:bottom w:val="none" w:sz="0" w:space="0" w:color="auto"/>
            <w:right w:val="none" w:sz="0" w:space="0" w:color="auto"/>
          </w:divBdr>
        </w:div>
      </w:divsChild>
    </w:div>
    <w:div w:id="1138762194">
      <w:marLeft w:val="0"/>
      <w:marRight w:val="0"/>
      <w:marTop w:val="0"/>
      <w:marBottom w:val="0"/>
      <w:divBdr>
        <w:top w:val="none" w:sz="0" w:space="0" w:color="auto"/>
        <w:left w:val="none" w:sz="0" w:space="0" w:color="auto"/>
        <w:bottom w:val="none" w:sz="0" w:space="0" w:color="auto"/>
        <w:right w:val="none" w:sz="0" w:space="0" w:color="auto"/>
      </w:divBdr>
      <w:divsChild>
        <w:div w:id="1625110674">
          <w:marLeft w:val="0"/>
          <w:marRight w:val="0"/>
          <w:marTop w:val="547"/>
          <w:marBottom w:val="0"/>
          <w:divBdr>
            <w:top w:val="none" w:sz="0" w:space="0" w:color="auto"/>
            <w:left w:val="none" w:sz="0" w:space="0" w:color="auto"/>
            <w:bottom w:val="none" w:sz="0" w:space="0" w:color="auto"/>
            <w:right w:val="none" w:sz="0" w:space="0" w:color="auto"/>
          </w:divBdr>
        </w:div>
        <w:div w:id="1963538386">
          <w:marLeft w:val="0"/>
          <w:marRight w:val="0"/>
          <w:marTop w:val="0"/>
          <w:marBottom w:val="0"/>
          <w:divBdr>
            <w:top w:val="none" w:sz="0" w:space="0" w:color="auto"/>
            <w:left w:val="none" w:sz="0" w:space="0" w:color="auto"/>
            <w:bottom w:val="none" w:sz="0" w:space="0" w:color="auto"/>
            <w:right w:val="none" w:sz="0" w:space="0" w:color="auto"/>
          </w:divBdr>
          <w:divsChild>
            <w:div w:id="1340961514">
              <w:marLeft w:val="0"/>
              <w:marRight w:val="0"/>
              <w:marTop w:val="0"/>
              <w:marBottom w:val="0"/>
              <w:divBdr>
                <w:top w:val="none" w:sz="0" w:space="0" w:color="auto"/>
                <w:left w:val="none" w:sz="0" w:space="0" w:color="auto"/>
                <w:bottom w:val="none" w:sz="0" w:space="0" w:color="auto"/>
                <w:right w:val="none" w:sz="0" w:space="0" w:color="auto"/>
              </w:divBdr>
              <w:divsChild>
                <w:div w:id="1116366937">
                  <w:marLeft w:val="0"/>
                  <w:marRight w:val="0"/>
                  <w:marTop w:val="0"/>
                  <w:marBottom w:val="0"/>
                  <w:divBdr>
                    <w:top w:val="none" w:sz="0" w:space="0" w:color="auto"/>
                    <w:left w:val="none" w:sz="0" w:space="0" w:color="auto"/>
                    <w:bottom w:val="none" w:sz="0" w:space="0" w:color="auto"/>
                    <w:right w:val="none" w:sz="0" w:space="0" w:color="auto"/>
                  </w:divBdr>
                </w:div>
              </w:divsChild>
            </w:div>
            <w:div w:id="370037008">
              <w:marLeft w:val="0"/>
              <w:marRight w:val="0"/>
              <w:marTop w:val="0"/>
              <w:marBottom w:val="0"/>
              <w:divBdr>
                <w:top w:val="none" w:sz="0" w:space="0" w:color="auto"/>
                <w:left w:val="none" w:sz="0" w:space="0" w:color="auto"/>
                <w:bottom w:val="none" w:sz="0" w:space="0" w:color="auto"/>
                <w:right w:val="none" w:sz="0" w:space="0" w:color="auto"/>
              </w:divBdr>
              <w:divsChild>
                <w:div w:id="318458615">
                  <w:marLeft w:val="0"/>
                  <w:marRight w:val="0"/>
                  <w:marTop w:val="0"/>
                  <w:marBottom w:val="0"/>
                  <w:divBdr>
                    <w:top w:val="none" w:sz="0" w:space="0" w:color="auto"/>
                    <w:left w:val="none" w:sz="0" w:space="0" w:color="auto"/>
                    <w:bottom w:val="none" w:sz="0" w:space="0" w:color="auto"/>
                    <w:right w:val="none" w:sz="0" w:space="0" w:color="auto"/>
                  </w:divBdr>
                </w:div>
              </w:divsChild>
            </w:div>
            <w:div w:id="458769941">
              <w:marLeft w:val="0"/>
              <w:marRight w:val="0"/>
              <w:marTop w:val="0"/>
              <w:marBottom w:val="0"/>
              <w:divBdr>
                <w:top w:val="none" w:sz="0" w:space="0" w:color="auto"/>
                <w:left w:val="none" w:sz="0" w:space="0" w:color="auto"/>
                <w:bottom w:val="none" w:sz="0" w:space="0" w:color="auto"/>
                <w:right w:val="none" w:sz="0" w:space="0" w:color="auto"/>
              </w:divBdr>
              <w:divsChild>
                <w:div w:id="1731154600">
                  <w:marLeft w:val="0"/>
                  <w:marRight w:val="0"/>
                  <w:marTop w:val="0"/>
                  <w:marBottom w:val="0"/>
                  <w:divBdr>
                    <w:top w:val="none" w:sz="0" w:space="0" w:color="auto"/>
                    <w:left w:val="none" w:sz="0" w:space="0" w:color="auto"/>
                    <w:bottom w:val="none" w:sz="0" w:space="0" w:color="auto"/>
                    <w:right w:val="none" w:sz="0" w:space="0" w:color="auto"/>
                  </w:divBdr>
                </w:div>
              </w:divsChild>
            </w:div>
            <w:div w:id="685330762">
              <w:marLeft w:val="0"/>
              <w:marRight w:val="0"/>
              <w:marTop w:val="0"/>
              <w:marBottom w:val="0"/>
              <w:divBdr>
                <w:top w:val="none" w:sz="0" w:space="0" w:color="auto"/>
                <w:left w:val="none" w:sz="0" w:space="0" w:color="auto"/>
                <w:bottom w:val="none" w:sz="0" w:space="0" w:color="auto"/>
                <w:right w:val="none" w:sz="0" w:space="0" w:color="auto"/>
              </w:divBdr>
              <w:divsChild>
                <w:div w:id="892889667">
                  <w:marLeft w:val="0"/>
                  <w:marRight w:val="0"/>
                  <w:marTop w:val="0"/>
                  <w:marBottom w:val="0"/>
                  <w:divBdr>
                    <w:top w:val="none" w:sz="0" w:space="0" w:color="auto"/>
                    <w:left w:val="none" w:sz="0" w:space="0" w:color="auto"/>
                    <w:bottom w:val="none" w:sz="0" w:space="0" w:color="auto"/>
                    <w:right w:val="none" w:sz="0" w:space="0" w:color="auto"/>
                  </w:divBdr>
                </w:div>
              </w:divsChild>
            </w:div>
            <w:div w:id="700976906">
              <w:marLeft w:val="0"/>
              <w:marRight w:val="0"/>
              <w:marTop w:val="0"/>
              <w:marBottom w:val="0"/>
              <w:divBdr>
                <w:top w:val="none" w:sz="0" w:space="0" w:color="auto"/>
                <w:left w:val="none" w:sz="0" w:space="0" w:color="auto"/>
                <w:bottom w:val="none" w:sz="0" w:space="0" w:color="auto"/>
                <w:right w:val="none" w:sz="0" w:space="0" w:color="auto"/>
              </w:divBdr>
              <w:divsChild>
                <w:div w:id="730467934">
                  <w:marLeft w:val="0"/>
                  <w:marRight w:val="0"/>
                  <w:marTop w:val="0"/>
                  <w:marBottom w:val="0"/>
                  <w:divBdr>
                    <w:top w:val="none" w:sz="0" w:space="0" w:color="auto"/>
                    <w:left w:val="none" w:sz="0" w:space="0" w:color="auto"/>
                    <w:bottom w:val="none" w:sz="0" w:space="0" w:color="auto"/>
                    <w:right w:val="none" w:sz="0" w:space="0" w:color="auto"/>
                  </w:divBdr>
                </w:div>
              </w:divsChild>
            </w:div>
            <w:div w:id="1486429414">
              <w:marLeft w:val="0"/>
              <w:marRight w:val="0"/>
              <w:marTop w:val="0"/>
              <w:marBottom w:val="0"/>
              <w:divBdr>
                <w:top w:val="none" w:sz="0" w:space="0" w:color="auto"/>
                <w:left w:val="none" w:sz="0" w:space="0" w:color="auto"/>
                <w:bottom w:val="none" w:sz="0" w:space="0" w:color="auto"/>
                <w:right w:val="none" w:sz="0" w:space="0" w:color="auto"/>
              </w:divBdr>
              <w:divsChild>
                <w:div w:id="199897564">
                  <w:marLeft w:val="0"/>
                  <w:marRight w:val="0"/>
                  <w:marTop w:val="0"/>
                  <w:marBottom w:val="0"/>
                  <w:divBdr>
                    <w:top w:val="none" w:sz="0" w:space="0" w:color="auto"/>
                    <w:left w:val="none" w:sz="0" w:space="0" w:color="auto"/>
                    <w:bottom w:val="none" w:sz="0" w:space="0" w:color="auto"/>
                    <w:right w:val="none" w:sz="0" w:space="0" w:color="auto"/>
                  </w:divBdr>
                </w:div>
              </w:divsChild>
            </w:div>
            <w:div w:id="22899648">
              <w:marLeft w:val="0"/>
              <w:marRight w:val="0"/>
              <w:marTop w:val="0"/>
              <w:marBottom w:val="0"/>
              <w:divBdr>
                <w:top w:val="none" w:sz="0" w:space="0" w:color="auto"/>
                <w:left w:val="none" w:sz="0" w:space="0" w:color="auto"/>
                <w:bottom w:val="none" w:sz="0" w:space="0" w:color="auto"/>
                <w:right w:val="none" w:sz="0" w:space="0" w:color="auto"/>
              </w:divBdr>
              <w:divsChild>
                <w:div w:id="661201655">
                  <w:marLeft w:val="0"/>
                  <w:marRight w:val="0"/>
                  <w:marTop w:val="0"/>
                  <w:marBottom w:val="0"/>
                  <w:divBdr>
                    <w:top w:val="none" w:sz="0" w:space="0" w:color="auto"/>
                    <w:left w:val="none" w:sz="0" w:space="0" w:color="auto"/>
                    <w:bottom w:val="none" w:sz="0" w:space="0" w:color="auto"/>
                    <w:right w:val="none" w:sz="0" w:space="0" w:color="auto"/>
                  </w:divBdr>
                </w:div>
              </w:divsChild>
            </w:div>
            <w:div w:id="475101611">
              <w:marLeft w:val="0"/>
              <w:marRight w:val="0"/>
              <w:marTop w:val="0"/>
              <w:marBottom w:val="0"/>
              <w:divBdr>
                <w:top w:val="none" w:sz="0" w:space="0" w:color="auto"/>
                <w:left w:val="none" w:sz="0" w:space="0" w:color="auto"/>
                <w:bottom w:val="none" w:sz="0" w:space="0" w:color="auto"/>
                <w:right w:val="none" w:sz="0" w:space="0" w:color="auto"/>
              </w:divBdr>
              <w:divsChild>
                <w:div w:id="1263487385">
                  <w:marLeft w:val="0"/>
                  <w:marRight w:val="0"/>
                  <w:marTop w:val="0"/>
                  <w:marBottom w:val="0"/>
                  <w:divBdr>
                    <w:top w:val="none" w:sz="0" w:space="0" w:color="auto"/>
                    <w:left w:val="none" w:sz="0" w:space="0" w:color="auto"/>
                    <w:bottom w:val="none" w:sz="0" w:space="0" w:color="auto"/>
                    <w:right w:val="none" w:sz="0" w:space="0" w:color="auto"/>
                  </w:divBdr>
                </w:div>
              </w:divsChild>
            </w:div>
            <w:div w:id="327951328">
              <w:marLeft w:val="0"/>
              <w:marRight w:val="0"/>
              <w:marTop w:val="0"/>
              <w:marBottom w:val="0"/>
              <w:divBdr>
                <w:top w:val="none" w:sz="0" w:space="0" w:color="auto"/>
                <w:left w:val="none" w:sz="0" w:space="0" w:color="auto"/>
                <w:bottom w:val="none" w:sz="0" w:space="0" w:color="auto"/>
                <w:right w:val="none" w:sz="0" w:space="0" w:color="auto"/>
              </w:divBdr>
              <w:divsChild>
                <w:div w:id="832641009">
                  <w:marLeft w:val="0"/>
                  <w:marRight w:val="0"/>
                  <w:marTop w:val="0"/>
                  <w:marBottom w:val="0"/>
                  <w:divBdr>
                    <w:top w:val="none" w:sz="0" w:space="0" w:color="auto"/>
                    <w:left w:val="none" w:sz="0" w:space="0" w:color="auto"/>
                    <w:bottom w:val="none" w:sz="0" w:space="0" w:color="auto"/>
                    <w:right w:val="none" w:sz="0" w:space="0" w:color="auto"/>
                  </w:divBdr>
                </w:div>
              </w:divsChild>
            </w:div>
            <w:div w:id="1739985012">
              <w:marLeft w:val="0"/>
              <w:marRight w:val="0"/>
              <w:marTop w:val="0"/>
              <w:marBottom w:val="0"/>
              <w:divBdr>
                <w:top w:val="none" w:sz="0" w:space="0" w:color="auto"/>
                <w:left w:val="none" w:sz="0" w:space="0" w:color="auto"/>
                <w:bottom w:val="none" w:sz="0" w:space="0" w:color="auto"/>
                <w:right w:val="none" w:sz="0" w:space="0" w:color="auto"/>
              </w:divBdr>
              <w:divsChild>
                <w:div w:id="1441993485">
                  <w:marLeft w:val="0"/>
                  <w:marRight w:val="0"/>
                  <w:marTop w:val="0"/>
                  <w:marBottom w:val="0"/>
                  <w:divBdr>
                    <w:top w:val="none" w:sz="0" w:space="0" w:color="auto"/>
                    <w:left w:val="none" w:sz="0" w:space="0" w:color="auto"/>
                    <w:bottom w:val="none" w:sz="0" w:space="0" w:color="auto"/>
                    <w:right w:val="none" w:sz="0" w:space="0" w:color="auto"/>
                  </w:divBdr>
                </w:div>
              </w:divsChild>
            </w:div>
            <w:div w:id="1961302881">
              <w:marLeft w:val="0"/>
              <w:marRight w:val="0"/>
              <w:marTop w:val="0"/>
              <w:marBottom w:val="0"/>
              <w:divBdr>
                <w:top w:val="none" w:sz="0" w:space="0" w:color="auto"/>
                <w:left w:val="none" w:sz="0" w:space="0" w:color="auto"/>
                <w:bottom w:val="none" w:sz="0" w:space="0" w:color="auto"/>
                <w:right w:val="none" w:sz="0" w:space="0" w:color="auto"/>
              </w:divBdr>
              <w:divsChild>
                <w:div w:id="905068048">
                  <w:marLeft w:val="0"/>
                  <w:marRight w:val="0"/>
                  <w:marTop w:val="0"/>
                  <w:marBottom w:val="0"/>
                  <w:divBdr>
                    <w:top w:val="none" w:sz="0" w:space="0" w:color="auto"/>
                    <w:left w:val="none" w:sz="0" w:space="0" w:color="auto"/>
                    <w:bottom w:val="none" w:sz="0" w:space="0" w:color="auto"/>
                    <w:right w:val="none" w:sz="0" w:space="0" w:color="auto"/>
                  </w:divBdr>
                </w:div>
              </w:divsChild>
            </w:div>
            <w:div w:id="1476213413">
              <w:marLeft w:val="0"/>
              <w:marRight w:val="0"/>
              <w:marTop w:val="0"/>
              <w:marBottom w:val="0"/>
              <w:divBdr>
                <w:top w:val="none" w:sz="0" w:space="0" w:color="auto"/>
                <w:left w:val="none" w:sz="0" w:space="0" w:color="auto"/>
                <w:bottom w:val="none" w:sz="0" w:space="0" w:color="auto"/>
                <w:right w:val="none" w:sz="0" w:space="0" w:color="auto"/>
              </w:divBdr>
              <w:divsChild>
                <w:div w:id="1648776464">
                  <w:marLeft w:val="0"/>
                  <w:marRight w:val="0"/>
                  <w:marTop w:val="0"/>
                  <w:marBottom w:val="0"/>
                  <w:divBdr>
                    <w:top w:val="none" w:sz="0" w:space="0" w:color="auto"/>
                    <w:left w:val="none" w:sz="0" w:space="0" w:color="auto"/>
                    <w:bottom w:val="none" w:sz="0" w:space="0" w:color="auto"/>
                    <w:right w:val="none" w:sz="0" w:space="0" w:color="auto"/>
                  </w:divBdr>
                </w:div>
              </w:divsChild>
            </w:div>
            <w:div w:id="538133032">
              <w:marLeft w:val="0"/>
              <w:marRight w:val="0"/>
              <w:marTop w:val="0"/>
              <w:marBottom w:val="0"/>
              <w:divBdr>
                <w:top w:val="none" w:sz="0" w:space="0" w:color="auto"/>
                <w:left w:val="none" w:sz="0" w:space="0" w:color="auto"/>
                <w:bottom w:val="none" w:sz="0" w:space="0" w:color="auto"/>
                <w:right w:val="none" w:sz="0" w:space="0" w:color="auto"/>
              </w:divBdr>
              <w:divsChild>
                <w:div w:id="1553155431">
                  <w:marLeft w:val="0"/>
                  <w:marRight w:val="0"/>
                  <w:marTop w:val="0"/>
                  <w:marBottom w:val="0"/>
                  <w:divBdr>
                    <w:top w:val="none" w:sz="0" w:space="0" w:color="auto"/>
                    <w:left w:val="none" w:sz="0" w:space="0" w:color="auto"/>
                    <w:bottom w:val="none" w:sz="0" w:space="0" w:color="auto"/>
                    <w:right w:val="none" w:sz="0" w:space="0" w:color="auto"/>
                  </w:divBdr>
                </w:div>
              </w:divsChild>
            </w:div>
            <w:div w:id="848104629">
              <w:marLeft w:val="0"/>
              <w:marRight w:val="0"/>
              <w:marTop w:val="0"/>
              <w:marBottom w:val="0"/>
              <w:divBdr>
                <w:top w:val="none" w:sz="0" w:space="0" w:color="auto"/>
                <w:left w:val="none" w:sz="0" w:space="0" w:color="auto"/>
                <w:bottom w:val="none" w:sz="0" w:space="0" w:color="auto"/>
                <w:right w:val="none" w:sz="0" w:space="0" w:color="auto"/>
              </w:divBdr>
              <w:divsChild>
                <w:div w:id="383676812">
                  <w:marLeft w:val="0"/>
                  <w:marRight w:val="0"/>
                  <w:marTop w:val="0"/>
                  <w:marBottom w:val="0"/>
                  <w:divBdr>
                    <w:top w:val="none" w:sz="0" w:space="0" w:color="auto"/>
                    <w:left w:val="none" w:sz="0" w:space="0" w:color="auto"/>
                    <w:bottom w:val="none" w:sz="0" w:space="0" w:color="auto"/>
                    <w:right w:val="none" w:sz="0" w:space="0" w:color="auto"/>
                  </w:divBdr>
                </w:div>
              </w:divsChild>
            </w:div>
            <w:div w:id="1058089361">
              <w:marLeft w:val="0"/>
              <w:marRight w:val="0"/>
              <w:marTop w:val="0"/>
              <w:marBottom w:val="0"/>
              <w:divBdr>
                <w:top w:val="none" w:sz="0" w:space="0" w:color="auto"/>
                <w:left w:val="none" w:sz="0" w:space="0" w:color="auto"/>
                <w:bottom w:val="none" w:sz="0" w:space="0" w:color="auto"/>
                <w:right w:val="none" w:sz="0" w:space="0" w:color="auto"/>
              </w:divBdr>
              <w:divsChild>
                <w:div w:id="381758806">
                  <w:marLeft w:val="0"/>
                  <w:marRight w:val="0"/>
                  <w:marTop w:val="0"/>
                  <w:marBottom w:val="0"/>
                  <w:divBdr>
                    <w:top w:val="none" w:sz="0" w:space="0" w:color="auto"/>
                    <w:left w:val="none" w:sz="0" w:space="0" w:color="auto"/>
                    <w:bottom w:val="none" w:sz="0" w:space="0" w:color="auto"/>
                    <w:right w:val="none" w:sz="0" w:space="0" w:color="auto"/>
                  </w:divBdr>
                </w:div>
              </w:divsChild>
            </w:div>
            <w:div w:id="262885660">
              <w:marLeft w:val="0"/>
              <w:marRight w:val="0"/>
              <w:marTop w:val="0"/>
              <w:marBottom w:val="0"/>
              <w:divBdr>
                <w:top w:val="none" w:sz="0" w:space="0" w:color="auto"/>
                <w:left w:val="none" w:sz="0" w:space="0" w:color="auto"/>
                <w:bottom w:val="none" w:sz="0" w:space="0" w:color="auto"/>
                <w:right w:val="none" w:sz="0" w:space="0" w:color="auto"/>
              </w:divBdr>
              <w:divsChild>
                <w:div w:id="792745800">
                  <w:marLeft w:val="0"/>
                  <w:marRight w:val="0"/>
                  <w:marTop w:val="0"/>
                  <w:marBottom w:val="0"/>
                  <w:divBdr>
                    <w:top w:val="none" w:sz="0" w:space="0" w:color="auto"/>
                    <w:left w:val="none" w:sz="0" w:space="0" w:color="auto"/>
                    <w:bottom w:val="none" w:sz="0" w:space="0" w:color="auto"/>
                    <w:right w:val="none" w:sz="0" w:space="0" w:color="auto"/>
                  </w:divBdr>
                </w:div>
              </w:divsChild>
            </w:div>
            <w:div w:id="762266005">
              <w:marLeft w:val="0"/>
              <w:marRight w:val="0"/>
              <w:marTop w:val="0"/>
              <w:marBottom w:val="0"/>
              <w:divBdr>
                <w:top w:val="none" w:sz="0" w:space="0" w:color="auto"/>
                <w:left w:val="none" w:sz="0" w:space="0" w:color="auto"/>
                <w:bottom w:val="none" w:sz="0" w:space="0" w:color="auto"/>
                <w:right w:val="none" w:sz="0" w:space="0" w:color="auto"/>
              </w:divBdr>
              <w:divsChild>
                <w:div w:id="929507695">
                  <w:marLeft w:val="0"/>
                  <w:marRight w:val="0"/>
                  <w:marTop w:val="0"/>
                  <w:marBottom w:val="0"/>
                  <w:divBdr>
                    <w:top w:val="none" w:sz="0" w:space="0" w:color="auto"/>
                    <w:left w:val="none" w:sz="0" w:space="0" w:color="auto"/>
                    <w:bottom w:val="none" w:sz="0" w:space="0" w:color="auto"/>
                    <w:right w:val="none" w:sz="0" w:space="0" w:color="auto"/>
                  </w:divBdr>
                </w:div>
              </w:divsChild>
            </w:div>
            <w:div w:id="279410581">
              <w:marLeft w:val="0"/>
              <w:marRight w:val="0"/>
              <w:marTop w:val="0"/>
              <w:marBottom w:val="0"/>
              <w:divBdr>
                <w:top w:val="none" w:sz="0" w:space="0" w:color="auto"/>
                <w:left w:val="none" w:sz="0" w:space="0" w:color="auto"/>
                <w:bottom w:val="none" w:sz="0" w:space="0" w:color="auto"/>
                <w:right w:val="none" w:sz="0" w:space="0" w:color="auto"/>
              </w:divBdr>
              <w:divsChild>
                <w:div w:id="36595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97">
          <w:marLeft w:val="0"/>
          <w:marRight w:val="0"/>
          <w:marTop w:val="0"/>
          <w:marBottom w:val="600"/>
          <w:divBdr>
            <w:top w:val="none" w:sz="0" w:space="0" w:color="auto"/>
            <w:left w:val="none" w:sz="0" w:space="0" w:color="auto"/>
            <w:bottom w:val="none" w:sz="0" w:space="0" w:color="auto"/>
            <w:right w:val="none" w:sz="0" w:space="0" w:color="auto"/>
          </w:divBdr>
        </w:div>
      </w:divsChild>
    </w:div>
    <w:div w:id="1174416990">
      <w:marLeft w:val="0"/>
      <w:marRight w:val="0"/>
      <w:marTop w:val="0"/>
      <w:marBottom w:val="0"/>
      <w:divBdr>
        <w:top w:val="none" w:sz="0" w:space="0" w:color="auto"/>
        <w:left w:val="none" w:sz="0" w:space="0" w:color="auto"/>
        <w:bottom w:val="none" w:sz="0" w:space="0" w:color="auto"/>
        <w:right w:val="none" w:sz="0" w:space="0" w:color="auto"/>
      </w:divBdr>
      <w:divsChild>
        <w:div w:id="1704210697">
          <w:marLeft w:val="0"/>
          <w:marRight w:val="0"/>
          <w:marTop w:val="547"/>
          <w:marBottom w:val="0"/>
          <w:divBdr>
            <w:top w:val="none" w:sz="0" w:space="0" w:color="auto"/>
            <w:left w:val="none" w:sz="0" w:space="0" w:color="auto"/>
            <w:bottom w:val="none" w:sz="0" w:space="0" w:color="auto"/>
            <w:right w:val="none" w:sz="0" w:space="0" w:color="auto"/>
          </w:divBdr>
        </w:div>
        <w:div w:id="2055426603">
          <w:marLeft w:val="0"/>
          <w:marRight w:val="0"/>
          <w:marTop w:val="0"/>
          <w:marBottom w:val="0"/>
          <w:divBdr>
            <w:top w:val="none" w:sz="0" w:space="0" w:color="auto"/>
            <w:left w:val="none" w:sz="0" w:space="0" w:color="auto"/>
            <w:bottom w:val="none" w:sz="0" w:space="0" w:color="auto"/>
            <w:right w:val="none" w:sz="0" w:space="0" w:color="auto"/>
          </w:divBdr>
          <w:divsChild>
            <w:div w:id="1830977326">
              <w:marLeft w:val="0"/>
              <w:marRight w:val="0"/>
              <w:marTop w:val="0"/>
              <w:marBottom w:val="0"/>
              <w:divBdr>
                <w:top w:val="none" w:sz="0" w:space="0" w:color="auto"/>
                <w:left w:val="none" w:sz="0" w:space="0" w:color="auto"/>
                <w:bottom w:val="none" w:sz="0" w:space="0" w:color="auto"/>
                <w:right w:val="none" w:sz="0" w:space="0" w:color="auto"/>
              </w:divBdr>
              <w:divsChild>
                <w:div w:id="821233103">
                  <w:marLeft w:val="0"/>
                  <w:marRight w:val="0"/>
                  <w:marTop w:val="0"/>
                  <w:marBottom w:val="0"/>
                  <w:divBdr>
                    <w:top w:val="none" w:sz="0" w:space="0" w:color="auto"/>
                    <w:left w:val="none" w:sz="0" w:space="0" w:color="auto"/>
                    <w:bottom w:val="none" w:sz="0" w:space="0" w:color="auto"/>
                    <w:right w:val="none" w:sz="0" w:space="0" w:color="auto"/>
                  </w:divBdr>
                </w:div>
              </w:divsChild>
            </w:div>
            <w:div w:id="511650750">
              <w:marLeft w:val="0"/>
              <w:marRight w:val="0"/>
              <w:marTop w:val="0"/>
              <w:marBottom w:val="0"/>
              <w:divBdr>
                <w:top w:val="none" w:sz="0" w:space="0" w:color="auto"/>
                <w:left w:val="none" w:sz="0" w:space="0" w:color="auto"/>
                <w:bottom w:val="none" w:sz="0" w:space="0" w:color="auto"/>
                <w:right w:val="none" w:sz="0" w:space="0" w:color="auto"/>
              </w:divBdr>
              <w:divsChild>
                <w:div w:id="1003044142">
                  <w:marLeft w:val="0"/>
                  <w:marRight w:val="0"/>
                  <w:marTop w:val="0"/>
                  <w:marBottom w:val="0"/>
                  <w:divBdr>
                    <w:top w:val="none" w:sz="0" w:space="0" w:color="auto"/>
                    <w:left w:val="none" w:sz="0" w:space="0" w:color="auto"/>
                    <w:bottom w:val="none" w:sz="0" w:space="0" w:color="auto"/>
                    <w:right w:val="none" w:sz="0" w:space="0" w:color="auto"/>
                  </w:divBdr>
                </w:div>
              </w:divsChild>
            </w:div>
            <w:div w:id="100535846">
              <w:marLeft w:val="0"/>
              <w:marRight w:val="0"/>
              <w:marTop w:val="0"/>
              <w:marBottom w:val="0"/>
              <w:divBdr>
                <w:top w:val="none" w:sz="0" w:space="0" w:color="auto"/>
                <w:left w:val="none" w:sz="0" w:space="0" w:color="auto"/>
                <w:bottom w:val="none" w:sz="0" w:space="0" w:color="auto"/>
                <w:right w:val="none" w:sz="0" w:space="0" w:color="auto"/>
              </w:divBdr>
              <w:divsChild>
                <w:div w:id="759640941">
                  <w:marLeft w:val="0"/>
                  <w:marRight w:val="0"/>
                  <w:marTop w:val="0"/>
                  <w:marBottom w:val="0"/>
                  <w:divBdr>
                    <w:top w:val="none" w:sz="0" w:space="0" w:color="auto"/>
                    <w:left w:val="none" w:sz="0" w:space="0" w:color="auto"/>
                    <w:bottom w:val="none" w:sz="0" w:space="0" w:color="auto"/>
                    <w:right w:val="none" w:sz="0" w:space="0" w:color="auto"/>
                  </w:divBdr>
                </w:div>
              </w:divsChild>
            </w:div>
            <w:div w:id="562181743">
              <w:marLeft w:val="0"/>
              <w:marRight w:val="0"/>
              <w:marTop w:val="0"/>
              <w:marBottom w:val="0"/>
              <w:divBdr>
                <w:top w:val="none" w:sz="0" w:space="0" w:color="auto"/>
                <w:left w:val="none" w:sz="0" w:space="0" w:color="auto"/>
                <w:bottom w:val="none" w:sz="0" w:space="0" w:color="auto"/>
                <w:right w:val="none" w:sz="0" w:space="0" w:color="auto"/>
              </w:divBdr>
              <w:divsChild>
                <w:div w:id="1228036530">
                  <w:marLeft w:val="0"/>
                  <w:marRight w:val="0"/>
                  <w:marTop w:val="0"/>
                  <w:marBottom w:val="0"/>
                  <w:divBdr>
                    <w:top w:val="none" w:sz="0" w:space="0" w:color="auto"/>
                    <w:left w:val="none" w:sz="0" w:space="0" w:color="auto"/>
                    <w:bottom w:val="none" w:sz="0" w:space="0" w:color="auto"/>
                    <w:right w:val="none" w:sz="0" w:space="0" w:color="auto"/>
                  </w:divBdr>
                </w:div>
              </w:divsChild>
            </w:div>
            <w:div w:id="1087388914">
              <w:marLeft w:val="0"/>
              <w:marRight w:val="0"/>
              <w:marTop w:val="0"/>
              <w:marBottom w:val="0"/>
              <w:divBdr>
                <w:top w:val="none" w:sz="0" w:space="0" w:color="auto"/>
                <w:left w:val="none" w:sz="0" w:space="0" w:color="auto"/>
                <w:bottom w:val="none" w:sz="0" w:space="0" w:color="auto"/>
                <w:right w:val="none" w:sz="0" w:space="0" w:color="auto"/>
              </w:divBdr>
              <w:divsChild>
                <w:div w:id="1603686594">
                  <w:marLeft w:val="0"/>
                  <w:marRight w:val="0"/>
                  <w:marTop w:val="0"/>
                  <w:marBottom w:val="0"/>
                  <w:divBdr>
                    <w:top w:val="none" w:sz="0" w:space="0" w:color="auto"/>
                    <w:left w:val="none" w:sz="0" w:space="0" w:color="auto"/>
                    <w:bottom w:val="none" w:sz="0" w:space="0" w:color="auto"/>
                    <w:right w:val="none" w:sz="0" w:space="0" w:color="auto"/>
                  </w:divBdr>
                </w:div>
              </w:divsChild>
            </w:div>
            <w:div w:id="919097045">
              <w:marLeft w:val="0"/>
              <w:marRight w:val="0"/>
              <w:marTop w:val="0"/>
              <w:marBottom w:val="0"/>
              <w:divBdr>
                <w:top w:val="none" w:sz="0" w:space="0" w:color="auto"/>
                <w:left w:val="none" w:sz="0" w:space="0" w:color="auto"/>
                <w:bottom w:val="none" w:sz="0" w:space="0" w:color="auto"/>
                <w:right w:val="none" w:sz="0" w:space="0" w:color="auto"/>
              </w:divBdr>
              <w:divsChild>
                <w:div w:id="708804325">
                  <w:marLeft w:val="0"/>
                  <w:marRight w:val="0"/>
                  <w:marTop w:val="0"/>
                  <w:marBottom w:val="0"/>
                  <w:divBdr>
                    <w:top w:val="none" w:sz="0" w:space="0" w:color="auto"/>
                    <w:left w:val="none" w:sz="0" w:space="0" w:color="auto"/>
                    <w:bottom w:val="none" w:sz="0" w:space="0" w:color="auto"/>
                    <w:right w:val="none" w:sz="0" w:space="0" w:color="auto"/>
                  </w:divBdr>
                </w:div>
              </w:divsChild>
            </w:div>
            <w:div w:id="980693275">
              <w:marLeft w:val="0"/>
              <w:marRight w:val="0"/>
              <w:marTop w:val="0"/>
              <w:marBottom w:val="0"/>
              <w:divBdr>
                <w:top w:val="none" w:sz="0" w:space="0" w:color="auto"/>
                <w:left w:val="none" w:sz="0" w:space="0" w:color="auto"/>
                <w:bottom w:val="none" w:sz="0" w:space="0" w:color="auto"/>
                <w:right w:val="none" w:sz="0" w:space="0" w:color="auto"/>
              </w:divBdr>
              <w:divsChild>
                <w:div w:id="1918055125">
                  <w:marLeft w:val="0"/>
                  <w:marRight w:val="0"/>
                  <w:marTop w:val="0"/>
                  <w:marBottom w:val="0"/>
                  <w:divBdr>
                    <w:top w:val="none" w:sz="0" w:space="0" w:color="auto"/>
                    <w:left w:val="none" w:sz="0" w:space="0" w:color="auto"/>
                    <w:bottom w:val="none" w:sz="0" w:space="0" w:color="auto"/>
                    <w:right w:val="none" w:sz="0" w:space="0" w:color="auto"/>
                  </w:divBdr>
                </w:div>
              </w:divsChild>
            </w:div>
            <w:div w:id="1612274316">
              <w:marLeft w:val="0"/>
              <w:marRight w:val="0"/>
              <w:marTop w:val="0"/>
              <w:marBottom w:val="0"/>
              <w:divBdr>
                <w:top w:val="none" w:sz="0" w:space="0" w:color="auto"/>
                <w:left w:val="none" w:sz="0" w:space="0" w:color="auto"/>
                <w:bottom w:val="none" w:sz="0" w:space="0" w:color="auto"/>
                <w:right w:val="none" w:sz="0" w:space="0" w:color="auto"/>
              </w:divBdr>
              <w:divsChild>
                <w:div w:id="1578903544">
                  <w:marLeft w:val="0"/>
                  <w:marRight w:val="0"/>
                  <w:marTop w:val="0"/>
                  <w:marBottom w:val="0"/>
                  <w:divBdr>
                    <w:top w:val="none" w:sz="0" w:space="0" w:color="auto"/>
                    <w:left w:val="none" w:sz="0" w:space="0" w:color="auto"/>
                    <w:bottom w:val="none" w:sz="0" w:space="0" w:color="auto"/>
                    <w:right w:val="none" w:sz="0" w:space="0" w:color="auto"/>
                  </w:divBdr>
                </w:div>
              </w:divsChild>
            </w:div>
            <w:div w:id="1824466677">
              <w:marLeft w:val="0"/>
              <w:marRight w:val="0"/>
              <w:marTop w:val="0"/>
              <w:marBottom w:val="0"/>
              <w:divBdr>
                <w:top w:val="none" w:sz="0" w:space="0" w:color="auto"/>
                <w:left w:val="none" w:sz="0" w:space="0" w:color="auto"/>
                <w:bottom w:val="none" w:sz="0" w:space="0" w:color="auto"/>
                <w:right w:val="none" w:sz="0" w:space="0" w:color="auto"/>
              </w:divBdr>
              <w:divsChild>
                <w:div w:id="1395158417">
                  <w:marLeft w:val="0"/>
                  <w:marRight w:val="0"/>
                  <w:marTop w:val="0"/>
                  <w:marBottom w:val="0"/>
                  <w:divBdr>
                    <w:top w:val="none" w:sz="0" w:space="0" w:color="auto"/>
                    <w:left w:val="none" w:sz="0" w:space="0" w:color="auto"/>
                    <w:bottom w:val="none" w:sz="0" w:space="0" w:color="auto"/>
                    <w:right w:val="none" w:sz="0" w:space="0" w:color="auto"/>
                  </w:divBdr>
                </w:div>
              </w:divsChild>
            </w:div>
            <w:div w:id="62871957">
              <w:marLeft w:val="0"/>
              <w:marRight w:val="0"/>
              <w:marTop w:val="0"/>
              <w:marBottom w:val="0"/>
              <w:divBdr>
                <w:top w:val="none" w:sz="0" w:space="0" w:color="auto"/>
                <w:left w:val="none" w:sz="0" w:space="0" w:color="auto"/>
                <w:bottom w:val="none" w:sz="0" w:space="0" w:color="auto"/>
                <w:right w:val="none" w:sz="0" w:space="0" w:color="auto"/>
              </w:divBdr>
              <w:divsChild>
                <w:div w:id="383286988">
                  <w:marLeft w:val="0"/>
                  <w:marRight w:val="0"/>
                  <w:marTop w:val="0"/>
                  <w:marBottom w:val="0"/>
                  <w:divBdr>
                    <w:top w:val="none" w:sz="0" w:space="0" w:color="auto"/>
                    <w:left w:val="none" w:sz="0" w:space="0" w:color="auto"/>
                    <w:bottom w:val="none" w:sz="0" w:space="0" w:color="auto"/>
                    <w:right w:val="none" w:sz="0" w:space="0" w:color="auto"/>
                  </w:divBdr>
                </w:div>
              </w:divsChild>
            </w:div>
            <w:div w:id="1788356219">
              <w:marLeft w:val="0"/>
              <w:marRight w:val="0"/>
              <w:marTop w:val="0"/>
              <w:marBottom w:val="0"/>
              <w:divBdr>
                <w:top w:val="none" w:sz="0" w:space="0" w:color="auto"/>
                <w:left w:val="none" w:sz="0" w:space="0" w:color="auto"/>
                <w:bottom w:val="none" w:sz="0" w:space="0" w:color="auto"/>
                <w:right w:val="none" w:sz="0" w:space="0" w:color="auto"/>
              </w:divBdr>
              <w:divsChild>
                <w:div w:id="1575357380">
                  <w:marLeft w:val="0"/>
                  <w:marRight w:val="0"/>
                  <w:marTop w:val="0"/>
                  <w:marBottom w:val="0"/>
                  <w:divBdr>
                    <w:top w:val="none" w:sz="0" w:space="0" w:color="auto"/>
                    <w:left w:val="none" w:sz="0" w:space="0" w:color="auto"/>
                    <w:bottom w:val="none" w:sz="0" w:space="0" w:color="auto"/>
                    <w:right w:val="none" w:sz="0" w:space="0" w:color="auto"/>
                  </w:divBdr>
                </w:div>
              </w:divsChild>
            </w:div>
            <w:div w:id="2042897551">
              <w:marLeft w:val="0"/>
              <w:marRight w:val="0"/>
              <w:marTop w:val="0"/>
              <w:marBottom w:val="0"/>
              <w:divBdr>
                <w:top w:val="none" w:sz="0" w:space="0" w:color="auto"/>
                <w:left w:val="none" w:sz="0" w:space="0" w:color="auto"/>
                <w:bottom w:val="none" w:sz="0" w:space="0" w:color="auto"/>
                <w:right w:val="none" w:sz="0" w:space="0" w:color="auto"/>
              </w:divBdr>
              <w:divsChild>
                <w:div w:id="1580872534">
                  <w:marLeft w:val="0"/>
                  <w:marRight w:val="0"/>
                  <w:marTop w:val="0"/>
                  <w:marBottom w:val="0"/>
                  <w:divBdr>
                    <w:top w:val="none" w:sz="0" w:space="0" w:color="auto"/>
                    <w:left w:val="none" w:sz="0" w:space="0" w:color="auto"/>
                    <w:bottom w:val="none" w:sz="0" w:space="0" w:color="auto"/>
                    <w:right w:val="none" w:sz="0" w:space="0" w:color="auto"/>
                  </w:divBdr>
                </w:div>
              </w:divsChild>
            </w:div>
            <w:div w:id="1336810323">
              <w:marLeft w:val="0"/>
              <w:marRight w:val="0"/>
              <w:marTop w:val="0"/>
              <w:marBottom w:val="0"/>
              <w:divBdr>
                <w:top w:val="none" w:sz="0" w:space="0" w:color="auto"/>
                <w:left w:val="none" w:sz="0" w:space="0" w:color="auto"/>
                <w:bottom w:val="none" w:sz="0" w:space="0" w:color="auto"/>
                <w:right w:val="none" w:sz="0" w:space="0" w:color="auto"/>
              </w:divBdr>
              <w:divsChild>
                <w:div w:id="48767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9959">
          <w:marLeft w:val="0"/>
          <w:marRight w:val="0"/>
          <w:marTop w:val="0"/>
          <w:marBottom w:val="600"/>
          <w:divBdr>
            <w:top w:val="none" w:sz="0" w:space="0" w:color="auto"/>
            <w:left w:val="none" w:sz="0" w:space="0" w:color="auto"/>
            <w:bottom w:val="none" w:sz="0" w:space="0" w:color="auto"/>
            <w:right w:val="none" w:sz="0" w:space="0" w:color="auto"/>
          </w:divBdr>
        </w:div>
      </w:divsChild>
    </w:div>
    <w:div w:id="1186484066">
      <w:marLeft w:val="0"/>
      <w:marRight w:val="0"/>
      <w:marTop w:val="0"/>
      <w:marBottom w:val="0"/>
      <w:divBdr>
        <w:top w:val="none" w:sz="0" w:space="0" w:color="auto"/>
        <w:left w:val="none" w:sz="0" w:space="0" w:color="auto"/>
        <w:bottom w:val="none" w:sz="0" w:space="0" w:color="auto"/>
        <w:right w:val="none" w:sz="0" w:space="0" w:color="auto"/>
      </w:divBdr>
      <w:divsChild>
        <w:div w:id="1541744082">
          <w:marLeft w:val="0"/>
          <w:marRight w:val="0"/>
          <w:marTop w:val="547"/>
          <w:marBottom w:val="0"/>
          <w:divBdr>
            <w:top w:val="none" w:sz="0" w:space="0" w:color="auto"/>
            <w:left w:val="none" w:sz="0" w:space="0" w:color="auto"/>
            <w:bottom w:val="none" w:sz="0" w:space="0" w:color="auto"/>
            <w:right w:val="none" w:sz="0" w:space="0" w:color="auto"/>
          </w:divBdr>
        </w:div>
        <w:div w:id="2056083772">
          <w:marLeft w:val="0"/>
          <w:marRight w:val="0"/>
          <w:marTop w:val="0"/>
          <w:marBottom w:val="0"/>
          <w:divBdr>
            <w:top w:val="none" w:sz="0" w:space="0" w:color="auto"/>
            <w:left w:val="none" w:sz="0" w:space="0" w:color="auto"/>
            <w:bottom w:val="none" w:sz="0" w:space="0" w:color="auto"/>
            <w:right w:val="none" w:sz="0" w:space="0" w:color="auto"/>
          </w:divBdr>
        </w:div>
        <w:div w:id="2138572088">
          <w:marLeft w:val="0"/>
          <w:marRight w:val="0"/>
          <w:marTop w:val="0"/>
          <w:marBottom w:val="600"/>
          <w:divBdr>
            <w:top w:val="none" w:sz="0" w:space="0" w:color="auto"/>
            <w:left w:val="none" w:sz="0" w:space="0" w:color="auto"/>
            <w:bottom w:val="none" w:sz="0" w:space="0" w:color="auto"/>
            <w:right w:val="none" w:sz="0" w:space="0" w:color="auto"/>
          </w:divBdr>
        </w:div>
      </w:divsChild>
    </w:div>
    <w:div w:id="1203203805">
      <w:marLeft w:val="0"/>
      <w:marRight w:val="0"/>
      <w:marTop w:val="0"/>
      <w:marBottom w:val="0"/>
      <w:divBdr>
        <w:top w:val="none" w:sz="0" w:space="0" w:color="auto"/>
        <w:left w:val="none" w:sz="0" w:space="0" w:color="auto"/>
        <w:bottom w:val="none" w:sz="0" w:space="0" w:color="auto"/>
        <w:right w:val="none" w:sz="0" w:space="0" w:color="auto"/>
      </w:divBdr>
      <w:divsChild>
        <w:div w:id="568537079">
          <w:marLeft w:val="0"/>
          <w:marRight w:val="0"/>
          <w:marTop w:val="547"/>
          <w:marBottom w:val="0"/>
          <w:divBdr>
            <w:top w:val="none" w:sz="0" w:space="0" w:color="auto"/>
            <w:left w:val="none" w:sz="0" w:space="0" w:color="auto"/>
            <w:bottom w:val="none" w:sz="0" w:space="0" w:color="auto"/>
            <w:right w:val="none" w:sz="0" w:space="0" w:color="auto"/>
          </w:divBdr>
        </w:div>
        <w:div w:id="1056587701">
          <w:marLeft w:val="0"/>
          <w:marRight w:val="0"/>
          <w:marTop w:val="0"/>
          <w:marBottom w:val="0"/>
          <w:divBdr>
            <w:top w:val="none" w:sz="0" w:space="0" w:color="auto"/>
            <w:left w:val="none" w:sz="0" w:space="0" w:color="auto"/>
            <w:bottom w:val="none" w:sz="0" w:space="0" w:color="auto"/>
            <w:right w:val="none" w:sz="0" w:space="0" w:color="auto"/>
          </w:divBdr>
        </w:div>
        <w:div w:id="360669786">
          <w:marLeft w:val="0"/>
          <w:marRight w:val="0"/>
          <w:marTop w:val="0"/>
          <w:marBottom w:val="600"/>
          <w:divBdr>
            <w:top w:val="none" w:sz="0" w:space="0" w:color="auto"/>
            <w:left w:val="none" w:sz="0" w:space="0" w:color="auto"/>
            <w:bottom w:val="none" w:sz="0" w:space="0" w:color="auto"/>
            <w:right w:val="none" w:sz="0" w:space="0" w:color="auto"/>
          </w:divBdr>
        </w:div>
      </w:divsChild>
    </w:div>
    <w:div w:id="1228952475">
      <w:marLeft w:val="0"/>
      <w:marRight w:val="0"/>
      <w:marTop w:val="0"/>
      <w:marBottom w:val="0"/>
      <w:divBdr>
        <w:top w:val="none" w:sz="0" w:space="0" w:color="auto"/>
        <w:left w:val="none" w:sz="0" w:space="0" w:color="auto"/>
        <w:bottom w:val="none" w:sz="0" w:space="0" w:color="auto"/>
        <w:right w:val="none" w:sz="0" w:space="0" w:color="auto"/>
      </w:divBdr>
      <w:divsChild>
        <w:div w:id="805783958">
          <w:marLeft w:val="0"/>
          <w:marRight w:val="0"/>
          <w:marTop w:val="547"/>
          <w:marBottom w:val="0"/>
          <w:divBdr>
            <w:top w:val="none" w:sz="0" w:space="0" w:color="auto"/>
            <w:left w:val="none" w:sz="0" w:space="0" w:color="auto"/>
            <w:bottom w:val="none" w:sz="0" w:space="0" w:color="auto"/>
            <w:right w:val="none" w:sz="0" w:space="0" w:color="auto"/>
          </w:divBdr>
        </w:div>
        <w:div w:id="1204639905">
          <w:marLeft w:val="0"/>
          <w:marRight w:val="0"/>
          <w:marTop w:val="0"/>
          <w:marBottom w:val="0"/>
          <w:divBdr>
            <w:top w:val="none" w:sz="0" w:space="0" w:color="auto"/>
            <w:left w:val="none" w:sz="0" w:space="0" w:color="auto"/>
            <w:bottom w:val="none" w:sz="0" w:space="0" w:color="auto"/>
            <w:right w:val="none" w:sz="0" w:space="0" w:color="auto"/>
          </w:divBdr>
        </w:div>
        <w:div w:id="712313502">
          <w:marLeft w:val="0"/>
          <w:marRight w:val="0"/>
          <w:marTop w:val="0"/>
          <w:marBottom w:val="600"/>
          <w:divBdr>
            <w:top w:val="none" w:sz="0" w:space="0" w:color="auto"/>
            <w:left w:val="none" w:sz="0" w:space="0" w:color="auto"/>
            <w:bottom w:val="none" w:sz="0" w:space="0" w:color="auto"/>
            <w:right w:val="none" w:sz="0" w:space="0" w:color="auto"/>
          </w:divBdr>
        </w:div>
      </w:divsChild>
    </w:div>
    <w:div w:id="1232737986">
      <w:marLeft w:val="0"/>
      <w:marRight w:val="0"/>
      <w:marTop w:val="0"/>
      <w:marBottom w:val="0"/>
      <w:divBdr>
        <w:top w:val="none" w:sz="0" w:space="0" w:color="auto"/>
        <w:left w:val="none" w:sz="0" w:space="0" w:color="auto"/>
        <w:bottom w:val="none" w:sz="0" w:space="0" w:color="auto"/>
        <w:right w:val="none" w:sz="0" w:space="0" w:color="auto"/>
      </w:divBdr>
      <w:divsChild>
        <w:div w:id="1072855881">
          <w:marLeft w:val="0"/>
          <w:marRight w:val="0"/>
          <w:marTop w:val="547"/>
          <w:marBottom w:val="0"/>
          <w:divBdr>
            <w:top w:val="none" w:sz="0" w:space="0" w:color="auto"/>
            <w:left w:val="none" w:sz="0" w:space="0" w:color="auto"/>
            <w:bottom w:val="none" w:sz="0" w:space="0" w:color="auto"/>
            <w:right w:val="none" w:sz="0" w:space="0" w:color="auto"/>
          </w:divBdr>
        </w:div>
        <w:div w:id="1184781756">
          <w:marLeft w:val="0"/>
          <w:marRight w:val="0"/>
          <w:marTop w:val="0"/>
          <w:marBottom w:val="0"/>
          <w:divBdr>
            <w:top w:val="none" w:sz="0" w:space="0" w:color="auto"/>
            <w:left w:val="none" w:sz="0" w:space="0" w:color="auto"/>
            <w:bottom w:val="none" w:sz="0" w:space="0" w:color="auto"/>
            <w:right w:val="none" w:sz="0" w:space="0" w:color="auto"/>
          </w:divBdr>
        </w:div>
        <w:div w:id="587693931">
          <w:marLeft w:val="0"/>
          <w:marRight w:val="0"/>
          <w:marTop w:val="0"/>
          <w:marBottom w:val="600"/>
          <w:divBdr>
            <w:top w:val="none" w:sz="0" w:space="0" w:color="auto"/>
            <w:left w:val="none" w:sz="0" w:space="0" w:color="auto"/>
            <w:bottom w:val="none" w:sz="0" w:space="0" w:color="auto"/>
            <w:right w:val="none" w:sz="0" w:space="0" w:color="auto"/>
          </w:divBdr>
        </w:div>
      </w:divsChild>
    </w:div>
    <w:div w:id="1235821558">
      <w:marLeft w:val="0"/>
      <w:marRight w:val="0"/>
      <w:marTop w:val="0"/>
      <w:marBottom w:val="0"/>
      <w:divBdr>
        <w:top w:val="none" w:sz="0" w:space="0" w:color="auto"/>
        <w:left w:val="none" w:sz="0" w:space="0" w:color="auto"/>
        <w:bottom w:val="none" w:sz="0" w:space="0" w:color="auto"/>
        <w:right w:val="none" w:sz="0" w:space="0" w:color="auto"/>
      </w:divBdr>
      <w:divsChild>
        <w:div w:id="746028837">
          <w:marLeft w:val="0"/>
          <w:marRight w:val="0"/>
          <w:marTop w:val="547"/>
          <w:marBottom w:val="0"/>
          <w:divBdr>
            <w:top w:val="none" w:sz="0" w:space="0" w:color="auto"/>
            <w:left w:val="none" w:sz="0" w:space="0" w:color="auto"/>
            <w:bottom w:val="none" w:sz="0" w:space="0" w:color="auto"/>
            <w:right w:val="none" w:sz="0" w:space="0" w:color="auto"/>
          </w:divBdr>
        </w:div>
        <w:div w:id="2067953177">
          <w:marLeft w:val="0"/>
          <w:marRight w:val="0"/>
          <w:marTop w:val="0"/>
          <w:marBottom w:val="0"/>
          <w:divBdr>
            <w:top w:val="none" w:sz="0" w:space="0" w:color="auto"/>
            <w:left w:val="none" w:sz="0" w:space="0" w:color="auto"/>
            <w:bottom w:val="none" w:sz="0" w:space="0" w:color="auto"/>
            <w:right w:val="none" w:sz="0" w:space="0" w:color="auto"/>
          </w:divBdr>
          <w:divsChild>
            <w:div w:id="440028631">
              <w:marLeft w:val="0"/>
              <w:marRight w:val="0"/>
              <w:marTop w:val="0"/>
              <w:marBottom w:val="0"/>
              <w:divBdr>
                <w:top w:val="none" w:sz="0" w:space="0" w:color="auto"/>
                <w:left w:val="none" w:sz="0" w:space="0" w:color="auto"/>
                <w:bottom w:val="none" w:sz="0" w:space="0" w:color="auto"/>
                <w:right w:val="none" w:sz="0" w:space="0" w:color="auto"/>
              </w:divBdr>
              <w:divsChild>
                <w:div w:id="1569143823">
                  <w:marLeft w:val="0"/>
                  <w:marRight w:val="0"/>
                  <w:marTop w:val="0"/>
                  <w:marBottom w:val="0"/>
                  <w:divBdr>
                    <w:top w:val="none" w:sz="0" w:space="0" w:color="auto"/>
                    <w:left w:val="none" w:sz="0" w:space="0" w:color="auto"/>
                    <w:bottom w:val="none" w:sz="0" w:space="0" w:color="auto"/>
                    <w:right w:val="none" w:sz="0" w:space="0" w:color="auto"/>
                  </w:divBdr>
                </w:div>
              </w:divsChild>
            </w:div>
            <w:div w:id="1952929313">
              <w:marLeft w:val="0"/>
              <w:marRight w:val="0"/>
              <w:marTop w:val="0"/>
              <w:marBottom w:val="0"/>
              <w:divBdr>
                <w:top w:val="none" w:sz="0" w:space="0" w:color="auto"/>
                <w:left w:val="none" w:sz="0" w:space="0" w:color="auto"/>
                <w:bottom w:val="none" w:sz="0" w:space="0" w:color="auto"/>
                <w:right w:val="none" w:sz="0" w:space="0" w:color="auto"/>
              </w:divBdr>
              <w:divsChild>
                <w:div w:id="1347098899">
                  <w:marLeft w:val="0"/>
                  <w:marRight w:val="0"/>
                  <w:marTop w:val="0"/>
                  <w:marBottom w:val="0"/>
                  <w:divBdr>
                    <w:top w:val="none" w:sz="0" w:space="0" w:color="auto"/>
                    <w:left w:val="none" w:sz="0" w:space="0" w:color="auto"/>
                    <w:bottom w:val="none" w:sz="0" w:space="0" w:color="auto"/>
                    <w:right w:val="none" w:sz="0" w:space="0" w:color="auto"/>
                  </w:divBdr>
                </w:div>
              </w:divsChild>
            </w:div>
            <w:div w:id="923225355">
              <w:marLeft w:val="0"/>
              <w:marRight w:val="0"/>
              <w:marTop w:val="0"/>
              <w:marBottom w:val="0"/>
              <w:divBdr>
                <w:top w:val="none" w:sz="0" w:space="0" w:color="auto"/>
                <w:left w:val="none" w:sz="0" w:space="0" w:color="auto"/>
                <w:bottom w:val="none" w:sz="0" w:space="0" w:color="auto"/>
                <w:right w:val="none" w:sz="0" w:space="0" w:color="auto"/>
              </w:divBdr>
              <w:divsChild>
                <w:div w:id="1204102241">
                  <w:marLeft w:val="0"/>
                  <w:marRight w:val="0"/>
                  <w:marTop w:val="0"/>
                  <w:marBottom w:val="0"/>
                  <w:divBdr>
                    <w:top w:val="none" w:sz="0" w:space="0" w:color="auto"/>
                    <w:left w:val="none" w:sz="0" w:space="0" w:color="auto"/>
                    <w:bottom w:val="none" w:sz="0" w:space="0" w:color="auto"/>
                    <w:right w:val="none" w:sz="0" w:space="0" w:color="auto"/>
                  </w:divBdr>
                </w:div>
              </w:divsChild>
            </w:div>
            <w:div w:id="136532836">
              <w:marLeft w:val="0"/>
              <w:marRight w:val="0"/>
              <w:marTop w:val="0"/>
              <w:marBottom w:val="0"/>
              <w:divBdr>
                <w:top w:val="none" w:sz="0" w:space="0" w:color="auto"/>
                <w:left w:val="none" w:sz="0" w:space="0" w:color="auto"/>
                <w:bottom w:val="none" w:sz="0" w:space="0" w:color="auto"/>
                <w:right w:val="none" w:sz="0" w:space="0" w:color="auto"/>
              </w:divBdr>
              <w:divsChild>
                <w:div w:id="1102192219">
                  <w:marLeft w:val="0"/>
                  <w:marRight w:val="0"/>
                  <w:marTop w:val="0"/>
                  <w:marBottom w:val="0"/>
                  <w:divBdr>
                    <w:top w:val="none" w:sz="0" w:space="0" w:color="auto"/>
                    <w:left w:val="none" w:sz="0" w:space="0" w:color="auto"/>
                    <w:bottom w:val="none" w:sz="0" w:space="0" w:color="auto"/>
                    <w:right w:val="none" w:sz="0" w:space="0" w:color="auto"/>
                  </w:divBdr>
                </w:div>
              </w:divsChild>
            </w:div>
            <w:div w:id="1872836963">
              <w:marLeft w:val="0"/>
              <w:marRight w:val="0"/>
              <w:marTop w:val="0"/>
              <w:marBottom w:val="0"/>
              <w:divBdr>
                <w:top w:val="none" w:sz="0" w:space="0" w:color="auto"/>
                <w:left w:val="none" w:sz="0" w:space="0" w:color="auto"/>
                <w:bottom w:val="none" w:sz="0" w:space="0" w:color="auto"/>
                <w:right w:val="none" w:sz="0" w:space="0" w:color="auto"/>
              </w:divBdr>
              <w:divsChild>
                <w:div w:id="1157453239">
                  <w:marLeft w:val="0"/>
                  <w:marRight w:val="0"/>
                  <w:marTop w:val="0"/>
                  <w:marBottom w:val="0"/>
                  <w:divBdr>
                    <w:top w:val="none" w:sz="0" w:space="0" w:color="auto"/>
                    <w:left w:val="none" w:sz="0" w:space="0" w:color="auto"/>
                    <w:bottom w:val="none" w:sz="0" w:space="0" w:color="auto"/>
                    <w:right w:val="none" w:sz="0" w:space="0" w:color="auto"/>
                  </w:divBdr>
                </w:div>
              </w:divsChild>
            </w:div>
            <w:div w:id="1108353927">
              <w:marLeft w:val="0"/>
              <w:marRight w:val="0"/>
              <w:marTop w:val="0"/>
              <w:marBottom w:val="0"/>
              <w:divBdr>
                <w:top w:val="none" w:sz="0" w:space="0" w:color="auto"/>
                <w:left w:val="none" w:sz="0" w:space="0" w:color="auto"/>
                <w:bottom w:val="none" w:sz="0" w:space="0" w:color="auto"/>
                <w:right w:val="none" w:sz="0" w:space="0" w:color="auto"/>
              </w:divBdr>
              <w:divsChild>
                <w:div w:id="349259476">
                  <w:marLeft w:val="0"/>
                  <w:marRight w:val="0"/>
                  <w:marTop w:val="0"/>
                  <w:marBottom w:val="0"/>
                  <w:divBdr>
                    <w:top w:val="none" w:sz="0" w:space="0" w:color="auto"/>
                    <w:left w:val="none" w:sz="0" w:space="0" w:color="auto"/>
                    <w:bottom w:val="none" w:sz="0" w:space="0" w:color="auto"/>
                    <w:right w:val="none" w:sz="0" w:space="0" w:color="auto"/>
                  </w:divBdr>
                </w:div>
              </w:divsChild>
            </w:div>
            <w:div w:id="2049867081">
              <w:marLeft w:val="0"/>
              <w:marRight w:val="0"/>
              <w:marTop w:val="0"/>
              <w:marBottom w:val="0"/>
              <w:divBdr>
                <w:top w:val="none" w:sz="0" w:space="0" w:color="auto"/>
                <w:left w:val="none" w:sz="0" w:space="0" w:color="auto"/>
                <w:bottom w:val="none" w:sz="0" w:space="0" w:color="auto"/>
                <w:right w:val="none" w:sz="0" w:space="0" w:color="auto"/>
              </w:divBdr>
              <w:divsChild>
                <w:div w:id="230583700">
                  <w:marLeft w:val="0"/>
                  <w:marRight w:val="0"/>
                  <w:marTop w:val="0"/>
                  <w:marBottom w:val="0"/>
                  <w:divBdr>
                    <w:top w:val="none" w:sz="0" w:space="0" w:color="auto"/>
                    <w:left w:val="none" w:sz="0" w:space="0" w:color="auto"/>
                    <w:bottom w:val="none" w:sz="0" w:space="0" w:color="auto"/>
                    <w:right w:val="none" w:sz="0" w:space="0" w:color="auto"/>
                  </w:divBdr>
                </w:div>
              </w:divsChild>
            </w:div>
            <w:div w:id="777409676">
              <w:marLeft w:val="0"/>
              <w:marRight w:val="0"/>
              <w:marTop w:val="0"/>
              <w:marBottom w:val="0"/>
              <w:divBdr>
                <w:top w:val="none" w:sz="0" w:space="0" w:color="auto"/>
                <w:left w:val="none" w:sz="0" w:space="0" w:color="auto"/>
                <w:bottom w:val="none" w:sz="0" w:space="0" w:color="auto"/>
                <w:right w:val="none" w:sz="0" w:space="0" w:color="auto"/>
              </w:divBdr>
              <w:divsChild>
                <w:div w:id="47800531">
                  <w:marLeft w:val="0"/>
                  <w:marRight w:val="0"/>
                  <w:marTop w:val="0"/>
                  <w:marBottom w:val="0"/>
                  <w:divBdr>
                    <w:top w:val="none" w:sz="0" w:space="0" w:color="auto"/>
                    <w:left w:val="none" w:sz="0" w:space="0" w:color="auto"/>
                    <w:bottom w:val="none" w:sz="0" w:space="0" w:color="auto"/>
                    <w:right w:val="none" w:sz="0" w:space="0" w:color="auto"/>
                  </w:divBdr>
                </w:div>
              </w:divsChild>
            </w:div>
            <w:div w:id="873273665">
              <w:marLeft w:val="0"/>
              <w:marRight w:val="0"/>
              <w:marTop w:val="0"/>
              <w:marBottom w:val="0"/>
              <w:divBdr>
                <w:top w:val="none" w:sz="0" w:space="0" w:color="auto"/>
                <w:left w:val="none" w:sz="0" w:space="0" w:color="auto"/>
                <w:bottom w:val="none" w:sz="0" w:space="0" w:color="auto"/>
                <w:right w:val="none" w:sz="0" w:space="0" w:color="auto"/>
              </w:divBdr>
              <w:divsChild>
                <w:div w:id="704525714">
                  <w:marLeft w:val="0"/>
                  <w:marRight w:val="0"/>
                  <w:marTop w:val="0"/>
                  <w:marBottom w:val="0"/>
                  <w:divBdr>
                    <w:top w:val="none" w:sz="0" w:space="0" w:color="auto"/>
                    <w:left w:val="none" w:sz="0" w:space="0" w:color="auto"/>
                    <w:bottom w:val="none" w:sz="0" w:space="0" w:color="auto"/>
                    <w:right w:val="none" w:sz="0" w:space="0" w:color="auto"/>
                  </w:divBdr>
                </w:div>
              </w:divsChild>
            </w:div>
            <w:div w:id="1097864973">
              <w:marLeft w:val="0"/>
              <w:marRight w:val="0"/>
              <w:marTop w:val="0"/>
              <w:marBottom w:val="0"/>
              <w:divBdr>
                <w:top w:val="none" w:sz="0" w:space="0" w:color="auto"/>
                <w:left w:val="none" w:sz="0" w:space="0" w:color="auto"/>
                <w:bottom w:val="none" w:sz="0" w:space="0" w:color="auto"/>
                <w:right w:val="none" w:sz="0" w:space="0" w:color="auto"/>
              </w:divBdr>
              <w:divsChild>
                <w:div w:id="1382752487">
                  <w:marLeft w:val="0"/>
                  <w:marRight w:val="0"/>
                  <w:marTop w:val="0"/>
                  <w:marBottom w:val="0"/>
                  <w:divBdr>
                    <w:top w:val="none" w:sz="0" w:space="0" w:color="auto"/>
                    <w:left w:val="none" w:sz="0" w:space="0" w:color="auto"/>
                    <w:bottom w:val="none" w:sz="0" w:space="0" w:color="auto"/>
                    <w:right w:val="none" w:sz="0" w:space="0" w:color="auto"/>
                  </w:divBdr>
                </w:div>
              </w:divsChild>
            </w:div>
            <w:div w:id="1764955580">
              <w:marLeft w:val="0"/>
              <w:marRight w:val="0"/>
              <w:marTop w:val="0"/>
              <w:marBottom w:val="0"/>
              <w:divBdr>
                <w:top w:val="none" w:sz="0" w:space="0" w:color="auto"/>
                <w:left w:val="none" w:sz="0" w:space="0" w:color="auto"/>
                <w:bottom w:val="none" w:sz="0" w:space="0" w:color="auto"/>
                <w:right w:val="none" w:sz="0" w:space="0" w:color="auto"/>
              </w:divBdr>
              <w:divsChild>
                <w:div w:id="1760831300">
                  <w:marLeft w:val="0"/>
                  <w:marRight w:val="0"/>
                  <w:marTop w:val="0"/>
                  <w:marBottom w:val="0"/>
                  <w:divBdr>
                    <w:top w:val="none" w:sz="0" w:space="0" w:color="auto"/>
                    <w:left w:val="none" w:sz="0" w:space="0" w:color="auto"/>
                    <w:bottom w:val="none" w:sz="0" w:space="0" w:color="auto"/>
                    <w:right w:val="none" w:sz="0" w:space="0" w:color="auto"/>
                  </w:divBdr>
                </w:div>
              </w:divsChild>
            </w:div>
            <w:div w:id="1201866962">
              <w:marLeft w:val="0"/>
              <w:marRight w:val="0"/>
              <w:marTop w:val="0"/>
              <w:marBottom w:val="0"/>
              <w:divBdr>
                <w:top w:val="none" w:sz="0" w:space="0" w:color="auto"/>
                <w:left w:val="none" w:sz="0" w:space="0" w:color="auto"/>
                <w:bottom w:val="none" w:sz="0" w:space="0" w:color="auto"/>
                <w:right w:val="none" w:sz="0" w:space="0" w:color="auto"/>
              </w:divBdr>
              <w:divsChild>
                <w:div w:id="1818186279">
                  <w:marLeft w:val="0"/>
                  <w:marRight w:val="0"/>
                  <w:marTop w:val="0"/>
                  <w:marBottom w:val="0"/>
                  <w:divBdr>
                    <w:top w:val="none" w:sz="0" w:space="0" w:color="auto"/>
                    <w:left w:val="none" w:sz="0" w:space="0" w:color="auto"/>
                    <w:bottom w:val="none" w:sz="0" w:space="0" w:color="auto"/>
                    <w:right w:val="none" w:sz="0" w:space="0" w:color="auto"/>
                  </w:divBdr>
                </w:div>
              </w:divsChild>
            </w:div>
            <w:div w:id="84346911">
              <w:marLeft w:val="0"/>
              <w:marRight w:val="0"/>
              <w:marTop w:val="0"/>
              <w:marBottom w:val="0"/>
              <w:divBdr>
                <w:top w:val="none" w:sz="0" w:space="0" w:color="auto"/>
                <w:left w:val="none" w:sz="0" w:space="0" w:color="auto"/>
                <w:bottom w:val="none" w:sz="0" w:space="0" w:color="auto"/>
                <w:right w:val="none" w:sz="0" w:space="0" w:color="auto"/>
              </w:divBdr>
              <w:divsChild>
                <w:div w:id="20524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7397">
          <w:marLeft w:val="0"/>
          <w:marRight w:val="0"/>
          <w:marTop w:val="0"/>
          <w:marBottom w:val="600"/>
          <w:divBdr>
            <w:top w:val="none" w:sz="0" w:space="0" w:color="auto"/>
            <w:left w:val="none" w:sz="0" w:space="0" w:color="auto"/>
            <w:bottom w:val="none" w:sz="0" w:space="0" w:color="auto"/>
            <w:right w:val="none" w:sz="0" w:space="0" w:color="auto"/>
          </w:divBdr>
        </w:div>
      </w:divsChild>
    </w:div>
    <w:div w:id="1251620475">
      <w:marLeft w:val="0"/>
      <w:marRight w:val="0"/>
      <w:marTop w:val="0"/>
      <w:marBottom w:val="0"/>
      <w:divBdr>
        <w:top w:val="none" w:sz="0" w:space="0" w:color="auto"/>
        <w:left w:val="none" w:sz="0" w:space="0" w:color="auto"/>
        <w:bottom w:val="none" w:sz="0" w:space="0" w:color="auto"/>
        <w:right w:val="none" w:sz="0" w:space="0" w:color="auto"/>
      </w:divBdr>
      <w:divsChild>
        <w:div w:id="1477068618">
          <w:marLeft w:val="0"/>
          <w:marRight w:val="0"/>
          <w:marTop w:val="547"/>
          <w:marBottom w:val="0"/>
          <w:divBdr>
            <w:top w:val="none" w:sz="0" w:space="0" w:color="auto"/>
            <w:left w:val="none" w:sz="0" w:space="0" w:color="auto"/>
            <w:bottom w:val="none" w:sz="0" w:space="0" w:color="auto"/>
            <w:right w:val="none" w:sz="0" w:space="0" w:color="auto"/>
          </w:divBdr>
        </w:div>
        <w:div w:id="166989647">
          <w:marLeft w:val="0"/>
          <w:marRight w:val="0"/>
          <w:marTop w:val="0"/>
          <w:marBottom w:val="0"/>
          <w:divBdr>
            <w:top w:val="none" w:sz="0" w:space="0" w:color="auto"/>
            <w:left w:val="none" w:sz="0" w:space="0" w:color="auto"/>
            <w:bottom w:val="none" w:sz="0" w:space="0" w:color="auto"/>
            <w:right w:val="none" w:sz="0" w:space="0" w:color="auto"/>
          </w:divBdr>
        </w:div>
        <w:div w:id="1605336468">
          <w:marLeft w:val="0"/>
          <w:marRight w:val="0"/>
          <w:marTop w:val="0"/>
          <w:marBottom w:val="600"/>
          <w:divBdr>
            <w:top w:val="none" w:sz="0" w:space="0" w:color="auto"/>
            <w:left w:val="none" w:sz="0" w:space="0" w:color="auto"/>
            <w:bottom w:val="none" w:sz="0" w:space="0" w:color="auto"/>
            <w:right w:val="none" w:sz="0" w:space="0" w:color="auto"/>
          </w:divBdr>
        </w:div>
      </w:divsChild>
    </w:div>
    <w:div w:id="1256208642">
      <w:marLeft w:val="0"/>
      <w:marRight w:val="0"/>
      <w:marTop w:val="0"/>
      <w:marBottom w:val="0"/>
      <w:divBdr>
        <w:top w:val="none" w:sz="0" w:space="0" w:color="auto"/>
        <w:left w:val="none" w:sz="0" w:space="0" w:color="auto"/>
        <w:bottom w:val="none" w:sz="0" w:space="0" w:color="auto"/>
        <w:right w:val="none" w:sz="0" w:space="0" w:color="auto"/>
      </w:divBdr>
      <w:divsChild>
        <w:div w:id="1185169203">
          <w:marLeft w:val="0"/>
          <w:marRight w:val="0"/>
          <w:marTop w:val="547"/>
          <w:marBottom w:val="0"/>
          <w:divBdr>
            <w:top w:val="none" w:sz="0" w:space="0" w:color="auto"/>
            <w:left w:val="none" w:sz="0" w:space="0" w:color="auto"/>
            <w:bottom w:val="none" w:sz="0" w:space="0" w:color="auto"/>
            <w:right w:val="none" w:sz="0" w:space="0" w:color="auto"/>
          </w:divBdr>
        </w:div>
        <w:div w:id="529531710">
          <w:marLeft w:val="0"/>
          <w:marRight w:val="0"/>
          <w:marTop w:val="0"/>
          <w:marBottom w:val="0"/>
          <w:divBdr>
            <w:top w:val="none" w:sz="0" w:space="0" w:color="auto"/>
            <w:left w:val="none" w:sz="0" w:space="0" w:color="auto"/>
            <w:bottom w:val="none" w:sz="0" w:space="0" w:color="auto"/>
            <w:right w:val="none" w:sz="0" w:space="0" w:color="auto"/>
          </w:divBdr>
        </w:div>
        <w:div w:id="1894852192">
          <w:marLeft w:val="0"/>
          <w:marRight w:val="0"/>
          <w:marTop w:val="0"/>
          <w:marBottom w:val="600"/>
          <w:divBdr>
            <w:top w:val="none" w:sz="0" w:space="0" w:color="auto"/>
            <w:left w:val="none" w:sz="0" w:space="0" w:color="auto"/>
            <w:bottom w:val="none" w:sz="0" w:space="0" w:color="auto"/>
            <w:right w:val="none" w:sz="0" w:space="0" w:color="auto"/>
          </w:divBdr>
        </w:div>
      </w:divsChild>
    </w:div>
    <w:div w:id="1256285960">
      <w:marLeft w:val="0"/>
      <w:marRight w:val="0"/>
      <w:marTop w:val="0"/>
      <w:marBottom w:val="0"/>
      <w:divBdr>
        <w:top w:val="none" w:sz="0" w:space="0" w:color="auto"/>
        <w:left w:val="none" w:sz="0" w:space="0" w:color="auto"/>
        <w:bottom w:val="none" w:sz="0" w:space="0" w:color="auto"/>
        <w:right w:val="none" w:sz="0" w:space="0" w:color="auto"/>
      </w:divBdr>
      <w:divsChild>
        <w:div w:id="1886866035">
          <w:marLeft w:val="0"/>
          <w:marRight w:val="0"/>
          <w:marTop w:val="547"/>
          <w:marBottom w:val="0"/>
          <w:divBdr>
            <w:top w:val="none" w:sz="0" w:space="0" w:color="auto"/>
            <w:left w:val="none" w:sz="0" w:space="0" w:color="auto"/>
            <w:bottom w:val="none" w:sz="0" w:space="0" w:color="auto"/>
            <w:right w:val="none" w:sz="0" w:space="0" w:color="auto"/>
          </w:divBdr>
        </w:div>
        <w:div w:id="1880194742">
          <w:marLeft w:val="0"/>
          <w:marRight w:val="0"/>
          <w:marTop w:val="0"/>
          <w:marBottom w:val="0"/>
          <w:divBdr>
            <w:top w:val="none" w:sz="0" w:space="0" w:color="auto"/>
            <w:left w:val="none" w:sz="0" w:space="0" w:color="auto"/>
            <w:bottom w:val="none" w:sz="0" w:space="0" w:color="auto"/>
            <w:right w:val="none" w:sz="0" w:space="0" w:color="auto"/>
          </w:divBdr>
        </w:div>
        <w:div w:id="865168840">
          <w:marLeft w:val="0"/>
          <w:marRight w:val="0"/>
          <w:marTop w:val="0"/>
          <w:marBottom w:val="600"/>
          <w:divBdr>
            <w:top w:val="none" w:sz="0" w:space="0" w:color="auto"/>
            <w:left w:val="none" w:sz="0" w:space="0" w:color="auto"/>
            <w:bottom w:val="none" w:sz="0" w:space="0" w:color="auto"/>
            <w:right w:val="none" w:sz="0" w:space="0" w:color="auto"/>
          </w:divBdr>
        </w:div>
      </w:divsChild>
    </w:div>
    <w:div w:id="1305617935">
      <w:marLeft w:val="0"/>
      <w:marRight w:val="0"/>
      <w:marTop w:val="0"/>
      <w:marBottom w:val="0"/>
      <w:divBdr>
        <w:top w:val="none" w:sz="0" w:space="0" w:color="auto"/>
        <w:left w:val="none" w:sz="0" w:space="0" w:color="auto"/>
        <w:bottom w:val="none" w:sz="0" w:space="0" w:color="auto"/>
        <w:right w:val="none" w:sz="0" w:space="0" w:color="auto"/>
      </w:divBdr>
      <w:divsChild>
        <w:div w:id="1318265184">
          <w:marLeft w:val="0"/>
          <w:marRight w:val="0"/>
          <w:marTop w:val="547"/>
          <w:marBottom w:val="0"/>
          <w:divBdr>
            <w:top w:val="none" w:sz="0" w:space="0" w:color="auto"/>
            <w:left w:val="none" w:sz="0" w:space="0" w:color="auto"/>
            <w:bottom w:val="none" w:sz="0" w:space="0" w:color="auto"/>
            <w:right w:val="none" w:sz="0" w:space="0" w:color="auto"/>
          </w:divBdr>
        </w:div>
        <w:div w:id="2058041157">
          <w:marLeft w:val="0"/>
          <w:marRight w:val="0"/>
          <w:marTop w:val="0"/>
          <w:marBottom w:val="0"/>
          <w:divBdr>
            <w:top w:val="none" w:sz="0" w:space="0" w:color="auto"/>
            <w:left w:val="none" w:sz="0" w:space="0" w:color="auto"/>
            <w:bottom w:val="none" w:sz="0" w:space="0" w:color="auto"/>
            <w:right w:val="none" w:sz="0" w:space="0" w:color="auto"/>
          </w:divBdr>
        </w:div>
        <w:div w:id="1997613498">
          <w:marLeft w:val="0"/>
          <w:marRight w:val="0"/>
          <w:marTop w:val="0"/>
          <w:marBottom w:val="600"/>
          <w:divBdr>
            <w:top w:val="none" w:sz="0" w:space="0" w:color="auto"/>
            <w:left w:val="none" w:sz="0" w:space="0" w:color="auto"/>
            <w:bottom w:val="none" w:sz="0" w:space="0" w:color="auto"/>
            <w:right w:val="none" w:sz="0" w:space="0" w:color="auto"/>
          </w:divBdr>
        </w:div>
      </w:divsChild>
    </w:div>
    <w:div w:id="1307127093">
      <w:marLeft w:val="0"/>
      <w:marRight w:val="0"/>
      <w:marTop w:val="0"/>
      <w:marBottom w:val="0"/>
      <w:divBdr>
        <w:top w:val="none" w:sz="0" w:space="0" w:color="auto"/>
        <w:left w:val="none" w:sz="0" w:space="0" w:color="auto"/>
        <w:bottom w:val="none" w:sz="0" w:space="0" w:color="auto"/>
        <w:right w:val="none" w:sz="0" w:space="0" w:color="auto"/>
      </w:divBdr>
      <w:divsChild>
        <w:div w:id="561330081">
          <w:marLeft w:val="0"/>
          <w:marRight w:val="0"/>
          <w:marTop w:val="547"/>
          <w:marBottom w:val="0"/>
          <w:divBdr>
            <w:top w:val="none" w:sz="0" w:space="0" w:color="auto"/>
            <w:left w:val="none" w:sz="0" w:space="0" w:color="auto"/>
            <w:bottom w:val="none" w:sz="0" w:space="0" w:color="auto"/>
            <w:right w:val="none" w:sz="0" w:space="0" w:color="auto"/>
          </w:divBdr>
        </w:div>
        <w:div w:id="1104379404">
          <w:marLeft w:val="0"/>
          <w:marRight w:val="0"/>
          <w:marTop w:val="0"/>
          <w:marBottom w:val="0"/>
          <w:divBdr>
            <w:top w:val="none" w:sz="0" w:space="0" w:color="auto"/>
            <w:left w:val="none" w:sz="0" w:space="0" w:color="auto"/>
            <w:bottom w:val="none" w:sz="0" w:space="0" w:color="auto"/>
            <w:right w:val="none" w:sz="0" w:space="0" w:color="auto"/>
          </w:divBdr>
        </w:div>
        <w:div w:id="1368214348">
          <w:marLeft w:val="0"/>
          <w:marRight w:val="0"/>
          <w:marTop w:val="0"/>
          <w:marBottom w:val="600"/>
          <w:divBdr>
            <w:top w:val="none" w:sz="0" w:space="0" w:color="auto"/>
            <w:left w:val="none" w:sz="0" w:space="0" w:color="auto"/>
            <w:bottom w:val="none" w:sz="0" w:space="0" w:color="auto"/>
            <w:right w:val="none" w:sz="0" w:space="0" w:color="auto"/>
          </w:divBdr>
        </w:div>
      </w:divsChild>
    </w:div>
    <w:div w:id="1346593795">
      <w:marLeft w:val="0"/>
      <w:marRight w:val="0"/>
      <w:marTop w:val="0"/>
      <w:marBottom w:val="0"/>
      <w:divBdr>
        <w:top w:val="none" w:sz="0" w:space="0" w:color="auto"/>
        <w:left w:val="none" w:sz="0" w:space="0" w:color="auto"/>
        <w:bottom w:val="none" w:sz="0" w:space="0" w:color="auto"/>
        <w:right w:val="none" w:sz="0" w:space="0" w:color="auto"/>
      </w:divBdr>
      <w:divsChild>
        <w:div w:id="1696610679">
          <w:marLeft w:val="0"/>
          <w:marRight w:val="0"/>
          <w:marTop w:val="547"/>
          <w:marBottom w:val="0"/>
          <w:divBdr>
            <w:top w:val="none" w:sz="0" w:space="0" w:color="auto"/>
            <w:left w:val="none" w:sz="0" w:space="0" w:color="auto"/>
            <w:bottom w:val="none" w:sz="0" w:space="0" w:color="auto"/>
            <w:right w:val="none" w:sz="0" w:space="0" w:color="auto"/>
          </w:divBdr>
        </w:div>
        <w:div w:id="435902279">
          <w:marLeft w:val="0"/>
          <w:marRight w:val="0"/>
          <w:marTop w:val="0"/>
          <w:marBottom w:val="0"/>
          <w:divBdr>
            <w:top w:val="none" w:sz="0" w:space="0" w:color="auto"/>
            <w:left w:val="none" w:sz="0" w:space="0" w:color="auto"/>
            <w:bottom w:val="none" w:sz="0" w:space="0" w:color="auto"/>
            <w:right w:val="none" w:sz="0" w:space="0" w:color="auto"/>
          </w:divBdr>
        </w:div>
        <w:div w:id="1565489900">
          <w:marLeft w:val="0"/>
          <w:marRight w:val="0"/>
          <w:marTop w:val="0"/>
          <w:marBottom w:val="600"/>
          <w:divBdr>
            <w:top w:val="none" w:sz="0" w:space="0" w:color="auto"/>
            <w:left w:val="none" w:sz="0" w:space="0" w:color="auto"/>
            <w:bottom w:val="none" w:sz="0" w:space="0" w:color="auto"/>
            <w:right w:val="none" w:sz="0" w:space="0" w:color="auto"/>
          </w:divBdr>
        </w:div>
      </w:divsChild>
    </w:div>
    <w:div w:id="1358579117">
      <w:marLeft w:val="0"/>
      <w:marRight w:val="0"/>
      <w:marTop w:val="0"/>
      <w:marBottom w:val="0"/>
      <w:divBdr>
        <w:top w:val="none" w:sz="0" w:space="0" w:color="auto"/>
        <w:left w:val="none" w:sz="0" w:space="0" w:color="auto"/>
        <w:bottom w:val="none" w:sz="0" w:space="0" w:color="auto"/>
        <w:right w:val="none" w:sz="0" w:space="0" w:color="auto"/>
      </w:divBdr>
      <w:divsChild>
        <w:div w:id="2031253393">
          <w:marLeft w:val="0"/>
          <w:marRight w:val="0"/>
          <w:marTop w:val="547"/>
          <w:marBottom w:val="0"/>
          <w:divBdr>
            <w:top w:val="none" w:sz="0" w:space="0" w:color="auto"/>
            <w:left w:val="none" w:sz="0" w:space="0" w:color="auto"/>
            <w:bottom w:val="none" w:sz="0" w:space="0" w:color="auto"/>
            <w:right w:val="none" w:sz="0" w:space="0" w:color="auto"/>
          </w:divBdr>
        </w:div>
        <w:div w:id="2125684644">
          <w:marLeft w:val="0"/>
          <w:marRight w:val="0"/>
          <w:marTop w:val="0"/>
          <w:marBottom w:val="0"/>
          <w:divBdr>
            <w:top w:val="none" w:sz="0" w:space="0" w:color="auto"/>
            <w:left w:val="none" w:sz="0" w:space="0" w:color="auto"/>
            <w:bottom w:val="none" w:sz="0" w:space="0" w:color="auto"/>
            <w:right w:val="none" w:sz="0" w:space="0" w:color="auto"/>
          </w:divBdr>
          <w:divsChild>
            <w:div w:id="578902006">
              <w:marLeft w:val="0"/>
              <w:marRight w:val="0"/>
              <w:marTop w:val="0"/>
              <w:marBottom w:val="0"/>
              <w:divBdr>
                <w:top w:val="none" w:sz="0" w:space="0" w:color="auto"/>
                <w:left w:val="none" w:sz="0" w:space="0" w:color="auto"/>
                <w:bottom w:val="none" w:sz="0" w:space="0" w:color="auto"/>
                <w:right w:val="none" w:sz="0" w:space="0" w:color="auto"/>
              </w:divBdr>
              <w:divsChild>
                <w:div w:id="470635240">
                  <w:marLeft w:val="0"/>
                  <w:marRight w:val="0"/>
                  <w:marTop w:val="0"/>
                  <w:marBottom w:val="0"/>
                  <w:divBdr>
                    <w:top w:val="none" w:sz="0" w:space="0" w:color="auto"/>
                    <w:left w:val="none" w:sz="0" w:space="0" w:color="auto"/>
                    <w:bottom w:val="none" w:sz="0" w:space="0" w:color="auto"/>
                    <w:right w:val="none" w:sz="0" w:space="0" w:color="auto"/>
                  </w:divBdr>
                </w:div>
              </w:divsChild>
            </w:div>
            <w:div w:id="1182161601">
              <w:marLeft w:val="0"/>
              <w:marRight w:val="0"/>
              <w:marTop w:val="0"/>
              <w:marBottom w:val="0"/>
              <w:divBdr>
                <w:top w:val="none" w:sz="0" w:space="0" w:color="auto"/>
                <w:left w:val="none" w:sz="0" w:space="0" w:color="auto"/>
                <w:bottom w:val="none" w:sz="0" w:space="0" w:color="auto"/>
                <w:right w:val="none" w:sz="0" w:space="0" w:color="auto"/>
              </w:divBdr>
              <w:divsChild>
                <w:div w:id="419527213">
                  <w:marLeft w:val="0"/>
                  <w:marRight w:val="0"/>
                  <w:marTop w:val="0"/>
                  <w:marBottom w:val="0"/>
                  <w:divBdr>
                    <w:top w:val="none" w:sz="0" w:space="0" w:color="auto"/>
                    <w:left w:val="none" w:sz="0" w:space="0" w:color="auto"/>
                    <w:bottom w:val="none" w:sz="0" w:space="0" w:color="auto"/>
                    <w:right w:val="none" w:sz="0" w:space="0" w:color="auto"/>
                  </w:divBdr>
                </w:div>
              </w:divsChild>
            </w:div>
            <w:div w:id="1334338852">
              <w:marLeft w:val="0"/>
              <w:marRight w:val="0"/>
              <w:marTop w:val="0"/>
              <w:marBottom w:val="0"/>
              <w:divBdr>
                <w:top w:val="none" w:sz="0" w:space="0" w:color="auto"/>
                <w:left w:val="none" w:sz="0" w:space="0" w:color="auto"/>
                <w:bottom w:val="none" w:sz="0" w:space="0" w:color="auto"/>
                <w:right w:val="none" w:sz="0" w:space="0" w:color="auto"/>
              </w:divBdr>
              <w:divsChild>
                <w:div w:id="943341588">
                  <w:marLeft w:val="0"/>
                  <w:marRight w:val="0"/>
                  <w:marTop w:val="0"/>
                  <w:marBottom w:val="0"/>
                  <w:divBdr>
                    <w:top w:val="none" w:sz="0" w:space="0" w:color="auto"/>
                    <w:left w:val="none" w:sz="0" w:space="0" w:color="auto"/>
                    <w:bottom w:val="none" w:sz="0" w:space="0" w:color="auto"/>
                    <w:right w:val="none" w:sz="0" w:space="0" w:color="auto"/>
                  </w:divBdr>
                </w:div>
              </w:divsChild>
            </w:div>
            <w:div w:id="1362514480">
              <w:marLeft w:val="0"/>
              <w:marRight w:val="0"/>
              <w:marTop w:val="0"/>
              <w:marBottom w:val="0"/>
              <w:divBdr>
                <w:top w:val="none" w:sz="0" w:space="0" w:color="auto"/>
                <w:left w:val="none" w:sz="0" w:space="0" w:color="auto"/>
                <w:bottom w:val="none" w:sz="0" w:space="0" w:color="auto"/>
                <w:right w:val="none" w:sz="0" w:space="0" w:color="auto"/>
              </w:divBdr>
              <w:divsChild>
                <w:div w:id="1175344303">
                  <w:marLeft w:val="0"/>
                  <w:marRight w:val="0"/>
                  <w:marTop w:val="0"/>
                  <w:marBottom w:val="0"/>
                  <w:divBdr>
                    <w:top w:val="none" w:sz="0" w:space="0" w:color="auto"/>
                    <w:left w:val="none" w:sz="0" w:space="0" w:color="auto"/>
                    <w:bottom w:val="none" w:sz="0" w:space="0" w:color="auto"/>
                    <w:right w:val="none" w:sz="0" w:space="0" w:color="auto"/>
                  </w:divBdr>
                </w:div>
              </w:divsChild>
            </w:div>
            <w:div w:id="1710180912">
              <w:marLeft w:val="0"/>
              <w:marRight w:val="0"/>
              <w:marTop w:val="0"/>
              <w:marBottom w:val="0"/>
              <w:divBdr>
                <w:top w:val="none" w:sz="0" w:space="0" w:color="auto"/>
                <w:left w:val="none" w:sz="0" w:space="0" w:color="auto"/>
                <w:bottom w:val="none" w:sz="0" w:space="0" w:color="auto"/>
                <w:right w:val="none" w:sz="0" w:space="0" w:color="auto"/>
              </w:divBdr>
              <w:divsChild>
                <w:div w:id="154686519">
                  <w:marLeft w:val="0"/>
                  <w:marRight w:val="0"/>
                  <w:marTop w:val="0"/>
                  <w:marBottom w:val="0"/>
                  <w:divBdr>
                    <w:top w:val="none" w:sz="0" w:space="0" w:color="auto"/>
                    <w:left w:val="none" w:sz="0" w:space="0" w:color="auto"/>
                    <w:bottom w:val="none" w:sz="0" w:space="0" w:color="auto"/>
                    <w:right w:val="none" w:sz="0" w:space="0" w:color="auto"/>
                  </w:divBdr>
                </w:div>
              </w:divsChild>
            </w:div>
            <w:div w:id="77798408">
              <w:marLeft w:val="0"/>
              <w:marRight w:val="0"/>
              <w:marTop w:val="0"/>
              <w:marBottom w:val="0"/>
              <w:divBdr>
                <w:top w:val="none" w:sz="0" w:space="0" w:color="auto"/>
                <w:left w:val="none" w:sz="0" w:space="0" w:color="auto"/>
                <w:bottom w:val="none" w:sz="0" w:space="0" w:color="auto"/>
                <w:right w:val="none" w:sz="0" w:space="0" w:color="auto"/>
              </w:divBdr>
              <w:divsChild>
                <w:div w:id="719330713">
                  <w:marLeft w:val="0"/>
                  <w:marRight w:val="0"/>
                  <w:marTop w:val="0"/>
                  <w:marBottom w:val="0"/>
                  <w:divBdr>
                    <w:top w:val="none" w:sz="0" w:space="0" w:color="auto"/>
                    <w:left w:val="none" w:sz="0" w:space="0" w:color="auto"/>
                    <w:bottom w:val="none" w:sz="0" w:space="0" w:color="auto"/>
                    <w:right w:val="none" w:sz="0" w:space="0" w:color="auto"/>
                  </w:divBdr>
                </w:div>
              </w:divsChild>
            </w:div>
            <w:div w:id="762536285">
              <w:marLeft w:val="0"/>
              <w:marRight w:val="0"/>
              <w:marTop w:val="0"/>
              <w:marBottom w:val="0"/>
              <w:divBdr>
                <w:top w:val="none" w:sz="0" w:space="0" w:color="auto"/>
                <w:left w:val="none" w:sz="0" w:space="0" w:color="auto"/>
                <w:bottom w:val="none" w:sz="0" w:space="0" w:color="auto"/>
                <w:right w:val="none" w:sz="0" w:space="0" w:color="auto"/>
              </w:divBdr>
              <w:divsChild>
                <w:div w:id="20107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7184">
          <w:marLeft w:val="0"/>
          <w:marRight w:val="0"/>
          <w:marTop w:val="0"/>
          <w:marBottom w:val="600"/>
          <w:divBdr>
            <w:top w:val="none" w:sz="0" w:space="0" w:color="auto"/>
            <w:left w:val="none" w:sz="0" w:space="0" w:color="auto"/>
            <w:bottom w:val="none" w:sz="0" w:space="0" w:color="auto"/>
            <w:right w:val="none" w:sz="0" w:space="0" w:color="auto"/>
          </w:divBdr>
        </w:div>
      </w:divsChild>
    </w:div>
    <w:div w:id="1414164338">
      <w:marLeft w:val="0"/>
      <w:marRight w:val="0"/>
      <w:marTop w:val="0"/>
      <w:marBottom w:val="0"/>
      <w:divBdr>
        <w:top w:val="none" w:sz="0" w:space="0" w:color="auto"/>
        <w:left w:val="none" w:sz="0" w:space="0" w:color="auto"/>
        <w:bottom w:val="none" w:sz="0" w:space="0" w:color="auto"/>
        <w:right w:val="none" w:sz="0" w:space="0" w:color="auto"/>
      </w:divBdr>
      <w:divsChild>
        <w:div w:id="318924907">
          <w:marLeft w:val="0"/>
          <w:marRight w:val="0"/>
          <w:marTop w:val="547"/>
          <w:marBottom w:val="0"/>
          <w:divBdr>
            <w:top w:val="none" w:sz="0" w:space="0" w:color="auto"/>
            <w:left w:val="none" w:sz="0" w:space="0" w:color="auto"/>
            <w:bottom w:val="none" w:sz="0" w:space="0" w:color="auto"/>
            <w:right w:val="none" w:sz="0" w:space="0" w:color="auto"/>
          </w:divBdr>
        </w:div>
        <w:div w:id="1738698187">
          <w:marLeft w:val="0"/>
          <w:marRight w:val="0"/>
          <w:marTop w:val="0"/>
          <w:marBottom w:val="0"/>
          <w:divBdr>
            <w:top w:val="none" w:sz="0" w:space="0" w:color="auto"/>
            <w:left w:val="none" w:sz="0" w:space="0" w:color="auto"/>
            <w:bottom w:val="none" w:sz="0" w:space="0" w:color="auto"/>
            <w:right w:val="none" w:sz="0" w:space="0" w:color="auto"/>
          </w:divBdr>
          <w:divsChild>
            <w:div w:id="917862534">
              <w:marLeft w:val="0"/>
              <w:marRight w:val="0"/>
              <w:marTop w:val="0"/>
              <w:marBottom w:val="0"/>
              <w:divBdr>
                <w:top w:val="none" w:sz="0" w:space="0" w:color="auto"/>
                <w:left w:val="none" w:sz="0" w:space="0" w:color="auto"/>
                <w:bottom w:val="none" w:sz="0" w:space="0" w:color="auto"/>
                <w:right w:val="none" w:sz="0" w:space="0" w:color="auto"/>
              </w:divBdr>
              <w:divsChild>
                <w:div w:id="180977461">
                  <w:marLeft w:val="0"/>
                  <w:marRight w:val="0"/>
                  <w:marTop w:val="0"/>
                  <w:marBottom w:val="0"/>
                  <w:divBdr>
                    <w:top w:val="none" w:sz="0" w:space="0" w:color="auto"/>
                    <w:left w:val="none" w:sz="0" w:space="0" w:color="auto"/>
                    <w:bottom w:val="none" w:sz="0" w:space="0" w:color="auto"/>
                    <w:right w:val="none" w:sz="0" w:space="0" w:color="auto"/>
                  </w:divBdr>
                </w:div>
              </w:divsChild>
            </w:div>
            <w:div w:id="922761016">
              <w:marLeft w:val="0"/>
              <w:marRight w:val="0"/>
              <w:marTop w:val="0"/>
              <w:marBottom w:val="0"/>
              <w:divBdr>
                <w:top w:val="none" w:sz="0" w:space="0" w:color="auto"/>
                <w:left w:val="none" w:sz="0" w:space="0" w:color="auto"/>
                <w:bottom w:val="none" w:sz="0" w:space="0" w:color="auto"/>
                <w:right w:val="none" w:sz="0" w:space="0" w:color="auto"/>
              </w:divBdr>
              <w:divsChild>
                <w:div w:id="1476874591">
                  <w:marLeft w:val="0"/>
                  <w:marRight w:val="0"/>
                  <w:marTop w:val="0"/>
                  <w:marBottom w:val="0"/>
                  <w:divBdr>
                    <w:top w:val="none" w:sz="0" w:space="0" w:color="auto"/>
                    <w:left w:val="none" w:sz="0" w:space="0" w:color="auto"/>
                    <w:bottom w:val="none" w:sz="0" w:space="0" w:color="auto"/>
                    <w:right w:val="none" w:sz="0" w:space="0" w:color="auto"/>
                  </w:divBdr>
                </w:div>
              </w:divsChild>
            </w:div>
            <w:div w:id="1289775905">
              <w:marLeft w:val="0"/>
              <w:marRight w:val="0"/>
              <w:marTop w:val="0"/>
              <w:marBottom w:val="0"/>
              <w:divBdr>
                <w:top w:val="none" w:sz="0" w:space="0" w:color="auto"/>
                <w:left w:val="none" w:sz="0" w:space="0" w:color="auto"/>
                <w:bottom w:val="none" w:sz="0" w:space="0" w:color="auto"/>
                <w:right w:val="none" w:sz="0" w:space="0" w:color="auto"/>
              </w:divBdr>
              <w:divsChild>
                <w:div w:id="164245196">
                  <w:marLeft w:val="0"/>
                  <w:marRight w:val="0"/>
                  <w:marTop w:val="0"/>
                  <w:marBottom w:val="0"/>
                  <w:divBdr>
                    <w:top w:val="none" w:sz="0" w:space="0" w:color="auto"/>
                    <w:left w:val="none" w:sz="0" w:space="0" w:color="auto"/>
                    <w:bottom w:val="none" w:sz="0" w:space="0" w:color="auto"/>
                    <w:right w:val="none" w:sz="0" w:space="0" w:color="auto"/>
                  </w:divBdr>
                </w:div>
              </w:divsChild>
            </w:div>
            <w:div w:id="1340430806">
              <w:marLeft w:val="0"/>
              <w:marRight w:val="0"/>
              <w:marTop w:val="0"/>
              <w:marBottom w:val="0"/>
              <w:divBdr>
                <w:top w:val="none" w:sz="0" w:space="0" w:color="auto"/>
                <w:left w:val="none" w:sz="0" w:space="0" w:color="auto"/>
                <w:bottom w:val="none" w:sz="0" w:space="0" w:color="auto"/>
                <w:right w:val="none" w:sz="0" w:space="0" w:color="auto"/>
              </w:divBdr>
              <w:divsChild>
                <w:div w:id="1799565494">
                  <w:marLeft w:val="0"/>
                  <w:marRight w:val="0"/>
                  <w:marTop w:val="0"/>
                  <w:marBottom w:val="0"/>
                  <w:divBdr>
                    <w:top w:val="none" w:sz="0" w:space="0" w:color="auto"/>
                    <w:left w:val="none" w:sz="0" w:space="0" w:color="auto"/>
                    <w:bottom w:val="none" w:sz="0" w:space="0" w:color="auto"/>
                    <w:right w:val="none" w:sz="0" w:space="0" w:color="auto"/>
                  </w:divBdr>
                </w:div>
              </w:divsChild>
            </w:div>
            <w:div w:id="912160682">
              <w:marLeft w:val="0"/>
              <w:marRight w:val="0"/>
              <w:marTop w:val="0"/>
              <w:marBottom w:val="0"/>
              <w:divBdr>
                <w:top w:val="none" w:sz="0" w:space="0" w:color="auto"/>
                <w:left w:val="none" w:sz="0" w:space="0" w:color="auto"/>
                <w:bottom w:val="none" w:sz="0" w:space="0" w:color="auto"/>
                <w:right w:val="none" w:sz="0" w:space="0" w:color="auto"/>
              </w:divBdr>
              <w:divsChild>
                <w:div w:id="127359974">
                  <w:marLeft w:val="0"/>
                  <w:marRight w:val="0"/>
                  <w:marTop w:val="0"/>
                  <w:marBottom w:val="0"/>
                  <w:divBdr>
                    <w:top w:val="none" w:sz="0" w:space="0" w:color="auto"/>
                    <w:left w:val="none" w:sz="0" w:space="0" w:color="auto"/>
                    <w:bottom w:val="none" w:sz="0" w:space="0" w:color="auto"/>
                    <w:right w:val="none" w:sz="0" w:space="0" w:color="auto"/>
                  </w:divBdr>
                </w:div>
              </w:divsChild>
            </w:div>
            <w:div w:id="1332679588">
              <w:marLeft w:val="0"/>
              <w:marRight w:val="0"/>
              <w:marTop w:val="0"/>
              <w:marBottom w:val="0"/>
              <w:divBdr>
                <w:top w:val="none" w:sz="0" w:space="0" w:color="auto"/>
                <w:left w:val="none" w:sz="0" w:space="0" w:color="auto"/>
                <w:bottom w:val="none" w:sz="0" w:space="0" w:color="auto"/>
                <w:right w:val="none" w:sz="0" w:space="0" w:color="auto"/>
              </w:divBdr>
              <w:divsChild>
                <w:div w:id="1420758936">
                  <w:marLeft w:val="0"/>
                  <w:marRight w:val="0"/>
                  <w:marTop w:val="0"/>
                  <w:marBottom w:val="0"/>
                  <w:divBdr>
                    <w:top w:val="none" w:sz="0" w:space="0" w:color="auto"/>
                    <w:left w:val="none" w:sz="0" w:space="0" w:color="auto"/>
                    <w:bottom w:val="none" w:sz="0" w:space="0" w:color="auto"/>
                    <w:right w:val="none" w:sz="0" w:space="0" w:color="auto"/>
                  </w:divBdr>
                </w:div>
              </w:divsChild>
            </w:div>
            <w:div w:id="1773939538">
              <w:marLeft w:val="0"/>
              <w:marRight w:val="0"/>
              <w:marTop w:val="0"/>
              <w:marBottom w:val="0"/>
              <w:divBdr>
                <w:top w:val="none" w:sz="0" w:space="0" w:color="auto"/>
                <w:left w:val="none" w:sz="0" w:space="0" w:color="auto"/>
                <w:bottom w:val="none" w:sz="0" w:space="0" w:color="auto"/>
                <w:right w:val="none" w:sz="0" w:space="0" w:color="auto"/>
              </w:divBdr>
              <w:divsChild>
                <w:div w:id="65760813">
                  <w:marLeft w:val="0"/>
                  <w:marRight w:val="0"/>
                  <w:marTop w:val="0"/>
                  <w:marBottom w:val="0"/>
                  <w:divBdr>
                    <w:top w:val="none" w:sz="0" w:space="0" w:color="auto"/>
                    <w:left w:val="none" w:sz="0" w:space="0" w:color="auto"/>
                    <w:bottom w:val="none" w:sz="0" w:space="0" w:color="auto"/>
                    <w:right w:val="none" w:sz="0" w:space="0" w:color="auto"/>
                  </w:divBdr>
                </w:div>
              </w:divsChild>
            </w:div>
            <w:div w:id="722094570">
              <w:marLeft w:val="0"/>
              <w:marRight w:val="0"/>
              <w:marTop w:val="0"/>
              <w:marBottom w:val="0"/>
              <w:divBdr>
                <w:top w:val="none" w:sz="0" w:space="0" w:color="auto"/>
                <w:left w:val="none" w:sz="0" w:space="0" w:color="auto"/>
                <w:bottom w:val="none" w:sz="0" w:space="0" w:color="auto"/>
                <w:right w:val="none" w:sz="0" w:space="0" w:color="auto"/>
              </w:divBdr>
              <w:divsChild>
                <w:div w:id="1886405211">
                  <w:marLeft w:val="0"/>
                  <w:marRight w:val="0"/>
                  <w:marTop w:val="0"/>
                  <w:marBottom w:val="0"/>
                  <w:divBdr>
                    <w:top w:val="none" w:sz="0" w:space="0" w:color="auto"/>
                    <w:left w:val="none" w:sz="0" w:space="0" w:color="auto"/>
                    <w:bottom w:val="none" w:sz="0" w:space="0" w:color="auto"/>
                    <w:right w:val="none" w:sz="0" w:space="0" w:color="auto"/>
                  </w:divBdr>
                </w:div>
              </w:divsChild>
            </w:div>
            <w:div w:id="340593819">
              <w:marLeft w:val="0"/>
              <w:marRight w:val="0"/>
              <w:marTop w:val="0"/>
              <w:marBottom w:val="0"/>
              <w:divBdr>
                <w:top w:val="none" w:sz="0" w:space="0" w:color="auto"/>
                <w:left w:val="none" w:sz="0" w:space="0" w:color="auto"/>
                <w:bottom w:val="none" w:sz="0" w:space="0" w:color="auto"/>
                <w:right w:val="none" w:sz="0" w:space="0" w:color="auto"/>
              </w:divBdr>
              <w:divsChild>
                <w:div w:id="702708952">
                  <w:marLeft w:val="0"/>
                  <w:marRight w:val="0"/>
                  <w:marTop w:val="0"/>
                  <w:marBottom w:val="0"/>
                  <w:divBdr>
                    <w:top w:val="none" w:sz="0" w:space="0" w:color="auto"/>
                    <w:left w:val="none" w:sz="0" w:space="0" w:color="auto"/>
                    <w:bottom w:val="none" w:sz="0" w:space="0" w:color="auto"/>
                    <w:right w:val="none" w:sz="0" w:space="0" w:color="auto"/>
                  </w:divBdr>
                </w:div>
              </w:divsChild>
            </w:div>
            <w:div w:id="1546989776">
              <w:marLeft w:val="0"/>
              <w:marRight w:val="0"/>
              <w:marTop w:val="0"/>
              <w:marBottom w:val="0"/>
              <w:divBdr>
                <w:top w:val="none" w:sz="0" w:space="0" w:color="auto"/>
                <w:left w:val="none" w:sz="0" w:space="0" w:color="auto"/>
                <w:bottom w:val="none" w:sz="0" w:space="0" w:color="auto"/>
                <w:right w:val="none" w:sz="0" w:space="0" w:color="auto"/>
              </w:divBdr>
              <w:divsChild>
                <w:div w:id="889849372">
                  <w:marLeft w:val="0"/>
                  <w:marRight w:val="0"/>
                  <w:marTop w:val="0"/>
                  <w:marBottom w:val="0"/>
                  <w:divBdr>
                    <w:top w:val="none" w:sz="0" w:space="0" w:color="auto"/>
                    <w:left w:val="none" w:sz="0" w:space="0" w:color="auto"/>
                    <w:bottom w:val="none" w:sz="0" w:space="0" w:color="auto"/>
                    <w:right w:val="none" w:sz="0" w:space="0" w:color="auto"/>
                  </w:divBdr>
                </w:div>
              </w:divsChild>
            </w:div>
            <w:div w:id="789325623">
              <w:marLeft w:val="0"/>
              <w:marRight w:val="0"/>
              <w:marTop w:val="0"/>
              <w:marBottom w:val="0"/>
              <w:divBdr>
                <w:top w:val="none" w:sz="0" w:space="0" w:color="auto"/>
                <w:left w:val="none" w:sz="0" w:space="0" w:color="auto"/>
                <w:bottom w:val="none" w:sz="0" w:space="0" w:color="auto"/>
                <w:right w:val="none" w:sz="0" w:space="0" w:color="auto"/>
              </w:divBdr>
              <w:divsChild>
                <w:div w:id="657802012">
                  <w:marLeft w:val="0"/>
                  <w:marRight w:val="0"/>
                  <w:marTop w:val="0"/>
                  <w:marBottom w:val="0"/>
                  <w:divBdr>
                    <w:top w:val="none" w:sz="0" w:space="0" w:color="auto"/>
                    <w:left w:val="none" w:sz="0" w:space="0" w:color="auto"/>
                    <w:bottom w:val="none" w:sz="0" w:space="0" w:color="auto"/>
                    <w:right w:val="none" w:sz="0" w:space="0" w:color="auto"/>
                  </w:divBdr>
                </w:div>
              </w:divsChild>
            </w:div>
            <w:div w:id="1524249302">
              <w:marLeft w:val="0"/>
              <w:marRight w:val="0"/>
              <w:marTop w:val="0"/>
              <w:marBottom w:val="0"/>
              <w:divBdr>
                <w:top w:val="none" w:sz="0" w:space="0" w:color="auto"/>
                <w:left w:val="none" w:sz="0" w:space="0" w:color="auto"/>
                <w:bottom w:val="none" w:sz="0" w:space="0" w:color="auto"/>
                <w:right w:val="none" w:sz="0" w:space="0" w:color="auto"/>
              </w:divBdr>
              <w:divsChild>
                <w:div w:id="1886285921">
                  <w:marLeft w:val="0"/>
                  <w:marRight w:val="0"/>
                  <w:marTop w:val="0"/>
                  <w:marBottom w:val="0"/>
                  <w:divBdr>
                    <w:top w:val="none" w:sz="0" w:space="0" w:color="auto"/>
                    <w:left w:val="none" w:sz="0" w:space="0" w:color="auto"/>
                    <w:bottom w:val="none" w:sz="0" w:space="0" w:color="auto"/>
                    <w:right w:val="none" w:sz="0" w:space="0" w:color="auto"/>
                  </w:divBdr>
                </w:div>
              </w:divsChild>
            </w:div>
            <w:div w:id="2090151451">
              <w:marLeft w:val="0"/>
              <w:marRight w:val="0"/>
              <w:marTop w:val="0"/>
              <w:marBottom w:val="0"/>
              <w:divBdr>
                <w:top w:val="none" w:sz="0" w:space="0" w:color="auto"/>
                <w:left w:val="none" w:sz="0" w:space="0" w:color="auto"/>
                <w:bottom w:val="none" w:sz="0" w:space="0" w:color="auto"/>
                <w:right w:val="none" w:sz="0" w:space="0" w:color="auto"/>
              </w:divBdr>
              <w:divsChild>
                <w:div w:id="1652368770">
                  <w:marLeft w:val="0"/>
                  <w:marRight w:val="0"/>
                  <w:marTop w:val="0"/>
                  <w:marBottom w:val="0"/>
                  <w:divBdr>
                    <w:top w:val="none" w:sz="0" w:space="0" w:color="auto"/>
                    <w:left w:val="none" w:sz="0" w:space="0" w:color="auto"/>
                    <w:bottom w:val="none" w:sz="0" w:space="0" w:color="auto"/>
                    <w:right w:val="none" w:sz="0" w:space="0" w:color="auto"/>
                  </w:divBdr>
                </w:div>
              </w:divsChild>
            </w:div>
            <w:div w:id="801265971">
              <w:marLeft w:val="0"/>
              <w:marRight w:val="0"/>
              <w:marTop w:val="0"/>
              <w:marBottom w:val="0"/>
              <w:divBdr>
                <w:top w:val="none" w:sz="0" w:space="0" w:color="auto"/>
                <w:left w:val="none" w:sz="0" w:space="0" w:color="auto"/>
                <w:bottom w:val="none" w:sz="0" w:space="0" w:color="auto"/>
                <w:right w:val="none" w:sz="0" w:space="0" w:color="auto"/>
              </w:divBdr>
              <w:divsChild>
                <w:div w:id="1539775838">
                  <w:marLeft w:val="0"/>
                  <w:marRight w:val="0"/>
                  <w:marTop w:val="0"/>
                  <w:marBottom w:val="0"/>
                  <w:divBdr>
                    <w:top w:val="none" w:sz="0" w:space="0" w:color="auto"/>
                    <w:left w:val="none" w:sz="0" w:space="0" w:color="auto"/>
                    <w:bottom w:val="none" w:sz="0" w:space="0" w:color="auto"/>
                    <w:right w:val="none" w:sz="0" w:space="0" w:color="auto"/>
                  </w:divBdr>
                </w:div>
              </w:divsChild>
            </w:div>
            <w:div w:id="1114133447">
              <w:marLeft w:val="0"/>
              <w:marRight w:val="0"/>
              <w:marTop w:val="0"/>
              <w:marBottom w:val="0"/>
              <w:divBdr>
                <w:top w:val="none" w:sz="0" w:space="0" w:color="auto"/>
                <w:left w:val="none" w:sz="0" w:space="0" w:color="auto"/>
                <w:bottom w:val="none" w:sz="0" w:space="0" w:color="auto"/>
                <w:right w:val="none" w:sz="0" w:space="0" w:color="auto"/>
              </w:divBdr>
              <w:divsChild>
                <w:div w:id="562983806">
                  <w:marLeft w:val="0"/>
                  <w:marRight w:val="0"/>
                  <w:marTop w:val="0"/>
                  <w:marBottom w:val="0"/>
                  <w:divBdr>
                    <w:top w:val="none" w:sz="0" w:space="0" w:color="auto"/>
                    <w:left w:val="none" w:sz="0" w:space="0" w:color="auto"/>
                    <w:bottom w:val="none" w:sz="0" w:space="0" w:color="auto"/>
                    <w:right w:val="none" w:sz="0" w:space="0" w:color="auto"/>
                  </w:divBdr>
                </w:div>
              </w:divsChild>
            </w:div>
            <w:div w:id="620379837">
              <w:marLeft w:val="0"/>
              <w:marRight w:val="0"/>
              <w:marTop w:val="0"/>
              <w:marBottom w:val="0"/>
              <w:divBdr>
                <w:top w:val="none" w:sz="0" w:space="0" w:color="auto"/>
                <w:left w:val="none" w:sz="0" w:space="0" w:color="auto"/>
                <w:bottom w:val="none" w:sz="0" w:space="0" w:color="auto"/>
                <w:right w:val="none" w:sz="0" w:space="0" w:color="auto"/>
              </w:divBdr>
              <w:divsChild>
                <w:div w:id="378169596">
                  <w:marLeft w:val="0"/>
                  <w:marRight w:val="0"/>
                  <w:marTop w:val="0"/>
                  <w:marBottom w:val="0"/>
                  <w:divBdr>
                    <w:top w:val="none" w:sz="0" w:space="0" w:color="auto"/>
                    <w:left w:val="none" w:sz="0" w:space="0" w:color="auto"/>
                    <w:bottom w:val="none" w:sz="0" w:space="0" w:color="auto"/>
                    <w:right w:val="none" w:sz="0" w:space="0" w:color="auto"/>
                  </w:divBdr>
                </w:div>
              </w:divsChild>
            </w:div>
            <w:div w:id="1516577898">
              <w:marLeft w:val="0"/>
              <w:marRight w:val="0"/>
              <w:marTop w:val="0"/>
              <w:marBottom w:val="0"/>
              <w:divBdr>
                <w:top w:val="none" w:sz="0" w:space="0" w:color="auto"/>
                <w:left w:val="none" w:sz="0" w:space="0" w:color="auto"/>
                <w:bottom w:val="none" w:sz="0" w:space="0" w:color="auto"/>
                <w:right w:val="none" w:sz="0" w:space="0" w:color="auto"/>
              </w:divBdr>
              <w:divsChild>
                <w:div w:id="55789458">
                  <w:marLeft w:val="0"/>
                  <w:marRight w:val="0"/>
                  <w:marTop w:val="0"/>
                  <w:marBottom w:val="0"/>
                  <w:divBdr>
                    <w:top w:val="none" w:sz="0" w:space="0" w:color="auto"/>
                    <w:left w:val="none" w:sz="0" w:space="0" w:color="auto"/>
                    <w:bottom w:val="none" w:sz="0" w:space="0" w:color="auto"/>
                    <w:right w:val="none" w:sz="0" w:space="0" w:color="auto"/>
                  </w:divBdr>
                </w:div>
              </w:divsChild>
            </w:div>
            <w:div w:id="740326311">
              <w:marLeft w:val="0"/>
              <w:marRight w:val="0"/>
              <w:marTop w:val="0"/>
              <w:marBottom w:val="0"/>
              <w:divBdr>
                <w:top w:val="none" w:sz="0" w:space="0" w:color="auto"/>
                <w:left w:val="none" w:sz="0" w:space="0" w:color="auto"/>
                <w:bottom w:val="none" w:sz="0" w:space="0" w:color="auto"/>
                <w:right w:val="none" w:sz="0" w:space="0" w:color="auto"/>
              </w:divBdr>
              <w:divsChild>
                <w:div w:id="30157765">
                  <w:marLeft w:val="0"/>
                  <w:marRight w:val="0"/>
                  <w:marTop w:val="0"/>
                  <w:marBottom w:val="0"/>
                  <w:divBdr>
                    <w:top w:val="none" w:sz="0" w:space="0" w:color="auto"/>
                    <w:left w:val="none" w:sz="0" w:space="0" w:color="auto"/>
                    <w:bottom w:val="none" w:sz="0" w:space="0" w:color="auto"/>
                    <w:right w:val="none" w:sz="0" w:space="0" w:color="auto"/>
                  </w:divBdr>
                </w:div>
              </w:divsChild>
            </w:div>
            <w:div w:id="166362166">
              <w:marLeft w:val="0"/>
              <w:marRight w:val="0"/>
              <w:marTop w:val="0"/>
              <w:marBottom w:val="0"/>
              <w:divBdr>
                <w:top w:val="none" w:sz="0" w:space="0" w:color="auto"/>
                <w:left w:val="none" w:sz="0" w:space="0" w:color="auto"/>
                <w:bottom w:val="none" w:sz="0" w:space="0" w:color="auto"/>
                <w:right w:val="none" w:sz="0" w:space="0" w:color="auto"/>
              </w:divBdr>
              <w:divsChild>
                <w:div w:id="1383560344">
                  <w:marLeft w:val="0"/>
                  <w:marRight w:val="0"/>
                  <w:marTop w:val="0"/>
                  <w:marBottom w:val="0"/>
                  <w:divBdr>
                    <w:top w:val="none" w:sz="0" w:space="0" w:color="auto"/>
                    <w:left w:val="none" w:sz="0" w:space="0" w:color="auto"/>
                    <w:bottom w:val="none" w:sz="0" w:space="0" w:color="auto"/>
                    <w:right w:val="none" w:sz="0" w:space="0" w:color="auto"/>
                  </w:divBdr>
                </w:div>
              </w:divsChild>
            </w:div>
            <w:div w:id="2115510576">
              <w:marLeft w:val="0"/>
              <w:marRight w:val="0"/>
              <w:marTop w:val="0"/>
              <w:marBottom w:val="0"/>
              <w:divBdr>
                <w:top w:val="none" w:sz="0" w:space="0" w:color="auto"/>
                <w:left w:val="none" w:sz="0" w:space="0" w:color="auto"/>
                <w:bottom w:val="none" w:sz="0" w:space="0" w:color="auto"/>
                <w:right w:val="none" w:sz="0" w:space="0" w:color="auto"/>
              </w:divBdr>
              <w:divsChild>
                <w:div w:id="1619605368">
                  <w:marLeft w:val="0"/>
                  <w:marRight w:val="0"/>
                  <w:marTop w:val="0"/>
                  <w:marBottom w:val="0"/>
                  <w:divBdr>
                    <w:top w:val="none" w:sz="0" w:space="0" w:color="auto"/>
                    <w:left w:val="none" w:sz="0" w:space="0" w:color="auto"/>
                    <w:bottom w:val="none" w:sz="0" w:space="0" w:color="auto"/>
                    <w:right w:val="none" w:sz="0" w:space="0" w:color="auto"/>
                  </w:divBdr>
                </w:div>
              </w:divsChild>
            </w:div>
            <w:div w:id="726414955">
              <w:marLeft w:val="0"/>
              <w:marRight w:val="0"/>
              <w:marTop w:val="0"/>
              <w:marBottom w:val="0"/>
              <w:divBdr>
                <w:top w:val="none" w:sz="0" w:space="0" w:color="auto"/>
                <w:left w:val="none" w:sz="0" w:space="0" w:color="auto"/>
                <w:bottom w:val="none" w:sz="0" w:space="0" w:color="auto"/>
                <w:right w:val="none" w:sz="0" w:space="0" w:color="auto"/>
              </w:divBdr>
              <w:divsChild>
                <w:div w:id="956832100">
                  <w:marLeft w:val="0"/>
                  <w:marRight w:val="0"/>
                  <w:marTop w:val="0"/>
                  <w:marBottom w:val="0"/>
                  <w:divBdr>
                    <w:top w:val="none" w:sz="0" w:space="0" w:color="auto"/>
                    <w:left w:val="none" w:sz="0" w:space="0" w:color="auto"/>
                    <w:bottom w:val="none" w:sz="0" w:space="0" w:color="auto"/>
                    <w:right w:val="none" w:sz="0" w:space="0" w:color="auto"/>
                  </w:divBdr>
                </w:div>
              </w:divsChild>
            </w:div>
            <w:div w:id="28841887">
              <w:marLeft w:val="0"/>
              <w:marRight w:val="0"/>
              <w:marTop w:val="0"/>
              <w:marBottom w:val="0"/>
              <w:divBdr>
                <w:top w:val="none" w:sz="0" w:space="0" w:color="auto"/>
                <w:left w:val="none" w:sz="0" w:space="0" w:color="auto"/>
                <w:bottom w:val="none" w:sz="0" w:space="0" w:color="auto"/>
                <w:right w:val="none" w:sz="0" w:space="0" w:color="auto"/>
              </w:divBdr>
              <w:divsChild>
                <w:div w:id="1170101094">
                  <w:marLeft w:val="0"/>
                  <w:marRight w:val="0"/>
                  <w:marTop w:val="0"/>
                  <w:marBottom w:val="0"/>
                  <w:divBdr>
                    <w:top w:val="none" w:sz="0" w:space="0" w:color="auto"/>
                    <w:left w:val="none" w:sz="0" w:space="0" w:color="auto"/>
                    <w:bottom w:val="none" w:sz="0" w:space="0" w:color="auto"/>
                    <w:right w:val="none" w:sz="0" w:space="0" w:color="auto"/>
                  </w:divBdr>
                </w:div>
              </w:divsChild>
            </w:div>
            <w:div w:id="1233808683">
              <w:marLeft w:val="0"/>
              <w:marRight w:val="0"/>
              <w:marTop w:val="0"/>
              <w:marBottom w:val="0"/>
              <w:divBdr>
                <w:top w:val="none" w:sz="0" w:space="0" w:color="auto"/>
                <w:left w:val="none" w:sz="0" w:space="0" w:color="auto"/>
                <w:bottom w:val="none" w:sz="0" w:space="0" w:color="auto"/>
                <w:right w:val="none" w:sz="0" w:space="0" w:color="auto"/>
              </w:divBdr>
              <w:divsChild>
                <w:div w:id="985470879">
                  <w:marLeft w:val="0"/>
                  <w:marRight w:val="0"/>
                  <w:marTop w:val="0"/>
                  <w:marBottom w:val="0"/>
                  <w:divBdr>
                    <w:top w:val="none" w:sz="0" w:space="0" w:color="auto"/>
                    <w:left w:val="none" w:sz="0" w:space="0" w:color="auto"/>
                    <w:bottom w:val="none" w:sz="0" w:space="0" w:color="auto"/>
                    <w:right w:val="none" w:sz="0" w:space="0" w:color="auto"/>
                  </w:divBdr>
                </w:div>
              </w:divsChild>
            </w:div>
            <w:div w:id="599064692">
              <w:marLeft w:val="0"/>
              <w:marRight w:val="0"/>
              <w:marTop w:val="0"/>
              <w:marBottom w:val="0"/>
              <w:divBdr>
                <w:top w:val="none" w:sz="0" w:space="0" w:color="auto"/>
                <w:left w:val="none" w:sz="0" w:space="0" w:color="auto"/>
                <w:bottom w:val="none" w:sz="0" w:space="0" w:color="auto"/>
                <w:right w:val="none" w:sz="0" w:space="0" w:color="auto"/>
              </w:divBdr>
              <w:divsChild>
                <w:div w:id="1059011382">
                  <w:marLeft w:val="0"/>
                  <w:marRight w:val="0"/>
                  <w:marTop w:val="0"/>
                  <w:marBottom w:val="0"/>
                  <w:divBdr>
                    <w:top w:val="none" w:sz="0" w:space="0" w:color="auto"/>
                    <w:left w:val="none" w:sz="0" w:space="0" w:color="auto"/>
                    <w:bottom w:val="none" w:sz="0" w:space="0" w:color="auto"/>
                    <w:right w:val="none" w:sz="0" w:space="0" w:color="auto"/>
                  </w:divBdr>
                </w:div>
              </w:divsChild>
            </w:div>
            <w:div w:id="622729746">
              <w:marLeft w:val="0"/>
              <w:marRight w:val="0"/>
              <w:marTop w:val="0"/>
              <w:marBottom w:val="0"/>
              <w:divBdr>
                <w:top w:val="none" w:sz="0" w:space="0" w:color="auto"/>
                <w:left w:val="none" w:sz="0" w:space="0" w:color="auto"/>
                <w:bottom w:val="none" w:sz="0" w:space="0" w:color="auto"/>
                <w:right w:val="none" w:sz="0" w:space="0" w:color="auto"/>
              </w:divBdr>
              <w:divsChild>
                <w:div w:id="152713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1615">
          <w:marLeft w:val="0"/>
          <w:marRight w:val="0"/>
          <w:marTop w:val="0"/>
          <w:marBottom w:val="600"/>
          <w:divBdr>
            <w:top w:val="none" w:sz="0" w:space="0" w:color="auto"/>
            <w:left w:val="none" w:sz="0" w:space="0" w:color="auto"/>
            <w:bottom w:val="none" w:sz="0" w:space="0" w:color="auto"/>
            <w:right w:val="none" w:sz="0" w:space="0" w:color="auto"/>
          </w:divBdr>
        </w:div>
      </w:divsChild>
    </w:div>
    <w:div w:id="1426610425">
      <w:marLeft w:val="0"/>
      <w:marRight w:val="0"/>
      <w:marTop w:val="0"/>
      <w:marBottom w:val="0"/>
      <w:divBdr>
        <w:top w:val="none" w:sz="0" w:space="0" w:color="auto"/>
        <w:left w:val="none" w:sz="0" w:space="0" w:color="auto"/>
        <w:bottom w:val="none" w:sz="0" w:space="0" w:color="auto"/>
        <w:right w:val="none" w:sz="0" w:space="0" w:color="auto"/>
      </w:divBdr>
      <w:divsChild>
        <w:div w:id="645162885">
          <w:marLeft w:val="0"/>
          <w:marRight w:val="0"/>
          <w:marTop w:val="547"/>
          <w:marBottom w:val="0"/>
          <w:divBdr>
            <w:top w:val="none" w:sz="0" w:space="0" w:color="auto"/>
            <w:left w:val="none" w:sz="0" w:space="0" w:color="auto"/>
            <w:bottom w:val="none" w:sz="0" w:space="0" w:color="auto"/>
            <w:right w:val="none" w:sz="0" w:space="0" w:color="auto"/>
          </w:divBdr>
        </w:div>
        <w:div w:id="1482886948">
          <w:marLeft w:val="0"/>
          <w:marRight w:val="0"/>
          <w:marTop w:val="0"/>
          <w:marBottom w:val="0"/>
          <w:divBdr>
            <w:top w:val="none" w:sz="0" w:space="0" w:color="auto"/>
            <w:left w:val="none" w:sz="0" w:space="0" w:color="auto"/>
            <w:bottom w:val="none" w:sz="0" w:space="0" w:color="auto"/>
            <w:right w:val="none" w:sz="0" w:space="0" w:color="auto"/>
          </w:divBdr>
        </w:div>
        <w:div w:id="1395809142">
          <w:marLeft w:val="0"/>
          <w:marRight w:val="0"/>
          <w:marTop w:val="0"/>
          <w:marBottom w:val="600"/>
          <w:divBdr>
            <w:top w:val="none" w:sz="0" w:space="0" w:color="auto"/>
            <w:left w:val="none" w:sz="0" w:space="0" w:color="auto"/>
            <w:bottom w:val="none" w:sz="0" w:space="0" w:color="auto"/>
            <w:right w:val="none" w:sz="0" w:space="0" w:color="auto"/>
          </w:divBdr>
        </w:div>
      </w:divsChild>
    </w:div>
    <w:div w:id="1429539472">
      <w:marLeft w:val="0"/>
      <w:marRight w:val="0"/>
      <w:marTop w:val="0"/>
      <w:marBottom w:val="0"/>
      <w:divBdr>
        <w:top w:val="none" w:sz="0" w:space="0" w:color="auto"/>
        <w:left w:val="none" w:sz="0" w:space="0" w:color="auto"/>
        <w:bottom w:val="none" w:sz="0" w:space="0" w:color="auto"/>
        <w:right w:val="none" w:sz="0" w:space="0" w:color="auto"/>
      </w:divBdr>
      <w:divsChild>
        <w:div w:id="998534804">
          <w:marLeft w:val="0"/>
          <w:marRight w:val="0"/>
          <w:marTop w:val="547"/>
          <w:marBottom w:val="0"/>
          <w:divBdr>
            <w:top w:val="none" w:sz="0" w:space="0" w:color="auto"/>
            <w:left w:val="none" w:sz="0" w:space="0" w:color="auto"/>
            <w:bottom w:val="none" w:sz="0" w:space="0" w:color="auto"/>
            <w:right w:val="none" w:sz="0" w:space="0" w:color="auto"/>
          </w:divBdr>
        </w:div>
        <w:div w:id="1313604868">
          <w:marLeft w:val="0"/>
          <w:marRight w:val="0"/>
          <w:marTop w:val="0"/>
          <w:marBottom w:val="0"/>
          <w:divBdr>
            <w:top w:val="none" w:sz="0" w:space="0" w:color="auto"/>
            <w:left w:val="none" w:sz="0" w:space="0" w:color="auto"/>
            <w:bottom w:val="none" w:sz="0" w:space="0" w:color="auto"/>
            <w:right w:val="none" w:sz="0" w:space="0" w:color="auto"/>
          </w:divBdr>
        </w:div>
        <w:div w:id="55974319">
          <w:marLeft w:val="0"/>
          <w:marRight w:val="0"/>
          <w:marTop w:val="0"/>
          <w:marBottom w:val="600"/>
          <w:divBdr>
            <w:top w:val="none" w:sz="0" w:space="0" w:color="auto"/>
            <w:left w:val="none" w:sz="0" w:space="0" w:color="auto"/>
            <w:bottom w:val="none" w:sz="0" w:space="0" w:color="auto"/>
            <w:right w:val="none" w:sz="0" w:space="0" w:color="auto"/>
          </w:divBdr>
        </w:div>
      </w:divsChild>
    </w:div>
    <w:div w:id="1434521223">
      <w:marLeft w:val="0"/>
      <w:marRight w:val="0"/>
      <w:marTop w:val="0"/>
      <w:marBottom w:val="0"/>
      <w:divBdr>
        <w:top w:val="none" w:sz="0" w:space="0" w:color="auto"/>
        <w:left w:val="none" w:sz="0" w:space="0" w:color="auto"/>
        <w:bottom w:val="none" w:sz="0" w:space="0" w:color="auto"/>
        <w:right w:val="none" w:sz="0" w:space="0" w:color="auto"/>
      </w:divBdr>
      <w:divsChild>
        <w:div w:id="888614561">
          <w:marLeft w:val="0"/>
          <w:marRight w:val="0"/>
          <w:marTop w:val="547"/>
          <w:marBottom w:val="0"/>
          <w:divBdr>
            <w:top w:val="none" w:sz="0" w:space="0" w:color="auto"/>
            <w:left w:val="none" w:sz="0" w:space="0" w:color="auto"/>
            <w:bottom w:val="none" w:sz="0" w:space="0" w:color="auto"/>
            <w:right w:val="none" w:sz="0" w:space="0" w:color="auto"/>
          </w:divBdr>
        </w:div>
        <w:div w:id="1901361017">
          <w:marLeft w:val="0"/>
          <w:marRight w:val="0"/>
          <w:marTop w:val="0"/>
          <w:marBottom w:val="0"/>
          <w:divBdr>
            <w:top w:val="none" w:sz="0" w:space="0" w:color="auto"/>
            <w:left w:val="none" w:sz="0" w:space="0" w:color="auto"/>
            <w:bottom w:val="none" w:sz="0" w:space="0" w:color="auto"/>
            <w:right w:val="none" w:sz="0" w:space="0" w:color="auto"/>
          </w:divBdr>
        </w:div>
        <w:div w:id="58721256">
          <w:marLeft w:val="0"/>
          <w:marRight w:val="0"/>
          <w:marTop w:val="0"/>
          <w:marBottom w:val="600"/>
          <w:divBdr>
            <w:top w:val="none" w:sz="0" w:space="0" w:color="auto"/>
            <w:left w:val="none" w:sz="0" w:space="0" w:color="auto"/>
            <w:bottom w:val="none" w:sz="0" w:space="0" w:color="auto"/>
            <w:right w:val="none" w:sz="0" w:space="0" w:color="auto"/>
          </w:divBdr>
        </w:div>
      </w:divsChild>
    </w:div>
    <w:div w:id="1510366502">
      <w:marLeft w:val="0"/>
      <w:marRight w:val="0"/>
      <w:marTop w:val="0"/>
      <w:marBottom w:val="0"/>
      <w:divBdr>
        <w:top w:val="none" w:sz="0" w:space="0" w:color="auto"/>
        <w:left w:val="none" w:sz="0" w:space="0" w:color="auto"/>
        <w:bottom w:val="none" w:sz="0" w:space="0" w:color="auto"/>
        <w:right w:val="none" w:sz="0" w:space="0" w:color="auto"/>
      </w:divBdr>
      <w:divsChild>
        <w:div w:id="1578904021">
          <w:marLeft w:val="0"/>
          <w:marRight w:val="0"/>
          <w:marTop w:val="547"/>
          <w:marBottom w:val="0"/>
          <w:divBdr>
            <w:top w:val="none" w:sz="0" w:space="0" w:color="auto"/>
            <w:left w:val="none" w:sz="0" w:space="0" w:color="auto"/>
            <w:bottom w:val="none" w:sz="0" w:space="0" w:color="auto"/>
            <w:right w:val="none" w:sz="0" w:space="0" w:color="auto"/>
          </w:divBdr>
        </w:div>
        <w:div w:id="1423992972">
          <w:marLeft w:val="0"/>
          <w:marRight w:val="0"/>
          <w:marTop w:val="0"/>
          <w:marBottom w:val="0"/>
          <w:divBdr>
            <w:top w:val="none" w:sz="0" w:space="0" w:color="auto"/>
            <w:left w:val="none" w:sz="0" w:space="0" w:color="auto"/>
            <w:bottom w:val="none" w:sz="0" w:space="0" w:color="auto"/>
            <w:right w:val="none" w:sz="0" w:space="0" w:color="auto"/>
          </w:divBdr>
        </w:div>
        <w:div w:id="1485319484">
          <w:marLeft w:val="0"/>
          <w:marRight w:val="0"/>
          <w:marTop w:val="0"/>
          <w:marBottom w:val="600"/>
          <w:divBdr>
            <w:top w:val="none" w:sz="0" w:space="0" w:color="auto"/>
            <w:left w:val="none" w:sz="0" w:space="0" w:color="auto"/>
            <w:bottom w:val="none" w:sz="0" w:space="0" w:color="auto"/>
            <w:right w:val="none" w:sz="0" w:space="0" w:color="auto"/>
          </w:divBdr>
        </w:div>
      </w:divsChild>
    </w:div>
    <w:div w:id="1565682815">
      <w:marLeft w:val="0"/>
      <w:marRight w:val="0"/>
      <w:marTop w:val="0"/>
      <w:marBottom w:val="0"/>
      <w:divBdr>
        <w:top w:val="none" w:sz="0" w:space="0" w:color="auto"/>
        <w:left w:val="none" w:sz="0" w:space="0" w:color="auto"/>
        <w:bottom w:val="none" w:sz="0" w:space="0" w:color="auto"/>
        <w:right w:val="none" w:sz="0" w:space="0" w:color="auto"/>
      </w:divBdr>
      <w:divsChild>
        <w:div w:id="23285613">
          <w:marLeft w:val="0"/>
          <w:marRight w:val="0"/>
          <w:marTop w:val="547"/>
          <w:marBottom w:val="0"/>
          <w:divBdr>
            <w:top w:val="none" w:sz="0" w:space="0" w:color="auto"/>
            <w:left w:val="none" w:sz="0" w:space="0" w:color="auto"/>
            <w:bottom w:val="none" w:sz="0" w:space="0" w:color="auto"/>
            <w:right w:val="none" w:sz="0" w:space="0" w:color="auto"/>
          </w:divBdr>
        </w:div>
        <w:div w:id="823544090">
          <w:marLeft w:val="0"/>
          <w:marRight w:val="0"/>
          <w:marTop w:val="0"/>
          <w:marBottom w:val="0"/>
          <w:divBdr>
            <w:top w:val="none" w:sz="0" w:space="0" w:color="auto"/>
            <w:left w:val="none" w:sz="0" w:space="0" w:color="auto"/>
            <w:bottom w:val="none" w:sz="0" w:space="0" w:color="auto"/>
            <w:right w:val="none" w:sz="0" w:space="0" w:color="auto"/>
          </w:divBdr>
        </w:div>
        <w:div w:id="115569234">
          <w:marLeft w:val="0"/>
          <w:marRight w:val="0"/>
          <w:marTop w:val="0"/>
          <w:marBottom w:val="600"/>
          <w:divBdr>
            <w:top w:val="none" w:sz="0" w:space="0" w:color="auto"/>
            <w:left w:val="none" w:sz="0" w:space="0" w:color="auto"/>
            <w:bottom w:val="none" w:sz="0" w:space="0" w:color="auto"/>
            <w:right w:val="none" w:sz="0" w:space="0" w:color="auto"/>
          </w:divBdr>
        </w:div>
      </w:divsChild>
    </w:div>
    <w:div w:id="1581062167">
      <w:marLeft w:val="0"/>
      <w:marRight w:val="0"/>
      <w:marTop w:val="0"/>
      <w:marBottom w:val="0"/>
      <w:divBdr>
        <w:top w:val="none" w:sz="0" w:space="0" w:color="auto"/>
        <w:left w:val="none" w:sz="0" w:space="0" w:color="auto"/>
        <w:bottom w:val="none" w:sz="0" w:space="0" w:color="auto"/>
        <w:right w:val="none" w:sz="0" w:space="0" w:color="auto"/>
      </w:divBdr>
      <w:divsChild>
        <w:div w:id="1074012170">
          <w:marLeft w:val="0"/>
          <w:marRight w:val="0"/>
          <w:marTop w:val="547"/>
          <w:marBottom w:val="0"/>
          <w:divBdr>
            <w:top w:val="none" w:sz="0" w:space="0" w:color="auto"/>
            <w:left w:val="none" w:sz="0" w:space="0" w:color="auto"/>
            <w:bottom w:val="none" w:sz="0" w:space="0" w:color="auto"/>
            <w:right w:val="none" w:sz="0" w:space="0" w:color="auto"/>
          </w:divBdr>
        </w:div>
        <w:div w:id="1395926666">
          <w:marLeft w:val="0"/>
          <w:marRight w:val="0"/>
          <w:marTop w:val="0"/>
          <w:marBottom w:val="0"/>
          <w:divBdr>
            <w:top w:val="none" w:sz="0" w:space="0" w:color="auto"/>
            <w:left w:val="none" w:sz="0" w:space="0" w:color="auto"/>
            <w:bottom w:val="none" w:sz="0" w:space="0" w:color="auto"/>
            <w:right w:val="none" w:sz="0" w:space="0" w:color="auto"/>
          </w:divBdr>
          <w:divsChild>
            <w:div w:id="1050543167">
              <w:marLeft w:val="0"/>
              <w:marRight w:val="0"/>
              <w:marTop w:val="0"/>
              <w:marBottom w:val="0"/>
              <w:divBdr>
                <w:top w:val="none" w:sz="0" w:space="0" w:color="auto"/>
                <w:left w:val="none" w:sz="0" w:space="0" w:color="auto"/>
                <w:bottom w:val="none" w:sz="0" w:space="0" w:color="auto"/>
                <w:right w:val="none" w:sz="0" w:space="0" w:color="auto"/>
              </w:divBdr>
              <w:divsChild>
                <w:div w:id="892541235">
                  <w:marLeft w:val="0"/>
                  <w:marRight w:val="0"/>
                  <w:marTop w:val="0"/>
                  <w:marBottom w:val="0"/>
                  <w:divBdr>
                    <w:top w:val="none" w:sz="0" w:space="0" w:color="auto"/>
                    <w:left w:val="none" w:sz="0" w:space="0" w:color="auto"/>
                    <w:bottom w:val="none" w:sz="0" w:space="0" w:color="auto"/>
                    <w:right w:val="none" w:sz="0" w:space="0" w:color="auto"/>
                  </w:divBdr>
                </w:div>
              </w:divsChild>
            </w:div>
            <w:div w:id="1300300437">
              <w:marLeft w:val="0"/>
              <w:marRight w:val="0"/>
              <w:marTop w:val="0"/>
              <w:marBottom w:val="0"/>
              <w:divBdr>
                <w:top w:val="none" w:sz="0" w:space="0" w:color="auto"/>
                <w:left w:val="none" w:sz="0" w:space="0" w:color="auto"/>
                <w:bottom w:val="none" w:sz="0" w:space="0" w:color="auto"/>
                <w:right w:val="none" w:sz="0" w:space="0" w:color="auto"/>
              </w:divBdr>
              <w:divsChild>
                <w:div w:id="1575701204">
                  <w:marLeft w:val="0"/>
                  <w:marRight w:val="0"/>
                  <w:marTop w:val="0"/>
                  <w:marBottom w:val="0"/>
                  <w:divBdr>
                    <w:top w:val="none" w:sz="0" w:space="0" w:color="auto"/>
                    <w:left w:val="none" w:sz="0" w:space="0" w:color="auto"/>
                    <w:bottom w:val="none" w:sz="0" w:space="0" w:color="auto"/>
                    <w:right w:val="none" w:sz="0" w:space="0" w:color="auto"/>
                  </w:divBdr>
                </w:div>
              </w:divsChild>
            </w:div>
            <w:div w:id="2115976820">
              <w:marLeft w:val="0"/>
              <w:marRight w:val="0"/>
              <w:marTop w:val="0"/>
              <w:marBottom w:val="0"/>
              <w:divBdr>
                <w:top w:val="none" w:sz="0" w:space="0" w:color="auto"/>
                <w:left w:val="none" w:sz="0" w:space="0" w:color="auto"/>
                <w:bottom w:val="none" w:sz="0" w:space="0" w:color="auto"/>
                <w:right w:val="none" w:sz="0" w:space="0" w:color="auto"/>
              </w:divBdr>
              <w:divsChild>
                <w:div w:id="445542815">
                  <w:marLeft w:val="0"/>
                  <w:marRight w:val="0"/>
                  <w:marTop w:val="0"/>
                  <w:marBottom w:val="0"/>
                  <w:divBdr>
                    <w:top w:val="none" w:sz="0" w:space="0" w:color="auto"/>
                    <w:left w:val="none" w:sz="0" w:space="0" w:color="auto"/>
                    <w:bottom w:val="none" w:sz="0" w:space="0" w:color="auto"/>
                    <w:right w:val="none" w:sz="0" w:space="0" w:color="auto"/>
                  </w:divBdr>
                </w:div>
              </w:divsChild>
            </w:div>
            <w:div w:id="493103425">
              <w:marLeft w:val="0"/>
              <w:marRight w:val="0"/>
              <w:marTop w:val="0"/>
              <w:marBottom w:val="0"/>
              <w:divBdr>
                <w:top w:val="none" w:sz="0" w:space="0" w:color="auto"/>
                <w:left w:val="none" w:sz="0" w:space="0" w:color="auto"/>
                <w:bottom w:val="none" w:sz="0" w:space="0" w:color="auto"/>
                <w:right w:val="none" w:sz="0" w:space="0" w:color="auto"/>
              </w:divBdr>
              <w:divsChild>
                <w:div w:id="69079172">
                  <w:marLeft w:val="0"/>
                  <w:marRight w:val="0"/>
                  <w:marTop w:val="0"/>
                  <w:marBottom w:val="0"/>
                  <w:divBdr>
                    <w:top w:val="none" w:sz="0" w:space="0" w:color="auto"/>
                    <w:left w:val="none" w:sz="0" w:space="0" w:color="auto"/>
                    <w:bottom w:val="none" w:sz="0" w:space="0" w:color="auto"/>
                    <w:right w:val="none" w:sz="0" w:space="0" w:color="auto"/>
                  </w:divBdr>
                </w:div>
              </w:divsChild>
            </w:div>
            <w:div w:id="1136680389">
              <w:marLeft w:val="0"/>
              <w:marRight w:val="0"/>
              <w:marTop w:val="0"/>
              <w:marBottom w:val="0"/>
              <w:divBdr>
                <w:top w:val="none" w:sz="0" w:space="0" w:color="auto"/>
                <w:left w:val="none" w:sz="0" w:space="0" w:color="auto"/>
                <w:bottom w:val="none" w:sz="0" w:space="0" w:color="auto"/>
                <w:right w:val="none" w:sz="0" w:space="0" w:color="auto"/>
              </w:divBdr>
              <w:divsChild>
                <w:div w:id="967392909">
                  <w:marLeft w:val="0"/>
                  <w:marRight w:val="0"/>
                  <w:marTop w:val="0"/>
                  <w:marBottom w:val="0"/>
                  <w:divBdr>
                    <w:top w:val="none" w:sz="0" w:space="0" w:color="auto"/>
                    <w:left w:val="none" w:sz="0" w:space="0" w:color="auto"/>
                    <w:bottom w:val="none" w:sz="0" w:space="0" w:color="auto"/>
                    <w:right w:val="none" w:sz="0" w:space="0" w:color="auto"/>
                  </w:divBdr>
                </w:div>
              </w:divsChild>
            </w:div>
            <w:div w:id="1829445627">
              <w:marLeft w:val="0"/>
              <w:marRight w:val="0"/>
              <w:marTop w:val="0"/>
              <w:marBottom w:val="0"/>
              <w:divBdr>
                <w:top w:val="none" w:sz="0" w:space="0" w:color="auto"/>
                <w:left w:val="none" w:sz="0" w:space="0" w:color="auto"/>
                <w:bottom w:val="none" w:sz="0" w:space="0" w:color="auto"/>
                <w:right w:val="none" w:sz="0" w:space="0" w:color="auto"/>
              </w:divBdr>
              <w:divsChild>
                <w:div w:id="93210875">
                  <w:marLeft w:val="0"/>
                  <w:marRight w:val="0"/>
                  <w:marTop w:val="0"/>
                  <w:marBottom w:val="0"/>
                  <w:divBdr>
                    <w:top w:val="none" w:sz="0" w:space="0" w:color="auto"/>
                    <w:left w:val="none" w:sz="0" w:space="0" w:color="auto"/>
                    <w:bottom w:val="none" w:sz="0" w:space="0" w:color="auto"/>
                    <w:right w:val="none" w:sz="0" w:space="0" w:color="auto"/>
                  </w:divBdr>
                </w:div>
              </w:divsChild>
            </w:div>
            <w:div w:id="281767120">
              <w:marLeft w:val="0"/>
              <w:marRight w:val="0"/>
              <w:marTop w:val="0"/>
              <w:marBottom w:val="0"/>
              <w:divBdr>
                <w:top w:val="none" w:sz="0" w:space="0" w:color="auto"/>
                <w:left w:val="none" w:sz="0" w:space="0" w:color="auto"/>
                <w:bottom w:val="none" w:sz="0" w:space="0" w:color="auto"/>
                <w:right w:val="none" w:sz="0" w:space="0" w:color="auto"/>
              </w:divBdr>
              <w:divsChild>
                <w:div w:id="1860192945">
                  <w:marLeft w:val="0"/>
                  <w:marRight w:val="0"/>
                  <w:marTop w:val="0"/>
                  <w:marBottom w:val="0"/>
                  <w:divBdr>
                    <w:top w:val="none" w:sz="0" w:space="0" w:color="auto"/>
                    <w:left w:val="none" w:sz="0" w:space="0" w:color="auto"/>
                    <w:bottom w:val="none" w:sz="0" w:space="0" w:color="auto"/>
                    <w:right w:val="none" w:sz="0" w:space="0" w:color="auto"/>
                  </w:divBdr>
                </w:div>
              </w:divsChild>
            </w:div>
            <w:div w:id="519050544">
              <w:marLeft w:val="0"/>
              <w:marRight w:val="0"/>
              <w:marTop w:val="0"/>
              <w:marBottom w:val="0"/>
              <w:divBdr>
                <w:top w:val="none" w:sz="0" w:space="0" w:color="auto"/>
                <w:left w:val="none" w:sz="0" w:space="0" w:color="auto"/>
                <w:bottom w:val="none" w:sz="0" w:space="0" w:color="auto"/>
                <w:right w:val="none" w:sz="0" w:space="0" w:color="auto"/>
              </w:divBdr>
              <w:divsChild>
                <w:div w:id="347874994">
                  <w:marLeft w:val="0"/>
                  <w:marRight w:val="0"/>
                  <w:marTop w:val="0"/>
                  <w:marBottom w:val="0"/>
                  <w:divBdr>
                    <w:top w:val="none" w:sz="0" w:space="0" w:color="auto"/>
                    <w:left w:val="none" w:sz="0" w:space="0" w:color="auto"/>
                    <w:bottom w:val="none" w:sz="0" w:space="0" w:color="auto"/>
                    <w:right w:val="none" w:sz="0" w:space="0" w:color="auto"/>
                  </w:divBdr>
                </w:div>
              </w:divsChild>
            </w:div>
            <w:div w:id="1449622710">
              <w:marLeft w:val="0"/>
              <w:marRight w:val="0"/>
              <w:marTop w:val="0"/>
              <w:marBottom w:val="0"/>
              <w:divBdr>
                <w:top w:val="none" w:sz="0" w:space="0" w:color="auto"/>
                <w:left w:val="none" w:sz="0" w:space="0" w:color="auto"/>
                <w:bottom w:val="none" w:sz="0" w:space="0" w:color="auto"/>
                <w:right w:val="none" w:sz="0" w:space="0" w:color="auto"/>
              </w:divBdr>
              <w:divsChild>
                <w:div w:id="1907952216">
                  <w:marLeft w:val="0"/>
                  <w:marRight w:val="0"/>
                  <w:marTop w:val="0"/>
                  <w:marBottom w:val="0"/>
                  <w:divBdr>
                    <w:top w:val="none" w:sz="0" w:space="0" w:color="auto"/>
                    <w:left w:val="none" w:sz="0" w:space="0" w:color="auto"/>
                    <w:bottom w:val="none" w:sz="0" w:space="0" w:color="auto"/>
                    <w:right w:val="none" w:sz="0" w:space="0" w:color="auto"/>
                  </w:divBdr>
                </w:div>
              </w:divsChild>
            </w:div>
            <w:div w:id="313031070">
              <w:marLeft w:val="0"/>
              <w:marRight w:val="0"/>
              <w:marTop w:val="0"/>
              <w:marBottom w:val="0"/>
              <w:divBdr>
                <w:top w:val="none" w:sz="0" w:space="0" w:color="auto"/>
                <w:left w:val="none" w:sz="0" w:space="0" w:color="auto"/>
                <w:bottom w:val="none" w:sz="0" w:space="0" w:color="auto"/>
                <w:right w:val="none" w:sz="0" w:space="0" w:color="auto"/>
              </w:divBdr>
              <w:divsChild>
                <w:div w:id="1847817591">
                  <w:marLeft w:val="0"/>
                  <w:marRight w:val="0"/>
                  <w:marTop w:val="0"/>
                  <w:marBottom w:val="0"/>
                  <w:divBdr>
                    <w:top w:val="none" w:sz="0" w:space="0" w:color="auto"/>
                    <w:left w:val="none" w:sz="0" w:space="0" w:color="auto"/>
                    <w:bottom w:val="none" w:sz="0" w:space="0" w:color="auto"/>
                    <w:right w:val="none" w:sz="0" w:space="0" w:color="auto"/>
                  </w:divBdr>
                </w:div>
              </w:divsChild>
            </w:div>
            <w:div w:id="1266839764">
              <w:marLeft w:val="0"/>
              <w:marRight w:val="0"/>
              <w:marTop w:val="0"/>
              <w:marBottom w:val="0"/>
              <w:divBdr>
                <w:top w:val="none" w:sz="0" w:space="0" w:color="auto"/>
                <w:left w:val="none" w:sz="0" w:space="0" w:color="auto"/>
                <w:bottom w:val="none" w:sz="0" w:space="0" w:color="auto"/>
                <w:right w:val="none" w:sz="0" w:space="0" w:color="auto"/>
              </w:divBdr>
              <w:divsChild>
                <w:div w:id="1629630963">
                  <w:marLeft w:val="0"/>
                  <w:marRight w:val="0"/>
                  <w:marTop w:val="0"/>
                  <w:marBottom w:val="0"/>
                  <w:divBdr>
                    <w:top w:val="none" w:sz="0" w:space="0" w:color="auto"/>
                    <w:left w:val="none" w:sz="0" w:space="0" w:color="auto"/>
                    <w:bottom w:val="none" w:sz="0" w:space="0" w:color="auto"/>
                    <w:right w:val="none" w:sz="0" w:space="0" w:color="auto"/>
                  </w:divBdr>
                </w:div>
              </w:divsChild>
            </w:div>
            <w:div w:id="1754086624">
              <w:marLeft w:val="0"/>
              <w:marRight w:val="0"/>
              <w:marTop w:val="0"/>
              <w:marBottom w:val="0"/>
              <w:divBdr>
                <w:top w:val="none" w:sz="0" w:space="0" w:color="auto"/>
                <w:left w:val="none" w:sz="0" w:space="0" w:color="auto"/>
                <w:bottom w:val="none" w:sz="0" w:space="0" w:color="auto"/>
                <w:right w:val="none" w:sz="0" w:space="0" w:color="auto"/>
              </w:divBdr>
              <w:divsChild>
                <w:div w:id="646710959">
                  <w:marLeft w:val="0"/>
                  <w:marRight w:val="0"/>
                  <w:marTop w:val="0"/>
                  <w:marBottom w:val="0"/>
                  <w:divBdr>
                    <w:top w:val="none" w:sz="0" w:space="0" w:color="auto"/>
                    <w:left w:val="none" w:sz="0" w:space="0" w:color="auto"/>
                    <w:bottom w:val="none" w:sz="0" w:space="0" w:color="auto"/>
                    <w:right w:val="none" w:sz="0" w:space="0" w:color="auto"/>
                  </w:divBdr>
                </w:div>
              </w:divsChild>
            </w:div>
            <w:div w:id="2104255492">
              <w:marLeft w:val="0"/>
              <w:marRight w:val="0"/>
              <w:marTop w:val="0"/>
              <w:marBottom w:val="0"/>
              <w:divBdr>
                <w:top w:val="none" w:sz="0" w:space="0" w:color="auto"/>
                <w:left w:val="none" w:sz="0" w:space="0" w:color="auto"/>
                <w:bottom w:val="none" w:sz="0" w:space="0" w:color="auto"/>
                <w:right w:val="none" w:sz="0" w:space="0" w:color="auto"/>
              </w:divBdr>
              <w:divsChild>
                <w:div w:id="8071554">
                  <w:marLeft w:val="0"/>
                  <w:marRight w:val="0"/>
                  <w:marTop w:val="0"/>
                  <w:marBottom w:val="0"/>
                  <w:divBdr>
                    <w:top w:val="none" w:sz="0" w:space="0" w:color="auto"/>
                    <w:left w:val="none" w:sz="0" w:space="0" w:color="auto"/>
                    <w:bottom w:val="none" w:sz="0" w:space="0" w:color="auto"/>
                    <w:right w:val="none" w:sz="0" w:space="0" w:color="auto"/>
                  </w:divBdr>
                </w:div>
              </w:divsChild>
            </w:div>
            <w:div w:id="46606889">
              <w:marLeft w:val="0"/>
              <w:marRight w:val="0"/>
              <w:marTop w:val="0"/>
              <w:marBottom w:val="0"/>
              <w:divBdr>
                <w:top w:val="none" w:sz="0" w:space="0" w:color="auto"/>
                <w:left w:val="none" w:sz="0" w:space="0" w:color="auto"/>
                <w:bottom w:val="none" w:sz="0" w:space="0" w:color="auto"/>
                <w:right w:val="none" w:sz="0" w:space="0" w:color="auto"/>
              </w:divBdr>
              <w:divsChild>
                <w:div w:id="476578499">
                  <w:marLeft w:val="0"/>
                  <w:marRight w:val="0"/>
                  <w:marTop w:val="0"/>
                  <w:marBottom w:val="0"/>
                  <w:divBdr>
                    <w:top w:val="none" w:sz="0" w:space="0" w:color="auto"/>
                    <w:left w:val="none" w:sz="0" w:space="0" w:color="auto"/>
                    <w:bottom w:val="none" w:sz="0" w:space="0" w:color="auto"/>
                    <w:right w:val="none" w:sz="0" w:space="0" w:color="auto"/>
                  </w:divBdr>
                </w:div>
              </w:divsChild>
            </w:div>
            <w:div w:id="832450767">
              <w:marLeft w:val="0"/>
              <w:marRight w:val="0"/>
              <w:marTop w:val="0"/>
              <w:marBottom w:val="0"/>
              <w:divBdr>
                <w:top w:val="none" w:sz="0" w:space="0" w:color="auto"/>
                <w:left w:val="none" w:sz="0" w:space="0" w:color="auto"/>
                <w:bottom w:val="none" w:sz="0" w:space="0" w:color="auto"/>
                <w:right w:val="none" w:sz="0" w:space="0" w:color="auto"/>
              </w:divBdr>
              <w:divsChild>
                <w:div w:id="1821535167">
                  <w:marLeft w:val="0"/>
                  <w:marRight w:val="0"/>
                  <w:marTop w:val="0"/>
                  <w:marBottom w:val="0"/>
                  <w:divBdr>
                    <w:top w:val="none" w:sz="0" w:space="0" w:color="auto"/>
                    <w:left w:val="none" w:sz="0" w:space="0" w:color="auto"/>
                    <w:bottom w:val="none" w:sz="0" w:space="0" w:color="auto"/>
                    <w:right w:val="none" w:sz="0" w:space="0" w:color="auto"/>
                  </w:divBdr>
                </w:div>
              </w:divsChild>
            </w:div>
            <w:div w:id="652948716">
              <w:marLeft w:val="0"/>
              <w:marRight w:val="0"/>
              <w:marTop w:val="0"/>
              <w:marBottom w:val="0"/>
              <w:divBdr>
                <w:top w:val="none" w:sz="0" w:space="0" w:color="auto"/>
                <w:left w:val="none" w:sz="0" w:space="0" w:color="auto"/>
                <w:bottom w:val="none" w:sz="0" w:space="0" w:color="auto"/>
                <w:right w:val="none" w:sz="0" w:space="0" w:color="auto"/>
              </w:divBdr>
              <w:divsChild>
                <w:div w:id="93214964">
                  <w:marLeft w:val="0"/>
                  <w:marRight w:val="0"/>
                  <w:marTop w:val="0"/>
                  <w:marBottom w:val="0"/>
                  <w:divBdr>
                    <w:top w:val="none" w:sz="0" w:space="0" w:color="auto"/>
                    <w:left w:val="none" w:sz="0" w:space="0" w:color="auto"/>
                    <w:bottom w:val="none" w:sz="0" w:space="0" w:color="auto"/>
                    <w:right w:val="none" w:sz="0" w:space="0" w:color="auto"/>
                  </w:divBdr>
                </w:div>
              </w:divsChild>
            </w:div>
            <w:div w:id="352346190">
              <w:marLeft w:val="0"/>
              <w:marRight w:val="0"/>
              <w:marTop w:val="0"/>
              <w:marBottom w:val="0"/>
              <w:divBdr>
                <w:top w:val="none" w:sz="0" w:space="0" w:color="auto"/>
                <w:left w:val="none" w:sz="0" w:space="0" w:color="auto"/>
                <w:bottom w:val="none" w:sz="0" w:space="0" w:color="auto"/>
                <w:right w:val="none" w:sz="0" w:space="0" w:color="auto"/>
              </w:divBdr>
              <w:divsChild>
                <w:div w:id="1648901191">
                  <w:marLeft w:val="0"/>
                  <w:marRight w:val="0"/>
                  <w:marTop w:val="0"/>
                  <w:marBottom w:val="0"/>
                  <w:divBdr>
                    <w:top w:val="none" w:sz="0" w:space="0" w:color="auto"/>
                    <w:left w:val="none" w:sz="0" w:space="0" w:color="auto"/>
                    <w:bottom w:val="none" w:sz="0" w:space="0" w:color="auto"/>
                    <w:right w:val="none" w:sz="0" w:space="0" w:color="auto"/>
                  </w:divBdr>
                </w:div>
              </w:divsChild>
            </w:div>
            <w:div w:id="1882285274">
              <w:marLeft w:val="0"/>
              <w:marRight w:val="0"/>
              <w:marTop w:val="0"/>
              <w:marBottom w:val="0"/>
              <w:divBdr>
                <w:top w:val="none" w:sz="0" w:space="0" w:color="auto"/>
                <w:left w:val="none" w:sz="0" w:space="0" w:color="auto"/>
                <w:bottom w:val="none" w:sz="0" w:space="0" w:color="auto"/>
                <w:right w:val="none" w:sz="0" w:space="0" w:color="auto"/>
              </w:divBdr>
              <w:divsChild>
                <w:div w:id="740130224">
                  <w:marLeft w:val="0"/>
                  <w:marRight w:val="0"/>
                  <w:marTop w:val="0"/>
                  <w:marBottom w:val="0"/>
                  <w:divBdr>
                    <w:top w:val="none" w:sz="0" w:space="0" w:color="auto"/>
                    <w:left w:val="none" w:sz="0" w:space="0" w:color="auto"/>
                    <w:bottom w:val="none" w:sz="0" w:space="0" w:color="auto"/>
                    <w:right w:val="none" w:sz="0" w:space="0" w:color="auto"/>
                  </w:divBdr>
                </w:div>
              </w:divsChild>
            </w:div>
            <w:div w:id="467892434">
              <w:marLeft w:val="0"/>
              <w:marRight w:val="0"/>
              <w:marTop w:val="0"/>
              <w:marBottom w:val="0"/>
              <w:divBdr>
                <w:top w:val="none" w:sz="0" w:space="0" w:color="auto"/>
                <w:left w:val="none" w:sz="0" w:space="0" w:color="auto"/>
                <w:bottom w:val="none" w:sz="0" w:space="0" w:color="auto"/>
                <w:right w:val="none" w:sz="0" w:space="0" w:color="auto"/>
              </w:divBdr>
              <w:divsChild>
                <w:div w:id="929195933">
                  <w:marLeft w:val="0"/>
                  <w:marRight w:val="0"/>
                  <w:marTop w:val="0"/>
                  <w:marBottom w:val="0"/>
                  <w:divBdr>
                    <w:top w:val="none" w:sz="0" w:space="0" w:color="auto"/>
                    <w:left w:val="none" w:sz="0" w:space="0" w:color="auto"/>
                    <w:bottom w:val="none" w:sz="0" w:space="0" w:color="auto"/>
                    <w:right w:val="none" w:sz="0" w:space="0" w:color="auto"/>
                  </w:divBdr>
                </w:div>
              </w:divsChild>
            </w:div>
            <w:div w:id="1678457463">
              <w:marLeft w:val="0"/>
              <w:marRight w:val="0"/>
              <w:marTop w:val="0"/>
              <w:marBottom w:val="0"/>
              <w:divBdr>
                <w:top w:val="none" w:sz="0" w:space="0" w:color="auto"/>
                <w:left w:val="none" w:sz="0" w:space="0" w:color="auto"/>
                <w:bottom w:val="none" w:sz="0" w:space="0" w:color="auto"/>
                <w:right w:val="none" w:sz="0" w:space="0" w:color="auto"/>
              </w:divBdr>
              <w:divsChild>
                <w:div w:id="1115101969">
                  <w:marLeft w:val="0"/>
                  <w:marRight w:val="0"/>
                  <w:marTop w:val="0"/>
                  <w:marBottom w:val="0"/>
                  <w:divBdr>
                    <w:top w:val="none" w:sz="0" w:space="0" w:color="auto"/>
                    <w:left w:val="none" w:sz="0" w:space="0" w:color="auto"/>
                    <w:bottom w:val="none" w:sz="0" w:space="0" w:color="auto"/>
                    <w:right w:val="none" w:sz="0" w:space="0" w:color="auto"/>
                  </w:divBdr>
                </w:div>
              </w:divsChild>
            </w:div>
            <w:div w:id="1289118293">
              <w:marLeft w:val="0"/>
              <w:marRight w:val="0"/>
              <w:marTop w:val="0"/>
              <w:marBottom w:val="0"/>
              <w:divBdr>
                <w:top w:val="none" w:sz="0" w:space="0" w:color="auto"/>
                <w:left w:val="none" w:sz="0" w:space="0" w:color="auto"/>
                <w:bottom w:val="none" w:sz="0" w:space="0" w:color="auto"/>
                <w:right w:val="none" w:sz="0" w:space="0" w:color="auto"/>
              </w:divBdr>
              <w:divsChild>
                <w:div w:id="1904216257">
                  <w:marLeft w:val="0"/>
                  <w:marRight w:val="0"/>
                  <w:marTop w:val="0"/>
                  <w:marBottom w:val="0"/>
                  <w:divBdr>
                    <w:top w:val="none" w:sz="0" w:space="0" w:color="auto"/>
                    <w:left w:val="none" w:sz="0" w:space="0" w:color="auto"/>
                    <w:bottom w:val="none" w:sz="0" w:space="0" w:color="auto"/>
                    <w:right w:val="none" w:sz="0" w:space="0" w:color="auto"/>
                  </w:divBdr>
                </w:div>
              </w:divsChild>
            </w:div>
            <w:div w:id="1470199283">
              <w:marLeft w:val="0"/>
              <w:marRight w:val="0"/>
              <w:marTop w:val="0"/>
              <w:marBottom w:val="0"/>
              <w:divBdr>
                <w:top w:val="none" w:sz="0" w:space="0" w:color="auto"/>
                <w:left w:val="none" w:sz="0" w:space="0" w:color="auto"/>
                <w:bottom w:val="none" w:sz="0" w:space="0" w:color="auto"/>
                <w:right w:val="none" w:sz="0" w:space="0" w:color="auto"/>
              </w:divBdr>
              <w:divsChild>
                <w:div w:id="1918244064">
                  <w:marLeft w:val="0"/>
                  <w:marRight w:val="0"/>
                  <w:marTop w:val="0"/>
                  <w:marBottom w:val="0"/>
                  <w:divBdr>
                    <w:top w:val="none" w:sz="0" w:space="0" w:color="auto"/>
                    <w:left w:val="none" w:sz="0" w:space="0" w:color="auto"/>
                    <w:bottom w:val="none" w:sz="0" w:space="0" w:color="auto"/>
                    <w:right w:val="none" w:sz="0" w:space="0" w:color="auto"/>
                  </w:divBdr>
                </w:div>
              </w:divsChild>
            </w:div>
            <w:div w:id="76634935">
              <w:marLeft w:val="0"/>
              <w:marRight w:val="0"/>
              <w:marTop w:val="0"/>
              <w:marBottom w:val="0"/>
              <w:divBdr>
                <w:top w:val="none" w:sz="0" w:space="0" w:color="auto"/>
                <w:left w:val="none" w:sz="0" w:space="0" w:color="auto"/>
                <w:bottom w:val="none" w:sz="0" w:space="0" w:color="auto"/>
                <w:right w:val="none" w:sz="0" w:space="0" w:color="auto"/>
              </w:divBdr>
              <w:divsChild>
                <w:div w:id="632490291">
                  <w:marLeft w:val="0"/>
                  <w:marRight w:val="0"/>
                  <w:marTop w:val="0"/>
                  <w:marBottom w:val="0"/>
                  <w:divBdr>
                    <w:top w:val="none" w:sz="0" w:space="0" w:color="auto"/>
                    <w:left w:val="none" w:sz="0" w:space="0" w:color="auto"/>
                    <w:bottom w:val="none" w:sz="0" w:space="0" w:color="auto"/>
                    <w:right w:val="none" w:sz="0" w:space="0" w:color="auto"/>
                  </w:divBdr>
                </w:div>
              </w:divsChild>
            </w:div>
            <w:div w:id="1221138580">
              <w:marLeft w:val="0"/>
              <w:marRight w:val="0"/>
              <w:marTop w:val="0"/>
              <w:marBottom w:val="0"/>
              <w:divBdr>
                <w:top w:val="none" w:sz="0" w:space="0" w:color="auto"/>
                <w:left w:val="none" w:sz="0" w:space="0" w:color="auto"/>
                <w:bottom w:val="none" w:sz="0" w:space="0" w:color="auto"/>
                <w:right w:val="none" w:sz="0" w:space="0" w:color="auto"/>
              </w:divBdr>
              <w:divsChild>
                <w:div w:id="1667441438">
                  <w:marLeft w:val="0"/>
                  <w:marRight w:val="0"/>
                  <w:marTop w:val="0"/>
                  <w:marBottom w:val="0"/>
                  <w:divBdr>
                    <w:top w:val="none" w:sz="0" w:space="0" w:color="auto"/>
                    <w:left w:val="none" w:sz="0" w:space="0" w:color="auto"/>
                    <w:bottom w:val="none" w:sz="0" w:space="0" w:color="auto"/>
                    <w:right w:val="none" w:sz="0" w:space="0" w:color="auto"/>
                  </w:divBdr>
                </w:div>
              </w:divsChild>
            </w:div>
            <w:div w:id="303896915">
              <w:marLeft w:val="0"/>
              <w:marRight w:val="0"/>
              <w:marTop w:val="0"/>
              <w:marBottom w:val="0"/>
              <w:divBdr>
                <w:top w:val="none" w:sz="0" w:space="0" w:color="auto"/>
                <w:left w:val="none" w:sz="0" w:space="0" w:color="auto"/>
                <w:bottom w:val="none" w:sz="0" w:space="0" w:color="auto"/>
                <w:right w:val="none" w:sz="0" w:space="0" w:color="auto"/>
              </w:divBdr>
              <w:divsChild>
                <w:div w:id="207469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1773">
          <w:marLeft w:val="0"/>
          <w:marRight w:val="0"/>
          <w:marTop w:val="0"/>
          <w:marBottom w:val="600"/>
          <w:divBdr>
            <w:top w:val="none" w:sz="0" w:space="0" w:color="auto"/>
            <w:left w:val="none" w:sz="0" w:space="0" w:color="auto"/>
            <w:bottom w:val="none" w:sz="0" w:space="0" w:color="auto"/>
            <w:right w:val="none" w:sz="0" w:space="0" w:color="auto"/>
          </w:divBdr>
        </w:div>
      </w:divsChild>
    </w:div>
    <w:div w:id="1584146659">
      <w:marLeft w:val="0"/>
      <w:marRight w:val="0"/>
      <w:marTop w:val="0"/>
      <w:marBottom w:val="0"/>
      <w:divBdr>
        <w:top w:val="none" w:sz="0" w:space="0" w:color="auto"/>
        <w:left w:val="none" w:sz="0" w:space="0" w:color="auto"/>
        <w:bottom w:val="none" w:sz="0" w:space="0" w:color="auto"/>
        <w:right w:val="none" w:sz="0" w:space="0" w:color="auto"/>
      </w:divBdr>
      <w:divsChild>
        <w:div w:id="2033147954">
          <w:marLeft w:val="0"/>
          <w:marRight w:val="0"/>
          <w:marTop w:val="547"/>
          <w:marBottom w:val="0"/>
          <w:divBdr>
            <w:top w:val="none" w:sz="0" w:space="0" w:color="auto"/>
            <w:left w:val="none" w:sz="0" w:space="0" w:color="auto"/>
            <w:bottom w:val="none" w:sz="0" w:space="0" w:color="auto"/>
            <w:right w:val="none" w:sz="0" w:space="0" w:color="auto"/>
          </w:divBdr>
        </w:div>
        <w:div w:id="707952109">
          <w:marLeft w:val="0"/>
          <w:marRight w:val="0"/>
          <w:marTop w:val="0"/>
          <w:marBottom w:val="0"/>
          <w:divBdr>
            <w:top w:val="none" w:sz="0" w:space="0" w:color="auto"/>
            <w:left w:val="none" w:sz="0" w:space="0" w:color="auto"/>
            <w:bottom w:val="none" w:sz="0" w:space="0" w:color="auto"/>
            <w:right w:val="none" w:sz="0" w:space="0" w:color="auto"/>
          </w:divBdr>
        </w:div>
        <w:div w:id="355421969">
          <w:marLeft w:val="0"/>
          <w:marRight w:val="0"/>
          <w:marTop w:val="0"/>
          <w:marBottom w:val="600"/>
          <w:divBdr>
            <w:top w:val="none" w:sz="0" w:space="0" w:color="auto"/>
            <w:left w:val="none" w:sz="0" w:space="0" w:color="auto"/>
            <w:bottom w:val="none" w:sz="0" w:space="0" w:color="auto"/>
            <w:right w:val="none" w:sz="0" w:space="0" w:color="auto"/>
          </w:divBdr>
        </w:div>
      </w:divsChild>
    </w:div>
    <w:div w:id="1588810092">
      <w:marLeft w:val="0"/>
      <w:marRight w:val="0"/>
      <w:marTop w:val="0"/>
      <w:marBottom w:val="0"/>
      <w:divBdr>
        <w:top w:val="none" w:sz="0" w:space="0" w:color="auto"/>
        <w:left w:val="none" w:sz="0" w:space="0" w:color="auto"/>
        <w:bottom w:val="none" w:sz="0" w:space="0" w:color="auto"/>
        <w:right w:val="none" w:sz="0" w:space="0" w:color="auto"/>
      </w:divBdr>
      <w:divsChild>
        <w:div w:id="725643531">
          <w:marLeft w:val="0"/>
          <w:marRight w:val="0"/>
          <w:marTop w:val="547"/>
          <w:marBottom w:val="0"/>
          <w:divBdr>
            <w:top w:val="none" w:sz="0" w:space="0" w:color="auto"/>
            <w:left w:val="none" w:sz="0" w:space="0" w:color="auto"/>
            <w:bottom w:val="none" w:sz="0" w:space="0" w:color="auto"/>
            <w:right w:val="none" w:sz="0" w:space="0" w:color="auto"/>
          </w:divBdr>
        </w:div>
        <w:div w:id="1777678101">
          <w:marLeft w:val="0"/>
          <w:marRight w:val="0"/>
          <w:marTop w:val="0"/>
          <w:marBottom w:val="0"/>
          <w:divBdr>
            <w:top w:val="none" w:sz="0" w:space="0" w:color="auto"/>
            <w:left w:val="none" w:sz="0" w:space="0" w:color="auto"/>
            <w:bottom w:val="none" w:sz="0" w:space="0" w:color="auto"/>
            <w:right w:val="none" w:sz="0" w:space="0" w:color="auto"/>
          </w:divBdr>
        </w:div>
        <w:div w:id="918053087">
          <w:marLeft w:val="0"/>
          <w:marRight w:val="0"/>
          <w:marTop w:val="0"/>
          <w:marBottom w:val="600"/>
          <w:divBdr>
            <w:top w:val="none" w:sz="0" w:space="0" w:color="auto"/>
            <w:left w:val="none" w:sz="0" w:space="0" w:color="auto"/>
            <w:bottom w:val="none" w:sz="0" w:space="0" w:color="auto"/>
            <w:right w:val="none" w:sz="0" w:space="0" w:color="auto"/>
          </w:divBdr>
        </w:div>
      </w:divsChild>
    </w:div>
    <w:div w:id="1599099621">
      <w:marLeft w:val="0"/>
      <w:marRight w:val="0"/>
      <w:marTop w:val="0"/>
      <w:marBottom w:val="0"/>
      <w:divBdr>
        <w:top w:val="none" w:sz="0" w:space="0" w:color="auto"/>
        <w:left w:val="none" w:sz="0" w:space="0" w:color="auto"/>
        <w:bottom w:val="none" w:sz="0" w:space="0" w:color="auto"/>
        <w:right w:val="none" w:sz="0" w:space="0" w:color="auto"/>
      </w:divBdr>
      <w:divsChild>
        <w:div w:id="1043794967">
          <w:marLeft w:val="0"/>
          <w:marRight w:val="0"/>
          <w:marTop w:val="547"/>
          <w:marBottom w:val="0"/>
          <w:divBdr>
            <w:top w:val="none" w:sz="0" w:space="0" w:color="auto"/>
            <w:left w:val="none" w:sz="0" w:space="0" w:color="auto"/>
            <w:bottom w:val="none" w:sz="0" w:space="0" w:color="auto"/>
            <w:right w:val="none" w:sz="0" w:space="0" w:color="auto"/>
          </w:divBdr>
        </w:div>
        <w:div w:id="379523540">
          <w:marLeft w:val="0"/>
          <w:marRight w:val="0"/>
          <w:marTop w:val="0"/>
          <w:marBottom w:val="0"/>
          <w:divBdr>
            <w:top w:val="none" w:sz="0" w:space="0" w:color="auto"/>
            <w:left w:val="none" w:sz="0" w:space="0" w:color="auto"/>
            <w:bottom w:val="none" w:sz="0" w:space="0" w:color="auto"/>
            <w:right w:val="none" w:sz="0" w:space="0" w:color="auto"/>
          </w:divBdr>
        </w:div>
        <w:div w:id="46801127">
          <w:marLeft w:val="0"/>
          <w:marRight w:val="0"/>
          <w:marTop w:val="0"/>
          <w:marBottom w:val="600"/>
          <w:divBdr>
            <w:top w:val="none" w:sz="0" w:space="0" w:color="auto"/>
            <w:left w:val="none" w:sz="0" w:space="0" w:color="auto"/>
            <w:bottom w:val="none" w:sz="0" w:space="0" w:color="auto"/>
            <w:right w:val="none" w:sz="0" w:space="0" w:color="auto"/>
          </w:divBdr>
        </w:div>
      </w:divsChild>
    </w:div>
    <w:div w:id="1660226655">
      <w:marLeft w:val="0"/>
      <w:marRight w:val="0"/>
      <w:marTop w:val="0"/>
      <w:marBottom w:val="0"/>
      <w:divBdr>
        <w:top w:val="none" w:sz="0" w:space="0" w:color="auto"/>
        <w:left w:val="none" w:sz="0" w:space="0" w:color="auto"/>
        <w:bottom w:val="none" w:sz="0" w:space="0" w:color="auto"/>
        <w:right w:val="none" w:sz="0" w:space="0" w:color="auto"/>
      </w:divBdr>
      <w:divsChild>
        <w:div w:id="1332218378">
          <w:marLeft w:val="0"/>
          <w:marRight w:val="0"/>
          <w:marTop w:val="547"/>
          <w:marBottom w:val="0"/>
          <w:divBdr>
            <w:top w:val="none" w:sz="0" w:space="0" w:color="auto"/>
            <w:left w:val="none" w:sz="0" w:space="0" w:color="auto"/>
            <w:bottom w:val="none" w:sz="0" w:space="0" w:color="auto"/>
            <w:right w:val="none" w:sz="0" w:space="0" w:color="auto"/>
          </w:divBdr>
        </w:div>
        <w:div w:id="530651589">
          <w:marLeft w:val="0"/>
          <w:marRight w:val="0"/>
          <w:marTop w:val="0"/>
          <w:marBottom w:val="0"/>
          <w:divBdr>
            <w:top w:val="none" w:sz="0" w:space="0" w:color="auto"/>
            <w:left w:val="none" w:sz="0" w:space="0" w:color="auto"/>
            <w:bottom w:val="none" w:sz="0" w:space="0" w:color="auto"/>
            <w:right w:val="none" w:sz="0" w:space="0" w:color="auto"/>
          </w:divBdr>
        </w:div>
        <w:div w:id="716704347">
          <w:marLeft w:val="0"/>
          <w:marRight w:val="0"/>
          <w:marTop w:val="0"/>
          <w:marBottom w:val="600"/>
          <w:divBdr>
            <w:top w:val="none" w:sz="0" w:space="0" w:color="auto"/>
            <w:left w:val="none" w:sz="0" w:space="0" w:color="auto"/>
            <w:bottom w:val="none" w:sz="0" w:space="0" w:color="auto"/>
            <w:right w:val="none" w:sz="0" w:space="0" w:color="auto"/>
          </w:divBdr>
        </w:div>
      </w:divsChild>
    </w:div>
    <w:div w:id="1675645490">
      <w:marLeft w:val="0"/>
      <w:marRight w:val="0"/>
      <w:marTop w:val="0"/>
      <w:marBottom w:val="0"/>
      <w:divBdr>
        <w:top w:val="none" w:sz="0" w:space="0" w:color="auto"/>
        <w:left w:val="none" w:sz="0" w:space="0" w:color="auto"/>
        <w:bottom w:val="none" w:sz="0" w:space="0" w:color="auto"/>
        <w:right w:val="none" w:sz="0" w:space="0" w:color="auto"/>
      </w:divBdr>
      <w:divsChild>
        <w:div w:id="2127500785">
          <w:marLeft w:val="0"/>
          <w:marRight w:val="0"/>
          <w:marTop w:val="547"/>
          <w:marBottom w:val="0"/>
          <w:divBdr>
            <w:top w:val="none" w:sz="0" w:space="0" w:color="auto"/>
            <w:left w:val="none" w:sz="0" w:space="0" w:color="auto"/>
            <w:bottom w:val="none" w:sz="0" w:space="0" w:color="auto"/>
            <w:right w:val="none" w:sz="0" w:space="0" w:color="auto"/>
          </w:divBdr>
        </w:div>
        <w:div w:id="1016033886">
          <w:marLeft w:val="0"/>
          <w:marRight w:val="0"/>
          <w:marTop w:val="0"/>
          <w:marBottom w:val="0"/>
          <w:divBdr>
            <w:top w:val="none" w:sz="0" w:space="0" w:color="auto"/>
            <w:left w:val="none" w:sz="0" w:space="0" w:color="auto"/>
            <w:bottom w:val="none" w:sz="0" w:space="0" w:color="auto"/>
            <w:right w:val="none" w:sz="0" w:space="0" w:color="auto"/>
          </w:divBdr>
          <w:divsChild>
            <w:div w:id="1326326001">
              <w:marLeft w:val="0"/>
              <w:marRight w:val="0"/>
              <w:marTop w:val="0"/>
              <w:marBottom w:val="0"/>
              <w:divBdr>
                <w:top w:val="none" w:sz="0" w:space="0" w:color="auto"/>
                <w:left w:val="none" w:sz="0" w:space="0" w:color="auto"/>
                <w:bottom w:val="none" w:sz="0" w:space="0" w:color="auto"/>
                <w:right w:val="none" w:sz="0" w:space="0" w:color="auto"/>
              </w:divBdr>
              <w:divsChild>
                <w:div w:id="1868831481">
                  <w:marLeft w:val="0"/>
                  <w:marRight w:val="0"/>
                  <w:marTop w:val="0"/>
                  <w:marBottom w:val="0"/>
                  <w:divBdr>
                    <w:top w:val="none" w:sz="0" w:space="0" w:color="auto"/>
                    <w:left w:val="none" w:sz="0" w:space="0" w:color="auto"/>
                    <w:bottom w:val="none" w:sz="0" w:space="0" w:color="auto"/>
                    <w:right w:val="none" w:sz="0" w:space="0" w:color="auto"/>
                  </w:divBdr>
                </w:div>
              </w:divsChild>
            </w:div>
            <w:div w:id="257174392">
              <w:marLeft w:val="0"/>
              <w:marRight w:val="0"/>
              <w:marTop w:val="0"/>
              <w:marBottom w:val="0"/>
              <w:divBdr>
                <w:top w:val="none" w:sz="0" w:space="0" w:color="auto"/>
                <w:left w:val="none" w:sz="0" w:space="0" w:color="auto"/>
                <w:bottom w:val="none" w:sz="0" w:space="0" w:color="auto"/>
                <w:right w:val="none" w:sz="0" w:space="0" w:color="auto"/>
              </w:divBdr>
              <w:divsChild>
                <w:div w:id="1290087951">
                  <w:marLeft w:val="0"/>
                  <w:marRight w:val="0"/>
                  <w:marTop w:val="0"/>
                  <w:marBottom w:val="0"/>
                  <w:divBdr>
                    <w:top w:val="none" w:sz="0" w:space="0" w:color="auto"/>
                    <w:left w:val="none" w:sz="0" w:space="0" w:color="auto"/>
                    <w:bottom w:val="none" w:sz="0" w:space="0" w:color="auto"/>
                    <w:right w:val="none" w:sz="0" w:space="0" w:color="auto"/>
                  </w:divBdr>
                </w:div>
              </w:divsChild>
            </w:div>
            <w:div w:id="1829638897">
              <w:marLeft w:val="0"/>
              <w:marRight w:val="0"/>
              <w:marTop w:val="0"/>
              <w:marBottom w:val="0"/>
              <w:divBdr>
                <w:top w:val="none" w:sz="0" w:space="0" w:color="auto"/>
                <w:left w:val="none" w:sz="0" w:space="0" w:color="auto"/>
                <w:bottom w:val="none" w:sz="0" w:space="0" w:color="auto"/>
                <w:right w:val="none" w:sz="0" w:space="0" w:color="auto"/>
              </w:divBdr>
              <w:divsChild>
                <w:div w:id="964894932">
                  <w:marLeft w:val="0"/>
                  <w:marRight w:val="0"/>
                  <w:marTop w:val="0"/>
                  <w:marBottom w:val="0"/>
                  <w:divBdr>
                    <w:top w:val="none" w:sz="0" w:space="0" w:color="auto"/>
                    <w:left w:val="none" w:sz="0" w:space="0" w:color="auto"/>
                    <w:bottom w:val="none" w:sz="0" w:space="0" w:color="auto"/>
                    <w:right w:val="none" w:sz="0" w:space="0" w:color="auto"/>
                  </w:divBdr>
                </w:div>
              </w:divsChild>
            </w:div>
            <w:div w:id="2100566447">
              <w:marLeft w:val="0"/>
              <w:marRight w:val="0"/>
              <w:marTop w:val="0"/>
              <w:marBottom w:val="0"/>
              <w:divBdr>
                <w:top w:val="none" w:sz="0" w:space="0" w:color="auto"/>
                <w:left w:val="none" w:sz="0" w:space="0" w:color="auto"/>
                <w:bottom w:val="none" w:sz="0" w:space="0" w:color="auto"/>
                <w:right w:val="none" w:sz="0" w:space="0" w:color="auto"/>
              </w:divBdr>
              <w:divsChild>
                <w:div w:id="725765649">
                  <w:marLeft w:val="0"/>
                  <w:marRight w:val="0"/>
                  <w:marTop w:val="0"/>
                  <w:marBottom w:val="0"/>
                  <w:divBdr>
                    <w:top w:val="none" w:sz="0" w:space="0" w:color="auto"/>
                    <w:left w:val="none" w:sz="0" w:space="0" w:color="auto"/>
                    <w:bottom w:val="none" w:sz="0" w:space="0" w:color="auto"/>
                    <w:right w:val="none" w:sz="0" w:space="0" w:color="auto"/>
                  </w:divBdr>
                </w:div>
              </w:divsChild>
            </w:div>
            <w:div w:id="872575141">
              <w:marLeft w:val="0"/>
              <w:marRight w:val="0"/>
              <w:marTop w:val="0"/>
              <w:marBottom w:val="0"/>
              <w:divBdr>
                <w:top w:val="none" w:sz="0" w:space="0" w:color="auto"/>
                <w:left w:val="none" w:sz="0" w:space="0" w:color="auto"/>
                <w:bottom w:val="none" w:sz="0" w:space="0" w:color="auto"/>
                <w:right w:val="none" w:sz="0" w:space="0" w:color="auto"/>
              </w:divBdr>
              <w:divsChild>
                <w:div w:id="1357730266">
                  <w:marLeft w:val="0"/>
                  <w:marRight w:val="0"/>
                  <w:marTop w:val="0"/>
                  <w:marBottom w:val="0"/>
                  <w:divBdr>
                    <w:top w:val="none" w:sz="0" w:space="0" w:color="auto"/>
                    <w:left w:val="none" w:sz="0" w:space="0" w:color="auto"/>
                    <w:bottom w:val="none" w:sz="0" w:space="0" w:color="auto"/>
                    <w:right w:val="none" w:sz="0" w:space="0" w:color="auto"/>
                  </w:divBdr>
                </w:div>
              </w:divsChild>
            </w:div>
            <w:div w:id="1297251596">
              <w:marLeft w:val="0"/>
              <w:marRight w:val="0"/>
              <w:marTop w:val="0"/>
              <w:marBottom w:val="0"/>
              <w:divBdr>
                <w:top w:val="none" w:sz="0" w:space="0" w:color="auto"/>
                <w:left w:val="none" w:sz="0" w:space="0" w:color="auto"/>
                <w:bottom w:val="none" w:sz="0" w:space="0" w:color="auto"/>
                <w:right w:val="none" w:sz="0" w:space="0" w:color="auto"/>
              </w:divBdr>
              <w:divsChild>
                <w:div w:id="492450288">
                  <w:marLeft w:val="0"/>
                  <w:marRight w:val="0"/>
                  <w:marTop w:val="0"/>
                  <w:marBottom w:val="0"/>
                  <w:divBdr>
                    <w:top w:val="none" w:sz="0" w:space="0" w:color="auto"/>
                    <w:left w:val="none" w:sz="0" w:space="0" w:color="auto"/>
                    <w:bottom w:val="none" w:sz="0" w:space="0" w:color="auto"/>
                    <w:right w:val="none" w:sz="0" w:space="0" w:color="auto"/>
                  </w:divBdr>
                </w:div>
              </w:divsChild>
            </w:div>
            <w:div w:id="1391884024">
              <w:marLeft w:val="0"/>
              <w:marRight w:val="0"/>
              <w:marTop w:val="0"/>
              <w:marBottom w:val="0"/>
              <w:divBdr>
                <w:top w:val="none" w:sz="0" w:space="0" w:color="auto"/>
                <w:left w:val="none" w:sz="0" w:space="0" w:color="auto"/>
                <w:bottom w:val="none" w:sz="0" w:space="0" w:color="auto"/>
                <w:right w:val="none" w:sz="0" w:space="0" w:color="auto"/>
              </w:divBdr>
              <w:divsChild>
                <w:div w:id="1654288884">
                  <w:marLeft w:val="0"/>
                  <w:marRight w:val="0"/>
                  <w:marTop w:val="0"/>
                  <w:marBottom w:val="0"/>
                  <w:divBdr>
                    <w:top w:val="none" w:sz="0" w:space="0" w:color="auto"/>
                    <w:left w:val="none" w:sz="0" w:space="0" w:color="auto"/>
                    <w:bottom w:val="none" w:sz="0" w:space="0" w:color="auto"/>
                    <w:right w:val="none" w:sz="0" w:space="0" w:color="auto"/>
                  </w:divBdr>
                </w:div>
              </w:divsChild>
            </w:div>
            <w:div w:id="1974869530">
              <w:marLeft w:val="0"/>
              <w:marRight w:val="0"/>
              <w:marTop w:val="0"/>
              <w:marBottom w:val="0"/>
              <w:divBdr>
                <w:top w:val="none" w:sz="0" w:space="0" w:color="auto"/>
                <w:left w:val="none" w:sz="0" w:space="0" w:color="auto"/>
                <w:bottom w:val="none" w:sz="0" w:space="0" w:color="auto"/>
                <w:right w:val="none" w:sz="0" w:space="0" w:color="auto"/>
              </w:divBdr>
              <w:divsChild>
                <w:div w:id="947128464">
                  <w:marLeft w:val="0"/>
                  <w:marRight w:val="0"/>
                  <w:marTop w:val="0"/>
                  <w:marBottom w:val="0"/>
                  <w:divBdr>
                    <w:top w:val="none" w:sz="0" w:space="0" w:color="auto"/>
                    <w:left w:val="none" w:sz="0" w:space="0" w:color="auto"/>
                    <w:bottom w:val="none" w:sz="0" w:space="0" w:color="auto"/>
                    <w:right w:val="none" w:sz="0" w:space="0" w:color="auto"/>
                  </w:divBdr>
                </w:div>
              </w:divsChild>
            </w:div>
            <w:div w:id="1298608304">
              <w:marLeft w:val="0"/>
              <w:marRight w:val="0"/>
              <w:marTop w:val="0"/>
              <w:marBottom w:val="0"/>
              <w:divBdr>
                <w:top w:val="none" w:sz="0" w:space="0" w:color="auto"/>
                <w:left w:val="none" w:sz="0" w:space="0" w:color="auto"/>
                <w:bottom w:val="none" w:sz="0" w:space="0" w:color="auto"/>
                <w:right w:val="none" w:sz="0" w:space="0" w:color="auto"/>
              </w:divBdr>
              <w:divsChild>
                <w:div w:id="1713770959">
                  <w:marLeft w:val="0"/>
                  <w:marRight w:val="0"/>
                  <w:marTop w:val="0"/>
                  <w:marBottom w:val="0"/>
                  <w:divBdr>
                    <w:top w:val="none" w:sz="0" w:space="0" w:color="auto"/>
                    <w:left w:val="none" w:sz="0" w:space="0" w:color="auto"/>
                    <w:bottom w:val="none" w:sz="0" w:space="0" w:color="auto"/>
                    <w:right w:val="none" w:sz="0" w:space="0" w:color="auto"/>
                  </w:divBdr>
                </w:div>
              </w:divsChild>
            </w:div>
            <w:div w:id="675621775">
              <w:marLeft w:val="0"/>
              <w:marRight w:val="0"/>
              <w:marTop w:val="0"/>
              <w:marBottom w:val="0"/>
              <w:divBdr>
                <w:top w:val="none" w:sz="0" w:space="0" w:color="auto"/>
                <w:left w:val="none" w:sz="0" w:space="0" w:color="auto"/>
                <w:bottom w:val="none" w:sz="0" w:space="0" w:color="auto"/>
                <w:right w:val="none" w:sz="0" w:space="0" w:color="auto"/>
              </w:divBdr>
              <w:divsChild>
                <w:div w:id="1965192208">
                  <w:marLeft w:val="0"/>
                  <w:marRight w:val="0"/>
                  <w:marTop w:val="0"/>
                  <w:marBottom w:val="0"/>
                  <w:divBdr>
                    <w:top w:val="none" w:sz="0" w:space="0" w:color="auto"/>
                    <w:left w:val="none" w:sz="0" w:space="0" w:color="auto"/>
                    <w:bottom w:val="none" w:sz="0" w:space="0" w:color="auto"/>
                    <w:right w:val="none" w:sz="0" w:space="0" w:color="auto"/>
                  </w:divBdr>
                </w:div>
              </w:divsChild>
            </w:div>
            <w:div w:id="978073230">
              <w:marLeft w:val="0"/>
              <w:marRight w:val="0"/>
              <w:marTop w:val="0"/>
              <w:marBottom w:val="0"/>
              <w:divBdr>
                <w:top w:val="none" w:sz="0" w:space="0" w:color="auto"/>
                <w:left w:val="none" w:sz="0" w:space="0" w:color="auto"/>
                <w:bottom w:val="none" w:sz="0" w:space="0" w:color="auto"/>
                <w:right w:val="none" w:sz="0" w:space="0" w:color="auto"/>
              </w:divBdr>
              <w:divsChild>
                <w:div w:id="555747844">
                  <w:marLeft w:val="0"/>
                  <w:marRight w:val="0"/>
                  <w:marTop w:val="0"/>
                  <w:marBottom w:val="0"/>
                  <w:divBdr>
                    <w:top w:val="none" w:sz="0" w:space="0" w:color="auto"/>
                    <w:left w:val="none" w:sz="0" w:space="0" w:color="auto"/>
                    <w:bottom w:val="none" w:sz="0" w:space="0" w:color="auto"/>
                    <w:right w:val="none" w:sz="0" w:space="0" w:color="auto"/>
                  </w:divBdr>
                </w:div>
              </w:divsChild>
            </w:div>
            <w:div w:id="1056507532">
              <w:marLeft w:val="0"/>
              <w:marRight w:val="0"/>
              <w:marTop w:val="0"/>
              <w:marBottom w:val="0"/>
              <w:divBdr>
                <w:top w:val="none" w:sz="0" w:space="0" w:color="auto"/>
                <w:left w:val="none" w:sz="0" w:space="0" w:color="auto"/>
                <w:bottom w:val="none" w:sz="0" w:space="0" w:color="auto"/>
                <w:right w:val="none" w:sz="0" w:space="0" w:color="auto"/>
              </w:divBdr>
              <w:divsChild>
                <w:div w:id="1961916850">
                  <w:marLeft w:val="0"/>
                  <w:marRight w:val="0"/>
                  <w:marTop w:val="0"/>
                  <w:marBottom w:val="0"/>
                  <w:divBdr>
                    <w:top w:val="none" w:sz="0" w:space="0" w:color="auto"/>
                    <w:left w:val="none" w:sz="0" w:space="0" w:color="auto"/>
                    <w:bottom w:val="none" w:sz="0" w:space="0" w:color="auto"/>
                    <w:right w:val="none" w:sz="0" w:space="0" w:color="auto"/>
                  </w:divBdr>
                </w:div>
              </w:divsChild>
            </w:div>
            <w:div w:id="716701891">
              <w:marLeft w:val="0"/>
              <w:marRight w:val="0"/>
              <w:marTop w:val="0"/>
              <w:marBottom w:val="0"/>
              <w:divBdr>
                <w:top w:val="none" w:sz="0" w:space="0" w:color="auto"/>
                <w:left w:val="none" w:sz="0" w:space="0" w:color="auto"/>
                <w:bottom w:val="none" w:sz="0" w:space="0" w:color="auto"/>
                <w:right w:val="none" w:sz="0" w:space="0" w:color="auto"/>
              </w:divBdr>
              <w:divsChild>
                <w:div w:id="1005014733">
                  <w:marLeft w:val="0"/>
                  <w:marRight w:val="0"/>
                  <w:marTop w:val="0"/>
                  <w:marBottom w:val="0"/>
                  <w:divBdr>
                    <w:top w:val="none" w:sz="0" w:space="0" w:color="auto"/>
                    <w:left w:val="none" w:sz="0" w:space="0" w:color="auto"/>
                    <w:bottom w:val="none" w:sz="0" w:space="0" w:color="auto"/>
                    <w:right w:val="none" w:sz="0" w:space="0" w:color="auto"/>
                  </w:divBdr>
                </w:div>
              </w:divsChild>
            </w:div>
            <w:div w:id="232200242">
              <w:marLeft w:val="0"/>
              <w:marRight w:val="0"/>
              <w:marTop w:val="0"/>
              <w:marBottom w:val="0"/>
              <w:divBdr>
                <w:top w:val="none" w:sz="0" w:space="0" w:color="auto"/>
                <w:left w:val="none" w:sz="0" w:space="0" w:color="auto"/>
                <w:bottom w:val="none" w:sz="0" w:space="0" w:color="auto"/>
                <w:right w:val="none" w:sz="0" w:space="0" w:color="auto"/>
              </w:divBdr>
              <w:divsChild>
                <w:div w:id="972710142">
                  <w:marLeft w:val="0"/>
                  <w:marRight w:val="0"/>
                  <w:marTop w:val="0"/>
                  <w:marBottom w:val="0"/>
                  <w:divBdr>
                    <w:top w:val="none" w:sz="0" w:space="0" w:color="auto"/>
                    <w:left w:val="none" w:sz="0" w:space="0" w:color="auto"/>
                    <w:bottom w:val="none" w:sz="0" w:space="0" w:color="auto"/>
                    <w:right w:val="none" w:sz="0" w:space="0" w:color="auto"/>
                  </w:divBdr>
                </w:div>
              </w:divsChild>
            </w:div>
            <w:div w:id="1357847670">
              <w:marLeft w:val="0"/>
              <w:marRight w:val="0"/>
              <w:marTop w:val="0"/>
              <w:marBottom w:val="0"/>
              <w:divBdr>
                <w:top w:val="none" w:sz="0" w:space="0" w:color="auto"/>
                <w:left w:val="none" w:sz="0" w:space="0" w:color="auto"/>
                <w:bottom w:val="none" w:sz="0" w:space="0" w:color="auto"/>
                <w:right w:val="none" w:sz="0" w:space="0" w:color="auto"/>
              </w:divBdr>
              <w:divsChild>
                <w:div w:id="1060245654">
                  <w:marLeft w:val="0"/>
                  <w:marRight w:val="0"/>
                  <w:marTop w:val="0"/>
                  <w:marBottom w:val="0"/>
                  <w:divBdr>
                    <w:top w:val="none" w:sz="0" w:space="0" w:color="auto"/>
                    <w:left w:val="none" w:sz="0" w:space="0" w:color="auto"/>
                    <w:bottom w:val="none" w:sz="0" w:space="0" w:color="auto"/>
                    <w:right w:val="none" w:sz="0" w:space="0" w:color="auto"/>
                  </w:divBdr>
                </w:div>
              </w:divsChild>
            </w:div>
            <w:div w:id="1680505353">
              <w:marLeft w:val="0"/>
              <w:marRight w:val="0"/>
              <w:marTop w:val="0"/>
              <w:marBottom w:val="0"/>
              <w:divBdr>
                <w:top w:val="none" w:sz="0" w:space="0" w:color="auto"/>
                <w:left w:val="none" w:sz="0" w:space="0" w:color="auto"/>
                <w:bottom w:val="none" w:sz="0" w:space="0" w:color="auto"/>
                <w:right w:val="none" w:sz="0" w:space="0" w:color="auto"/>
              </w:divBdr>
              <w:divsChild>
                <w:div w:id="1977027904">
                  <w:marLeft w:val="0"/>
                  <w:marRight w:val="0"/>
                  <w:marTop w:val="0"/>
                  <w:marBottom w:val="0"/>
                  <w:divBdr>
                    <w:top w:val="none" w:sz="0" w:space="0" w:color="auto"/>
                    <w:left w:val="none" w:sz="0" w:space="0" w:color="auto"/>
                    <w:bottom w:val="none" w:sz="0" w:space="0" w:color="auto"/>
                    <w:right w:val="none" w:sz="0" w:space="0" w:color="auto"/>
                  </w:divBdr>
                </w:div>
              </w:divsChild>
            </w:div>
            <w:div w:id="2115633308">
              <w:marLeft w:val="0"/>
              <w:marRight w:val="0"/>
              <w:marTop w:val="0"/>
              <w:marBottom w:val="0"/>
              <w:divBdr>
                <w:top w:val="none" w:sz="0" w:space="0" w:color="auto"/>
                <w:left w:val="none" w:sz="0" w:space="0" w:color="auto"/>
                <w:bottom w:val="none" w:sz="0" w:space="0" w:color="auto"/>
                <w:right w:val="none" w:sz="0" w:space="0" w:color="auto"/>
              </w:divBdr>
              <w:divsChild>
                <w:div w:id="1269313963">
                  <w:marLeft w:val="0"/>
                  <w:marRight w:val="0"/>
                  <w:marTop w:val="0"/>
                  <w:marBottom w:val="0"/>
                  <w:divBdr>
                    <w:top w:val="none" w:sz="0" w:space="0" w:color="auto"/>
                    <w:left w:val="none" w:sz="0" w:space="0" w:color="auto"/>
                    <w:bottom w:val="none" w:sz="0" w:space="0" w:color="auto"/>
                    <w:right w:val="none" w:sz="0" w:space="0" w:color="auto"/>
                  </w:divBdr>
                </w:div>
              </w:divsChild>
            </w:div>
            <w:div w:id="4675818">
              <w:marLeft w:val="0"/>
              <w:marRight w:val="0"/>
              <w:marTop w:val="0"/>
              <w:marBottom w:val="0"/>
              <w:divBdr>
                <w:top w:val="none" w:sz="0" w:space="0" w:color="auto"/>
                <w:left w:val="none" w:sz="0" w:space="0" w:color="auto"/>
                <w:bottom w:val="none" w:sz="0" w:space="0" w:color="auto"/>
                <w:right w:val="none" w:sz="0" w:space="0" w:color="auto"/>
              </w:divBdr>
              <w:divsChild>
                <w:div w:id="1747023390">
                  <w:marLeft w:val="0"/>
                  <w:marRight w:val="0"/>
                  <w:marTop w:val="0"/>
                  <w:marBottom w:val="0"/>
                  <w:divBdr>
                    <w:top w:val="none" w:sz="0" w:space="0" w:color="auto"/>
                    <w:left w:val="none" w:sz="0" w:space="0" w:color="auto"/>
                    <w:bottom w:val="none" w:sz="0" w:space="0" w:color="auto"/>
                    <w:right w:val="none" w:sz="0" w:space="0" w:color="auto"/>
                  </w:divBdr>
                </w:div>
              </w:divsChild>
            </w:div>
            <w:div w:id="1423798526">
              <w:marLeft w:val="0"/>
              <w:marRight w:val="0"/>
              <w:marTop w:val="0"/>
              <w:marBottom w:val="0"/>
              <w:divBdr>
                <w:top w:val="none" w:sz="0" w:space="0" w:color="auto"/>
                <w:left w:val="none" w:sz="0" w:space="0" w:color="auto"/>
                <w:bottom w:val="none" w:sz="0" w:space="0" w:color="auto"/>
                <w:right w:val="none" w:sz="0" w:space="0" w:color="auto"/>
              </w:divBdr>
              <w:divsChild>
                <w:div w:id="439881384">
                  <w:marLeft w:val="0"/>
                  <w:marRight w:val="0"/>
                  <w:marTop w:val="0"/>
                  <w:marBottom w:val="0"/>
                  <w:divBdr>
                    <w:top w:val="none" w:sz="0" w:space="0" w:color="auto"/>
                    <w:left w:val="none" w:sz="0" w:space="0" w:color="auto"/>
                    <w:bottom w:val="none" w:sz="0" w:space="0" w:color="auto"/>
                    <w:right w:val="none" w:sz="0" w:space="0" w:color="auto"/>
                  </w:divBdr>
                </w:div>
              </w:divsChild>
            </w:div>
            <w:div w:id="982008750">
              <w:marLeft w:val="0"/>
              <w:marRight w:val="0"/>
              <w:marTop w:val="0"/>
              <w:marBottom w:val="0"/>
              <w:divBdr>
                <w:top w:val="none" w:sz="0" w:space="0" w:color="auto"/>
                <w:left w:val="none" w:sz="0" w:space="0" w:color="auto"/>
                <w:bottom w:val="none" w:sz="0" w:space="0" w:color="auto"/>
                <w:right w:val="none" w:sz="0" w:space="0" w:color="auto"/>
              </w:divBdr>
              <w:divsChild>
                <w:div w:id="1540319718">
                  <w:marLeft w:val="0"/>
                  <w:marRight w:val="0"/>
                  <w:marTop w:val="0"/>
                  <w:marBottom w:val="0"/>
                  <w:divBdr>
                    <w:top w:val="none" w:sz="0" w:space="0" w:color="auto"/>
                    <w:left w:val="none" w:sz="0" w:space="0" w:color="auto"/>
                    <w:bottom w:val="none" w:sz="0" w:space="0" w:color="auto"/>
                    <w:right w:val="none" w:sz="0" w:space="0" w:color="auto"/>
                  </w:divBdr>
                </w:div>
              </w:divsChild>
            </w:div>
            <w:div w:id="1670517566">
              <w:marLeft w:val="0"/>
              <w:marRight w:val="0"/>
              <w:marTop w:val="0"/>
              <w:marBottom w:val="0"/>
              <w:divBdr>
                <w:top w:val="none" w:sz="0" w:space="0" w:color="auto"/>
                <w:left w:val="none" w:sz="0" w:space="0" w:color="auto"/>
                <w:bottom w:val="none" w:sz="0" w:space="0" w:color="auto"/>
                <w:right w:val="none" w:sz="0" w:space="0" w:color="auto"/>
              </w:divBdr>
              <w:divsChild>
                <w:div w:id="135147846">
                  <w:marLeft w:val="0"/>
                  <w:marRight w:val="0"/>
                  <w:marTop w:val="0"/>
                  <w:marBottom w:val="0"/>
                  <w:divBdr>
                    <w:top w:val="none" w:sz="0" w:space="0" w:color="auto"/>
                    <w:left w:val="none" w:sz="0" w:space="0" w:color="auto"/>
                    <w:bottom w:val="none" w:sz="0" w:space="0" w:color="auto"/>
                    <w:right w:val="none" w:sz="0" w:space="0" w:color="auto"/>
                  </w:divBdr>
                </w:div>
              </w:divsChild>
            </w:div>
            <w:div w:id="1034695736">
              <w:marLeft w:val="0"/>
              <w:marRight w:val="0"/>
              <w:marTop w:val="0"/>
              <w:marBottom w:val="0"/>
              <w:divBdr>
                <w:top w:val="none" w:sz="0" w:space="0" w:color="auto"/>
                <w:left w:val="none" w:sz="0" w:space="0" w:color="auto"/>
                <w:bottom w:val="none" w:sz="0" w:space="0" w:color="auto"/>
                <w:right w:val="none" w:sz="0" w:space="0" w:color="auto"/>
              </w:divBdr>
              <w:divsChild>
                <w:div w:id="836185967">
                  <w:marLeft w:val="0"/>
                  <w:marRight w:val="0"/>
                  <w:marTop w:val="0"/>
                  <w:marBottom w:val="0"/>
                  <w:divBdr>
                    <w:top w:val="none" w:sz="0" w:space="0" w:color="auto"/>
                    <w:left w:val="none" w:sz="0" w:space="0" w:color="auto"/>
                    <w:bottom w:val="none" w:sz="0" w:space="0" w:color="auto"/>
                    <w:right w:val="none" w:sz="0" w:space="0" w:color="auto"/>
                  </w:divBdr>
                </w:div>
              </w:divsChild>
            </w:div>
            <w:div w:id="474835506">
              <w:marLeft w:val="0"/>
              <w:marRight w:val="0"/>
              <w:marTop w:val="0"/>
              <w:marBottom w:val="0"/>
              <w:divBdr>
                <w:top w:val="none" w:sz="0" w:space="0" w:color="auto"/>
                <w:left w:val="none" w:sz="0" w:space="0" w:color="auto"/>
                <w:bottom w:val="none" w:sz="0" w:space="0" w:color="auto"/>
                <w:right w:val="none" w:sz="0" w:space="0" w:color="auto"/>
              </w:divBdr>
              <w:divsChild>
                <w:div w:id="1299457611">
                  <w:marLeft w:val="0"/>
                  <w:marRight w:val="0"/>
                  <w:marTop w:val="0"/>
                  <w:marBottom w:val="0"/>
                  <w:divBdr>
                    <w:top w:val="none" w:sz="0" w:space="0" w:color="auto"/>
                    <w:left w:val="none" w:sz="0" w:space="0" w:color="auto"/>
                    <w:bottom w:val="none" w:sz="0" w:space="0" w:color="auto"/>
                    <w:right w:val="none" w:sz="0" w:space="0" w:color="auto"/>
                  </w:divBdr>
                </w:div>
              </w:divsChild>
            </w:div>
            <w:div w:id="1553030849">
              <w:marLeft w:val="0"/>
              <w:marRight w:val="0"/>
              <w:marTop w:val="0"/>
              <w:marBottom w:val="0"/>
              <w:divBdr>
                <w:top w:val="none" w:sz="0" w:space="0" w:color="auto"/>
                <w:left w:val="none" w:sz="0" w:space="0" w:color="auto"/>
                <w:bottom w:val="none" w:sz="0" w:space="0" w:color="auto"/>
                <w:right w:val="none" w:sz="0" w:space="0" w:color="auto"/>
              </w:divBdr>
              <w:divsChild>
                <w:div w:id="731583358">
                  <w:marLeft w:val="0"/>
                  <w:marRight w:val="0"/>
                  <w:marTop w:val="0"/>
                  <w:marBottom w:val="0"/>
                  <w:divBdr>
                    <w:top w:val="none" w:sz="0" w:space="0" w:color="auto"/>
                    <w:left w:val="none" w:sz="0" w:space="0" w:color="auto"/>
                    <w:bottom w:val="none" w:sz="0" w:space="0" w:color="auto"/>
                    <w:right w:val="none" w:sz="0" w:space="0" w:color="auto"/>
                  </w:divBdr>
                </w:div>
              </w:divsChild>
            </w:div>
            <w:div w:id="2032488300">
              <w:marLeft w:val="0"/>
              <w:marRight w:val="0"/>
              <w:marTop w:val="0"/>
              <w:marBottom w:val="0"/>
              <w:divBdr>
                <w:top w:val="none" w:sz="0" w:space="0" w:color="auto"/>
                <w:left w:val="none" w:sz="0" w:space="0" w:color="auto"/>
                <w:bottom w:val="none" w:sz="0" w:space="0" w:color="auto"/>
                <w:right w:val="none" w:sz="0" w:space="0" w:color="auto"/>
              </w:divBdr>
              <w:divsChild>
                <w:div w:id="64909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6423">
          <w:marLeft w:val="0"/>
          <w:marRight w:val="0"/>
          <w:marTop w:val="0"/>
          <w:marBottom w:val="600"/>
          <w:divBdr>
            <w:top w:val="none" w:sz="0" w:space="0" w:color="auto"/>
            <w:left w:val="none" w:sz="0" w:space="0" w:color="auto"/>
            <w:bottom w:val="none" w:sz="0" w:space="0" w:color="auto"/>
            <w:right w:val="none" w:sz="0" w:space="0" w:color="auto"/>
          </w:divBdr>
        </w:div>
      </w:divsChild>
    </w:div>
    <w:div w:id="1679576872">
      <w:marLeft w:val="0"/>
      <w:marRight w:val="0"/>
      <w:marTop w:val="0"/>
      <w:marBottom w:val="0"/>
      <w:divBdr>
        <w:top w:val="none" w:sz="0" w:space="0" w:color="auto"/>
        <w:left w:val="none" w:sz="0" w:space="0" w:color="auto"/>
        <w:bottom w:val="none" w:sz="0" w:space="0" w:color="auto"/>
        <w:right w:val="none" w:sz="0" w:space="0" w:color="auto"/>
      </w:divBdr>
      <w:divsChild>
        <w:div w:id="750082496">
          <w:marLeft w:val="0"/>
          <w:marRight w:val="0"/>
          <w:marTop w:val="547"/>
          <w:marBottom w:val="0"/>
          <w:divBdr>
            <w:top w:val="none" w:sz="0" w:space="0" w:color="auto"/>
            <w:left w:val="none" w:sz="0" w:space="0" w:color="auto"/>
            <w:bottom w:val="none" w:sz="0" w:space="0" w:color="auto"/>
            <w:right w:val="none" w:sz="0" w:space="0" w:color="auto"/>
          </w:divBdr>
        </w:div>
        <w:div w:id="986782735">
          <w:marLeft w:val="0"/>
          <w:marRight w:val="0"/>
          <w:marTop w:val="0"/>
          <w:marBottom w:val="0"/>
          <w:divBdr>
            <w:top w:val="none" w:sz="0" w:space="0" w:color="auto"/>
            <w:left w:val="none" w:sz="0" w:space="0" w:color="auto"/>
            <w:bottom w:val="none" w:sz="0" w:space="0" w:color="auto"/>
            <w:right w:val="none" w:sz="0" w:space="0" w:color="auto"/>
          </w:divBdr>
        </w:div>
        <w:div w:id="1855224183">
          <w:marLeft w:val="0"/>
          <w:marRight w:val="0"/>
          <w:marTop w:val="0"/>
          <w:marBottom w:val="600"/>
          <w:divBdr>
            <w:top w:val="none" w:sz="0" w:space="0" w:color="auto"/>
            <w:left w:val="none" w:sz="0" w:space="0" w:color="auto"/>
            <w:bottom w:val="none" w:sz="0" w:space="0" w:color="auto"/>
            <w:right w:val="none" w:sz="0" w:space="0" w:color="auto"/>
          </w:divBdr>
        </w:div>
      </w:divsChild>
    </w:div>
    <w:div w:id="1687904581">
      <w:marLeft w:val="0"/>
      <w:marRight w:val="0"/>
      <w:marTop w:val="0"/>
      <w:marBottom w:val="0"/>
      <w:divBdr>
        <w:top w:val="none" w:sz="0" w:space="0" w:color="auto"/>
        <w:left w:val="none" w:sz="0" w:space="0" w:color="auto"/>
        <w:bottom w:val="none" w:sz="0" w:space="0" w:color="auto"/>
        <w:right w:val="none" w:sz="0" w:space="0" w:color="auto"/>
      </w:divBdr>
      <w:divsChild>
        <w:div w:id="720330925">
          <w:marLeft w:val="0"/>
          <w:marRight w:val="0"/>
          <w:marTop w:val="547"/>
          <w:marBottom w:val="0"/>
          <w:divBdr>
            <w:top w:val="none" w:sz="0" w:space="0" w:color="auto"/>
            <w:left w:val="none" w:sz="0" w:space="0" w:color="auto"/>
            <w:bottom w:val="none" w:sz="0" w:space="0" w:color="auto"/>
            <w:right w:val="none" w:sz="0" w:space="0" w:color="auto"/>
          </w:divBdr>
        </w:div>
        <w:div w:id="1696732674">
          <w:marLeft w:val="0"/>
          <w:marRight w:val="0"/>
          <w:marTop w:val="0"/>
          <w:marBottom w:val="0"/>
          <w:divBdr>
            <w:top w:val="none" w:sz="0" w:space="0" w:color="auto"/>
            <w:left w:val="none" w:sz="0" w:space="0" w:color="auto"/>
            <w:bottom w:val="none" w:sz="0" w:space="0" w:color="auto"/>
            <w:right w:val="none" w:sz="0" w:space="0" w:color="auto"/>
          </w:divBdr>
        </w:div>
        <w:div w:id="1473130448">
          <w:marLeft w:val="0"/>
          <w:marRight w:val="0"/>
          <w:marTop w:val="0"/>
          <w:marBottom w:val="600"/>
          <w:divBdr>
            <w:top w:val="none" w:sz="0" w:space="0" w:color="auto"/>
            <w:left w:val="none" w:sz="0" w:space="0" w:color="auto"/>
            <w:bottom w:val="none" w:sz="0" w:space="0" w:color="auto"/>
            <w:right w:val="none" w:sz="0" w:space="0" w:color="auto"/>
          </w:divBdr>
        </w:div>
      </w:divsChild>
    </w:div>
    <w:div w:id="1695888122">
      <w:marLeft w:val="0"/>
      <w:marRight w:val="0"/>
      <w:marTop w:val="0"/>
      <w:marBottom w:val="0"/>
      <w:divBdr>
        <w:top w:val="none" w:sz="0" w:space="0" w:color="auto"/>
        <w:left w:val="none" w:sz="0" w:space="0" w:color="auto"/>
        <w:bottom w:val="none" w:sz="0" w:space="0" w:color="auto"/>
        <w:right w:val="none" w:sz="0" w:space="0" w:color="auto"/>
      </w:divBdr>
      <w:divsChild>
        <w:div w:id="1335646164">
          <w:marLeft w:val="0"/>
          <w:marRight w:val="0"/>
          <w:marTop w:val="547"/>
          <w:marBottom w:val="0"/>
          <w:divBdr>
            <w:top w:val="none" w:sz="0" w:space="0" w:color="auto"/>
            <w:left w:val="none" w:sz="0" w:space="0" w:color="auto"/>
            <w:bottom w:val="none" w:sz="0" w:space="0" w:color="auto"/>
            <w:right w:val="none" w:sz="0" w:space="0" w:color="auto"/>
          </w:divBdr>
        </w:div>
        <w:div w:id="582497973">
          <w:marLeft w:val="0"/>
          <w:marRight w:val="0"/>
          <w:marTop w:val="0"/>
          <w:marBottom w:val="0"/>
          <w:divBdr>
            <w:top w:val="none" w:sz="0" w:space="0" w:color="auto"/>
            <w:left w:val="none" w:sz="0" w:space="0" w:color="auto"/>
            <w:bottom w:val="none" w:sz="0" w:space="0" w:color="auto"/>
            <w:right w:val="none" w:sz="0" w:space="0" w:color="auto"/>
          </w:divBdr>
          <w:divsChild>
            <w:div w:id="1352489413">
              <w:marLeft w:val="0"/>
              <w:marRight w:val="0"/>
              <w:marTop w:val="0"/>
              <w:marBottom w:val="0"/>
              <w:divBdr>
                <w:top w:val="none" w:sz="0" w:space="0" w:color="auto"/>
                <w:left w:val="none" w:sz="0" w:space="0" w:color="auto"/>
                <w:bottom w:val="none" w:sz="0" w:space="0" w:color="auto"/>
                <w:right w:val="none" w:sz="0" w:space="0" w:color="auto"/>
              </w:divBdr>
              <w:divsChild>
                <w:div w:id="250699691">
                  <w:marLeft w:val="0"/>
                  <w:marRight w:val="0"/>
                  <w:marTop w:val="0"/>
                  <w:marBottom w:val="0"/>
                  <w:divBdr>
                    <w:top w:val="none" w:sz="0" w:space="0" w:color="auto"/>
                    <w:left w:val="none" w:sz="0" w:space="0" w:color="auto"/>
                    <w:bottom w:val="none" w:sz="0" w:space="0" w:color="auto"/>
                    <w:right w:val="none" w:sz="0" w:space="0" w:color="auto"/>
                  </w:divBdr>
                </w:div>
              </w:divsChild>
            </w:div>
            <w:div w:id="1727490757">
              <w:marLeft w:val="0"/>
              <w:marRight w:val="0"/>
              <w:marTop w:val="0"/>
              <w:marBottom w:val="0"/>
              <w:divBdr>
                <w:top w:val="none" w:sz="0" w:space="0" w:color="auto"/>
                <w:left w:val="none" w:sz="0" w:space="0" w:color="auto"/>
                <w:bottom w:val="none" w:sz="0" w:space="0" w:color="auto"/>
                <w:right w:val="none" w:sz="0" w:space="0" w:color="auto"/>
              </w:divBdr>
              <w:divsChild>
                <w:div w:id="246353914">
                  <w:marLeft w:val="0"/>
                  <w:marRight w:val="0"/>
                  <w:marTop w:val="0"/>
                  <w:marBottom w:val="0"/>
                  <w:divBdr>
                    <w:top w:val="none" w:sz="0" w:space="0" w:color="auto"/>
                    <w:left w:val="none" w:sz="0" w:space="0" w:color="auto"/>
                    <w:bottom w:val="none" w:sz="0" w:space="0" w:color="auto"/>
                    <w:right w:val="none" w:sz="0" w:space="0" w:color="auto"/>
                  </w:divBdr>
                </w:div>
              </w:divsChild>
            </w:div>
            <w:div w:id="566695832">
              <w:marLeft w:val="0"/>
              <w:marRight w:val="0"/>
              <w:marTop w:val="0"/>
              <w:marBottom w:val="0"/>
              <w:divBdr>
                <w:top w:val="none" w:sz="0" w:space="0" w:color="auto"/>
                <w:left w:val="none" w:sz="0" w:space="0" w:color="auto"/>
                <w:bottom w:val="none" w:sz="0" w:space="0" w:color="auto"/>
                <w:right w:val="none" w:sz="0" w:space="0" w:color="auto"/>
              </w:divBdr>
              <w:divsChild>
                <w:div w:id="1091776399">
                  <w:marLeft w:val="0"/>
                  <w:marRight w:val="0"/>
                  <w:marTop w:val="0"/>
                  <w:marBottom w:val="0"/>
                  <w:divBdr>
                    <w:top w:val="none" w:sz="0" w:space="0" w:color="auto"/>
                    <w:left w:val="none" w:sz="0" w:space="0" w:color="auto"/>
                    <w:bottom w:val="none" w:sz="0" w:space="0" w:color="auto"/>
                    <w:right w:val="none" w:sz="0" w:space="0" w:color="auto"/>
                  </w:divBdr>
                </w:div>
              </w:divsChild>
            </w:div>
            <w:div w:id="722099594">
              <w:marLeft w:val="0"/>
              <w:marRight w:val="0"/>
              <w:marTop w:val="0"/>
              <w:marBottom w:val="0"/>
              <w:divBdr>
                <w:top w:val="none" w:sz="0" w:space="0" w:color="auto"/>
                <w:left w:val="none" w:sz="0" w:space="0" w:color="auto"/>
                <w:bottom w:val="none" w:sz="0" w:space="0" w:color="auto"/>
                <w:right w:val="none" w:sz="0" w:space="0" w:color="auto"/>
              </w:divBdr>
              <w:divsChild>
                <w:div w:id="6771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1699">
          <w:marLeft w:val="0"/>
          <w:marRight w:val="0"/>
          <w:marTop w:val="0"/>
          <w:marBottom w:val="600"/>
          <w:divBdr>
            <w:top w:val="none" w:sz="0" w:space="0" w:color="auto"/>
            <w:left w:val="none" w:sz="0" w:space="0" w:color="auto"/>
            <w:bottom w:val="none" w:sz="0" w:space="0" w:color="auto"/>
            <w:right w:val="none" w:sz="0" w:space="0" w:color="auto"/>
          </w:divBdr>
        </w:div>
      </w:divsChild>
    </w:div>
    <w:div w:id="1715614973">
      <w:marLeft w:val="0"/>
      <w:marRight w:val="0"/>
      <w:marTop w:val="0"/>
      <w:marBottom w:val="0"/>
      <w:divBdr>
        <w:top w:val="none" w:sz="0" w:space="0" w:color="auto"/>
        <w:left w:val="none" w:sz="0" w:space="0" w:color="auto"/>
        <w:bottom w:val="none" w:sz="0" w:space="0" w:color="auto"/>
        <w:right w:val="none" w:sz="0" w:space="0" w:color="auto"/>
      </w:divBdr>
      <w:divsChild>
        <w:div w:id="1151094527">
          <w:marLeft w:val="0"/>
          <w:marRight w:val="0"/>
          <w:marTop w:val="547"/>
          <w:marBottom w:val="0"/>
          <w:divBdr>
            <w:top w:val="none" w:sz="0" w:space="0" w:color="auto"/>
            <w:left w:val="none" w:sz="0" w:space="0" w:color="auto"/>
            <w:bottom w:val="none" w:sz="0" w:space="0" w:color="auto"/>
            <w:right w:val="none" w:sz="0" w:space="0" w:color="auto"/>
          </w:divBdr>
        </w:div>
        <w:div w:id="1963881318">
          <w:marLeft w:val="0"/>
          <w:marRight w:val="0"/>
          <w:marTop w:val="0"/>
          <w:marBottom w:val="0"/>
          <w:divBdr>
            <w:top w:val="none" w:sz="0" w:space="0" w:color="auto"/>
            <w:left w:val="none" w:sz="0" w:space="0" w:color="auto"/>
            <w:bottom w:val="none" w:sz="0" w:space="0" w:color="auto"/>
            <w:right w:val="none" w:sz="0" w:space="0" w:color="auto"/>
          </w:divBdr>
        </w:div>
        <w:div w:id="1051073784">
          <w:marLeft w:val="0"/>
          <w:marRight w:val="0"/>
          <w:marTop w:val="0"/>
          <w:marBottom w:val="600"/>
          <w:divBdr>
            <w:top w:val="none" w:sz="0" w:space="0" w:color="auto"/>
            <w:left w:val="none" w:sz="0" w:space="0" w:color="auto"/>
            <w:bottom w:val="none" w:sz="0" w:space="0" w:color="auto"/>
            <w:right w:val="none" w:sz="0" w:space="0" w:color="auto"/>
          </w:divBdr>
        </w:div>
      </w:divsChild>
    </w:div>
    <w:div w:id="1785152099">
      <w:marLeft w:val="0"/>
      <w:marRight w:val="0"/>
      <w:marTop w:val="0"/>
      <w:marBottom w:val="0"/>
      <w:divBdr>
        <w:top w:val="none" w:sz="0" w:space="0" w:color="auto"/>
        <w:left w:val="none" w:sz="0" w:space="0" w:color="auto"/>
        <w:bottom w:val="none" w:sz="0" w:space="0" w:color="auto"/>
        <w:right w:val="none" w:sz="0" w:space="0" w:color="auto"/>
      </w:divBdr>
      <w:divsChild>
        <w:div w:id="125318443">
          <w:marLeft w:val="0"/>
          <w:marRight w:val="0"/>
          <w:marTop w:val="547"/>
          <w:marBottom w:val="0"/>
          <w:divBdr>
            <w:top w:val="none" w:sz="0" w:space="0" w:color="auto"/>
            <w:left w:val="none" w:sz="0" w:space="0" w:color="auto"/>
            <w:bottom w:val="none" w:sz="0" w:space="0" w:color="auto"/>
            <w:right w:val="none" w:sz="0" w:space="0" w:color="auto"/>
          </w:divBdr>
        </w:div>
        <w:div w:id="1560433468">
          <w:marLeft w:val="0"/>
          <w:marRight w:val="0"/>
          <w:marTop w:val="0"/>
          <w:marBottom w:val="0"/>
          <w:divBdr>
            <w:top w:val="none" w:sz="0" w:space="0" w:color="auto"/>
            <w:left w:val="none" w:sz="0" w:space="0" w:color="auto"/>
            <w:bottom w:val="none" w:sz="0" w:space="0" w:color="auto"/>
            <w:right w:val="none" w:sz="0" w:space="0" w:color="auto"/>
          </w:divBdr>
        </w:div>
        <w:div w:id="1026100865">
          <w:marLeft w:val="0"/>
          <w:marRight w:val="0"/>
          <w:marTop w:val="0"/>
          <w:marBottom w:val="600"/>
          <w:divBdr>
            <w:top w:val="none" w:sz="0" w:space="0" w:color="auto"/>
            <w:left w:val="none" w:sz="0" w:space="0" w:color="auto"/>
            <w:bottom w:val="none" w:sz="0" w:space="0" w:color="auto"/>
            <w:right w:val="none" w:sz="0" w:space="0" w:color="auto"/>
          </w:divBdr>
        </w:div>
      </w:divsChild>
    </w:div>
    <w:div w:id="1816482951">
      <w:marLeft w:val="0"/>
      <w:marRight w:val="0"/>
      <w:marTop w:val="0"/>
      <w:marBottom w:val="0"/>
      <w:divBdr>
        <w:top w:val="none" w:sz="0" w:space="0" w:color="auto"/>
        <w:left w:val="none" w:sz="0" w:space="0" w:color="auto"/>
        <w:bottom w:val="none" w:sz="0" w:space="0" w:color="auto"/>
        <w:right w:val="none" w:sz="0" w:space="0" w:color="auto"/>
      </w:divBdr>
      <w:divsChild>
        <w:div w:id="804814350">
          <w:marLeft w:val="0"/>
          <w:marRight w:val="0"/>
          <w:marTop w:val="547"/>
          <w:marBottom w:val="0"/>
          <w:divBdr>
            <w:top w:val="none" w:sz="0" w:space="0" w:color="auto"/>
            <w:left w:val="none" w:sz="0" w:space="0" w:color="auto"/>
            <w:bottom w:val="none" w:sz="0" w:space="0" w:color="auto"/>
            <w:right w:val="none" w:sz="0" w:space="0" w:color="auto"/>
          </w:divBdr>
        </w:div>
        <w:div w:id="1784374577">
          <w:marLeft w:val="0"/>
          <w:marRight w:val="0"/>
          <w:marTop w:val="0"/>
          <w:marBottom w:val="0"/>
          <w:divBdr>
            <w:top w:val="none" w:sz="0" w:space="0" w:color="auto"/>
            <w:left w:val="none" w:sz="0" w:space="0" w:color="auto"/>
            <w:bottom w:val="none" w:sz="0" w:space="0" w:color="auto"/>
            <w:right w:val="none" w:sz="0" w:space="0" w:color="auto"/>
          </w:divBdr>
          <w:divsChild>
            <w:div w:id="1991713705">
              <w:marLeft w:val="0"/>
              <w:marRight w:val="0"/>
              <w:marTop w:val="0"/>
              <w:marBottom w:val="0"/>
              <w:divBdr>
                <w:top w:val="none" w:sz="0" w:space="0" w:color="auto"/>
                <w:left w:val="none" w:sz="0" w:space="0" w:color="auto"/>
                <w:bottom w:val="none" w:sz="0" w:space="0" w:color="auto"/>
                <w:right w:val="none" w:sz="0" w:space="0" w:color="auto"/>
              </w:divBdr>
              <w:divsChild>
                <w:div w:id="91169854">
                  <w:marLeft w:val="0"/>
                  <w:marRight w:val="0"/>
                  <w:marTop w:val="0"/>
                  <w:marBottom w:val="0"/>
                  <w:divBdr>
                    <w:top w:val="none" w:sz="0" w:space="0" w:color="auto"/>
                    <w:left w:val="none" w:sz="0" w:space="0" w:color="auto"/>
                    <w:bottom w:val="none" w:sz="0" w:space="0" w:color="auto"/>
                    <w:right w:val="none" w:sz="0" w:space="0" w:color="auto"/>
                  </w:divBdr>
                </w:div>
              </w:divsChild>
            </w:div>
            <w:div w:id="678510677">
              <w:marLeft w:val="0"/>
              <w:marRight w:val="0"/>
              <w:marTop w:val="0"/>
              <w:marBottom w:val="0"/>
              <w:divBdr>
                <w:top w:val="none" w:sz="0" w:space="0" w:color="auto"/>
                <w:left w:val="none" w:sz="0" w:space="0" w:color="auto"/>
                <w:bottom w:val="none" w:sz="0" w:space="0" w:color="auto"/>
                <w:right w:val="none" w:sz="0" w:space="0" w:color="auto"/>
              </w:divBdr>
              <w:divsChild>
                <w:div w:id="545335316">
                  <w:marLeft w:val="0"/>
                  <w:marRight w:val="0"/>
                  <w:marTop w:val="0"/>
                  <w:marBottom w:val="0"/>
                  <w:divBdr>
                    <w:top w:val="none" w:sz="0" w:space="0" w:color="auto"/>
                    <w:left w:val="none" w:sz="0" w:space="0" w:color="auto"/>
                    <w:bottom w:val="none" w:sz="0" w:space="0" w:color="auto"/>
                    <w:right w:val="none" w:sz="0" w:space="0" w:color="auto"/>
                  </w:divBdr>
                </w:div>
              </w:divsChild>
            </w:div>
            <w:div w:id="1188837324">
              <w:marLeft w:val="0"/>
              <w:marRight w:val="0"/>
              <w:marTop w:val="0"/>
              <w:marBottom w:val="0"/>
              <w:divBdr>
                <w:top w:val="none" w:sz="0" w:space="0" w:color="auto"/>
                <w:left w:val="none" w:sz="0" w:space="0" w:color="auto"/>
                <w:bottom w:val="none" w:sz="0" w:space="0" w:color="auto"/>
                <w:right w:val="none" w:sz="0" w:space="0" w:color="auto"/>
              </w:divBdr>
              <w:divsChild>
                <w:div w:id="512304890">
                  <w:marLeft w:val="0"/>
                  <w:marRight w:val="0"/>
                  <w:marTop w:val="0"/>
                  <w:marBottom w:val="0"/>
                  <w:divBdr>
                    <w:top w:val="none" w:sz="0" w:space="0" w:color="auto"/>
                    <w:left w:val="none" w:sz="0" w:space="0" w:color="auto"/>
                    <w:bottom w:val="none" w:sz="0" w:space="0" w:color="auto"/>
                    <w:right w:val="none" w:sz="0" w:space="0" w:color="auto"/>
                  </w:divBdr>
                </w:div>
              </w:divsChild>
            </w:div>
            <w:div w:id="1970354924">
              <w:marLeft w:val="0"/>
              <w:marRight w:val="0"/>
              <w:marTop w:val="0"/>
              <w:marBottom w:val="0"/>
              <w:divBdr>
                <w:top w:val="none" w:sz="0" w:space="0" w:color="auto"/>
                <w:left w:val="none" w:sz="0" w:space="0" w:color="auto"/>
                <w:bottom w:val="none" w:sz="0" w:space="0" w:color="auto"/>
                <w:right w:val="none" w:sz="0" w:space="0" w:color="auto"/>
              </w:divBdr>
              <w:divsChild>
                <w:div w:id="798766931">
                  <w:marLeft w:val="0"/>
                  <w:marRight w:val="0"/>
                  <w:marTop w:val="0"/>
                  <w:marBottom w:val="0"/>
                  <w:divBdr>
                    <w:top w:val="none" w:sz="0" w:space="0" w:color="auto"/>
                    <w:left w:val="none" w:sz="0" w:space="0" w:color="auto"/>
                    <w:bottom w:val="none" w:sz="0" w:space="0" w:color="auto"/>
                    <w:right w:val="none" w:sz="0" w:space="0" w:color="auto"/>
                  </w:divBdr>
                </w:div>
              </w:divsChild>
            </w:div>
            <w:div w:id="1511675121">
              <w:marLeft w:val="0"/>
              <w:marRight w:val="0"/>
              <w:marTop w:val="0"/>
              <w:marBottom w:val="0"/>
              <w:divBdr>
                <w:top w:val="none" w:sz="0" w:space="0" w:color="auto"/>
                <w:left w:val="none" w:sz="0" w:space="0" w:color="auto"/>
                <w:bottom w:val="none" w:sz="0" w:space="0" w:color="auto"/>
                <w:right w:val="none" w:sz="0" w:space="0" w:color="auto"/>
              </w:divBdr>
              <w:divsChild>
                <w:div w:id="2140024878">
                  <w:marLeft w:val="0"/>
                  <w:marRight w:val="0"/>
                  <w:marTop w:val="0"/>
                  <w:marBottom w:val="0"/>
                  <w:divBdr>
                    <w:top w:val="none" w:sz="0" w:space="0" w:color="auto"/>
                    <w:left w:val="none" w:sz="0" w:space="0" w:color="auto"/>
                    <w:bottom w:val="none" w:sz="0" w:space="0" w:color="auto"/>
                    <w:right w:val="none" w:sz="0" w:space="0" w:color="auto"/>
                  </w:divBdr>
                </w:div>
              </w:divsChild>
            </w:div>
            <w:div w:id="1470241164">
              <w:marLeft w:val="0"/>
              <w:marRight w:val="0"/>
              <w:marTop w:val="0"/>
              <w:marBottom w:val="0"/>
              <w:divBdr>
                <w:top w:val="none" w:sz="0" w:space="0" w:color="auto"/>
                <w:left w:val="none" w:sz="0" w:space="0" w:color="auto"/>
                <w:bottom w:val="none" w:sz="0" w:space="0" w:color="auto"/>
                <w:right w:val="none" w:sz="0" w:space="0" w:color="auto"/>
              </w:divBdr>
              <w:divsChild>
                <w:div w:id="828252508">
                  <w:marLeft w:val="0"/>
                  <w:marRight w:val="0"/>
                  <w:marTop w:val="0"/>
                  <w:marBottom w:val="0"/>
                  <w:divBdr>
                    <w:top w:val="none" w:sz="0" w:space="0" w:color="auto"/>
                    <w:left w:val="none" w:sz="0" w:space="0" w:color="auto"/>
                    <w:bottom w:val="none" w:sz="0" w:space="0" w:color="auto"/>
                    <w:right w:val="none" w:sz="0" w:space="0" w:color="auto"/>
                  </w:divBdr>
                </w:div>
              </w:divsChild>
            </w:div>
            <w:div w:id="1066341998">
              <w:marLeft w:val="0"/>
              <w:marRight w:val="0"/>
              <w:marTop w:val="0"/>
              <w:marBottom w:val="0"/>
              <w:divBdr>
                <w:top w:val="none" w:sz="0" w:space="0" w:color="auto"/>
                <w:left w:val="none" w:sz="0" w:space="0" w:color="auto"/>
                <w:bottom w:val="none" w:sz="0" w:space="0" w:color="auto"/>
                <w:right w:val="none" w:sz="0" w:space="0" w:color="auto"/>
              </w:divBdr>
              <w:divsChild>
                <w:div w:id="466553308">
                  <w:marLeft w:val="0"/>
                  <w:marRight w:val="0"/>
                  <w:marTop w:val="0"/>
                  <w:marBottom w:val="0"/>
                  <w:divBdr>
                    <w:top w:val="none" w:sz="0" w:space="0" w:color="auto"/>
                    <w:left w:val="none" w:sz="0" w:space="0" w:color="auto"/>
                    <w:bottom w:val="none" w:sz="0" w:space="0" w:color="auto"/>
                    <w:right w:val="none" w:sz="0" w:space="0" w:color="auto"/>
                  </w:divBdr>
                </w:div>
              </w:divsChild>
            </w:div>
            <w:div w:id="157816545">
              <w:marLeft w:val="0"/>
              <w:marRight w:val="0"/>
              <w:marTop w:val="0"/>
              <w:marBottom w:val="0"/>
              <w:divBdr>
                <w:top w:val="none" w:sz="0" w:space="0" w:color="auto"/>
                <w:left w:val="none" w:sz="0" w:space="0" w:color="auto"/>
                <w:bottom w:val="none" w:sz="0" w:space="0" w:color="auto"/>
                <w:right w:val="none" w:sz="0" w:space="0" w:color="auto"/>
              </w:divBdr>
              <w:divsChild>
                <w:div w:id="464860901">
                  <w:marLeft w:val="0"/>
                  <w:marRight w:val="0"/>
                  <w:marTop w:val="0"/>
                  <w:marBottom w:val="0"/>
                  <w:divBdr>
                    <w:top w:val="none" w:sz="0" w:space="0" w:color="auto"/>
                    <w:left w:val="none" w:sz="0" w:space="0" w:color="auto"/>
                    <w:bottom w:val="none" w:sz="0" w:space="0" w:color="auto"/>
                    <w:right w:val="none" w:sz="0" w:space="0" w:color="auto"/>
                  </w:divBdr>
                </w:div>
              </w:divsChild>
            </w:div>
            <w:div w:id="1106005464">
              <w:marLeft w:val="0"/>
              <w:marRight w:val="0"/>
              <w:marTop w:val="0"/>
              <w:marBottom w:val="0"/>
              <w:divBdr>
                <w:top w:val="none" w:sz="0" w:space="0" w:color="auto"/>
                <w:left w:val="none" w:sz="0" w:space="0" w:color="auto"/>
                <w:bottom w:val="none" w:sz="0" w:space="0" w:color="auto"/>
                <w:right w:val="none" w:sz="0" w:space="0" w:color="auto"/>
              </w:divBdr>
              <w:divsChild>
                <w:div w:id="13483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65725">
          <w:marLeft w:val="0"/>
          <w:marRight w:val="0"/>
          <w:marTop w:val="0"/>
          <w:marBottom w:val="600"/>
          <w:divBdr>
            <w:top w:val="none" w:sz="0" w:space="0" w:color="auto"/>
            <w:left w:val="none" w:sz="0" w:space="0" w:color="auto"/>
            <w:bottom w:val="none" w:sz="0" w:space="0" w:color="auto"/>
            <w:right w:val="none" w:sz="0" w:space="0" w:color="auto"/>
          </w:divBdr>
        </w:div>
      </w:divsChild>
    </w:div>
    <w:div w:id="1850753204">
      <w:marLeft w:val="0"/>
      <w:marRight w:val="0"/>
      <w:marTop w:val="0"/>
      <w:marBottom w:val="0"/>
      <w:divBdr>
        <w:top w:val="none" w:sz="0" w:space="0" w:color="auto"/>
        <w:left w:val="none" w:sz="0" w:space="0" w:color="auto"/>
        <w:bottom w:val="none" w:sz="0" w:space="0" w:color="auto"/>
        <w:right w:val="none" w:sz="0" w:space="0" w:color="auto"/>
      </w:divBdr>
      <w:divsChild>
        <w:div w:id="709843302">
          <w:marLeft w:val="0"/>
          <w:marRight w:val="0"/>
          <w:marTop w:val="547"/>
          <w:marBottom w:val="0"/>
          <w:divBdr>
            <w:top w:val="none" w:sz="0" w:space="0" w:color="auto"/>
            <w:left w:val="none" w:sz="0" w:space="0" w:color="auto"/>
            <w:bottom w:val="none" w:sz="0" w:space="0" w:color="auto"/>
            <w:right w:val="none" w:sz="0" w:space="0" w:color="auto"/>
          </w:divBdr>
        </w:div>
        <w:div w:id="1396006898">
          <w:marLeft w:val="0"/>
          <w:marRight w:val="0"/>
          <w:marTop w:val="0"/>
          <w:marBottom w:val="0"/>
          <w:divBdr>
            <w:top w:val="none" w:sz="0" w:space="0" w:color="auto"/>
            <w:left w:val="none" w:sz="0" w:space="0" w:color="auto"/>
            <w:bottom w:val="none" w:sz="0" w:space="0" w:color="auto"/>
            <w:right w:val="none" w:sz="0" w:space="0" w:color="auto"/>
          </w:divBdr>
          <w:divsChild>
            <w:div w:id="898705400">
              <w:marLeft w:val="0"/>
              <w:marRight w:val="0"/>
              <w:marTop w:val="0"/>
              <w:marBottom w:val="0"/>
              <w:divBdr>
                <w:top w:val="none" w:sz="0" w:space="0" w:color="auto"/>
                <w:left w:val="none" w:sz="0" w:space="0" w:color="auto"/>
                <w:bottom w:val="none" w:sz="0" w:space="0" w:color="auto"/>
                <w:right w:val="none" w:sz="0" w:space="0" w:color="auto"/>
              </w:divBdr>
              <w:divsChild>
                <w:div w:id="898786202">
                  <w:marLeft w:val="0"/>
                  <w:marRight w:val="0"/>
                  <w:marTop w:val="0"/>
                  <w:marBottom w:val="0"/>
                  <w:divBdr>
                    <w:top w:val="none" w:sz="0" w:space="0" w:color="auto"/>
                    <w:left w:val="none" w:sz="0" w:space="0" w:color="auto"/>
                    <w:bottom w:val="none" w:sz="0" w:space="0" w:color="auto"/>
                    <w:right w:val="none" w:sz="0" w:space="0" w:color="auto"/>
                  </w:divBdr>
                </w:div>
              </w:divsChild>
            </w:div>
            <w:div w:id="1848405569">
              <w:marLeft w:val="0"/>
              <w:marRight w:val="0"/>
              <w:marTop w:val="0"/>
              <w:marBottom w:val="0"/>
              <w:divBdr>
                <w:top w:val="none" w:sz="0" w:space="0" w:color="auto"/>
                <w:left w:val="none" w:sz="0" w:space="0" w:color="auto"/>
                <w:bottom w:val="none" w:sz="0" w:space="0" w:color="auto"/>
                <w:right w:val="none" w:sz="0" w:space="0" w:color="auto"/>
              </w:divBdr>
              <w:divsChild>
                <w:div w:id="2055037234">
                  <w:marLeft w:val="0"/>
                  <w:marRight w:val="0"/>
                  <w:marTop w:val="0"/>
                  <w:marBottom w:val="0"/>
                  <w:divBdr>
                    <w:top w:val="none" w:sz="0" w:space="0" w:color="auto"/>
                    <w:left w:val="none" w:sz="0" w:space="0" w:color="auto"/>
                    <w:bottom w:val="none" w:sz="0" w:space="0" w:color="auto"/>
                    <w:right w:val="none" w:sz="0" w:space="0" w:color="auto"/>
                  </w:divBdr>
                </w:div>
              </w:divsChild>
            </w:div>
            <w:div w:id="1705520038">
              <w:marLeft w:val="0"/>
              <w:marRight w:val="0"/>
              <w:marTop w:val="0"/>
              <w:marBottom w:val="0"/>
              <w:divBdr>
                <w:top w:val="none" w:sz="0" w:space="0" w:color="auto"/>
                <w:left w:val="none" w:sz="0" w:space="0" w:color="auto"/>
                <w:bottom w:val="none" w:sz="0" w:space="0" w:color="auto"/>
                <w:right w:val="none" w:sz="0" w:space="0" w:color="auto"/>
              </w:divBdr>
              <w:divsChild>
                <w:div w:id="1621763674">
                  <w:marLeft w:val="0"/>
                  <w:marRight w:val="0"/>
                  <w:marTop w:val="0"/>
                  <w:marBottom w:val="0"/>
                  <w:divBdr>
                    <w:top w:val="none" w:sz="0" w:space="0" w:color="auto"/>
                    <w:left w:val="none" w:sz="0" w:space="0" w:color="auto"/>
                    <w:bottom w:val="none" w:sz="0" w:space="0" w:color="auto"/>
                    <w:right w:val="none" w:sz="0" w:space="0" w:color="auto"/>
                  </w:divBdr>
                </w:div>
              </w:divsChild>
            </w:div>
            <w:div w:id="1959021158">
              <w:marLeft w:val="0"/>
              <w:marRight w:val="0"/>
              <w:marTop w:val="0"/>
              <w:marBottom w:val="0"/>
              <w:divBdr>
                <w:top w:val="none" w:sz="0" w:space="0" w:color="auto"/>
                <w:left w:val="none" w:sz="0" w:space="0" w:color="auto"/>
                <w:bottom w:val="none" w:sz="0" w:space="0" w:color="auto"/>
                <w:right w:val="none" w:sz="0" w:space="0" w:color="auto"/>
              </w:divBdr>
              <w:divsChild>
                <w:div w:id="545603448">
                  <w:marLeft w:val="0"/>
                  <w:marRight w:val="0"/>
                  <w:marTop w:val="0"/>
                  <w:marBottom w:val="0"/>
                  <w:divBdr>
                    <w:top w:val="none" w:sz="0" w:space="0" w:color="auto"/>
                    <w:left w:val="none" w:sz="0" w:space="0" w:color="auto"/>
                    <w:bottom w:val="none" w:sz="0" w:space="0" w:color="auto"/>
                    <w:right w:val="none" w:sz="0" w:space="0" w:color="auto"/>
                  </w:divBdr>
                </w:div>
              </w:divsChild>
            </w:div>
            <w:div w:id="1158696171">
              <w:marLeft w:val="0"/>
              <w:marRight w:val="0"/>
              <w:marTop w:val="0"/>
              <w:marBottom w:val="0"/>
              <w:divBdr>
                <w:top w:val="none" w:sz="0" w:space="0" w:color="auto"/>
                <w:left w:val="none" w:sz="0" w:space="0" w:color="auto"/>
                <w:bottom w:val="none" w:sz="0" w:space="0" w:color="auto"/>
                <w:right w:val="none" w:sz="0" w:space="0" w:color="auto"/>
              </w:divBdr>
              <w:divsChild>
                <w:div w:id="1188982406">
                  <w:marLeft w:val="0"/>
                  <w:marRight w:val="0"/>
                  <w:marTop w:val="0"/>
                  <w:marBottom w:val="0"/>
                  <w:divBdr>
                    <w:top w:val="none" w:sz="0" w:space="0" w:color="auto"/>
                    <w:left w:val="none" w:sz="0" w:space="0" w:color="auto"/>
                    <w:bottom w:val="none" w:sz="0" w:space="0" w:color="auto"/>
                    <w:right w:val="none" w:sz="0" w:space="0" w:color="auto"/>
                  </w:divBdr>
                </w:div>
              </w:divsChild>
            </w:div>
            <w:div w:id="1692947445">
              <w:marLeft w:val="0"/>
              <w:marRight w:val="0"/>
              <w:marTop w:val="0"/>
              <w:marBottom w:val="0"/>
              <w:divBdr>
                <w:top w:val="none" w:sz="0" w:space="0" w:color="auto"/>
                <w:left w:val="none" w:sz="0" w:space="0" w:color="auto"/>
                <w:bottom w:val="none" w:sz="0" w:space="0" w:color="auto"/>
                <w:right w:val="none" w:sz="0" w:space="0" w:color="auto"/>
              </w:divBdr>
              <w:divsChild>
                <w:div w:id="1690252010">
                  <w:marLeft w:val="0"/>
                  <w:marRight w:val="0"/>
                  <w:marTop w:val="0"/>
                  <w:marBottom w:val="0"/>
                  <w:divBdr>
                    <w:top w:val="none" w:sz="0" w:space="0" w:color="auto"/>
                    <w:left w:val="none" w:sz="0" w:space="0" w:color="auto"/>
                    <w:bottom w:val="none" w:sz="0" w:space="0" w:color="auto"/>
                    <w:right w:val="none" w:sz="0" w:space="0" w:color="auto"/>
                  </w:divBdr>
                </w:div>
              </w:divsChild>
            </w:div>
            <w:div w:id="678847034">
              <w:marLeft w:val="0"/>
              <w:marRight w:val="0"/>
              <w:marTop w:val="0"/>
              <w:marBottom w:val="0"/>
              <w:divBdr>
                <w:top w:val="none" w:sz="0" w:space="0" w:color="auto"/>
                <w:left w:val="none" w:sz="0" w:space="0" w:color="auto"/>
                <w:bottom w:val="none" w:sz="0" w:space="0" w:color="auto"/>
                <w:right w:val="none" w:sz="0" w:space="0" w:color="auto"/>
              </w:divBdr>
              <w:divsChild>
                <w:div w:id="212885325">
                  <w:marLeft w:val="0"/>
                  <w:marRight w:val="0"/>
                  <w:marTop w:val="0"/>
                  <w:marBottom w:val="0"/>
                  <w:divBdr>
                    <w:top w:val="none" w:sz="0" w:space="0" w:color="auto"/>
                    <w:left w:val="none" w:sz="0" w:space="0" w:color="auto"/>
                    <w:bottom w:val="none" w:sz="0" w:space="0" w:color="auto"/>
                    <w:right w:val="none" w:sz="0" w:space="0" w:color="auto"/>
                  </w:divBdr>
                </w:div>
              </w:divsChild>
            </w:div>
            <w:div w:id="2016882171">
              <w:marLeft w:val="0"/>
              <w:marRight w:val="0"/>
              <w:marTop w:val="0"/>
              <w:marBottom w:val="0"/>
              <w:divBdr>
                <w:top w:val="none" w:sz="0" w:space="0" w:color="auto"/>
                <w:left w:val="none" w:sz="0" w:space="0" w:color="auto"/>
                <w:bottom w:val="none" w:sz="0" w:space="0" w:color="auto"/>
                <w:right w:val="none" w:sz="0" w:space="0" w:color="auto"/>
              </w:divBdr>
              <w:divsChild>
                <w:div w:id="1676375742">
                  <w:marLeft w:val="0"/>
                  <w:marRight w:val="0"/>
                  <w:marTop w:val="0"/>
                  <w:marBottom w:val="0"/>
                  <w:divBdr>
                    <w:top w:val="none" w:sz="0" w:space="0" w:color="auto"/>
                    <w:left w:val="none" w:sz="0" w:space="0" w:color="auto"/>
                    <w:bottom w:val="none" w:sz="0" w:space="0" w:color="auto"/>
                    <w:right w:val="none" w:sz="0" w:space="0" w:color="auto"/>
                  </w:divBdr>
                </w:div>
              </w:divsChild>
            </w:div>
            <w:div w:id="677195881">
              <w:marLeft w:val="0"/>
              <w:marRight w:val="0"/>
              <w:marTop w:val="0"/>
              <w:marBottom w:val="0"/>
              <w:divBdr>
                <w:top w:val="none" w:sz="0" w:space="0" w:color="auto"/>
                <w:left w:val="none" w:sz="0" w:space="0" w:color="auto"/>
                <w:bottom w:val="none" w:sz="0" w:space="0" w:color="auto"/>
                <w:right w:val="none" w:sz="0" w:space="0" w:color="auto"/>
              </w:divBdr>
              <w:divsChild>
                <w:div w:id="2102606182">
                  <w:marLeft w:val="0"/>
                  <w:marRight w:val="0"/>
                  <w:marTop w:val="0"/>
                  <w:marBottom w:val="0"/>
                  <w:divBdr>
                    <w:top w:val="none" w:sz="0" w:space="0" w:color="auto"/>
                    <w:left w:val="none" w:sz="0" w:space="0" w:color="auto"/>
                    <w:bottom w:val="none" w:sz="0" w:space="0" w:color="auto"/>
                    <w:right w:val="none" w:sz="0" w:space="0" w:color="auto"/>
                  </w:divBdr>
                </w:div>
              </w:divsChild>
            </w:div>
            <w:div w:id="699012760">
              <w:marLeft w:val="0"/>
              <w:marRight w:val="0"/>
              <w:marTop w:val="0"/>
              <w:marBottom w:val="0"/>
              <w:divBdr>
                <w:top w:val="none" w:sz="0" w:space="0" w:color="auto"/>
                <w:left w:val="none" w:sz="0" w:space="0" w:color="auto"/>
                <w:bottom w:val="none" w:sz="0" w:space="0" w:color="auto"/>
                <w:right w:val="none" w:sz="0" w:space="0" w:color="auto"/>
              </w:divBdr>
              <w:divsChild>
                <w:div w:id="901402447">
                  <w:marLeft w:val="0"/>
                  <w:marRight w:val="0"/>
                  <w:marTop w:val="0"/>
                  <w:marBottom w:val="0"/>
                  <w:divBdr>
                    <w:top w:val="none" w:sz="0" w:space="0" w:color="auto"/>
                    <w:left w:val="none" w:sz="0" w:space="0" w:color="auto"/>
                    <w:bottom w:val="none" w:sz="0" w:space="0" w:color="auto"/>
                    <w:right w:val="none" w:sz="0" w:space="0" w:color="auto"/>
                  </w:divBdr>
                </w:div>
              </w:divsChild>
            </w:div>
            <w:div w:id="222102278">
              <w:marLeft w:val="0"/>
              <w:marRight w:val="0"/>
              <w:marTop w:val="0"/>
              <w:marBottom w:val="0"/>
              <w:divBdr>
                <w:top w:val="none" w:sz="0" w:space="0" w:color="auto"/>
                <w:left w:val="none" w:sz="0" w:space="0" w:color="auto"/>
                <w:bottom w:val="none" w:sz="0" w:space="0" w:color="auto"/>
                <w:right w:val="none" w:sz="0" w:space="0" w:color="auto"/>
              </w:divBdr>
              <w:divsChild>
                <w:div w:id="1303459264">
                  <w:marLeft w:val="0"/>
                  <w:marRight w:val="0"/>
                  <w:marTop w:val="0"/>
                  <w:marBottom w:val="0"/>
                  <w:divBdr>
                    <w:top w:val="none" w:sz="0" w:space="0" w:color="auto"/>
                    <w:left w:val="none" w:sz="0" w:space="0" w:color="auto"/>
                    <w:bottom w:val="none" w:sz="0" w:space="0" w:color="auto"/>
                    <w:right w:val="none" w:sz="0" w:space="0" w:color="auto"/>
                  </w:divBdr>
                </w:div>
              </w:divsChild>
            </w:div>
            <w:div w:id="2028556654">
              <w:marLeft w:val="0"/>
              <w:marRight w:val="0"/>
              <w:marTop w:val="0"/>
              <w:marBottom w:val="0"/>
              <w:divBdr>
                <w:top w:val="none" w:sz="0" w:space="0" w:color="auto"/>
                <w:left w:val="none" w:sz="0" w:space="0" w:color="auto"/>
                <w:bottom w:val="none" w:sz="0" w:space="0" w:color="auto"/>
                <w:right w:val="none" w:sz="0" w:space="0" w:color="auto"/>
              </w:divBdr>
              <w:divsChild>
                <w:div w:id="255722055">
                  <w:marLeft w:val="0"/>
                  <w:marRight w:val="0"/>
                  <w:marTop w:val="0"/>
                  <w:marBottom w:val="0"/>
                  <w:divBdr>
                    <w:top w:val="none" w:sz="0" w:space="0" w:color="auto"/>
                    <w:left w:val="none" w:sz="0" w:space="0" w:color="auto"/>
                    <w:bottom w:val="none" w:sz="0" w:space="0" w:color="auto"/>
                    <w:right w:val="none" w:sz="0" w:space="0" w:color="auto"/>
                  </w:divBdr>
                </w:div>
              </w:divsChild>
            </w:div>
            <w:div w:id="51589680">
              <w:marLeft w:val="0"/>
              <w:marRight w:val="0"/>
              <w:marTop w:val="0"/>
              <w:marBottom w:val="0"/>
              <w:divBdr>
                <w:top w:val="none" w:sz="0" w:space="0" w:color="auto"/>
                <w:left w:val="none" w:sz="0" w:space="0" w:color="auto"/>
                <w:bottom w:val="none" w:sz="0" w:space="0" w:color="auto"/>
                <w:right w:val="none" w:sz="0" w:space="0" w:color="auto"/>
              </w:divBdr>
              <w:divsChild>
                <w:div w:id="111291592">
                  <w:marLeft w:val="0"/>
                  <w:marRight w:val="0"/>
                  <w:marTop w:val="0"/>
                  <w:marBottom w:val="0"/>
                  <w:divBdr>
                    <w:top w:val="none" w:sz="0" w:space="0" w:color="auto"/>
                    <w:left w:val="none" w:sz="0" w:space="0" w:color="auto"/>
                    <w:bottom w:val="none" w:sz="0" w:space="0" w:color="auto"/>
                    <w:right w:val="none" w:sz="0" w:space="0" w:color="auto"/>
                  </w:divBdr>
                </w:div>
              </w:divsChild>
            </w:div>
            <w:div w:id="1421832264">
              <w:marLeft w:val="0"/>
              <w:marRight w:val="0"/>
              <w:marTop w:val="0"/>
              <w:marBottom w:val="0"/>
              <w:divBdr>
                <w:top w:val="none" w:sz="0" w:space="0" w:color="auto"/>
                <w:left w:val="none" w:sz="0" w:space="0" w:color="auto"/>
                <w:bottom w:val="none" w:sz="0" w:space="0" w:color="auto"/>
                <w:right w:val="none" w:sz="0" w:space="0" w:color="auto"/>
              </w:divBdr>
              <w:divsChild>
                <w:div w:id="636108022">
                  <w:marLeft w:val="0"/>
                  <w:marRight w:val="0"/>
                  <w:marTop w:val="0"/>
                  <w:marBottom w:val="0"/>
                  <w:divBdr>
                    <w:top w:val="none" w:sz="0" w:space="0" w:color="auto"/>
                    <w:left w:val="none" w:sz="0" w:space="0" w:color="auto"/>
                    <w:bottom w:val="none" w:sz="0" w:space="0" w:color="auto"/>
                    <w:right w:val="none" w:sz="0" w:space="0" w:color="auto"/>
                  </w:divBdr>
                </w:div>
              </w:divsChild>
            </w:div>
            <w:div w:id="2040233867">
              <w:marLeft w:val="0"/>
              <w:marRight w:val="0"/>
              <w:marTop w:val="0"/>
              <w:marBottom w:val="0"/>
              <w:divBdr>
                <w:top w:val="none" w:sz="0" w:space="0" w:color="auto"/>
                <w:left w:val="none" w:sz="0" w:space="0" w:color="auto"/>
                <w:bottom w:val="none" w:sz="0" w:space="0" w:color="auto"/>
                <w:right w:val="none" w:sz="0" w:space="0" w:color="auto"/>
              </w:divBdr>
              <w:divsChild>
                <w:div w:id="651755733">
                  <w:marLeft w:val="0"/>
                  <w:marRight w:val="0"/>
                  <w:marTop w:val="0"/>
                  <w:marBottom w:val="0"/>
                  <w:divBdr>
                    <w:top w:val="none" w:sz="0" w:space="0" w:color="auto"/>
                    <w:left w:val="none" w:sz="0" w:space="0" w:color="auto"/>
                    <w:bottom w:val="none" w:sz="0" w:space="0" w:color="auto"/>
                    <w:right w:val="none" w:sz="0" w:space="0" w:color="auto"/>
                  </w:divBdr>
                </w:div>
              </w:divsChild>
            </w:div>
            <w:div w:id="363871345">
              <w:marLeft w:val="0"/>
              <w:marRight w:val="0"/>
              <w:marTop w:val="0"/>
              <w:marBottom w:val="0"/>
              <w:divBdr>
                <w:top w:val="none" w:sz="0" w:space="0" w:color="auto"/>
                <w:left w:val="none" w:sz="0" w:space="0" w:color="auto"/>
                <w:bottom w:val="none" w:sz="0" w:space="0" w:color="auto"/>
                <w:right w:val="none" w:sz="0" w:space="0" w:color="auto"/>
              </w:divBdr>
              <w:divsChild>
                <w:div w:id="496306894">
                  <w:marLeft w:val="0"/>
                  <w:marRight w:val="0"/>
                  <w:marTop w:val="0"/>
                  <w:marBottom w:val="0"/>
                  <w:divBdr>
                    <w:top w:val="none" w:sz="0" w:space="0" w:color="auto"/>
                    <w:left w:val="none" w:sz="0" w:space="0" w:color="auto"/>
                    <w:bottom w:val="none" w:sz="0" w:space="0" w:color="auto"/>
                    <w:right w:val="none" w:sz="0" w:space="0" w:color="auto"/>
                  </w:divBdr>
                </w:div>
              </w:divsChild>
            </w:div>
            <w:div w:id="930550327">
              <w:marLeft w:val="0"/>
              <w:marRight w:val="0"/>
              <w:marTop w:val="0"/>
              <w:marBottom w:val="0"/>
              <w:divBdr>
                <w:top w:val="none" w:sz="0" w:space="0" w:color="auto"/>
                <w:left w:val="none" w:sz="0" w:space="0" w:color="auto"/>
                <w:bottom w:val="none" w:sz="0" w:space="0" w:color="auto"/>
                <w:right w:val="none" w:sz="0" w:space="0" w:color="auto"/>
              </w:divBdr>
              <w:divsChild>
                <w:div w:id="1722709922">
                  <w:marLeft w:val="0"/>
                  <w:marRight w:val="0"/>
                  <w:marTop w:val="0"/>
                  <w:marBottom w:val="0"/>
                  <w:divBdr>
                    <w:top w:val="none" w:sz="0" w:space="0" w:color="auto"/>
                    <w:left w:val="none" w:sz="0" w:space="0" w:color="auto"/>
                    <w:bottom w:val="none" w:sz="0" w:space="0" w:color="auto"/>
                    <w:right w:val="none" w:sz="0" w:space="0" w:color="auto"/>
                  </w:divBdr>
                </w:div>
              </w:divsChild>
            </w:div>
            <w:div w:id="954360376">
              <w:marLeft w:val="0"/>
              <w:marRight w:val="0"/>
              <w:marTop w:val="0"/>
              <w:marBottom w:val="0"/>
              <w:divBdr>
                <w:top w:val="none" w:sz="0" w:space="0" w:color="auto"/>
                <w:left w:val="none" w:sz="0" w:space="0" w:color="auto"/>
                <w:bottom w:val="none" w:sz="0" w:space="0" w:color="auto"/>
                <w:right w:val="none" w:sz="0" w:space="0" w:color="auto"/>
              </w:divBdr>
              <w:divsChild>
                <w:div w:id="1480347225">
                  <w:marLeft w:val="0"/>
                  <w:marRight w:val="0"/>
                  <w:marTop w:val="0"/>
                  <w:marBottom w:val="0"/>
                  <w:divBdr>
                    <w:top w:val="none" w:sz="0" w:space="0" w:color="auto"/>
                    <w:left w:val="none" w:sz="0" w:space="0" w:color="auto"/>
                    <w:bottom w:val="none" w:sz="0" w:space="0" w:color="auto"/>
                    <w:right w:val="none" w:sz="0" w:space="0" w:color="auto"/>
                  </w:divBdr>
                </w:div>
              </w:divsChild>
            </w:div>
            <w:div w:id="648754487">
              <w:marLeft w:val="0"/>
              <w:marRight w:val="0"/>
              <w:marTop w:val="0"/>
              <w:marBottom w:val="0"/>
              <w:divBdr>
                <w:top w:val="none" w:sz="0" w:space="0" w:color="auto"/>
                <w:left w:val="none" w:sz="0" w:space="0" w:color="auto"/>
                <w:bottom w:val="none" w:sz="0" w:space="0" w:color="auto"/>
                <w:right w:val="none" w:sz="0" w:space="0" w:color="auto"/>
              </w:divBdr>
              <w:divsChild>
                <w:div w:id="821579566">
                  <w:marLeft w:val="0"/>
                  <w:marRight w:val="0"/>
                  <w:marTop w:val="0"/>
                  <w:marBottom w:val="0"/>
                  <w:divBdr>
                    <w:top w:val="none" w:sz="0" w:space="0" w:color="auto"/>
                    <w:left w:val="none" w:sz="0" w:space="0" w:color="auto"/>
                    <w:bottom w:val="none" w:sz="0" w:space="0" w:color="auto"/>
                    <w:right w:val="none" w:sz="0" w:space="0" w:color="auto"/>
                  </w:divBdr>
                </w:div>
              </w:divsChild>
            </w:div>
            <w:div w:id="2023702546">
              <w:marLeft w:val="0"/>
              <w:marRight w:val="0"/>
              <w:marTop w:val="0"/>
              <w:marBottom w:val="0"/>
              <w:divBdr>
                <w:top w:val="none" w:sz="0" w:space="0" w:color="auto"/>
                <w:left w:val="none" w:sz="0" w:space="0" w:color="auto"/>
                <w:bottom w:val="none" w:sz="0" w:space="0" w:color="auto"/>
                <w:right w:val="none" w:sz="0" w:space="0" w:color="auto"/>
              </w:divBdr>
              <w:divsChild>
                <w:div w:id="235827861">
                  <w:marLeft w:val="0"/>
                  <w:marRight w:val="0"/>
                  <w:marTop w:val="0"/>
                  <w:marBottom w:val="0"/>
                  <w:divBdr>
                    <w:top w:val="none" w:sz="0" w:space="0" w:color="auto"/>
                    <w:left w:val="none" w:sz="0" w:space="0" w:color="auto"/>
                    <w:bottom w:val="none" w:sz="0" w:space="0" w:color="auto"/>
                    <w:right w:val="none" w:sz="0" w:space="0" w:color="auto"/>
                  </w:divBdr>
                </w:div>
              </w:divsChild>
            </w:div>
            <w:div w:id="1614820447">
              <w:marLeft w:val="0"/>
              <w:marRight w:val="0"/>
              <w:marTop w:val="0"/>
              <w:marBottom w:val="0"/>
              <w:divBdr>
                <w:top w:val="none" w:sz="0" w:space="0" w:color="auto"/>
                <w:left w:val="none" w:sz="0" w:space="0" w:color="auto"/>
                <w:bottom w:val="none" w:sz="0" w:space="0" w:color="auto"/>
                <w:right w:val="none" w:sz="0" w:space="0" w:color="auto"/>
              </w:divBdr>
              <w:divsChild>
                <w:div w:id="469632723">
                  <w:marLeft w:val="0"/>
                  <w:marRight w:val="0"/>
                  <w:marTop w:val="0"/>
                  <w:marBottom w:val="0"/>
                  <w:divBdr>
                    <w:top w:val="none" w:sz="0" w:space="0" w:color="auto"/>
                    <w:left w:val="none" w:sz="0" w:space="0" w:color="auto"/>
                    <w:bottom w:val="none" w:sz="0" w:space="0" w:color="auto"/>
                    <w:right w:val="none" w:sz="0" w:space="0" w:color="auto"/>
                  </w:divBdr>
                </w:div>
              </w:divsChild>
            </w:div>
            <w:div w:id="885726874">
              <w:marLeft w:val="0"/>
              <w:marRight w:val="0"/>
              <w:marTop w:val="0"/>
              <w:marBottom w:val="0"/>
              <w:divBdr>
                <w:top w:val="none" w:sz="0" w:space="0" w:color="auto"/>
                <w:left w:val="none" w:sz="0" w:space="0" w:color="auto"/>
                <w:bottom w:val="none" w:sz="0" w:space="0" w:color="auto"/>
                <w:right w:val="none" w:sz="0" w:space="0" w:color="auto"/>
              </w:divBdr>
              <w:divsChild>
                <w:div w:id="696202508">
                  <w:marLeft w:val="0"/>
                  <w:marRight w:val="0"/>
                  <w:marTop w:val="0"/>
                  <w:marBottom w:val="0"/>
                  <w:divBdr>
                    <w:top w:val="none" w:sz="0" w:space="0" w:color="auto"/>
                    <w:left w:val="none" w:sz="0" w:space="0" w:color="auto"/>
                    <w:bottom w:val="none" w:sz="0" w:space="0" w:color="auto"/>
                    <w:right w:val="none" w:sz="0" w:space="0" w:color="auto"/>
                  </w:divBdr>
                </w:div>
              </w:divsChild>
            </w:div>
            <w:div w:id="1986161515">
              <w:marLeft w:val="0"/>
              <w:marRight w:val="0"/>
              <w:marTop w:val="0"/>
              <w:marBottom w:val="0"/>
              <w:divBdr>
                <w:top w:val="none" w:sz="0" w:space="0" w:color="auto"/>
                <w:left w:val="none" w:sz="0" w:space="0" w:color="auto"/>
                <w:bottom w:val="none" w:sz="0" w:space="0" w:color="auto"/>
                <w:right w:val="none" w:sz="0" w:space="0" w:color="auto"/>
              </w:divBdr>
              <w:divsChild>
                <w:div w:id="112212856">
                  <w:marLeft w:val="0"/>
                  <w:marRight w:val="0"/>
                  <w:marTop w:val="0"/>
                  <w:marBottom w:val="0"/>
                  <w:divBdr>
                    <w:top w:val="none" w:sz="0" w:space="0" w:color="auto"/>
                    <w:left w:val="none" w:sz="0" w:space="0" w:color="auto"/>
                    <w:bottom w:val="none" w:sz="0" w:space="0" w:color="auto"/>
                    <w:right w:val="none" w:sz="0" w:space="0" w:color="auto"/>
                  </w:divBdr>
                </w:div>
              </w:divsChild>
            </w:div>
            <w:div w:id="2141025675">
              <w:marLeft w:val="0"/>
              <w:marRight w:val="0"/>
              <w:marTop w:val="0"/>
              <w:marBottom w:val="0"/>
              <w:divBdr>
                <w:top w:val="none" w:sz="0" w:space="0" w:color="auto"/>
                <w:left w:val="none" w:sz="0" w:space="0" w:color="auto"/>
                <w:bottom w:val="none" w:sz="0" w:space="0" w:color="auto"/>
                <w:right w:val="none" w:sz="0" w:space="0" w:color="auto"/>
              </w:divBdr>
              <w:divsChild>
                <w:div w:id="256712813">
                  <w:marLeft w:val="0"/>
                  <w:marRight w:val="0"/>
                  <w:marTop w:val="0"/>
                  <w:marBottom w:val="0"/>
                  <w:divBdr>
                    <w:top w:val="none" w:sz="0" w:space="0" w:color="auto"/>
                    <w:left w:val="none" w:sz="0" w:space="0" w:color="auto"/>
                    <w:bottom w:val="none" w:sz="0" w:space="0" w:color="auto"/>
                    <w:right w:val="none" w:sz="0" w:space="0" w:color="auto"/>
                  </w:divBdr>
                </w:div>
              </w:divsChild>
            </w:div>
            <w:div w:id="2021933806">
              <w:marLeft w:val="0"/>
              <w:marRight w:val="0"/>
              <w:marTop w:val="0"/>
              <w:marBottom w:val="0"/>
              <w:divBdr>
                <w:top w:val="none" w:sz="0" w:space="0" w:color="auto"/>
                <w:left w:val="none" w:sz="0" w:space="0" w:color="auto"/>
                <w:bottom w:val="none" w:sz="0" w:space="0" w:color="auto"/>
                <w:right w:val="none" w:sz="0" w:space="0" w:color="auto"/>
              </w:divBdr>
              <w:divsChild>
                <w:div w:id="141821051">
                  <w:marLeft w:val="0"/>
                  <w:marRight w:val="0"/>
                  <w:marTop w:val="0"/>
                  <w:marBottom w:val="0"/>
                  <w:divBdr>
                    <w:top w:val="none" w:sz="0" w:space="0" w:color="auto"/>
                    <w:left w:val="none" w:sz="0" w:space="0" w:color="auto"/>
                    <w:bottom w:val="none" w:sz="0" w:space="0" w:color="auto"/>
                    <w:right w:val="none" w:sz="0" w:space="0" w:color="auto"/>
                  </w:divBdr>
                </w:div>
              </w:divsChild>
            </w:div>
            <w:div w:id="1088845274">
              <w:marLeft w:val="0"/>
              <w:marRight w:val="0"/>
              <w:marTop w:val="0"/>
              <w:marBottom w:val="0"/>
              <w:divBdr>
                <w:top w:val="none" w:sz="0" w:space="0" w:color="auto"/>
                <w:left w:val="none" w:sz="0" w:space="0" w:color="auto"/>
                <w:bottom w:val="none" w:sz="0" w:space="0" w:color="auto"/>
                <w:right w:val="none" w:sz="0" w:space="0" w:color="auto"/>
              </w:divBdr>
              <w:divsChild>
                <w:div w:id="11823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36405">
          <w:marLeft w:val="0"/>
          <w:marRight w:val="0"/>
          <w:marTop w:val="0"/>
          <w:marBottom w:val="600"/>
          <w:divBdr>
            <w:top w:val="none" w:sz="0" w:space="0" w:color="auto"/>
            <w:left w:val="none" w:sz="0" w:space="0" w:color="auto"/>
            <w:bottom w:val="none" w:sz="0" w:space="0" w:color="auto"/>
            <w:right w:val="none" w:sz="0" w:space="0" w:color="auto"/>
          </w:divBdr>
        </w:div>
      </w:divsChild>
    </w:div>
    <w:div w:id="1882549561">
      <w:marLeft w:val="0"/>
      <w:marRight w:val="0"/>
      <w:marTop w:val="0"/>
      <w:marBottom w:val="0"/>
      <w:divBdr>
        <w:top w:val="none" w:sz="0" w:space="0" w:color="auto"/>
        <w:left w:val="none" w:sz="0" w:space="0" w:color="auto"/>
        <w:bottom w:val="none" w:sz="0" w:space="0" w:color="auto"/>
        <w:right w:val="none" w:sz="0" w:space="0" w:color="auto"/>
      </w:divBdr>
      <w:divsChild>
        <w:div w:id="100805968">
          <w:marLeft w:val="0"/>
          <w:marRight w:val="0"/>
          <w:marTop w:val="547"/>
          <w:marBottom w:val="0"/>
          <w:divBdr>
            <w:top w:val="none" w:sz="0" w:space="0" w:color="auto"/>
            <w:left w:val="none" w:sz="0" w:space="0" w:color="auto"/>
            <w:bottom w:val="none" w:sz="0" w:space="0" w:color="auto"/>
            <w:right w:val="none" w:sz="0" w:space="0" w:color="auto"/>
          </w:divBdr>
        </w:div>
        <w:div w:id="2013988425">
          <w:marLeft w:val="0"/>
          <w:marRight w:val="0"/>
          <w:marTop w:val="0"/>
          <w:marBottom w:val="0"/>
          <w:divBdr>
            <w:top w:val="none" w:sz="0" w:space="0" w:color="auto"/>
            <w:left w:val="none" w:sz="0" w:space="0" w:color="auto"/>
            <w:bottom w:val="none" w:sz="0" w:space="0" w:color="auto"/>
            <w:right w:val="none" w:sz="0" w:space="0" w:color="auto"/>
          </w:divBdr>
        </w:div>
        <w:div w:id="506945365">
          <w:marLeft w:val="0"/>
          <w:marRight w:val="0"/>
          <w:marTop w:val="0"/>
          <w:marBottom w:val="600"/>
          <w:divBdr>
            <w:top w:val="none" w:sz="0" w:space="0" w:color="auto"/>
            <w:left w:val="none" w:sz="0" w:space="0" w:color="auto"/>
            <w:bottom w:val="none" w:sz="0" w:space="0" w:color="auto"/>
            <w:right w:val="none" w:sz="0" w:space="0" w:color="auto"/>
          </w:divBdr>
        </w:div>
      </w:divsChild>
    </w:div>
    <w:div w:id="1893417452">
      <w:marLeft w:val="0"/>
      <w:marRight w:val="0"/>
      <w:marTop w:val="0"/>
      <w:marBottom w:val="0"/>
      <w:divBdr>
        <w:top w:val="none" w:sz="0" w:space="0" w:color="auto"/>
        <w:left w:val="none" w:sz="0" w:space="0" w:color="auto"/>
        <w:bottom w:val="none" w:sz="0" w:space="0" w:color="auto"/>
        <w:right w:val="none" w:sz="0" w:space="0" w:color="auto"/>
      </w:divBdr>
    </w:div>
    <w:div w:id="1916932573">
      <w:marLeft w:val="0"/>
      <w:marRight w:val="0"/>
      <w:marTop w:val="0"/>
      <w:marBottom w:val="0"/>
      <w:divBdr>
        <w:top w:val="none" w:sz="0" w:space="0" w:color="auto"/>
        <w:left w:val="none" w:sz="0" w:space="0" w:color="auto"/>
        <w:bottom w:val="none" w:sz="0" w:space="0" w:color="auto"/>
        <w:right w:val="none" w:sz="0" w:space="0" w:color="auto"/>
      </w:divBdr>
      <w:divsChild>
        <w:div w:id="991253141">
          <w:marLeft w:val="0"/>
          <w:marRight w:val="0"/>
          <w:marTop w:val="547"/>
          <w:marBottom w:val="0"/>
          <w:divBdr>
            <w:top w:val="none" w:sz="0" w:space="0" w:color="auto"/>
            <w:left w:val="none" w:sz="0" w:space="0" w:color="auto"/>
            <w:bottom w:val="none" w:sz="0" w:space="0" w:color="auto"/>
            <w:right w:val="none" w:sz="0" w:space="0" w:color="auto"/>
          </w:divBdr>
        </w:div>
        <w:div w:id="161629943">
          <w:marLeft w:val="0"/>
          <w:marRight w:val="0"/>
          <w:marTop w:val="0"/>
          <w:marBottom w:val="0"/>
          <w:divBdr>
            <w:top w:val="none" w:sz="0" w:space="0" w:color="auto"/>
            <w:left w:val="none" w:sz="0" w:space="0" w:color="auto"/>
            <w:bottom w:val="none" w:sz="0" w:space="0" w:color="auto"/>
            <w:right w:val="none" w:sz="0" w:space="0" w:color="auto"/>
          </w:divBdr>
        </w:div>
        <w:div w:id="278807163">
          <w:marLeft w:val="0"/>
          <w:marRight w:val="0"/>
          <w:marTop w:val="0"/>
          <w:marBottom w:val="600"/>
          <w:divBdr>
            <w:top w:val="none" w:sz="0" w:space="0" w:color="auto"/>
            <w:left w:val="none" w:sz="0" w:space="0" w:color="auto"/>
            <w:bottom w:val="none" w:sz="0" w:space="0" w:color="auto"/>
            <w:right w:val="none" w:sz="0" w:space="0" w:color="auto"/>
          </w:divBdr>
        </w:div>
      </w:divsChild>
    </w:div>
    <w:div w:id="1927415276">
      <w:marLeft w:val="0"/>
      <w:marRight w:val="0"/>
      <w:marTop w:val="0"/>
      <w:marBottom w:val="0"/>
      <w:divBdr>
        <w:top w:val="none" w:sz="0" w:space="0" w:color="auto"/>
        <w:left w:val="none" w:sz="0" w:space="0" w:color="auto"/>
        <w:bottom w:val="none" w:sz="0" w:space="0" w:color="auto"/>
        <w:right w:val="none" w:sz="0" w:space="0" w:color="auto"/>
      </w:divBdr>
      <w:divsChild>
        <w:div w:id="338198369">
          <w:marLeft w:val="0"/>
          <w:marRight w:val="0"/>
          <w:marTop w:val="547"/>
          <w:marBottom w:val="0"/>
          <w:divBdr>
            <w:top w:val="none" w:sz="0" w:space="0" w:color="auto"/>
            <w:left w:val="none" w:sz="0" w:space="0" w:color="auto"/>
            <w:bottom w:val="none" w:sz="0" w:space="0" w:color="auto"/>
            <w:right w:val="none" w:sz="0" w:space="0" w:color="auto"/>
          </w:divBdr>
        </w:div>
        <w:div w:id="216357162">
          <w:marLeft w:val="0"/>
          <w:marRight w:val="0"/>
          <w:marTop w:val="0"/>
          <w:marBottom w:val="0"/>
          <w:divBdr>
            <w:top w:val="none" w:sz="0" w:space="0" w:color="auto"/>
            <w:left w:val="none" w:sz="0" w:space="0" w:color="auto"/>
            <w:bottom w:val="none" w:sz="0" w:space="0" w:color="auto"/>
            <w:right w:val="none" w:sz="0" w:space="0" w:color="auto"/>
          </w:divBdr>
        </w:div>
        <w:div w:id="902519293">
          <w:marLeft w:val="0"/>
          <w:marRight w:val="0"/>
          <w:marTop w:val="0"/>
          <w:marBottom w:val="600"/>
          <w:divBdr>
            <w:top w:val="none" w:sz="0" w:space="0" w:color="auto"/>
            <w:left w:val="none" w:sz="0" w:space="0" w:color="auto"/>
            <w:bottom w:val="none" w:sz="0" w:space="0" w:color="auto"/>
            <w:right w:val="none" w:sz="0" w:space="0" w:color="auto"/>
          </w:divBdr>
        </w:div>
      </w:divsChild>
    </w:div>
    <w:div w:id="1944992709">
      <w:marLeft w:val="0"/>
      <w:marRight w:val="0"/>
      <w:marTop w:val="0"/>
      <w:marBottom w:val="0"/>
      <w:divBdr>
        <w:top w:val="none" w:sz="0" w:space="0" w:color="auto"/>
        <w:left w:val="none" w:sz="0" w:space="0" w:color="auto"/>
        <w:bottom w:val="none" w:sz="0" w:space="0" w:color="auto"/>
        <w:right w:val="none" w:sz="0" w:space="0" w:color="auto"/>
      </w:divBdr>
      <w:divsChild>
        <w:div w:id="1317031864">
          <w:marLeft w:val="0"/>
          <w:marRight w:val="0"/>
          <w:marTop w:val="547"/>
          <w:marBottom w:val="0"/>
          <w:divBdr>
            <w:top w:val="none" w:sz="0" w:space="0" w:color="auto"/>
            <w:left w:val="none" w:sz="0" w:space="0" w:color="auto"/>
            <w:bottom w:val="none" w:sz="0" w:space="0" w:color="auto"/>
            <w:right w:val="none" w:sz="0" w:space="0" w:color="auto"/>
          </w:divBdr>
        </w:div>
        <w:div w:id="1927493320">
          <w:marLeft w:val="0"/>
          <w:marRight w:val="0"/>
          <w:marTop w:val="0"/>
          <w:marBottom w:val="0"/>
          <w:divBdr>
            <w:top w:val="none" w:sz="0" w:space="0" w:color="auto"/>
            <w:left w:val="none" w:sz="0" w:space="0" w:color="auto"/>
            <w:bottom w:val="none" w:sz="0" w:space="0" w:color="auto"/>
            <w:right w:val="none" w:sz="0" w:space="0" w:color="auto"/>
          </w:divBdr>
        </w:div>
        <w:div w:id="1086078987">
          <w:marLeft w:val="0"/>
          <w:marRight w:val="0"/>
          <w:marTop w:val="0"/>
          <w:marBottom w:val="600"/>
          <w:divBdr>
            <w:top w:val="none" w:sz="0" w:space="0" w:color="auto"/>
            <w:left w:val="none" w:sz="0" w:space="0" w:color="auto"/>
            <w:bottom w:val="none" w:sz="0" w:space="0" w:color="auto"/>
            <w:right w:val="none" w:sz="0" w:space="0" w:color="auto"/>
          </w:divBdr>
        </w:div>
      </w:divsChild>
    </w:div>
    <w:div w:id="1965113809">
      <w:marLeft w:val="0"/>
      <w:marRight w:val="0"/>
      <w:marTop w:val="0"/>
      <w:marBottom w:val="0"/>
      <w:divBdr>
        <w:top w:val="none" w:sz="0" w:space="0" w:color="auto"/>
        <w:left w:val="none" w:sz="0" w:space="0" w:color="auto"/>
        <w:bottom w:val="none" w:sz="0" w:space="0" w:color="auto"/>
        <w:right w:val="none" w:sz="0" w:space="0" w:color="auto"/>
      </w:divBdr>
      <w:divsChild>
        <w:div w:id="701977422">
          <w:marLeft w:val="0"/>
          <w:marRight w:val="0"/>
          <w:marTop w:val="547"/>
          <w:marBottom w:val="0"/>
          <w:divBdr>
            <w:top w:val="none" w:sz="0" w:space="0" w:color="auto"/>
            <w:left w:val="none" w:sz="0" w:space="0" w:color="auto"/>
            <w:bottom w:val="none" w:sz="0" w:space="0" w:color="auto"/>
            <w:right w:val="none" w:sz="0" w:space="0" w:color="auto"/>
          </w:divBdr>
        </w:div>
        <w:div w:id="1578633613">
          <w:marLeft w:val="0"/>
          <w:marRight w:val="0"/>
          <w:marTop w:val="0"/>
          <w:marBottom w:val="0"/>
          <w:divBdr>
            <w:top w:val="none" w:sz="0" w:space="0" w:color="auto"/>
            <w:left w:val="none" w:sz="0" w:space="0" w:color="auto"/>
            <w:bottom w:val="none" w:sz="0" w:space="0" w:color="auto"/>
            <w:right w:val="none" w:sz="0" w:space="0" w:color="auto"/>
          </w:divBdr>
        </w:div>
        <w:div w:id="2031711427">
          <w:marLeft w:val="0"/>
          <w:marRight w:val="0"/>
          <w:marTop w:val="0"/>
          <w:marBottom w:val="600"/>
          <w:divBdr>
            <w:top w:val="none" w:sz="0" w:space="0" w:color="auto"/>
            <w:left w:val="none" w:sz="0" w:space="0" w:color="auto"/>
            <w:bottom w:val="none" w:sz="0" w:space="0" w:color="auto"/>
            <w:right w:val="none" w:sz="0" w:space="0" w:color="auto"/>
          </w:divBdr>
        </w:div>
      </w:divsChild>
    </w:div>
    <w:div w:id="1972056462">
      <w:marLeft w:val="0"/>
      <w:marRight w:val="0"/>
      <w:marTop w:val="0"/>
      <w:marBottom w:val="0"/>
      <w:divBdr>
        <w:top w:val="none" w:sz="0" w:space="0" w:color="auto"/>
        <w:left w:val="none" w:sz="0" w:space="0" w:color="auto"/>
        <w:bottom w:val="none" w:sz="0" w:space="0" w:color="auto"/>
        <w:right w:val="none" w:sz="0" w:space="0" w:color="auto"/>
      </w:divBdr>
      <w:divsChild>
        <w:div w:id="898982792">
          <w:marLeft w:val="0"/>
          <w:marRight w:val="0"/>
          <w:marTop w:val="547"/>
          <w:marBottom w:val="0"/>
          <w:divBdr>
            <w:top w:val="none" w:sz="0" w:space="0" w:color="auto"/>
            <w:left w:val="none" w:sz="0" w:space="0" w:color="auto"/>
            <w:bottom w:val="none" w:sz="0" w:space="0" w:color="auto"/>
            <w:right w:val="none" w:sz="0" w:space="0" w:color="auto"/>
          </w:divBdr>
        </w:div>
        <w:div w:id="413092100">
          <w:marLeft w:val="0"/>
          <w:marRight w:val="0"/>
          <w:marTop w:val="0"/>
          <w:marBottom w:val="0"/>
          <w:divBdr>
            <w:top w:val="none" w:sz="0" w:space="0" w:color="auto"/>
            <w:left w:val="none" w:sz="0" w:space="0" w:color="auto"/>
            <w:bottom w:val="none" w:sz="0" w:space="0" w:color="auto"/>
            <w:right w:val="none" w:sz="0" w:space="0" w:color="auto"/>
          </w:divBdr>
          <w:divsChild>
            <w:div w:id="1796680549">
              <w:marLeft w:val="0"/>
              <w:marRight w:val="0"/>
              <w:marTop w:val="0"/>
              <w:marBottom w:val="0"/>
              <w:divBdr>
                <w:top w:val="none" w:sz="0" w:space="0" w:color="auto"/>
                <w:left w:val="none" w:sz="0" w:space="0" w:color="auto"/>
                <w:bottom w:val="none" w:sz="0" w:space="0" w:color="auto"/>
                <w:right w:val="none" w:sz="0" w:space="0" w:color="auto"/>
              </w:divBdr>
              <w:divsChild>
                <w:div w:id="2113360588">
                  <w:marLeft w:val="0"/>
                  <w:marRight w:val="0"/>
                  <w:marTop w:val="0"/>
                  <w:marBottom w:val="0"/>
                  <w:divBdr>
                    <w:top w:val="none" w:sz="0" w:space="0" w:color="auto"/>
                    <w:left w:val="none" w:sz="0" w:space="0" w:color="auto"/>
                    <w:bottom w:val="none" w:sz="0" w:space="0" w:color="auto"/>
                    <w:right w:val="none" w:sz="0" w:space="0" w:color="auto"/>
                  </w:divBdr>
                </w:div>
              </w:divsChild>
            </w:div>
            <w:div w:id="742143970">
              <w:marLeft w:val="0"/>
              <w:marRight w:val="0"/>
              <w:marTop w:val="0"/>
              <w:marBottom w:val="0"/>
              <w:divBdr>
                <w:top w:val="none" w:sz="0" w:space="0" w:color="auto"/>
                <w:left w:val="none" w:sz="0" w:space="0" w:color="auto"/>
                <w:bottom w:val="none" w:sz="0" w:space="0" w:color="auto"/>
                <w:right w:val="none" w:sz="0" w:space="0" w:color="auto"/>
              </w:divBdr>
              <w:divsChild>
                <w:div w:id="1623150468">
                  <w:marLeft w:val="0"/>
                  <w:marRight w:val="0"/>
                  <w:marTop w:val="0"/>
                  <w:marBottom w:val="0"/>
                  <w:divBdr>
                    <w:top w:val="none" w:sz="0" w:space="0" w:color="auto"/>
                    <w:left w:val="none" w:sz="0" w:space="0" w:color="auto"/>
                    <w:bottom w:val="none" w:sz="0" w:space="0" w:color="auto"/>
                    <w:right w:val="none" w:sz="0" w:space="0" w:color="auto"/>
                  </w:divBdr>
                </w:div>
              </w:divsChild>
            </w:div>
            <w:div w:id="2005469058">
              <w:marLeft w:val="0"/>
              <w:marRight w:val="0"/>
              <w:marTop w:val="0"/>
              <w:marBottom w:val="0"/>
              <w:divBdr>
                <w:top w:val="none" w:sz="0" w:space="0" w:color="auto"/>
                <w:left w:val="none" w:sz="0" w:space="0" w:color="auto"/>
                <w:bottom w:val="none" w:sz="0" w:space="0" w:color="auto"/>
                <w:right w:val="none" w:sz="0" w:space="0" w:color="auto"/>
              </w:divBdr>
              <w:divsChild>
                <w:div w:id="1721636235">
                  <w:marLeft w:val="0"/>
                  <w:marRight w:val="0"/>
                  <w:marTop w:val="0"/>
                  <w:marBottom w:val="0"/>
                  <w:divBdr>
                    <w:top w:val="none" w:sz="0" w:space="0" w:color="auto"/>
                    <w:left w:val="none" w:sz="0" w:space="0" w:color="auto"/>
                    <w:bottom w:val="none" w:sz="0" w:space="0" w:color="auto"/>
                    <w:right w:val="none" w:sz="0" w:space="0" w:color="auto"/>
                  </w:divBdr>
                </w:div>
              </w:divsChild>
            </w:div>
            <w:div w:id="43414455">
              <w:marLeft w:val="0"/>
              <w:marRight w:val="0"/>
              <w:marTop w:val="0"/>
              <w:marBottom w:val="0"/>
              <w:divBdr>
                <w:top w:val="none" w:sz="0" w:space="0" w:color="auto"/>
                <w:left w:val="none" w:sz="0" w:space="0" w:color="auto"/>
                <w:bottom w:val="none" w:sz="0" w:space="0" w:color="auto"/>
                <w:right w:val="none" w:sz="0" w:space="0" w:color="auto"/>
              </w:divBdr>
              <w:divsChild>
                <w:div w:id="580993005">
                  <w:marLeft w:val="0"/>
                  <w:marRight w:val="0"/>
                  <w:marTop w:val="0"/>
                  <w:marBottom w:val="0"/>
                  <w:divBdr>
                    <w:top w:val="none" w:sz="0" w:space="0" w:color="auto"/>
                    <w:left w:val="none" w:sz="0" w:space="0" w:color="auto"/>
                    <w:bottom w:val="none" w:sz="0" w:space="0" w:color="auto"/>
                    <w:right w:val="none" w:sz="0" w:space="0" w:color="auto"/>
                  </w:divBdr>
                </w:div>
              </w:divsChild>
            </w:div>
            <w:div w:id="1027221168">
              <w:marLeft w:val="0"/>
              <w:marRight w:val="0"/>
              <w:marTop w:val="0"/>
              <w:marBottom w:val="0"/>
              <w:divBdr>
                <w:top w:val="none" w:sz="0" w:space="0" w:color="auto"/>
                <w:left w:val="none" w:sz="0" w:space="0" w:color="auto"/>
                <w:bottom w:val="none" w:sz="0" w:space="0" w:color="auto"/>
                <w:right w:val="none" w:sz="0" w:space="0" w:color="auto"/>
              </w:divBdr>
              <w:divsChild>
                <w:div w:id="1268581301">
                  <w:marLeft w:val="0"/>
                  <w:marRight w:val="0"/>
                  <w:marTop w:val="0"/>
                  <w:marBottom w:val="0"/>
                  <w:divBdr>
                    <w:top w:val="none" w:sz="0" w:space="0" w:color="auto"/>
                    <w:left w:val="none" w:sz="0" w:space="0" w:color="auto"/>
                    <w:bottom w:val="none" w:sz="0" w:space="0" w:color="auto"/>
                    <w:right w:val="none" w:sz="0" w:space="0" w:color="auto"/>
                  </w:divBdr>
                </w:div>
              </w:divsChild>
            </w:div>
            <w:div w:id="348721777">
              <w:marLeft w:val="0"/>
              <w:marRight w:val="0"/>
              <w:marTop w:val="0"/>
              <w:marBottom w:val="0"/>
              <w:divBdr>
                <w:top w:val="none" w:sz="0" w:space="0" w:color="auto"/>
                <w:left w:val="none" w:sz="0" w:space="0" w:color="auto"/>
                <w:bottom w:val="none" w:sz="0" w:space="0" w:color="auto"/>
                <w:right w:val="none" w:sz="0" w:space="0" w:color="auto"/>
              </w:divBdr>
              <w:divsChild>
                <w:div w:id="1096556600">
                  <w:marLeft w:val="0"/>
                  <w:marRight w:val="0"/>
                  <w:marTop w:val="0"/>
                  <w:marBottom w:val="0"/>
                  <w:divBdr>
                    <w:top w:val="none" w:sz="0" w:space="0" w:color="auto"/>
                    <w:left w:val="none" w:sz="0" w:space="0" w:color="auto"/>
                    <w:bottom w:val="none" w:sz="0" w:space="0" w:color="auto"/>
                    <w:right w:val="none" w:sz="0" w:space="0" w:color="auto"/>
                  </w:divBdr>
                </w:div>
              </w:divsChild>
            </w:div>
            <w:div w:id="931863563">
              <w:marLeft w:val="0"/>
              <w:marRight w:val="0"/>
              <w:marTop w:val="0"/>
              <w:marBottom w:val="0"/>
              <w:divBdr>
                <w:top w:val="none" w:sz="0" w:space="0" w:color="auto"/>
                <w:left w:val="none" w:sz="0" w:space="0" w:color="auto"/>
                <w:bottom w:val="none" w:sz="0" w:space="0" w:color="auto"/>
                <w:right w:val="none" w:sz="0" w:space="0" w:color="auto"/>
              </w:divBdr>
              <w:divsChild>
                <w:div w:id="256595305">
                  <w:marLeft w:val="0"/>
                  <w:marRight w:val="0"/>
                  <w:marTop w:val="0"/>
                  <w:marBottom w:val="0"/>
                  <w:divBdr>
                    <w:top w:val="none" w:sz="0" w:space="0" w:color="auto"/>
                    <w:left w:val="none" w:sz="0" w:space="0" w:color="auto"/>
                    <w:bottom w:val="none" w:sz="0" w:space="0" w:color="auto"/>
                    <w:right w:val="none" w:sz="0" w:space="0" w:color="auto"/>
                  </w:divBdr>
                </w:div>
              </w:divsChild>
            </w:div>
            <w:div w:id="315034361">
              <w:marLeft w:val="0"/>
              <w:marRight w:val="0"/>
              <w:marTop w:val="0"/>
              <w:marBottom w:val="0"/>
              <w:divBdr>
                <w:top w:val="none" w:sz="0" w:space="0" w:color="auto"/>
                <w:left w:val="none" w:sz="0" w:space="0" w:color="auto"/>
                <w:bottom w:val="none" w:sz="0" w:space="0" w:color="auto"/>
                <w:right w:val="none" w:sz="0" w:space="0" w:color="auto"/>
              </w:divBdr>
              <w:divsChild>
                <w:div w:id="1509101433">
                  <w:marLeft w:val="0"/>
                  <w:marRight w:val="0"/>
                  <w:marTop w:val="0"/>
                  <w:marBottom w:val="0"/>
                  <w:divBdr>
                    <w:top w:val="none" w:sz="0" w:space="0" w:color="auto"/>
                    <w:left w:val="none" w:sz="0" w:space="0" w:color="auto"/>
                    <w:bottom w:val="none" w:sz="0" w:space="0" w:color="auto"/>
                    <w:right w:val="none" w:sz="0" w:space="0" w:color="auto"/>
                  </w:divBdr>
                </w:div>
              </w:divsChild>
            </w:div>
            <w:div w:id="540872255">
              <w:marLeft w:val="0"/>
              <w:marRight w:val="0"/>
              <w:marTop w:val="0"/>
              <w:marBottom w:val="0"/>
              <w:divBdr>
                <w:top w:val="none" w:sz="0" w:space="0" w:color="auto"/>
                <w:left w:val="none" w:sz="0" w:space="0" w:color="auto"/>
                <w:bottom w:val="none" w:sz="0" w:space="0" w:color="auto"/>
                <w:right w:val="none" w:sz="0" w:space="0" w:color="auto"/>
              </w:divBdr>
              <w:divsChild>
                <w:div w:id="51390814">
                  <w:marLeft w:val="0"/>
                  <w:marRight w:val="0"/>
                  <w:marTop w:val="0"/>
                  <w:marBottom w:val="0"/>
                  <w:divBdr>
                    <w:top w:val="none" w:sz="0" w:space="0" w:color="auto"/>
                    <w:left w:val="none" w:sz="0" w:space="0" w:color="auto"/>
                    <w:bottom w:val="none" w:sz="0" w:space="0" w:color="auto"/>
                    <w:right w:val="none" w:sz="0" w:space="0" w:color="auto"/>
                  </w:divBdr>
                </w:div>
              </w:divsChild>
            </w:div>
            <w:div w:id="1209151175">
              <w:marLeft w:val="0"/>
              <w:marRight w:val="0"/>
              <w:marTop w:val="0"/>
              <w:marBottom w:val="0"/>
              <w:divBdr>
                <w:top w:val="none" w:sz="0" w:space="0" w:color="auto"/>
                <w:left w:val="none" w:sz="0" w:space="0" w:color="auto"/>
                <w:bottom w:val="none" w:sz="0" w:space="0" w:color="auto"/>
                <w:right w:val="none" w:sz="0" w:space="0" w:color="auto"/>
              </w:divBdr>
              <w:divsChild>
                <w:div w:id="346450573">
                  <w:marLeft w:val="0"/>
                  <w:marRight w:val="0"/>
                  <w:marTop w:val="0"/>
                  <w:marBottom w:val="0"/>
                  <w:divBdr>
                    <w:top w:val="none" w:sz="0" w:space="0" w:color="auto"/>
                    <w:left w:val="none" w:sz="0" w:space="0" w:color="auto"/>
                    <w:bottom w:val="none" w:sz="0" w:space="0" w:color="auto"/>
                    <w:right w:val="none" w:sz="0" w:space="0" w:color="auto"/>
                  </w:divBdr>
                </w:div>
              </w:divsChild>
            </w:div>
            <w:div w:id="2026439096">
              <w:marLeft w:val="0"/>
              <w:marRight w:val="0"/>
              <w:marTop w:val="0"/>
              <w:marBottom w:val="0"/>
              <w:divBdr>
                <w:top w:val="none" w:sz="0" w:space="0" w:color="auto"/>
                <w:left w:val="none" w:sz="0" w:space="0" w:color="auto"/>
                <w:bottom w:val="none" w:sz="0" w:space="0" w:color="auto"/>
                <w:right w:val="none" w:sz="0" w:space="0" w:color="auto"/>
              </w:divBdr>
              <w:divsChild>
                <w:div w:id="428042494">
                  <w:marLeft w:val="0"/>
                  <w:marRight w:val="0"/>
                  <w:marTop w:val="0"/>
                  <w:marBottom w:val="0"/>
                  <w:divBdr>
                    <w:top w:val="none" w:sz="0" w:space="0" w:color="auto"/>
                    <w:left w:val="none" w:sz="0" w:space="0" w:color="auto"/>
                    <w:bottom w:val="none" w:sz="0" w:space="0" w:color="auto"/>
                    <w:right w:val="none" w:sz="0" w:space="0" w:color="auto"/>
                  </w:divBdr>
                </w:div>
              </w:divsChild>
            </w:div>
            <w:div w:id="1488477389">
              <w:marLeft w:val="0"/>
              <w:marRight w:val="0"/>
              <w:marTop w:val="0"/>
              <w:marBottom w:val="0"/>
              <w:divBdr>
                <w:top w:val="none" w:sz="0" w:space="0" w:color="auto"/>
                <w:left w:val="none" w:sz="0" w:space="0" w:color="auto"/>
                <w:bottom w:val="none" w:sz="0" w:space="0" w:color="auto"/>
                <w:right w:val="none" w:sz="0" w:space="0" w:color="auto"/>
              </w:divBdr>
              <w:divsChild>
                <w:div w:id="2026246978">
                  <w:marLeft w:val="0"/>
                  <w:marRight w:val="0"/>
                  <w:marTop w:val="0"/>
                  <w:marBottom w:val="0"/>
                  <w:divBdr>
                    <w:top w:val="none" w:sz="0" w:space="0" w:color="auto"/>
                    <w:left w:val="none" w:sz="0" w:space="0" w:color="auto"/>
                    <w:bottom w:val="none" w:sz="0" w:space="0" w:color="auto"/>
                    <w:right w:val="none" w:sz="0" w:space="0" w:color="auto"/>
                  </w:divBdr>
                </w:div>
              </w:divsChild>
            </w:div>
            <w:div w:id="596905721">
              <w:marLeft w:val="0"/>
              <w:marRight w:val="0"/>
              <w:marTop w:val="0"/>
              <w:marBottom w:val="0"/>
              <w:divBdr>
                <w:top w:val="none" w:sz="0" w:space="0" w:color="auto"/>
                <w:left w:val="none" w:sz="0" w:space="0" w:color="auto"/>
                <w:bottom w:val="none" w:sz="0" w:space="0" w:color="auto"/>
                <w:right w:val="none" w:sz="0" w:space="0" w:color="auto"/>
              </w:divBdr>
              <w:divsChild>
                <w:div w:id="1296520632">
                  <w:marLeft w:val="0"/>
                  <w:marRight w:val="0"/>
                  <w:marTop w:val="0"/>
                  <w:marBottom w:val="0"/>
                  <w:divBdr>
                    <w:top w:val="none" w:sz="0" w:space="0" w:color="auto"/>
                    <w:left w:val="none" w:sz="0" w:space="0" w:color="auto"/>
                    <w:bottom w:val="none" w:sz="0" w:space="0" w:color="auto"/>
                    <w:right w:val="none" w:sz="0" w:space="0" w:color="auto"/>
                  </w:divBdr>
                </w:div>
              </w:divsChild>
            </w:div>
            <w:div w:id="1095250887">
              <w:marLeft w:val="0"/>
              <w:marRight w:val="0"/>
              <w:marTop w:val="0"/>
              <w:marBottom w:val="0"/>
              <w:divBdr>
                <w:top w:val="none" w:sz="0" w:space="0" w:color="auto"/>
                <w:left w:val="none" w:sz="0" w:space="0" w:color="auto"/>
                <w:bottom w:val="none" w:sz="0" w:space="0" w:color="auto"/>
                <w:right w:val="none" w:sz="0" w:space="0" w:color="auto"/>
              </w:divBdr>
              <w:divsChild>
                <w:div w:id="189299562">
                  <w:marLeft w:val="0"/>
                  <w:marRight w:val="0"/>
                  <w:marTop w:val="0"/>
                  <w:marBottom w:val="0"/>
                  <w:divBdr>
                    <w:top w:val="none" w:sz="0" w:space="0" w:color="auto"/>
                    <w:left w:val="none" w:sz="0" w:space="0" w:color="auto"/>
                    <w:bottom w:val="none" w:sz="0" w:space="0" w:color="auto"/>
                    <w:right w:val="none" w:sz="0" w:space="0" w:color="auto"/>
                  </w:divBdr>
                </w:div>
              </w:divsChild>
            </w:div>
            <w:div w:id="1310938450">
              <w:marLeft w:val="0"/>
              <w:marRight w:val="0"/>
              <w:marTop w:val="0"/>
              <w:marBottom w:val="0"/>
              <w:divBdr>
                <w:top w:val="none" w:sz="0" w:space="0" w:color="auto"/>
                <w:left w:val="none" w:sz="0" w:space="0" w:color="auto"/>
                <w:bottom w:val="none" w:sz="0" w:space="0" w:color="auto"/>
                <w:right w:val="none" w:sz="0" w:space="0" w:color="auto"/>
              </w:divBdr>
              <w:divsChild>
                <w:div w:id="31272518">
                  <w:marLeft w:val="0"/>
                  <w:marRight w:val="0"/>
                  <w:marTop w:val="0"/>
                  <w:marBottom w:val="0"/>
                  <w:divBdr>
                    <w:top w:val="none" w:sz="0" w:space="0" w:color="auto"/>
                    <w:left w:val="none" w:sz="0" w:space="0" w:color="auto"/>
                    <w:bottom w:val="none" w:sz="0" w:space="0" w:color="auto"/>
                    <w:right w:val="none" w:sz="0" w:space="0" w:color="auto"/>
                  </w:divBdr>
                </w:div>
              </w:divsChild>
            </w:div>
            <w:div w:id="157695240">
              <w:marLeft w:val="0"/>
              <w:marRight w:val="0"/>
              <w:marTop w:val="0"/>
              <w:marBottom w:val="0"/>
              <w:divBdr>
                <w:top w:val="none" w:sz="0" w:space="0" w:color="auto"/>
                <w:left w:val="none" w:sz="0" w:space="0" w:color="auto"/>
                <w:bottom w:val="none" w:sz="0" w:space="0" w:color="auto"/>
                <w:right w:val="none" w:sz="0" w:space="0" w:color="auto"/>
              </w:divBdr>
              <w:divsChild>
                <w:div w:id="1027368090">
                  <w:marLeft w:val="0"/>
                  <w:marRight w:val="0"/>
                  <w:marTop w:val="0"/>
                  <w:marBottom w:val="0"/>
                  <w:divBdr>
                    <w:top w:val="none" w:sz="0" w:space="0" w:color="auto"/>
                    <w:left w:val="none" w:sz="0" w:space="0" w:color="auto"/>
                    <w:bottom w:val="none" w:sz="0" w:space="0" w:color="auto"/>
                    <w:right w:val="none" w:sz="0" w:space="0" w:color="auto"/>
                  </w:divBdr>
                </w:div>
              </w:divsChild>
            </w:div>
            <w:div w:id="1474641197">
              <w:marLeft w:val="0"/>
              <w:marRight w:val="0"/>
              <w:marTop w:val="0"/>
              <w:marBottom w:val="0"/>
              <w:divBdr>
                <w:top w:val="none" w:sz="0" w:space="0" w:color="auto"/>
                <w:left w:val="none" w:sz="0" w:space="0" w:color="auto"/>
                <w:bottom w:val="none" w:sz="0" w:space="0" w:color="auto"/>
                <w:right w:val="none" w:sz="0" w:space="0" w:color="auto"/>
              </w:divBdr>
              <w:divsChild>
                <w:div w:id="47807599">
                  <w:marLeft w:val="0"/>
                  <w:marRight w:val="0"/>
                  <w:marTop w:val="0"/>
                  <w:marBottom w:val="0"/>
                  <w:divBdr>
                    <w:top w:val="none" w:sz="0" w:space="0" w:color="auto"/>
                    <w:left w:val="none" w:sz="0" w:space="0" w:color="auto"/>
                    <w:bottom w:val="none" w:sz="0" w:space="0" w:color="auto"/>
                    <w:right w:val="none" w:sz="0" w:space="0" w:color="auto"/>
                  </w:divBdr>
                </w:div>
              </w:divsChild>
            </w:div>
            <w:div w:id="814952119">
              <w:marLeft w:val="0"/>
              <w:marRight w:val="0"/>
              <w:marTop w:val="0"/>
              <w:marBottom w:val="0"/>
              <w:divBdr>
                <w:top w:val="none" w:sz="0" w:space="0" w:color="auto"/>
                <w:left w:val="none" w:sz="0" w:space="0" w:color="auto"/>
                <w:bottom w:val="none" w:sz="0" w:space="0" w:color="auto"/>
                <w:right w:val="none" w:sz="0" w:space="0" w:color="auto"/>
              </w:divBdr>
              <w:divsChild>
                <w:div w:id="2027827264">
                  <w:marLeft w:val="0"/>
                  <w:marRight w:val="0"/>
                  <w:marTop w:val="0"/>
                  <w:marBottom w:val="0"/>
                  <w:divBdr>
                    <w:top w:val="none" w:sz="0" w:space="0" w:color="auto"/>
                    <w:left w:val="none" w:sz="0" w:space="0" w:color="auto"/>
                    <w:bottom w:val="none" w:sz="0" w:space="0" w:color="auto"/>
                    <w:right w:val="none" w:sz="0" w:space="0" w:color="auto"/>
                  </w:divBdr>
                </w:div>
              </w:divsChild>
            </w:div>
            <w:div w:id="1747799102">
              <w:marLeft w:val="0"/>
              <w:marRight w:val="0"/>
              <w:marTop w:val="0"/>
              <w:marBottom w:val="0"/>
              <w:divBdr>
                <w:top w:val="none" w:sz="0" w:space="0" w:color="auto"/>
                <w:left w:val="none" w:sz="0" w:space="0" w:color="auto"/>
                <w:bottom w:val="none" w:sz="0" w:space="0" w:color="auto"/>
                <w:right w:val="none" w:sz="0" w:space="0" w:color="auto"/>
              </w:divBdr>
              <w:divsChild>
                <w:div w:id="1067340905">
                  <w:marLeft w:val="0"/>
                  <w:marRight w:val="0"/>
                  <w:marTop w:val="0"/>
                  <w:marBottom w:val="0"/>
                  <w:divBdr>
                    <w:top w:val="none" w:sz="0" w:space="0" w:color="auto"/>
                    <w:left w:val="none" w:sz="0" w:space="0" w:color="auto"/>
                    <w:bottom w:val="none" w:sz="0" w:space="0" w:color="auto"/>
                    <w:right w:val="none" w:sz="0" w:space="0" w:color="auto"/>
                  </w:divBdr>
                </w:div>
              </w:divsChild>
            </w:div>
            <w:div w:id="1215965600">
              <w:marLeft w:val="0"/>
              <w:marRight w:val="0"/>
              <w:marTop w:val="0"/>
              <w:marBottom w:val="0"/>
              <w:divBdr>
                <w:top w:val="none" w:sz="0" w:space="0" w:color="auto"/>
                <w:left w:val="none" w:sz="0" w:space="0" w:color="auto"/>
                <w:bottom w:val="none" w:sz="0" w:space="0" w:color="auto"/>
                <w:right w:val="none" w:sz="0" w:space="0" w:color="auto"/>
              </w:divBdr>
              <w:divsChild>
                <w:div w:id="156961197">
                  <w:marLeft w:val="0"/>
                  <w:marRight w:val="0"/>
                  <w:marTop w:val="0"/>
                  <w:marBottom w:val="0"/>
                  <w:divBdr>
                    <w:top w:val="none" w:sz="0" w:space="0" w:color="auto"/>
                    <w:left w:val="none" w:sz="0" w:space="0" w:color="auto"/>
                    <w:bottom w:val="none" w:sz="0" w:space="0" w:color="auto"/>
                    <w:right w:val="none" w:sz="0" w:space="0" w:color="auto"/>
                  </w:divBdr>
                </w:div>
              </w:divsChild>
            </w:div>
            <w:div w:id="1930654456">
              <w:marLeft w:val="0"/>
              <w:marRight w:val="0"/>
              <w:marTop w:val="0"/>
              <w:marBottom w:val="0"/>
              <w:divBdr>
                <w:top w:val="none" w:sz="0" w:space="0" w:color="auto"/>
                <w:left w:val="none" w:sz="0" w:space="0" w:color="auto"/>
                <w:bottom w:val="none" w:sz="0" w:space="0" w:color="auto"/>
                <w:right w:val="none" w:sz="0" w:space="0" w:color="auto"/>
              </w:divBdr>
              <w:divsChild>
                <w:div w:id="1778408357">
                  <w:marLeft w:val="0"/>
                  <w:marRight w:val="0"/>
                  <w:marTop w:val="0"/>
                  <w:marBottom w:val="0"/>
                  <w:divBdr>
                    <w:top w:val="none" w:sz="0" w:space="0" w:color="auto"/>
                    <w:left w:val="none" w:sz="0" w:space="0" w:color="auto"/>
                    <w:bottom w:val="none" w:sz="0" w:space="0" w:color="auto"/>
                    <w:right w:val="none" w:sz="0" w:space="0" w:color="auto"/>
                  </w:divBdr>
                </w:div>
              </w:divsChild>
            </w:div>
            <w:div w:id="822696143">
              <w:marLeft w:val="0"/>
              <w:marRight w:val="0"/>
              <w:marTop w:val="0"/>
              <w:marBottom w:val="0"/>
              <w:divBdr>
                <w:top w:val="none" w:sz="0" w:space="0" w:color="auto"/>
                <w:left w:val="none" w:sz="0" w:space="0" w:color="auto"/>
                <w:bottom w:val="none" w:sz="0" w:space="0" w:color="auto"/>
                <w:right w:val="none" w:sz="0" w:space="0" w:color="auto"/>
              </w:divBdr>
              <w:divsChild>
                <w:div w:id="8068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08662">
          <w:marLeft w:val="0"/>
          <w:marRight w:val="0"/>
          <w:marTop w:val="0"/>
          <w:marBottom w:val="600"/>
          <w:divBdr>
            <w:top w:val="none" w:sz="0" w:space="0" w:color="auto"/>
            <w:left w:val="none" w:sz="0" w:space="0" w:color="auto"/>
            <w:bottom w:val="none" w:sz="0" w:space="0" w:color="auto"/>
            <w:right w:val="none" w:sz="0" w:space="0" w:color="auto"/>
          </w:divBdr>
        </w:div>
      </w:divsChild>
    </w:div>
    <w:div w:id="1987196589">
      <w:marLeft w:val="0"/>
      <w:marRight w:val="0"/>
      <w:marTop w:val="0"/>
      <w:marBottom w:val="0"/>
      <w:divBdr>
        <w:top w:val="none" w:sz="0" w:space="0" w:color="auto"/>
        <w:left w:val="none" w:sz="0" w:space="0" w:color="auto"/>
        <w:bottom w:val="none" w:sz="0" w:space="0" w:color="auto"/>
        <w:right w:val="none" w:sz="0" w:space="0" w:color="auto"/>
      </w:divBdr>
      <w:divsChild>
        <w:div w:id="1793477736">
          <w:marLeft w:val="0"/>
          <w:marRight w:val="0"/>
          <w:marTop w:val="547"/>
          <w:marBottom w:val="0"/>
          <w:divBdr>
            <w:top w:val="none" w:sz="0" w:space="0" w:color="auto"/>
            <w:left w:val="none" w:sz="0" w:space="0" w:color="auto"/>
            <w:bottom w:val="none" w:sz="0" w:space="0" w:color="auto"/>
            <w:right w:val="none" w:sz="0" w:space="0" w:color="auto"/>
          </w:divBdr>
        </w:div>
        <w:div w:id="1454515561">
          <w:marLeft w:val="0"/>
          <w:marRight w:val="0"/>
          <w:marTop w:val="0"/>
          <w:marBottom w:val="0"/>
          <w:divBdr>
            <w:top w:val="none" w:sz="0" w:space="0" w:color="auto"/>
            <w:left w:val="none" w:sz="0" w:space="0" w:color="auto"/>
            <w:bottom w:val="none" w:sz="0" w:space="0" w:color="auto"/>
            <w:right w:val="none" w:sz="0" w:space="0" w:color="auto"/>
          </w:divBdr>
        </w:div>
        <w:div w:id="1242526534">
          <w:marLeft w:val="0"/>
          <w:marRight w:val="0"/>
          <w:marTop w:val="0"/>
          <w:marBottom w:val="600"/>
          <w:divBdr>
            <w:top w:val="none" w:sz="0" w:space="0" w:color="auto"/>
            <w:left w:val="none" w:sz="0" w:space="0" w:color="auto"/>
            <w:bottom w:val="none" w:sz="0" w:space="0" w:color="auto"/>
            <w:right w:val="none" w:sz="0" w:space="0" w:color="auto"/>
          </w:divBdr>
        </w:div>
      </w:divsChild>
    </w:div>
    <w:div w:id="2010793295">
      <w:marLeft w:val="0"/>
      <w:marRight w:val="0"/>
      <w:marTop w:val="0"/>
      <w:marBottom w:val="0"/>
      <w:divBdr>
        <w:top w:val="none" w:sz="0" w:space="0" w:color="auto"/>
        <w:left w:val="none" w:sz="0" w:space="0" w:color="auto"/>
        <w:bottom w:val="none" w:sz="0" w:space="0" w:color="auto"/>
        <w:right w:val="none" w:sz="0" w:space="0" w:color="auto"/>
      </w:divBdr>
      <w:divsChild>
        <w:div w:id="500394276">
          <w:marLeft w:val="0"/>
          <w:marRight w:val="0"/>
          <w:marTop w:val="547"/>
          <w:marBottom w:val="0"/>
          <w:divBdr>
            <w:top w:val="none" w:sz="0" w:space="0" w:color="auto"/>
            <w:left w:val="none" w:sz="0" w:space="0" w:color="auto"/>
            <w:bottom w:val="none" w:sz="0" w:space="0" w:color="auto"/>
            <w:right w:val="none" w:sz="0" w:space="0" w:color="auto"/>
          </w:divBdr>
        </w:div>
        <w:div w:id="1375305397">
          <w:marLeft w:val="0"/>
          <w:marRight w:val="0"/>
          <w:marTop w:val="0"/>
          <w:marBottom w:val="0"/>
          <w:divBdr>
            <w:top w:val="none" w:sz="0" w:space="0" w:color="auto"/>
            <w:left w:val="none" w:sz="0" w:space="0" w:color="auto"/>
            <w:bottom w:val="none" w:sz="0" w:space="0" w:color="auto"/>
            <w:right w:val="none" w:sz="0" w:space="0" w:color="auto"/>
          </w:divBdr>
          <w:divsChild>
            <w:div w:id="508519018">
              <w:marLeft w:val="0"/>
              <w:marRight w:val="0"/>
              <w:marTop w:val="0"/>
              <w:marBottom w:val="0"/>
              <w:divBdr>
                <w:top w:val="none" w:sz="0" w:space="0" w:color="auto"/>
                <w:left w:val="none" w:sz="0" w:space="0" w:color="auto"/>
                <w:bottom w:val="none" w:sz="0" w:space="0" w:color="auto"/>
                <w:right w:val="none" w:sz="0" w:space="0" w:color="auto"/>
              </w:divBdr>
              <w:divsChild>
                <w:div w:id="10989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28128">
          <w:marLeft w:val="0"/>
          <w:marRight w:val="0"/>
          <w:marTop w:val="0"/>
          <w:marBottom w:val="600"/>
          <w:divBdr>
            <w:top w:val="none" w:sz="0" w:space="0" w:color="auto"/>
            <w:left w:val="none" w:sz="0" w:space="0" w:color="auto"/>
            <w:bottom w:val="none" w:sz="0" w:space="0" w:color="auto"/>
            <w:right w:val="none" w:sz="0" w:space="0" w:color="auto"/>
          </w:divBdr>
        </w:div>
      </w:divsChild>
    </w:div>
    <w:div w:id="2075003585">
      <w:marLeft w:val="0"/>
      <w:marRight w:val="0"/>
      <w:marTop w:val="0"/>
      <w:marBottom w:val="0"/>
      <w:divBdr>
        <w:top w:val="none" w:sz="0" w:space="0" w:color="auto"/>
        <w:left w:val="none" w:sz="0" w:space="0" w:color="auto"/>
        <w:bottom w:val="none" w:sz="0" w:space="0" w:color="auto"/>
        <w:right w:val="none" w:sz="0" w:space="0" w:color="auto"/>
      </w:divBdr>
      <w:divsChild>
        <w:div w:id="154494502">
          <w:marLeft w:val="0"/>
          <w:marRight w:val="0"/>
          <w:marTop w:val="547"/>
          <w:marBottom w:val="0"/>
          <w:divBdr>
            <w:top w:val="none" w:sz="0" w:space="0" w:color="auto"/>
            <w:left w:val="none" w:sz="0" w:space="0" w:color="auto"/>
            <w:bottom w:val="none" w:sz="0" w:space="0" w:color="auto"/>
            <w:right w:val="none" w:sz="0" w:space="0" w:color="auto"/>
          </w:divBdr>
        </w:div>
        <w:div w:id="1628273808">
          <w:marLeft w:val="0"/>
          <w:marRight w:val="0"/>
          <w:marTop w:val="0"/>
          <w:marBottom w:val="0"/>
          <w:divBdr>
            <w:top w:val="none" w:sz="0" w:space="0" w:color="auto"/>
            <w:left w:val="none" w:sz="0" w:space="0" w:color="auto"/>
            <w:bottom w:val="none" w:sz="0" w:space="0" w:color="auto"/>
            <w:right w:val="none" w:sz="0" w:space="0" w:color="auto"/>
          </w:divBdr>
        </w:div>
        <w:div w:id="1603564785">
          <w:marLeft w:val="0"/>
          <w:marRight w:val="0"/>
          <w:marTop w:val="0"/>
          <w:marBottom w:val="600"/>
          <w:divBdr>
            <w:top w:val="none" w:sz="0" w:space="0" w:color="auto"/>
            <w:left w:val="none" w:sz="0" w:space="0" w:color="auto"/>
            <w:bottom w:val="none" w:sz="0" w:space="0" w:color="auto"/>
            <w:right w:val="none" w:sz="0" w:space="0" w:color="auto"/>
          </w:divBdr>
        </w:div>
      </w:divsChild>
    </w:div>
    <w:div w:id="2079280331">
      <w:marLeft w:val="0"/>
      <w:marRight w:val="0"/>
      <w:marTop w:val="0"/>
      <w:marBottom w:val="0"/>
      <w:divBdr>
        <w:top w:val="none" w:sz="0" w:space="0" w:color="auto"/>
        <w:left w:val="none" w:sz="0" w:space="0" w:color="auto"/>
        <w:bottom w:val="none" w:sz="0" w:space="0" w:color="auto"/>
        <w:right w:val="none" w:sz="0" w:space="0" w:color="auto"/>
      </w:divBdr>
      <w:divsChild>
        <w:div w:id="849416188">
          <w:marLeft w:val="0"/>
          <w:marRight w:val="0"/>
          <w:marTop w:val="547"/>
          <w:marBottom w:val="0"/>
          <w:divBdr>
            <w:top w:val="none" w:sz="0" w:space="0" w:color="auto"/>
            <w:left w:val="none" w:sz="0" w:space="0" w:color="auto"/>
            <w:bottom w:val="none" w:sz="0" w:space="0" w:color="auto"/>
            <w:right w:val="none" w:sz="0" w:space="0" w:color="auto"/>
          </w:divBdr>
        </w:div>
        <w:div w:id="1407607700">
          <w:marLeft w:val="0"/>
          <w:marRight w:val="0"/>
          <w:marTop w:val="0"/>
          <w:marBottom w:val="0"/>
          <w:divBdr>
            <w:top w:val="none" w:sz="0" w:space="0" w:color="auto"/>
            <w:left w:val="none" w:sz="0" w:space="0" w:color="auto"/>
            <w:bottom w:val="none" w:sz="0" w:space="0" w:color="auto"/>
            <w:right w:val="none" w:sz="0" w:space="0" w:color="auto"/>
          </w:divBdr>
        </w:div>
        <w:div w:id="1063062795">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bph-20210630xex32.htm" TargetMode="External"/><Relationship Id="rId5" Type="http://schemas.openxmlformats.org/officeDocument/2006/relationships/hyperlink" Target="tbph-20210630xex31d2.htm" TargetMode="External"/><Relationship Id="rId4" Type="http://schemas.openxmlformats.org/officeDocument/2006/relationships/hyperlink" Target="tbph-20210630xex31d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51008</Words>
  <Characters>290748</Characters>
  <Application>Microsoft Office Word</Application>
  <DocSecurity>0</DocSecurity>
  <Lines>2422</Lines>
  <Paragraphs>682</Paragraphs>
  <ScaleCrop>false</ScaleCrop>
  <Company/>
  <LinksUpToDate>false</LinksUpToDate>
  <CharactersWithSpaces>341074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dc:title>
  <dc:subject/>
  <dc:creator>Chongjian.Yue</dc:creator>
  <cp:keywords/>
  <dc:description/>
  <cp:lastModifiedBy>Yue Chongjian</cp:lastModifiedBy>
  <cp:revision>1</cp:revision>
  <dcterms:created xsi:type="dcterms:W3CDTF">2024-01-04T16:16:00Z</dcterms:created>
  <dcterms:modified xsi:type="dcterms:W3CDTF">2024-01-04T16:16:00Z</dcterms:modified>
</cp:coreProperties>
</file>